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outlineLvl w:val="0"/>
        <w:rPr>
          <w:rFonts w:hint="default" w:ascii="Times New Roman" w:hAnsi="Times New Roman" w:eastAsia="黑体" w:cs="Times New Roman"/>
          <w:snapToGrid w:val="0"/>
          <w:color w:val="auto"/>
          <w:sz w:val="30"/>
          <w:szCs w:val="30"/>
        </w:rPr>
      </w:pPr>
      <w:r>
        <w:rPr>
          <w:color w:val="auto"/>
        </w:rPr>
        <w:drawing>
          <wp:inline distT="0" distB="0" distL="114300" distR="114300">
            <wp:extent cx="5594350" cy="8354060"/>
            <wp:effectExtent l="0" t="0" r="6350" b="8890"/>
            <wp:docPr id="45" name="图片 9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945"/>
                    <pic:cNvPicPr>
                      <a:picLocks noChangeAspect="1"/>
                    </pic:cNvPicPr>
                  </pic:nvPicPr>
                  <pic:blipFill>
                    <a:blip r:embed="rId8"/>
                    <a:stretch>
                      <a:fillRect/>
                    </a:stretch>
                  </pic:blipFill>
                  <pic:spPr>
                    <a:xfrm>
                      <a:off x="0" y="0"/>
                      <a:ext cx="5594350" cy="8354060"/>
                    </a:xfrm>
                    <a:prstGeom prst="rect">
                      <a:avLst/>
                    </a:prstGeom>
                    <a:noFill/>
                    <a:ln>
                      <a:noFill/>
                    </a:ln>
                  </pic:spPr>
                </pic:pic>
              </a:graphicData>
            </a:graphic>
          </wp:inline>
        </w:drawing>
      </w:r>
      <w:r>
        <w:rPr>
          <w:rFonts w:hint="default" w:ascii="Times New Roman" w:hAnsi="Times New Roman" w:eastAsia="黑体" w:cs="Times New Roman"/>
          <w:snapToGrid w:val="0"/>
          <w:color w:val="auto"/>
          <w:sz w:val="30"/>
          <w:szCs w:val="30"/>
          <w:lang w:val="en-US" w:eastAsia="zh-CN"/>
        </w:rPr>
        <w:t>一</w:t>
      </w:r>
      <w:r>
        <w:rPr>
          <w:rFonts w:hint="default" w:ascii="Times New Roman" w:hAnsi="Times New Roman" w:eastAsia="黑体" w:cs="Times New Roman"/>
          <w:snapToGrid w:val="0"/>
          <w:color w:val="auto"/>
          <w:sz w:val="30"/>
          <w:szCs w:val="30"/>
        </w:rPr>
        <w:t>、建设项目基本情况</w:t>
      </w: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528"/>
        <w:gridCol w:w="1364"/>
        <w:gridCol w:w="1886"/>
        <w:gridCol w:w="2026"/>
        <w:gridCol w:w="30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建设项目名称</w:t>
            </w:r>
          </w:p>
        </w:tc>
        <w:tc>
          <w:tcPr>
            <w:tcW w:w="6978" w:type="dxa"/>
            <w:gridSpan w:val="3"/>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广东晋辉科技有限公司年产锂</w:t>
            </w:r>
            <w:r>
              <w:rPr>
                <w:rFonts w:hint="eastAsia" w:ascii="Times New Roman" w:hAnsi="Times New Roman" w:eastAsia="宋体" w:cs="Times New Roman"/>
                <w:color w:val="auto"/>
                <w:sz w:val="24"/>
                <w:szCs w:val="24"/>
                <w:lang w:val="en-US" w:eastAsia="zh-CN"/>
              </w:rPr>
              <w:t>离子</w:t>
            </w:r>
            <w:r>
              <w:rPr>
                <w:rFonts w:hint="default" w:ascii="Times New Roman" w:hAnsi="Times New Roman" w:eastAsia="宋体" w:cs="Times New Roman"/>
                <w:color w:val="auto"/>
                <w:sz w:val="24"/>
                <w:szCs w:val="24"/>
                <w:lang w:eastAsia="zh-CN"/>
              </w:rPr>
              <w:t>电池1000万个</w:t>
            </w:r>
            <w:r>
              <w:rPr>
                <w:rFonts w:hint="eastAsia" w:ascii="Times New Roman" w:hAnsi="Times New Roman" w:eastAsia="宋体" w:cs="Times New Roman"/>
                <w:color w:val="auto"/>
                <w:sz w:val="24"/>
                <w:szCs w:val="24"/>
                <w:lang w:val="en-US" w:eastAsia="zh-CN"/>
              </w:rPr>
              <w:t>新建</w:t>
            </w:r>
            <w:r>
              <w:rPr>
                <w:rFonts w:hint="default" w:ascii="Times New Roman" w:hAnsi="Times New Roman" w:eastAsia="宋体" w:cs="Times New Roman"/>
                <w:color w:val="auto"/>
                <w:sz w:val="24"/>
                <w:szCs w:val="24"/>
                <w:lang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项目代码</w:t>
            </w:r>
          </w:p>
        </w:tc>
        <w:tc>
          <w:tcPr>
            <w:tcW w:w="6978" w:type="dxa"/>
            <w:gridSpan w:val="3"/>
            <w:noWrap w:val="0"/>
            <w:vAlign w:val="center"/>
          </w:tcPr>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360" w:lineRule="exact"/>
              <w:ind w:left="0" w:leftChars="0" w:right="0" w:right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rPr>
              <w:t>2301-441322-04-05-338895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建设单位联系人</w:t>
            </w:r>
          </w:p>
        </w:tc>
        <w:tc>
          <w:tcPr>
            <w:tcW w:w="1886" w:type="dxa"/>
            <w:noWrap w:val="0"/>
            <w:vAlign w:val="center"/>
          </w:tcPr>
          <w:p>
            <w:pPr>
              <w:keepNext w:val="0"/>
              <w:keepLines w:val="0"/>
              <w:pageBreakBefore w:val="0"/>
              <w:widowControl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rPr>
              <w:t>罗</w:t>
            </w:r>
            <w:r>
              <w:rPr>
                <w:rFonts w:hint="eastAsia" w:cs="Times New Roman"/>
                <w:color w:val="auto"/>
                <w:sz w:val="24"/>
                <w:lang w:val="en-US" w:eastAsia="zh-CN"/>
              </w:rPr>
              <w:t>**</w:t>
            </w:r>
          </w:p>
        </w:tc>
        <w:tc>
          <w:tcPr>
            <w:tcW w:w="2026" w:type="dxa"/>
            <w:noWrap w:val="0"/>
            <w:vAlign w:val="center"/>
          </w:tcPr>
          <w:p>
            <w:pPr>
              <w:keepNext w:val="0"/>
              <w:keepLines w:val="0"/>
              <w:pageBreakBefore w:val="0"/>
              <w:widowControl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联系方式</w:t>
            </w:r>
          </w:p>
        </w:tc>
        <w:tc>
          <w:tcPr>
            <w:tcW w:w="3066" w:type="dxa"/>
            <w:noWrap w:val="0"/>
            <w:vAlign w:val="center"/>
          </w:tcPr>
          <w:p>
            <w:pPr>
              <w:keepNext w:val="0"/>
              <w:keepLines w:val="0"/>
              <w:pageBreakBefore w:val="0"/>
              <w:widowControl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rPr>
              <w:t>18</w:t>
            </w:r>
            <w:r>
              <w:rPr>
                <w:rFonts w:hint="eastAsia" w:cs="Times New Roman"/>
                <w:color w:val="auto"/>
                <w:sz w:val="24"/>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建设地点</w:t>
            </w:r>
          </w:p>
        </w:tc>
        <w:tc>
          <w:tcPr>
            <w:tcW w:w="6978" w:type="dxa"/>
            <w:gridSpan w:val="3"/>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lang w:val="en-US" w:eastAsia="zh-CN"/>
              </w:rPr>
              <w:t>惠州市</w:t>
            </w:r>
            <w:r>
              <w:rPr>
                <w:rFonts w:hint="default" w:ascii="Times New Roman" w:hAnsi="Times New Roman" w:cs="Times New Roman"/>
                <w:color w:val="auto"/>
                <w:sz w:val="24"/>
              </w:rPr>
              <w:t>博罗县园洲镇上南村市场中路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地理坐标</w:t>
            </w:r>
          </w:p>
        </w:tc>
        <w:tc>
          <w:tcPr>
            <w:tcW w:w="6978" w:type="dxa"/>
            <w:gridSpan w:val="3"/>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东经</w:t>
            </w:r>
            <w:r>
              <w:rPr>
                <w:rFonts w:hint="default" w:ascii="Times New Roman" w:hAnsi="Times New Roman" w:cs="Times New Roman"/>
                <w:color w:val="auto"/>
                <w:sz w:val="24"/>
                <w:szCs w:val="24"/>
                <w:u w:val="single"/>
                <w:lang w:val="en-US" w:eastAsia="zh-CN"/>
              </w:rPr>
              <w:t>113</w:t>
            </w:r>
            <w:r>
              <w:rPr>
                <w:rFonts w:hint="default" w:ascii="Times New Roman" w:hAnsi="Times New Roman" w:cs="Times New Roman"/>
                <w:color w:val="auto"/>
                <w:sz w:val="24"/>
                <w:szCs w:val="24"/>
              </w:rPr>
              <w:t>度</w:t>
            </w:r>
            <w:r>
              <w:rPr>
                <w:rFonts w:hint="default" w:ascii="Times New Roman" w:hAnsi="Times New Roman" w:cs="Times New Roman"/>
                <w:color w:val="auto"/>
                <w:sz w:val="24"/>
                <w:szCs w:val="24"/>
                <w:u w:val="single"/>
                <w:lang w:val="en-US" w:eastAsia="zh-CN"/>
              </w:rPr>
              <w:t>58</w:t>
            </w:r>
            <w:r>
              <w:rPr>
                <w:rFonts w:hint="default" w:ascii="Times New Roman" w:hAnsi="Times New Roman" w:cs="Times New Roman"/>
                <w:color w:val="auto"/>
                <w:sz w:val="24"/>
                <w:szCs w:val="24"/>
              </w:rPr>
              <w:t>分</w:t>
            </w:r>
            <w:r>
              <w:rPr>
                <w:rFonts w:hint="default" w:ascii="Times New Roman" w:hAnsi="Times New Roman" w:cs="Times New Roman"/>
                <w:color w:val="auto"/>
                <w:sz w:val="24"/>
                <w:szCs w:val="24"/>
                <w:u w:val="single"/>
                <w:lang w:val="en-US" w:eastAsia="zh-CN"/>
              </w:rPr>
              <w:t>48.267</w:t>
            </w:r>
            <w:r>
              <w:rPr>
                <w:rFonts w:hint="default" w:ascii="Times New Roman" w:hAnsi="Times New Roman" w:cs="Times New Roman"/>
                <w:color w:val="auto"/>
                <w:sz w:val="24"/>
                <w:szCs w:val="24"/>
              </w:rPr>
              <w:t>秒，</w:t>
            </w:r>
            <w:r>
              <w:rPr>
                <w:rFonts w:hint="default" w:ascii="Times New Roman" w:hAnsi="Times New Roman" w:cs="Times New Roman"/>
                <w:color w:val="auto"/>
                <w:sz w:val="24"/>
                <w:szCs w:val="24"/>
                <w:lang w:val="en-US" w:eastAsia="zh-CN"/>
              </w:rPr>
              <w:t>北纬</w:t>
            </w:r>
            <w:r>
              <w:rPr>
                <w:rFonts w:hint="default" w:ascii="Times New Roman" w:hAnsi="Times New Roman" w:cs="Times New Roman"/>
                <w:color w:val="auto"/>
                <w:sz w:val="24"/>
                <w:szCs w:val="24"/>
                <w:u w:val="single"/>
                <w:lang w:val="en-US" w:eastAsia="zh-CN"/>
              </w:rPr>
              <w:t>23</w:t>
            </w:r>
            <w:r>
              <w:rPr>
                <w:rFonts w:hint="default" w:ascii="Times New Roman" w:hAnsi="Times New Roman" w:cs="Times New Roman"/>
                <w:color w:val="auto"/>
                <w:sz w:val="24"/>
                <w:szCs w:val="24"/>
              </w:rPr>
              <w:t>度</w:t>
            </w:r>
            <w:r>
              <w:rPr>
                <w:rFonts w:hint="default" w:ascii="Times New Roman" w:hAnsi="Times New Roman" w:cs="Times New Roman"/>
                <w:color w:val="auto"/>
                <w:sz w:val="24"/>
                <w:szCs w:val="24"/>
                <w:u w:val="single"/>
                <w:lang w:val="en-US" w:eastAsia="zh-CN"/>
              </w:rPr>
              <w:t>7</w:t>
            </w:r>
            <w:r>
              <w:rPr>
                <w:rFonts w:hint="default" w:ascii="Times New Roman" w:hAnsi="Times New Roman" w:cs="Times New Roman"/>
                <w:color w:val="auto"/>
                <w:sz w:val="24"/>
                <w:szCs w:val="24"/>
              </w:rPr>
              <w:t>分</w:t>
            </w:r>
            <w:r>
              <w:rPr>
                <w:rFonts w:hint="default" w:ascii="Times New Roman" w:hAnsi="Times New Roman" w:cs="Times New Roman"/>
                <w:color w:val="auto"/>
                <w:sz w:val="24"/>
                <w:szCs w:val="24"/>
                <w:u w:val="single"/>
                <w:lang w:val="en-US" w:eastAsia="zh-CN"/>
              </w:rPr>
              <w:t>29.802</w:t>
            </w:r>
            <w:r>
              <w:rPr>
                <w:rFonts w:hint="default" w:ascii="Times New Roman" w:hAnsi="Times New Roman" w:cs="Times New Roman"/>
                <w:color w:val="auto"/>
                <w:sz w:val="24"/>
                <w:szCs w:val="24"/>
                <w:u w:val="none"/>
                <w:lang w:val="en-US" w:eastAsia="zh-CN"/>
              </w:rPr>
              <w:t>秒</w:t>
            </w:r>
            <w:r>
              <w:rPr>
                <w:rFonts w:hint="default" w:ascii="Times New Roman" w:hAnsi="Times New Roman" w:cs="Times New Roman"/>
                <w:color w:val="auto"/>
                <w:sz w:val="24"/>
                <w:szCs w:val="24"/>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国民经济</w:t>
            </w:r>
          </w:p>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行业类别</w:t>
            </w:r>
          </w:p>
        </w:tc>
        <w:tc>
          <w:tcPr>
            <w:tcW w:w="1886" w:type="dxa"/>
            <w:noWrap w:val="0"/>
            <w:vAlign w:val="center"/>
          </w:tcPr>
          <w:p>
            <w:pPr>
              <w:keepNext w:val="0"/>
              <w:keepLines w:val="0"/>
              <w:pageBreakBefore w:val="0"/>
              <w:widowControl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rPr>
              <w:t>C3841锂离子电池制造</w:t>
            </w:r>
          </w:p>
        </w:tc>
        <w:tc>
          <w:tcPr>
            <w:tcW w:w="2026" w:type="dxa"/>
            <w:noWrap w:val="0"/>
            <w:vAlign w:val="center"/>
          </w:tcPr>
          <w:p>
            <w:pPr>
              <w:keepNext w:val="0"/>
              <w:keepLines w:val="0"/>
              <w:pageBreakBefore w:val="0"/>
              <w:widowControl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建设项目</w:t>
            </w:r>
          </w:p>
          <w:p>
            <w:pPr>
              <w:keepNext w:val="0"/>
              <w:keepLines w:val="0"/>
              <w:pageBreakBefore w:val="0"/>
              <w:widowControl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行业类别</w:t>
            </w:r>
          </w:p>
        </w:tc>
        <w:tc>
          <w:tcPr>
            <w:tcW w:w="3066" w:type="dxa"/>
            <w:noWrap w:val="0"/>
            <w:vAlign w:val="center"/>
          </w:tcPr>
          <w:p>
            <w:pPr>
              <w:keepNext w:val="0"/>
              <w:keepLines w:val="0"/>
              <w:pageBreakBefore w:val="0"/>
              <w:widowControl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77 电池制造384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建设性质</w:t>
            </w:r>
          </w:p>
        </w:tc>
        <w:tc>
          <w:tcPr>
            <w:tcW w:w="1886" w:type="dxa"/>
            <w:noWrap w:val="0"/>
            <w:vAlign w:val="center"/>
          </w:tcPr>
          <w:p>
            <w:pPr>
              <w:keepNext w:val="0"/>
              <w:keepLines w:val="0"/>
              <w:pageBreakBefore w:val="0"/>
              <w:kinsoku/>
              <w:wordWrap/>
              <w:overflowPunct/>
              <w:topLinePunct w:val="0"/>
              <w:bidi w:val="0"/>
              <w:adjustRightInd w:val="0"/>
              <w:snapToGrid w:val="0"/>
              <w:spacing w:line="36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sym w:font="Wingdings 2" w:char="0052"/>
            </w:r>
            <w:r>
              <w:rPr>
                <w:rFonts w:hint="default" w:ascii="Times New Roman" w:hAnsi="Times New Roman" w:cs="Times New Roman"/>
                <w:color w:val="auto"/>
                <w:sz w:val="24"/>
                <w:szCs w:val="24"/>
              </w:rPr>
              <w:t>新建（迁建）</w:t>
            </w:r>
          </w:p>
          <w:p>
            <w:pPr>
              <w:keepNext w:val="0"/>
              <w:keepLines w:val="0"/>
              <w:pageBreakBefore w:val="0"/>
              <w:kinsoku/>
              <w:wordWrap/>
              <w:overflowPunct/>
              <w:topLinePunct w:val="0"/>
              <w:bidi w:val="0"/>
              <w:adjustRightInd w:val="0"/>
              <w:snapToGrid w:val="0"/>
              <w:spacing w:line="36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□改建</w:t>
            </w:r>
          </w:p>
          <w:p>
            <w:pPr>
              <w:keepNext w:val="0"/>
              <w:keepLines w:val="0"/>
              <w:pageBreakBefore w:val="0"/>
              <w:kinsoku/>
              <w:wordWrap/>
              <w:overflowPunct/>
              <w:topLinePunct w:val="0"/>
              <w:bidi w:val="0"/>
              <w:adjustRightInd w:val="0"/>
              <w:snapToGrid w:val="0"/>
              <w:spacing w:line="36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□扩建</w:t>
            </w:r>
          </w:p>
          <w:p>
            <w:pPr>
              <w:keepNext w:val="0"/>
              <w:keepLines w:val="0"/>
              <w:pageBreakBefore w:val="0"/>
              <w:kinsoku/>
              <w:wordWrap/>
              <w:overflowPunct/>
              <w:topLinePunct w:val="0"/>
              <w:bidi w:val="0"/>
              <w:adjustRightInd w:val="0"/>
              <w:snapToGrid w:val="0"/>
              <w:spacing w:line="36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□技术改造</w:t>
            </w:r>
          </w:p>
        </w:tc>
        <w:tc>
          <w:tcPr>
            <w:tcW w:w="202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建设项目</w:t>
            </w:r>
          </w:p>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申报情形</w:t>
            </w:r>
          </w:p>
        </w:tc>
        <w:tc>
          <w:tcPr>
            <w:tcW w:w="3066" w:type="dxa"/>
            <w:noWrap w:val="0"/>
            <w:vAlign w:val="center"/>
          </w:tcPr>
          <w:p>
            <w:pPr>
              <w:keepNext w:val="0"/>
              <w:keepLines w:val="0"/>
              <w:pageBreakBefore w:val="0"/>
              <w:kinsoku/>
              <w:wordWrap/>
              <w:overflowPunct/>
              <w:topLinePunct w:val="0"/>
              <w:bidi w:val="0"/>
              <w:adjustRightInd w:val="0"/>
              <w:snapToGrid w:val="0"/>
              <w:spacing w:line="36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sym w:font="Wingdings 2" w:char="0052"/>
            </w:r>
            <w:r>
              <w:rPr>
                <w:rFonts w:hint="default" w:ascii="Times New Roman" w:hAnsi="Times New Roman" w:cs="Times New Roman"/>
                <w:color w:val="auto"/>
                <w:sz w:val="24"/>
                <w:szCs w:val="24"/>
              </w:rPr>
              <w:t>首次申报项目</w:t>
            </w:r>
          </w:p>
          <w:p>
            <w:pPr>
              <w:keepNext w:val="0"/>
              <w:keepLines w:val="0"/>
              <w:pageBreakBefore w:val="0"/>
              <w:kinsoku/>
              <w:wordWrap/>
              <w:overflowPunct/>
              <w:topLinePunct w:val="0"/>
              <w:bidi w:val="0"/>
              <w:adjustRightInd w:val="0"/>
              <w:snapToGrid w:val="0"/>
              <w:spacing w:line="36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□不予批准后再次申报项目</w:t>
            </w:r>
          </w:p>
          <w:p>
            <w:pPr>
              <w:keepNext w:val="0"/>
              <w:keepLines w:val="0"/>
              <w:pageBreakBefore w:val="0"/>
              <w:kinsoku/>
              <w:wordWrap/>
              <w:overflowPunct/>
              <w:topLinePunct w:val="0"/>
              <w:bidi w:val="0"/>
              <w:adjustRightInd w:val="0"/>
              <w:snapToGrid w:val="0"/>
              <w:spacing w:line="36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□超五年重新审核</w:t>
            </w:r>
          </w:p>
          <w:p>
            <w:pPr>
              <w:keepNext w:val="0"/>
              <w:keepLines w:val="0"/>
              <w:pageBreakBefore w:val="0"/>
              <w:kinsoku/>
              <w:wordWrap/>
              <w:overflowPunct/>
              <w:topLinePunct w:val="0"/>
              <w:bidi w:val="0"/>
              <w:adjustRightInd w:val="0"/>
              <w:snapToGrid w:val="0"/>
              <w:spacing w:line="360" w:lineRule="exact"/>
              <w:jc w:val="lef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项目审批（核准/</w:t>
            </w:r>
          </w:p>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备案）部门（选填）</w:t>
            </w:r>
          </w:p>
        </w:tc>
        <w:tc>
          <w:tcPr>
            <w:tcW w:w="188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无</w:t>
            </w:r>
          </w:p>
        </w:tc>
        <w:tc>
          <w:tcPr>
            <w:tcW w:w="202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项目审批（核准/</w:t>
            </w:r>
          </w:p>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备案）文号（选填）</w:t>
            </w:r>
          </w:p>
        </w:tc>
        <w:tc>
          <w:tcPr>
            <w:tcW w:w="306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总投资（万元）</w:t>
            </w:r>
          </w:p>
        </w:tc>
        <w:tc>
          <w:tcPr>
            <w:tcW w:w="188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1000.00</w:t>
            </w:r>
          </w:p>
        </w:tc>
        <w:tc>
          <w:tcPr>
            <w:tcW w:w="2026" w:type="dxa"/>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环保投资（万元）</w:t>
            </w:r>
          </w:p>
        </w:tc>
        <w:tc>
          <w:tcPr>
            <w:tcW w:w="306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环保投资占比（%）</w:t>
            </w:r>
          </w:p>
        </w:tc>
        <w:tc>
          <w:tcPr>
            <w:tcW w:w="188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3.0</w:t>
            </w:r>
          </w:p>
        </w:tc>
        <w:tc>
          <w:tcPr>
            <w:tcW w:w="2026" w:type="dxa"/>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施工工期</w:t>
            </w:r>
          </w:p>
        </w:tc>
        <w:tc>
          <w:tcPr>
            <w:tcW w:w="306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1个月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1892" w:type="dxa"/>
            <w:gridSpan w:val="2"/>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是否开工建设</w:t>
            </w:r>
          </w:p>
        </w:tc>
        <w:tc>
          <w:tcPr>
            <w:tcW w:w="1886" w:type="dxa"/>
            <w:noWrap w:val="0"/>
            <w:vAlign w:val="center"/>
          </w:tcPr>
          <w:p>
            <w:pPr>
              <w:keepNext w:val="0"/>
              <w:keepLines w:val="0"/>
              <w:pageBreakBefore w:val="0"/>
              <w:kinsoku/>
              <w:wordWrap/>
              <w:overflowPunct/>
              <w:topLinePunct w:val="0"/>
              <w:bidi w:val="0"/>
              <w:adjustRightInd w:val="0"/>
              <w:snapToGrid w:val="0"/>
              <w:spacing w:line="36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sym w:font="Wingdings 2" w:char="0052"/>
            </w:r>
            <w:r>
              <w:rPr>
                <w:rFonts w:hint="default" w:ascii="Times New Roman" w:hAnsi="Times New Roman" w:cs="Times New Roman"/>
                <w:color w:val="auto"/>
                <w:sz w:val="24"/>
                <w:szCs w:val="24"/>
              </w:rPr>
              <w:t>否</w:t>
            </w:r>
          </w:p>
          <w:p>
            <w:pPr>
              <w:keepNext w:val="0"/>
              <w:keepLines w:val="0"/>
              <w:pageBreakBefore w:val="0"/>
              <w:kinsoku/>
              <w:wordWrap/>
              <w:overflowPunct/>
              <w:topLinePunct w:val="0"/>
              <w:bidi w:val="0"/>
              <w:adjustRightInd w:val="0"/>
              <w:snapToGrid w:val="0"/>
              <w:spacing w:line="360" w:lineRule="exact"/>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sym w:font="Wingdings 2" w:char="00A3"/>
            </w:r>
            <w:r>
              <w:rPr>
                <w:rFonts w:hint="default" w:ascii="Times New Roman" w:hAnsi="Times New Roman" w:cs="Times New Roman"/>
                <w:color w:val="auto"/>
                <w:sz w:val="24"/>
                <w:szCs w:val="24"/>
              </w:rPr>
              <w:t>是：</w:t>
            </w:r>
            <w:r>
              <w:rPr>
                <w:rFonts w:hint="default" w:ascii="Times New Roman" w:hAnsi="Times New Roman" w:cs="Times New Roman"/>
                <w:color w:val="auto"/>
                <w:sz w:val="24"/>
                <w:szCs w:val="24"/>
                <w:u w:val="single"/>
              </w:rPr>
              <w:t xml:space="preserve">       </w:t>
            </w:r>
          </w:p>
        </w:tc>
        <w:tc>
          <w:tcPr>
            <w:tcW w:w="2026" w:type="dxa"/>
            <w:noWrap w:val="0"/>
            <w:tcMar>
              <w:top w:w="16" w:type="dxa"/>
              <w:left w:w="16" w:type="dxa"/>
              <w:right w:w="16" w:type="dxa"/>
            </w:tcMar>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pacing w:val="-6"/>
                <w:sz w:val="24"/>
                <w:szCs w:val="24"/>
              </w:rPr>
              <w:t>用地面积（m</w:t>
            </w:r>
            <w:r>
              <w:rPr>
                <w:rFonts w:hint="default" w:ascii="Times New Roman" w:hAnsi="Times New Roman" w:cs="Times New Roman"/>
                <w:color w:val="auto"/>
                <w:spacing w:val="-6"/>
                <w:sz w:val="24"/>
                <w:szCs w:val="24"/>
                <w:vertAlign w:val="superscript"/>
              </w:rPr>
              <w:t>2</w:t>
            </w:r>
            <w:r>
              <w:rPr>
                <w:rFonts w:hint="default" w:ascii="Times New Roman" w:hAnsi="Times New Roman" w:cs="Times New Roman"/>
                <w:color w:val="auto"/>
                <w:spacing w:val="-6"/>
                <w:sz w:val="24"/>
                <w:szCs w:val="24"/>
              </w:rPr>
              <w:t>）</w:t>
            </w:r>
          </w:p>
        </w:tc>
        <w:tc>
          <w:tcPr>
            <w:tcW w:w="306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2500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892" w:type="dxa"/>
            <w:gridSpan w:val="2"/>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专项评价设置情况</w:t>
            </w:r>
          </w:p>
        </w:tc>
        <w:tc>
          <w:tcPr>
            <w:tcW w:w="6978"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cs="Times New Roman"/>
                <w:b/>
                <w:bCs/>
                <w:color w:val="auto"/>
                <w:kern w:val="21"/>
                <w:szCs w:val="21"/>
              </w:rPr>
            </w:pPr>
            <w:r>
              <w:rPr>
                <w:rFonts w:hint="default" w:ascii="Times New Roman" w:hAnsi="Times New Roman" w:cs="Times New Roman"/>
                <w:b/>
                <w:bCs/>
                <w:color w:val="auto"/>
                <w:kern w:val="21"/>
                <w:sz w:val="24"/>
                <w:szCs w:val="24"/>
              </w:rPr>
              <w:t>表1-1 项目专项评价设置情况</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482"/>
              <w:gridCol w:w="2649"/>
              <w:gridCol w:w="7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pct"/>
                  <w:noWrap w:val="0"/>
                  <w:vAlign w:val="center"/>
                </w:tcPr>
                <w:p>
                  <w:pPr>
                    <w:autoSpaceDE w:val="0"/>
                    <w:autoSpaceDN w:val="0"/>
                    <w:adjustRightInd w:val="0"/>
                    <w:snapToGrid w:val="0"/>
                    <w:jc w:val="center"/>
                    <w:rPr>
                      <w:rFonts w:hint="default" w:ascii="Times New Roman" w:hAnsi="Times New Roman" w:cs="Times New Roman"/>
                      <w:b/>
                      <w:bCs/>
                      <w:color w:val="auto"/>
                      <w:kern w:val="21"/>
                      <w:szCs w:val="21"/>
                    </w:rPr>
                  </w:pPr>
                  <w:r>
                    <w:rPr>
                      <w:rFonts w:hint="default" w:ascii="Times New Roman" w:hAnsi="Times New Roman" w:cs="Times New Roman"/>
                      <w:b/>
                      <w:bCs/>
                      <w:color w:val="auto"/>
                      <w:kern w:val="21"/>
                      <w:szCs w:val="21"/>
                    </w:rPr>
                    <w:t>专项评价的类别</w:t>
                  </w:r>
                </w:p>
              </w:tc>
              <w:tc>
                <w:tcPr>
                  <w:tcW w:w="1838" w:type="pct"/>
                  <w:noWrap w:val="0"/>
                  <w:vAlign w:val="center"/>
                </w:tcPr>
                <w:p>
                  <w:pPr>
                    <w:autoSpaceDE w:val="0"/>
                    <w:autoSpaceDN w:val="0"/>
                    <w:adjustRightInd w:val="0"/>
                    <w:snapToGrid w:val="0"/>
                    <w:jc w:val="center"/>
                    <w:rPr>
                      <w:rFonts w:hint="default" w:ascii="Times New Roman" w:hAnsi="Times New Roman" w:cs="Times New Roman"/>
                      <w:b/>
                      <w:bCs/>
                      <w:color w:val="auto"/>
                      <w:kern w:val="21"/>
                      <w:szCs w:val="21"/>
                    </w:rPr>
                  </w:pPr>
                  <w:r>
                    <w:rPr>
                      <w:rFonts w:hint="default" w:ascii="Times New Roman" w:hAnsi="Times New Roman" w:cs="Times New Roman"/>
                      <w:b/>
                      <w:bCs/>
                      <w:color w:val="auto"/>
                      <w:kern w:val="21"/>
                      <w:szCs w:val="21"/>
                    </w:rPr>
                    <w:t>设置原则</w:t>
                  </w:r>
                </w:p>
              </w:tc>
              <w:tc>
                <w:tcPr>
                  <w:tcW w:w="1962" w:type="pct"/>
                  <w:noWrap w:val="0"/>
                  <w:vAlign w:val="center"/>
                </w:tcPr>
                <w:p>
                  <w:pPr>
                    <w:autoSpaceDE w:val="0"/>
                    <w:autoSpaceDN w:val="0"/>
                    <w:adjustRightInd w:val="0"/>
                    <w:snapToGrid w:val="0"/>
                    <w:jc w:val="center"/>
                    <w:rPr>
                      <w:rFonts w:hint="default" w:ascii="Times New Roman" w:hAnsi="Times New Roman" w:cs="Times New Roman"/>
                      <w:b/>
                      <w:bCs/>
                      <w:color w:val="auto"/>
                      <w:kern w:val="21"/>
                      <w:szCs w:val="21"/>
                    </w:rPr>
                  </w:pPr>
                  <w:r>
                    <w:rPr>
                      <w:rFonts w:hint="default" w:ascii="Times New Roman" w:hAnsi="Times New Roman" w:cs="Times New Roman"/>
                      <w:b/>
                      <w:bCs/>
                      <w:color w:val="auto"/>
                      <w:kern w:val="21"/>
                      <w:szCs w:val="21"/>
                    </w:rPr>
                    <w:t>项目情况</w:t>
                  </w:r>
                </w:p>
              </w:tc>
              <w:tc>
                <w:tcPr>
                  <w:tcW w:w="554" w:type="pct"/>
                  <w:noWrap w:val="0"/>
                  <w:vAlign w:val="center"/>
                </w:tcPr>
                <w:p>
                  <w:pPr>
                    <w:autoSpaceDE w:val="0"/>
                    <w:autoSpaceDN w:val="0"/>
                    <w:adjustRightInd w:val="0"/>
                    <w:snapToGrid w:val="0"/>
                    <w:jc w:val="center"/>
                    <w:rPr>
                      <w:rFonts w:hint="default" w:ascii="Times New Roman" w:hAnsi="Times New Roman" w:cs="Times New Roman"/>
                      <w:b/>
                      <w:bCs/>
                      <w:color w:val="auto"/>
                      <w:kern w:val="21"/>
                      <w:szCs w:val="21"/>
                    </w:rPr>
                  </w:pPr>
                  <w:r>
                    <w:rPr>
                      <w:rFonts w:hint="default" w:ascii="Times New Roman" w:hAnsi="Times New Roman" w:cs="Times New Roman"/>
                      <w:b/>
                      <w:bCs/>
                      <w:color w:val="auto"/>
                      <w:kern w:val="21"/>
                      <w:szCs w:val="21"/>
                    </w:rPr>
                    <w:t>是否设置专项评价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大气</w:t>
                  </w:r>
                </w:p>
              </w:tc>
              <w:tc>
                <w:tcPr>
                  <w:tcW w:w="1838"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排放废气含</w:t>
                  </w:r>
                  <w:r>
                    <w:rPr>
                      <w:rFonts w:hint="default" w:ascii="Times New Roman" w:hAnsi="Times New Roman" w:cs="Times New Roman"/>
                      <w:color w:val="auto"/>
                    </w:rPr>
                    <w:t>有毒有害污染物</w:t>
                  </w:r>
                  <w:r>
                    <w:rPr>
                      <w:rFonts w:hint="default" w:ascii="Times New Roman" w:hAnsi="Times New Roman" w:cs="Times New Roman"/>
                      <w:color w:val="auto"/>
                      <w:vertAlign w:val="superscript"/>
                    </w:rPr>
                    <w:t>1</w:t>
                  </w:r>
                  <w:r>
                    <w:rPr>
                      <w:rFonts w:hint="default" w:ascii="Times New Roman" w:hAnsi="Times New Roman" w:cs="Times New Roman"/>
                      <w:color w:val="auto"/>
                    </w:rPr>
                    <w:t>、二噁英、苯并[a]芘、氰化物、氯气且厂界外500米范围内有环境空气保护目标</w:t>
                  </w:r>
                  <w:r>
                    <w:rPr>
                      <w:rFonts w:hint="default" w:ascii="Times New Roman" w:hAnsi="Times New Roman" w:cs="Times New Roman"/>
                      <w:color w:val="auto"/>
                      <w:vertAlign w:val="superscript"/>
                    </w:rPr>
                    <w:t>2</w:t>
                  </w:r>
                  <w:r>
                    <w:rPr>
                      <w:rFonts w:hint="default" w:ascii="Times New Roman" w:hAnsi="Times New Roman" w:cs="Times New Roman"/>
                      <w:color w:val="auto"/>
                    </w:rPr>
                    <w:t>的建设项目</w:t>
                  </w:r>
                </w:p>
              </w:tc>
              <w:tc>
                <w:tcPr>
                  <w:tcW w:w="1962"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项目排放废气污染物为颗粒物、</w:t>
                  </w:r>
                  <w:r>
                    <w:rPr>
                      <w:rFonts w:hint="default" w:ascii="Times New Roman" w:hAnsi="Times New Roman" w:cs="Times New Roman"/>
                      <w:color w:val="auto"/>
                      <w:kern w:val="21"/>
                      <w:szCs w:val="21"/>
                      <w:lang w:val="en-US" w:eastAsia="zh-CN"/>
                    </w:rPr>
                    <w:t>非甲烷总烃</w:t>
                  </w:r>
                  <w:r>
                    <w:rPr>
                      <w:rFonts w:hint="default" w:ascii="Times New Roman" w:hAnsi="Times New Roman" w:cs="Times New Roman"/>
                      <w:color w:val="auto"/>
                      <w:kern w:val="21"/>
                      <w:szCs w:val="21"/>
                    </w:rPr>
                    <w:t>，不含有有毒有害污染物、二噁英、苯并[a]芘、氰化物、氯气。</w:t>
                  </w:r>
                </w:p>
              </w:tc>
              <w:tc>
                <w:tcPr>
                  <w:tcW w:w="554"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地表水</w:t>
                  </w:r>
                </w:p>
              </w:tc>
              <w:tc>
                <w:tcPr>
                  <w:tcW w:w="1838"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rPr>
                    <w:t>新增工业废水直排建设项目（槽罐车外送污水处理厂的除外）；新增废水直排的污水集中处理厂</w:t>
                  </w:r>
                </w:p>
              </w:tc>
              <w:tc>
                <w:tcPr>
                  <w:tcW w:w="1962"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项目生活污水经</w:t>
                  </w:r>
                  <w:r>
                    <w:rPr>
                      <w:rFonts w:hint="default" w:ascii="Times New Roman" w:hAnsi="Times New Roman" w:cs="Times New Roman"/>
                      <w:color w:val="auto"/>
                      <w:sz w:val="21"/>
                      <w:szCs w:val="21"/>
                    </w:rPr>
                    <w:t>三级化粪池</w:t>
                  </w:r>
                  <w:r>
                    <w:rPr>
                      <w:rFonts w:hint="eastAsia" w:cs="Times New Roman"/>
                      <w:color w:val="auto"/>
                      <w:sz w:val="21"/>
                      <w:szCs w:val="21"/>
                      <w:lang w:val="en-US" w:eastAsia="zh-CN"/>
                    </w:rPr>
                    <w:t>+接触氧化池</w:t>
                  </w:r>
                  <w:r>
                    <w:rPr>
                      <w:rFonts w:hint="default" w:ascii="Times New Roman" w:hAnsi="Times New Roman" w:cs="Times New Roman"/>
                      <w:color w:val="auto"/>
                      <w:kern w:val="21"/>
                      <w:szCs w:val="21"/>
                    </w:rPr>
                    <w:t>预处理后通过市政污水管网排入</w:t>
                  </w:r>
                  <w:r>
                    <w:rPr>
                      <w:rFonts w:hint="eastAsia" w:ascii="Times New Roman" w:hAnsi="Times New Roman" w:cs="Times New Roman"/>
                      <w:color w:val="auto"/>
                      <w:kern w:val="21"/>
                      <w:szCs w:val="21"/>
                      <w:lang w:val="en-US" w:eastAsia="zh-CN"/>
                    </w:rPr>
                    <w:t>博罗县</w:t>
                  </w:r>
                  <w:r>
                    <w:rPr>
                      <w:rFonts w:hint="default" w:ascii="Times New Roman" w:hAnsi="Times New Roman" w:cs="Times New Roman"/>
                      <w:color w:val="auto"/>
                      <w:szCs w:val="21"/>
                      <w:lang w:val="en-US" w:eastAsia="zh-CN"/>
                    </w:rPr>
                    <w:t>园洲镇第五污水处理厂</w:t>
                  </w:r>
                  <w:r>
                    <w:rPr>
                      <w:rFonts w:hint="default" w:ascii="Times New Roman" w:hAnsi="Times New Roman" w:cs="Times New Roman"/>
                      <w:color w:val="auto"/>
                      <w:kern w:val="21"/>
                      <w:szCs w:val="21"/>
                    </w:rPr>
                    <w:t>；项目</w:t>
                  </w:r>
                  <w:r>
                    <w:rPr>
                      <w:rFonts w:hint="default" w:ascii="Times New Roman" w:hAnsi="Times New Roman" w:cs="Times New Roman"/>
                      <w:color w:val="auto"/>
                      <w:szCs w:val="21"/>
                      <w:lang w:val="en-US" w:eastAsia="zh-CN"/>
                    </w:rPr>
                    <w:t>纯水制备产生的浓水作为清净下水直接排入污水管网；冷却塔水循环使用，不外排；设备清洗废水、地面清洗废水作为危险废物交有危险废物资质单位处理；初期雨水经混凝沉淀处理后直接排入雨水管网</w:t>
                  </w:r>
                  <w:r>
                    <w:rPr>
                      <w:rFonts w:hint="default" w:ascii="Times New Roman" w:hAnsi="Times New Roman" w:cs="Times New Roman"/>
                      <w:color w:val="auto"/>
                      <w:szCs w:val="21"/>
                    </w:rPr>
                    <w:t>。</w:t>
                  </w:r>
                </w:p>
              </w:tc>
              <w:tc>
                <w:tcPr>
                  <w:tcW w:w="554"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环境风险</w:t>
                  </w:r>
                </w:p>
              </w:tc>
              <w:tc>
                <w:tcPr>
                  <w:tcW w:w="1838"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rPr>
                    <w:t>有毒有害和易燃易爆危险物质存储量超过临界量</w:t>
                  </w:r>
                  <w:r>
                    <w:rPr>
                      <w:rFonts w:hint="default" w:ascii="Times New Roman" w:hAnsi="Times New Roman" w:cs="Times New Roman"/>
                      <w:color w:val="auto"/>
                      <w:vertAlign w:val="superscript"/>
                    </w:rPr>
                    <w:t>3</w:t>
                  </w:r>
                  <w:r>
                    <w:rPr>
                      <w:rFonts w:hint="default" w:ascii="Times New Roman" w:hAnsi="Times New Roman" w:cs="Times New Roman"/>
                      <w:color w:val="auto"/>
                    </w:rPr>
                    <w:t>的建设项目</w:t>
                  </w:r>
                </w:p>
              </w:tc>
              <w:tc>
                <w:tcPr>
                  <w:tcW w:w="1962"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项目所储存的危险物质超过临界量。</w:t>
                  </w:r>
                </w:p>
              </w:tc>
              <w:tc>
                <w:tcPr>
                  <w:tcW w:w="554" w:type="pct"/>
                  <w:noWrap w:val="0"/>
                  <w:vAlign w:val="center"/>
                </w:tcPr>
                <w:p>
                  <w:pPr>
                    <w:autoSpaceDE w:val="0"/>
                    <w:autoSpaceDN w:val="0"/>
                    <w:adjustRightInd w:val="0"/>
                    <w:snapToGrid w:val="0"/>
                    <w:jc w:val="center"/>
                    <w:rPr>
                      <w:rFonts w:hint="default" w:ascii="Times New Roman" w:hAnsi="Times New Roman" w:eastAsia="宋体" w:cs="Times New Roman"/>
                      <w:color w:val="auto"/>
                      <w:kern w:val="21"/>
                      <w:szCs w:val="21"/>
                      <w:lang w:eastAsia="zh-CN"/>
                    </w:rPr>
                  </w:pPr>
                  <w:r>
                    <w:rPr>
                      <w:rFonts w:hint="default" w:ascii="Times New Roman" w:hAnsi="Times New Roman" w:cs="Times New Roman"/>
                      <w:color w:val="auto"/>
                      <w:kern w:val="21"/>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4"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生态</w:t>
                  </w:r>
                </w:p>
              </w:tc>
              <w:tc>
                <w:tcPr>
                  <w:tcW w:w="1838"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rPr>
                    <w:t>取水口下游500米范围内有重要水生生物的自然产卵场、索饵场、越冬场和洄游通道的新增河道取水的污染类建设项目</w:t>
                  </w:r>
                </w:p>
              </w:tc>
              <w:tc>
                <w:tcPr>
                  <w:tcW w:w="1962"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项目不涉及取水口，不属于河道取水污染类建设项目。</w:t>
                  </w:r>
                </w:p>
              </w:tc>
              <w:tc>
                <w:tcPr>
                  <w:tcW w:w="554"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4"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海洋</w:t>
                  </w:r>
                </w:p>
              </w:tc>
              <w:tc>
                <w:tcPr>
                  <w:tcW w:w="1838"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直接向海排放污染物的海洋工程建设项目</w:t>
                  </w:r>
                </w:p>
              </w:tc>
              <w:tc>
                <w:tcPr>
                  <w:tcW w:w="1962"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项目不属于海洋工程建设项目。</w:t>
                  </w:r>
                </w:p>
              </w:tc>
              <w:tc>
                <w:tcPr>
                  <w:tcW w:w="554" w:type="pct"/>
                  <w:noWrap w:val="0"/>
                  <w:vAlign w:val="center"/>
                </w:tcPr>
                <w:p>
                  <w:pPr>
                    <w:autoSpaceDE w:val="0"/>
                    <w:autoSpaceDN w:val="0"/>
                    <w:adjustRightInd w:val="0"/>
                    <w:snapToGrid w:val="0"/>
                    <w:jc w:val="center"/>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noWrap w:val="0"/>
                  <w:vAlign w:val="center"/>
                </w:tcPr>
                <w:p>
                  <w:pPr>
                    <w:autoSpaceDE w:val="0"/>
                    <w:autoSpaceDN w:val="0"/>
                    <w:adjustRightInd w:val="0"/>
                    <w:snapToGrid w:val="0"/>
                    <w:jc w:val="left"/>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注：1.废气中有毒有害污染物指纳入《有毒有害大气污染物名录》的污染物（不包括无排放标准的污染物）。</w:t>
                  </w:r>
                </w:p>
                <w:p>
                  <w:pPr>
                    <w:autoSpaceDE w:val="0"/>
                    <w:autoSpaceDN w:val="0"/>
                    <w:adjustRightInd w:val="0"/>
                    <w:snapToGrid w:val="0"/>
                    <w:jc w:val="left"/>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2.环境空气保护目标指自然保护区、风景名胜区、居住区、文化区和农村地区中人群较集中的区域。</w:t>
                  </w:r>
                </w:p>
                <w:p>
                  <w:pPr>
                    <w:autoSpaceDE w:val="0"/>
                    <w:autoSpaceDN w:val="0"/>
                    <w:adjustRightInd w:val="0"/>
                    <w:snapToGrid w:val="0"/>
                    <w:jc w:val="left"/>
                    <w:rPr>
                      <w:rFonts w:hint="default" w:ascii="Times New Roman" w:hAnsi="Times New Roman" w:cs="Times New Roman"/>
                      <w:color w:val="auto"/>
                      <w:kern w:val="21"/>
                      <w:szCs w:val="21"/>
                    </w:rPr>
                  </w:pPr>
                  <w:r>
                    <w:rPr>
                      <w:rFonts w:hint="default" w:ascii="Times New Roman" w:hAnsi="Times New Roman" w:cs="Times New Roman"/>
                      <w:color w:val="auto"/>
                      <w:kern w:val="21"/>
                      <w:szCs w:val="21"/>
                    </w:rPr>
                    <w:t>3.临界量及其计算方法可参考《建设项目环境风险评价技术导则》（HJ 169）附录B、附录C。</w:t>
                  </w:r>
                </w:p>
              </w:tc>
            </w:tr>
          </w:tbl>
          <w:p>
            <w:pPr>
              <w:keepNext w:val="0"/>
              <w:keepLines w:val="0"/>
              <w:pageBreakBefore w:val="0"/>
              <w:widowControl w:val="0"/>
              <w:numPr>
                <w:ilvl w:val="0"/>
                <w:numId w:val="0"/>
              </w:numPr>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cs="Times New Roman"/>
                <w:color w:val="auto"/>
                <w:kern w:val="0"/>
                <w:sz w:val="24"/>
                <w:szCs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892" w:type="dxa"/>
            <w:gridSpan w:val="2"/>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color w:val="auto"/>
                <w:kern w:val="0"/>
                <w:sz w:val="24"/>
                <w:szCs w:val="24"/>
              </w:rPr>
            </w:pPr>
            <w:r>
              <w:rPr>
                <w:rFonts w:hint="default" w:ascii="Times New Roman" w:hAnsi="Times New Roman" w:cs="Times New Roman"/>
                <w:color w:val="auto"/>
                <w:sz w:val="24"/>
                <w:szCs w:val="24"/>
              </w:rPr>
              <w:t>规划情况</w:t>
            </w:r>
          </w:p>
        </w:tc>
        <w:tc>
          <w:tcPr>
            <w:tcW w:w="6978"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color w:val="auto"/>
                <w:kern w:val="0"/>
                <w:sz w:val="24"/>
                <w:szCs w:val="24"/>
                <w:lang w:val="en-US" w:eastAsia="zh-CN"/>
              </w:rPr>
            </w:pPr>
            <w:r>
              <w:rPr>
                <w:rFonts w:hint="default" w:ascii="Times New Roman" w:hAnsi="Times New Roman" w:cs="Times New Roman"/>
                <w:color w:val="auto"/>
                <w:kern w:val="0"/>
                <w:sz w:val="24"/>
                <w:szCs w:val="24"/>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892" w:type="dxa"/>
            <w:gridSpan w:val="2"/>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规划环境影响</w:t>
            </w:r>
          </w:p>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kern w:val="0"/>
                <w:sz w:val="24"/>
                <w:szCs w:val="24"/>
              </w:rPr>
            </w:pPr>
            <w:r>
              <w:rPr>
                <w:rFonts w:hint="default" w:ascii="Times New Roman" w:hAnsi="Times New Roman" w:cs="Times New Roman"/>
                <w:color w:val="auto"/>
                <w:sz w:val="24"/>
                <w:szCs w:val="24"/>
              </w:rPr>
              <w:t>评价情况</w:t>
            </w:r>
          </w:p>
        </w:tc>
        <w:tc>
          <w:tcPr>
            <w:tcW w:w="6978" w:type="dxa"/>
            <w:gridSpan w:val="3"/>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color w:val="auto"/>
                <w:kern w:val="0"/>
                <w:sz w:val="24"/>
                <w:szCs w:val="24"/>
                <w:lang w:val="en-US" w:eastAsia="zh-CN"/>
              </w:rPr>
            </w:pPr>
            <w:r>
              <w:rPr>
                <w:rFonts w:hint="default" w:ascii="Times New Roman" w:hAnsi="Times New Roman" w:eastAsia="宋体" w:cs="Times New Roman"/>
                <w:color w:val="auto"/>
                <w:kern w:val="0"/>
                <w:sz w:val="24"/>
                <w:szCs w:val="24"/>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892" w:type="dxa"/>
            <w:gridSpan w:val="2"/>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规划及规划环境影响评价符合性分析</w:t>
            </w:r>
          </w:p>
        </w:tc>
        <w:tc>
          <w:tcPr>
            <w:tcW w:w="6978" w:type="dxa"/>
            <w:gridSpan w:val="3"/>
            <w:noWrap w:val="0"/>
            <w:vAlign w:val="center"/>
          </w:tcPr>
          <w:p>
            <w:pPr>
              <w:jc w:val="center"/>
              <w:rPr>
                <w:rFonts w:hint="default" w:ascii="Times New Roman" w:hAnsi="Times New Roman" w:cs="Times New Roman"/>
                <w:color w:val="auto"/>
                <w:lang w:val="en-US" w:eastAsia="zh-CN"/>
              </w:rPr>
            </w:pPr>
            <w:r>
              <w:rPr>
                <w:rFonts w:hint="default" w:ascii="Times New Roman" w:hAnsi="Times New Roman" w:cs="Times New Roman"/>
                <w:color w:val="auto"/>
                <w:kern w:val="0"/>
                <w:sz w:val="24"/>
                <w:szCs w:val="24"/>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528" w:type="dxa"/>
            <w:noWrap w:val="0"/>
            <w:vAlign w:val="center"/>
          </w:tcPr>
          <w:p>
            <w:pPr>
              <w:keepNext w:val="0"/>
              <w:keepLines w:val="0"/>
              <w:pageBreakBefore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eastAsia="宋体" w:cs="Times New Roman"/>
                <w:color w:val="auto"/>
                <w:kern w:val="0"/>
                <w:sz w:val="24"/>
                <w:szCs w:val="24"/>
                <w:lang w:val="en-US" w:eastAsia="zh-CN"/>
              </w:rPr>
            </w:pPr>
            <w:r>
              <w:rPr>
                <w:rFonts w:hint="default" w:ascii="Times New Roman" w:hAnsi="Times New Roman" w:cs="Times New Roman"/>
                <w:color w:val="auto"/>
                <w:kern w:val="0"/>
                <w:sz w:val="24"/>
                <w:szCs w:val="24"/>
              </w:rPr>
              <w:t>其他符合性分析</w:t>
            </w:r>
          </w:p>
        </w:tc>
        <w:tc>
          <w:tcPr>
            <w:tcW w:w="8342" w:type="dxa"/>
            <w:gridSpan w:val="4"/>
            <w:noWrap w:val="0"/>
            <w:vAlign w:val="center"/>
          </w:tcPr>
          <w:p>
            <w:pPr>
              <w:spacing w:line="360" w:lineRule="auto"/>
              <w:ind w:firstLine="480" w:firstLineChars="200"/>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1、项目“三线一单”相符性分析：</w:t>
            </w:r>
          </w:p>
          <w:p>
            <w:pPr>
              <w:pStyle w:val="10"/>
              <w:spacing w:line="360" w:lineRule="auto"/>
              <w:ind w:firstLine="480" w:firstLineChars="200"/>
              <w:rPr>
                <w:rFonts w:hint="default" w:ascii="Times New Roman" w:hAnsi="Times New Roman" w:cs="Times New Roman"/>
                <w:b w:val="0"/>
                <w:bCs w:val="0"/>
                <w:color w:val="auto"/>
                <w:kern w:val="2"/>
                <w:szCs w:val="24"/>
              </w:rPr>
            </w:pPr>
            <w:r>
              <w:rPr>
                <w:rFonts w:hint="default" w:ascii="Times New Roman" w:hAnsi="Times New Roman" w:cs="Times New Roman"/>
                <w:b w:val="0"/>
                <w:bCs w:val="0"/>
                <w:color w:val="auto"/>
                <w:kern w:val="2"/>
                <w:szCs w:val="24"/>
              </w:rPr>
              <w:t>根据</w:t>
            </w:r>
            <w:r>
              <w:rPr>
                <w:rFonts w:hint="default" w:ascii="Times New Roman" w:hAnsi="Times New Roman" w:cs="Times New Roman"/>
                <w:b w:val="0"/>
                <w:bCs w:val="0"/>
                <w:color w:val="auto"/>
                <w:szCs w:val="24"/>
              </w:rPr>
              <w:t>《</w:t>
            </w:r>
            <w:r>
              <w:rPr>
                <w:rFonts w:hint="default" w:ascii="Times New Roman" w:hAnsi="Times New Roman" w:cs="Times New Roman"/>
                <w:b w:val="0"/>
                <w:bCs w:val="0"/>
                <w:color w:val="auto"/>
                <w:kern w:val="2"/>
                <w:szCs w:val="24"/>
              </w:rPr>
              <w:t>博罗县生态保护红线、环境质量底线、资源利用上线和环境准入清单研究报告</w:t>
            </w:r>
            <w:r>
              <w:rPr>
                <w:rFonts w:hint="default" w:ascii="Times New Roman" w:hAnsi="Times New Roman" w:cs="Times New Roman"/>
                <w:b w:val="0"/>
                <w:bCs w:val="0"/>
                <w:color w:val="auto"/>
                <w:szCs w:val="24"/>
              </w:rPr>
              <w:t>》和</w:t>
            </w:r>
            <w:r>
              <w:rPr>
                <w:rFonts w:hint="default" w:ascii="Times New Roman" w:hAnsi="Times New Roman" w:cs="Times New Roman"/>
                <w:color w:val="auto"/>
                <w:sz w:val="24"/>
              </w:rPr>
              <w:t>《博罗县分类环境管控单元及环境准入负面清单》</w:t>
            </w:r>
            <w:r>
              <w:rPr>
                <w:rFonts w:hint="default" w:ascii="Times New Roman" w:hAnsi="Times New Roman" w:cs="Times New Roman"/>
                <w:b w:val="0"/>
                <w:bCs w:val="0"/>
                <w:color w:val="auto"/>
                <w:szCs w:val="24"/>
              </w:rPr>
              <w:t>的相关要求</w:t>
            </w:r>
            <w:r>
              <w:rPr>
                <w:rFonts w:hint="default" w:ascii="Times New Roman" w:hAnsi="Times New Roman" w:cs="Times New Roman"/>
                <w:b w:val="0"/>
                <w:bCs w:val="0"/>
                <w:color w:val="auto"/>
                <w:kern w:val="2"/>
                <w:szCs w:val="24"/>
              </w:rPr>
              <w:t>，本项目与博罗县“</w:t>
            </w:r>
            <w:r>
              <w:rPr>
                <w:rFonts w:hint="default" w:ascii="Times New Roman" w:hAnsi="Times New Roman" w:cs="Times New Roman"/>
                <w:b w:val="0"/>
                <w:bCs w:val="0"/>
                <w:color w:val="auto"/>
                <w:szCs w:val="24"/>
              </w:rPr>
              <w:t>三线一单”的相符性分析</w:t>
            </w:r>
            <w:r>
              <w:rPr>
                <w:rFonts w:hint="default" w:ascii="Times New Roman" w:hAnsi="Times New Roman" w:cs="Times New Roman"/>
                <w:b w:val="0"/>
                <w:bCs w:val="0"/>
                <w:color w:val="auto"/>
                <w:kern w:val="2"/>
                <w:szCs w:val="24"/>
              </w:rPr>
              <w:t>如下：</w:t>
            </w:r>
          </w:p>
          <w:p>
            <w:pPr>
              <w:pStyle w:val="80"/>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1</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生态保护红线</w:t>
            </w:r>
          </w:p>
          <w:p>
            <w:pPr>
              <w:pStyle w:val="80"/>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项目的选址位于广东省惠州市</w:t>
            </w:r>
            <w:r>
              <w:rPr>
                <w:rFonts w:hint="default" w:ascii="Times New Roman" w:hAnsi="Times New Roman" w:cs="Times New Roman"/>
                <w:color w:val="auto"/>
                <w:sz w:val="24"/>
              </w:rPr>
              <w:t>博罗县园洲镇上南村市场中路</w:t>
            </w:r>
            <w:r>
              <w:rPr>
                <w:rFonts w:hint="default" w:ascii="Times New Roman" w:hAnsi="Times New Roman" w:cs="Times New Roman"/>
                <w:b w:val="0"/>
                <w:bCs w:val="0"/>
                <w:color w:val="auto"/>
                <w:sz w:val="24"/>
                <w:szCs w:val="24"/>
              </w:rPr>
              <w:t>，</w:t>
            </w:r>
            <w:r>
              <w:rPr>
                <w:rFonts w:hint="default" w:ascii="Times New Roman" w:hAnsi="Times New Roman" w:cs="Times New Roman"/>
                <w:b w:val="0"/>
                <w:bCs w:val="0"/>
                <w:color w:val="auto"/>
                <w:sz w:val="24"/>
                <w:szCs w:val="24"/>
                <w:lang w:val="en-US" w:eastAsia="zh-CN"/>
              </w:rPr>
              <w:t>所在地属于工业用地。</w:t>
            </w:r>
            <w:r>
              <w:rPr>
                <w:rFonts w:hint="default" w:ascii="Times New Roman" w:hAnsi="Times New Roman" w:eastAsia="宋体" w:cs="Times New Roman"/>
                <w:color w:val="auto"/>
                <w:sz w:val="24"/>
                <w:szCs w:val="24"/>
              </w:rPr>
              <w:t>根据《博罗县分类环境管</w:t>
            </w:r>
            <w:bookmarkStart w:id="1" w:name="_GoBack"/>
            <w:bookmarkEnd w:id="1"/>
            <w:r>
              <w:rPr>
                <w:rFonts w:hint="default" w:ascii="Times New Roman" w:hAnsi="Times New Roman" w:eastAsia="宋体" w:cs="Times New Roman"/>
                <w:color w:val="auto"/>
                <w:sz w:val="24"/>
                <w:szCs w:val="24"/>
              </w:rPr>
              <w:t>控单元及环境准入负面清单》的表3.3-2和《博罗县“三线一单”生态环境分区管控图集》图7生态空间（</w:t>
            </w:r>
            <w:r>
              <w:rPr>
                <w:rFonts w:hint="default" w:ascii="Times New Roman" w:hAnsi="Times New Roman" w:cs="Times New Roman"/>
                <w:b w:val="0"/>
                <w:bCs w:val="0"/>
                <w:color w:val="auto"/>
                <w:sz w:val="24"/>
                <w:szCs w:val="24"/>
              </w:rPr>
              <w:t>详</w:t>
            </w:r>
            <w:r>
              <w:rPr>
                <w:rFonts w:hint="default" w:ascii="Times New Roman" w:hAnsi="Times New Roman" w:eastAsia="宋体" w:cs="Times New Roman"/>
                <w:color w:val="auto"/>
                <w:sz w:val="24"/>
                <w:szCs w:val="24"/>
              </w:rPr>
              <w:t>见附图</w:t>
            </w:r>
            <w:r>
              <w:rPr>
                <w:rFonts w:hint="default" w:ascii="Times New Roman" w:hAnsi="Times New Roman" w:eastAsia="宋体" w:cs="Times New Roman"/>
                <w:color w:val="auto"/>
                <w:sz w:val="24"/>
                <w:szCs w:val="24"/>
                <w:lang w:val="en-US" w:eastAsia="zh-CN"/>
              </w:rPr>
              <w:t>9</w:t>
            </w:r>
            <w:r>
              <w:rPr>
                <w:rFonts w:hint="default" w:ascii="Times New Roman" w:hAnsi="Times New Roman" w:eastAsia="宋体" w:cs="Times New Roman"/>
                <w:color w:val="auto"/>
                <w:sz w:val="24"/>
                <w:szCs w:val="24"/>
              </w:rPr>
              <w:t>），本项目不位于生态保护红线、一般生态空间范围内，</w:t>
            </w:r>
            <w:r>
              <w:rPr>
                <w:rFonts w:hint="default" w:ascii="Times New Roman" w:hAnsi="Times New Roman" w:cs="Times New Roman"/>
                <w:b w:val="0"/>
                <w:bCs w:val="0"/>
                <w:color w:val="auto"/>
                <w:sz w:val="24"/>
                <w:szCs w:val="24"/>
              </w:rPr>
              <w:t>属于生态空间一般管控区，</w:t>
            </w:r>
            <w:r>
              <w:rPr>
                <w:rFonts w:hint="default" w:ascii="Times New Roman" w:hAnsi="Times New Roman" w:cs="Times New Roman"/>
                <w:b w:val="0"/>
                <w:bCs w:val="0"/>
                <w:color w:val="auto"/>
                <w:sz w:val="24"/>
                <w:szCs w:val="24"/>
                <w:lang w:val="en-US" w:eastAsia="zh-CN"/>
              </w:rPr>
              <w:t>项目不涉及基本农田、风景名胜区、生态保护区等，符合生态保护红线要求</w:t>
            </w:r>
            <w:r>
              <w:rPr>
                <w:rFonts w:hint="default" w:ascii="Times New Roman" w:hAnsi="Times New Roman" w:cs="Times New Roman"/>
                <w:b w:val="0"/>
                <w:bCs w:val="0"/>
                <w:color w:val="auto"/>
                <w:sz w:val="24"/>
                <w:szCs w:val="24"/>
              </w:rPr>
              <w:t>。</w:t>
            </w:r>
          </w:p>
          <w:p>
            <w:pPr>
              <w:pStyle w:val="80"/>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环境质量底线</w:t>
            </w:r>
          </w:p>
          <w:p>
            <w:pPr>
              <w:pStyle w:val="80"/>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项目的选址位于广东省惠州市</w:t>
            </w:r>
            <w:r>
              <w:rPr>
                <w:rFonts w:hint="default" w:ascii="Times New Roman" w:hAnsi="Times New Roman" w:cs="Times New Roman"/>
                <w:color w:val="auto"/>
                <w:sz w:val="24"/>
              </w:rPr>
              <w:t>博罗县园洲镇上南村市场中路</w:t>
            </w:r>
            <w:r>
              <w:rPr>
                <w:rFonts w:hint="default" w:ascii="Times New Roman" w:hAnsi="Times New Roman" w:cs="Times New Roman"/>
                <w:b w:val="0"/>
                <w:bCs w:val="0"/>
                <w:color w:val="auto"/>
                <w:sz w:val="24"/>
                <w:szCs w:val="24"/>
              </w:rPr>
              <w:t>，水环境属于水环境工业污染重点管控区；大气环境属于大气环境高排放重点管控区；土壤环境属于博罗县土壤环境一般管控区（不含农用地），详见附图1</w:t>
            </w:r>
            <w:r>
              <w:rPr>
                <w:rFonts w:hint="default" w:ascii="Times New Roman" w:hAnsi="Times New Roman" w:cs="Times New Roman"/>
                <w:b w:val="0"/>
                <w:bCs w:val="0"/>
                <w:color w:val="auto"/>
                <w:sz w:val="24"/>
                <w:szCs w:val="24"/>
                <w:lang w:val="en-US" w:eastAsia="zh-CN"/>
              </w:rPr>
              <w:t>2</w:t>
            </w:r>
            <w:r>
              <w:rPr>
                <w:rFonts w:hint="default" w:ascii="Times New Roman" w:hAnsi="Times New Roman" w:cs="Times New Roman"/>
                <w:b w:val="0"/>
                <w:bCs w:val="0"/>
                <w:color w:val="auto"/>
                <w:sz w:val="24"/>
                <w:szCs w:val="24"/>
              </w:rPr>
              <w:t>。</w:t>
            </w:r>
          </w:p>
          <w:p>
            <w:pPr>
              <w:pStyle w:val="80"/>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水环境工业污染重点管控区要求：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重点水污染物未达到环境质量改善目标的区域内，新建、改建、扩建项目实施减量替代。大力整治“散乱污”企业，全面整治入河排污口，系统治理河涌和黑臭水体。加大水环境风险防范力度。强化饮用水水源地风险管控，加强东江等供水通道干流沿岸及饮用水水源、备用水源环境风险防控，建立完善突发环境事件应急</w:t>
            </w:r>
            <w:r>
              <w:rPr>
                <w:rFonts w:hint="default" w:ascii="Times New Roman" w:hAnsi="Times New Roman" w:cs="Times New Roman"/>
                <w:b w:val="0"/>
                <w:bCs w:val="0"/>
                <w:color w:val="auto"/>
                <w:sz w:val="24"/>
                <w:szCs w:val="24"/>
                <w:lang w:eastAsia="zh-CN"/>
              </w:rPr>
              <w:t>处理</w:t>
            </w:r>
            <w:r>
              <w:rPr>
                <w:rFonts w:hint="default" w:ascii="Times New Roman" w:hAnsi="Times New Roman" w:cs="Times New Roman"/>
                <w:b w:val="0"/>
                <w:bCs w:val="0"/>
                <w:color w:val="auto"/>
                <w:sz w:val="24"/>
                <w:szCs w:val="24"/>
              </w:rPr>
              <w:t>体系。强化地表水、地下水和土壤污染风险协同防控，建立完善突发环境事件应急管理体系。</w:t>
            </w:r>
          </w:p>
          <w:p>
            <w:pPr>
              <w:pStyle w:val="80"/>
              <w:spacing w:line="360" w:lineRule="auto"/>
              <w:ind w:firstLine="480" w:firstLineChars="200"/>
              <w:jc w:val="left"/>
              <w:rPr>
                <w:rFonts w:hint="default" w:ascii="Times New Roman" w:hAnsi="Times New Roman" w:cs="Times New Roman"/>
                <w:b w:val="0"/>
                <w:bCs w:val="0"/>
                <w:color w:val="auto"/>
                <w:sz w:val="24"/>
                <w:szCs w:val="24"/>
                <w:lang w:eastAsia="zh-CN"/>
              </w:rPr>
            </w:pPr>
            <w:r>
              <w:rPr>
                <w:rFonts w:hint="default" w:ascii="Times New Roman" w:hAnsi="Times New Roman" w:cs="Times New Roman"/>
                <w:b w:val="0"/>
                <w:bCs w:val="0"/>
                <w:color w:val="auto"/>
                <w:sz w:val="24"/>
                <w:szCs w:val="24"/>
              </w:rPr>
              <w:t>本项目不属于造纸、制革、味精、电镀、漂染、印染、炼油、发酵酿造、非放射性矿产冶炼以及使用含汞、砷、镉、铬、铅为原料的项目，无</w:t>
            </w:r>
            <w:r>
              <w:rPr>
                <w:rFonts w:hint="default" w:ascii="Times New Roman" w:hAnsi="Times New Roman" w:cs="Times New Roman"/>
                <w:b w:val="0"/>
                <w:bCs w:val="0"/>
                <w:color w:val="auto"/>
                <w:sz w:val="24"/>
                <w:szCs w:val="24"/>
                <w:lang w:val="en-US" w:eastAsia="zh-CN"/>
              </w:rPr>
              <w:t>生产</w:t>
            </w:r>
            <w:r>
              <w:rPr>
                <w:rFonts w:hint="default" w:ascii="Times New Roman" w:hAnsi="Times New Roman" w:cs="Times New Roman"/>
                <w:b w:val="0"/>
                <w:bCs w:val="0"/>
                <w:color w:val="auto"/>
                <w:sz w:val="24"/>
                <w:szCs w:val="24"/>
              </w:rPr>
              <w:t>废水外排。</w:t>
            </w:r>
            <w:r>
              <w:rPr>
                <w:rFonts w:hint="default" w:ascii="Times New Roman" w:hAnsi="Times New Roman" w:cs="Times New Roman"/>
                <w:b w:val="0"/>
                <w:bCs w:val="0"/>
                <w:color w:val="auto"/>
                <w:sz w:val="24"/>
                <w:szCs w:val="24"/>
              </w:rPr>
              <w:t>项目</w:t>
            </w:r>
            <w:r>
              <w:rPr>
                <w:rFonts w:hint="default" w:ascii="Times New Roman" w:hAnsi="Times New Roman" w:cs="Times New Roman"/>
                <w:b w:val="0"/>
                <w:bCs w:val="0"/>
                <w:color w:val="auto"/>
                <w:sz w:val="24"/>
                <w:szCs w:val="24"/>
                <w:lang w:eastAsia="zh-CN"/>
              </w:rPr>
              <w:t>纯水制备浓水</w:t>
            </w:r>
            <w:r>
              <w:rPr>
                <w:rFonts w:hint="default" w:ascii="Times New Roman" w:hAnsi="Times New Roman" w:cs="Times New Roman"/>
                <w:b w:val="0"/>
                <w:bCs w:val="0"/>
                <w:color w:val="auto"/>
                <w:sz w:val="24"/>
                <w:szCs w:val="24"/>
                <w:lang w:val="en-US" w:eastAsia="zh-CN"/>
              </w:rPr>
              <w:t>排入市政污水管网</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冷却</w:t>
            </w:r>
            <w:r>
              <w:rPr>
                <w:rFonts w:hint="default" w:ascii="Times New Roman" w:hAnsi="Times New Roman" w:cs="Times New Roman"/>
                <w:b w:val="0"/>
                <w:bCs w:val="0"/>
                <w:color w:val="auto"/>
                <w:sz w:val="24"/>
                <w:szCs w:val="24"/>
                <w:lang w:val="en-US" w:eastAsia="zh-CN"/>
              </w:rPr>
              <w:t>用</w:t>
            </w:r>
            <w:r>
              <w:rPr>
                <w:rFonts w:hint="default" w:ascii="Times New Roman" w:hAnsi="Times New Roman" w:cs="Times New Roman"/>
                <w:b w:val="0"/>
                <w:bCs w:val="0"/>
                <w:color w:val="auto"/>
                <w:sz w:val="24"/>
                <w:szCs w:val="24"/>
              </w:rPr>
              <w:t>水循环使用，定期补充新鲜水，不外排；</w:t>
            </w:r>
            <w:r>
              <w:rPr>
                <w:rFonts w:hint="default" w:ascii="Times New Roman" w:hAnsi="Times New Roman" w:cs="Times New Roman"/>
                <w:color w:val="auto"/>
                <w:sz w:val="24"/>
                <w:szCs w:val="24"/>
                <w:lang w:val="en-US" w:eastAsia="zh-CN"/>
              </w:rPr>
              <w:t>设备清洗废水、地面清洗废水作为危险废物交有危险废物资质单位处理；初期雨水经混凝沉淀处理后直接排入雨水管网；</w:t>
            </w:r>
            <w:r>
              <w:rPr>
                <w:rFonts w:hint="default" w:ascii="Times New Roman" w:hAnsi="Times New Roman" w:cs="Times New Roman"/>
                <w:b w:val="0"/>
                <w:bCs w:val="0"/>
                <w:color w:val="auto"/>
                <w:sz w:val="24"/>
                <w:szCs w:val="24"/>
              </w:rPr>
              <w:t>生活污水经</w:t>
            </w:r>
            <w:r>
              <w:rPr>
                <w:rFonts w:hint="default" w:ascii="Times New Roman" w:hAnsi="Times New Roman" w:cs="Times New Roman"/>
                <w:color w:val="auto"/>
                <w:sz w:val="24"/>
                <w:szCs w:val="24"/>
              </w:rPr>
              <w:t>三级化粪池</w:t>
            </w:r>
            <w:r>
              <w:rPr>
                <w:rFonts w:hint="eastAsia" w:cs="Times New Roman"/>
                <w:color w:val="auto"/>
                <w:sz w:val="24"/>
                <w:szCs w:val="24"/>
                <w:lang w:val="en-US" w:eastAsia="zh-CN"/>
              </w:rPr>
              <w:t>+接触氧化池</w:t>
            </w:r>
            <w:r>
              <w:rPr>
                <w:rFonts w:hint="default" w:ascii="Times New Roman" w:hAnsi="Times New Roman" w:cs="Times New Roman"/>
                <w:b w:val="0"/>
                <w:bCs w:val="0"/>
                <w:color w:val="auto"/>
                <w:sz w:val="24"/>
                <w:szCs w:val="24"/>
              </w:rPr>
              <w:t>预处理后</w:t>
            </w:r>
            <w:r>
              <w:rPr>
                <w:rFonts w:hint="default" w:ascii="Times New Roman" w:hAnsi="Times New Roman" w:cs="Times New Roman"/>
                <w:b w:val="0"/>
                <w:bCs w:val="0"/>
                <w:color w:val="auto"/>
                <w:sz w:val="24"/>
                <w:szCs w:val="24"/>
                <w:lang w:eastAsia="zh-CN"/>
              </w:rPr>
              <w:t>排入市政管网纳入</w:t>
            </w:r>
            <w:r>
              <w:rPr>
                <w:rFonts w:hint="eastAsia" w:ascii="Times New Roman" w:hAnsi="Times New Roman" w:cs="Times New Roman"/>
                <w:b w:val="0"/>
                <w:bCs w:val="0"/>
                <w:color w:val="auto"/>
                <w:sz w:val="24"/>
                <w:szCs w:val="24"/>
                <w:lang w:val="en-US" w:eastAsia="zh-CN"/>
              </w:rPr>
              <w:t>博罗县</w:t>
            </w:r>
            <w:r>
              <w:rPr>
                <w:rFonts w:hint="default" w:ascii="Times New Roman" w:hAnsi="Times New Roman" w:cs="Times New Roman"/>
                <w:b w:val="0"/>
                <w:bCs w:val="0"/>
                <w:color w:val="auto"/>
                <w:sz w:val="24"/>
                <w:szCs w:val="24"/>
                <w:lang w:eastAsia="zh-CN"/>
              </w:rPr>
              <w:t>园洲镇第五污水处理厂</w:t>
            </w:r>
            <w:r>
              <w:rPr>
                <w:rFonts w:hint="default" w:ascii="Times New Roman" w:hAnsi="Times New Roman" w:cs="Times New Roman"/>
                <w:b w:val="0"/>
                <w:bCs w:val="0"/>
                <w:color w:val="auto"/>
                <w:sz w:val="24"/>
                <w:szCs w:val="24"/>
                <w:lang w:eastAsia="zh-CN"/>
              </w:rPr>
              <w:t>处理后达标排放到中心排渠，</w:t>
            </w:r>
            <w:r>
              <w:rPr>
                <w:rFonts w:hint="default" w:ascii="Times New Roman" w:hAnsi="Times New Roman" w:cs="Times New Roman"/>
                <w:b w:val="0"/>
                <w:bCs w:val="0"/>
                <w:color w:val="auto"/>
                <w:sz w:val="24"/>
                <w:szCs w:val="24"/>
              </w:rPr>
              <w:t>符合管控要求</w:t>
            </w:r>
            <w:r>
              <w:rPr>
                <w:rFonts w:hint="default" w:ascii="Times New Roman" w:hAnsi="Times New Roman" w:cs="Times New Roman"/>
                <w:b w:val="0"/>
                <w:bCs w:val="0"/>
                <w:color w:val="auto"/>
                <w:sz w:val="24"/>
                <w:szCs w:val="24"/>
                <w:lang w:eastAsia="zh-CN"/>
              </w:rPr>
              <w:t>。</w:t>
            </w:r>
          </w:p>
          <w:p>
            <w:pPr>
              <w:pStyle w:val="80"/>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大气环境高排放重点管控区要求：重点推进炼油石化、化工、工业涂装、印刷、制鞋、电子制造等重点行业，以及机动车和油品储运销等领域VOCs减排。对大气环境高排放重点管控区进行环保集中整治，限期进行达标改造，减少工业集聚区污染。鼓励大气环境高排放重点管控区建设集中的喷涂工程中心和有机废弃物回收再生利用中心，并配备高效治理设施。对VOCs排放集中的大气环境高排放重点管控区等区域，制定园区VOCs综合整治实施方案，并跟踪评估防治效果。</w:t>
            </w:r>
          </w:p>
          <w:p>
            <w:pPr>
              <w:pStyle w:val="80"/>
              <w:spacing w:line="360" w:lineRule="auto"/>
              <w:ind w:firstLine="480" w:firstLineChars="200"/>
              <w:jc w:val="both"/>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本项目不属于</w:t>
            </w:r>
            <w:r>
              <w:rPr>
                <w:rFonts w:hint="default" w:ascii="Times New Roman" w:hAnsi="Times New Roman" w:cs="Times New Roman"/>
                <w:b w:val="0"/>
                <w:bCs w:val="0"/>
                <w:color w:val="auto"/>
                <w:sz w:val="24"/>
                <w:szCs w:val="24"/>
                <w:lang w:val="en-US" w:eastAsia="zh-CN"/>
              </w:rPr>
              <w:t>重点</w:t>
            </w:r>
            <w:r>
              <w:rPr>
                <w:rFonts w:hint="default" w:ascii="Times New Roman" w:hAnsi="Times New Roman" w:cs="Times New Roman"/>
                <w:b w:val="0"/>
                <w:bCs w:val="0"/>
                <w:color w:val="auto"/>
                <w:sz w:val="24"/>
                <w:szCs w:val="24"/>
              </w:rPr>
              <w:t>行业，且不涉及喷涂工艺，</w:t>
            </w:r>
            <w:r>
              <w:rPr>
                <w:rFonts w:hint="default" w:ascii="Times New Roman" w:hAnsi="Times New Roman" w:cs="Times New Roman"/>
                <w:b w:val="0"/>
                <w:bCs w:val="0"/>
                <w:color w:val="auto"/>
                <w:sz w:val="24"/>
                <w:szCs w:val="24"/>
              </w:rPr>
              <w:t>项目</w:t>
            </w:r>
            <w:r>
              <w:rPr>
                <w:rFonts w:hint="default" w:ascii="Times New Roman" w:hAnsi="Times New Roman" w:cs="Times New Roman"/>
                <w:color w:val="auto"/>
                <w:sz w:val="24"/>
                <w:lang w:val="en-US" w:eastAsia="zh-CN"/>
              </w:rPr>
              <w:t>烘干工序的初段与中段产生废气经冷凝装置处理后；再与涂布、烘干工序的尾段、注液工序、二封工序产生的有机废气</w:t>
            </w:r>
            <w:r>
              <w:rPr>
                <w:rFonts w:hint="eastAsia" w:ascii="Times New Roman" w:hAnsi="Times New Roman" w:cs="Times New Roman"/>
                <w:color w:val="auto"/>
                <w:sz w:val="24"/>
                <w:lang w:val="en-US" w:eastAsia="zh-CN"/>
              </w:rPr>
              <w:t>、投料工序产生的颗粒物</w:t>
            </w:r>
            <w:r>
              <w:rPr>
                <w:rFonts w:hint="default" w:ascii="Times New Roman" w:hAnsi="Times New Roman" w:cs="Times New Roman"/>
                <w:color w:val="auto"/>
                <w:sz w:val="24"/>
                <w:lang w:val="en-US" w:eastAsia="zh-CN"/>
              </w:rPr>
              <w:t>一同汇入集气干管，经“</w:t>
            </w:r>
            <w:r>
              <w:rPr>
                <w:rFonts w:hint="eastAsia" w:ascii="Times New Roman" w:hAnsi="Times New Roman" w:cs="Times New Roman"/>
                <w:color w:val="auto"/>
                <w:sz w:val="24"/>
                <w:lang w:val="en-US" w:eastAsia="zh-CN"/>
              </w:rPr>
              <w:t>布袋除尘器+</w:t>
            </w:r>
            <w:r>
              <w:rPr>
                <w:rFonts w:hint="default" w:ascii="Times New Roman" w:hAnsi="Times New Roman" w:cs="Times New Roman"/>
                <w:color w:val="auto"/>
                <w:sz w:val="24"/>
                <w:lang w:val="en-US" w:eastAsia="zh-CN"/>
              </w:rPr>
              <w:t>二级活性炭吸附装置”处理后</w:t>
            </w:r>
            <w:r>
              <w:rPr>
                <w:rFonts w:hint="default" w:ascii="Times New Roman" w:hAnsi="Times New Roman" w:cs="Times New Roman"/>
                <w:b w:val="0"/>
                <w:bCs w:val="0"/>
                <w:color w:val="auto"/>
                <w:sz w:val="24"/>
                <w:szCs w:val="24"/>
                <w:lang w:val="en-US" w:eastAsia="zh-CN"/>
              </w:rPr>
              <w:t>经</w:t>
            </w:r>
            <w:r>
              <w:rPr>
                <w:rFonts w:hint="eastAsia" w:ascii="Times New Roman" w:hAnsi="Times New Roman" w:cs="Times New Roman"/>
                <w:b w:val="0"/>
                <w:bCs w:val="0"/>
                <w:color w:val="auto"/>
                <w:sz w:val="24"/>
                <w:szCs w:val="24"/>
                <w:lang w:val="en-US" w:eastAsia="zh-CN"/>
              </w:rPr>
              <w:t>24</w:t>
            </w:r>
            <w:r>
              <w:rPr>
                <w:rFonts w:hint="default" w:ascii="Times New Roman" w:hAnsi="Times New Roman" w:cs="Times New Roman"/>
                <w:b w:val="0"/>
                <w:bCs w:val="0"/>
                <w:color w:val="auto"/>
                <w:sz w:val="24"/>
                <w:szCs w:val="24"/>
                <w:lang w:val="en-US" w:eastAsia="zh-CN"/>
              </w:rPr>
              <w:t>米排气筒</w:t>
            </w:r>
            <w:r>
              <w:rPr>
                <w:rFonts w:hint="default" w:ascii="Times New Roman" w:hAnsi="Times New Roman" w:cs="Times New Roman"/>
                <w:b w:val="0"/>
                <w:bCs w:val="0"/>
                <w:color w:val="auto"/>
                <w:sz w:val="24"/>
                <w:szCs w:val="24"/>
              </w:rPr>
              <w:t>达标排放，符合管控要求。</w:t>
            </w:r>
          </w:p>
          <w:p>
            <w:pPr>
              <w:pStyle w:val="80"/>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3</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资源利用上线</w:t>
            </w:r>
          </w:p>
          <w:p>
            <w:pPr>
              <w:pStyle w:val="80"/>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本项目不属于土地资源管控分区、能源（煤炭）管控分区、矿产资源管控分区。</w:t>
            </w:r>
            <w:r>
              <w:rPr>
                <w:rFonts w:hint="default" w:ascii="Times New Roman" w:hAnsi="Times New Roman" w:cs="Times New Roman"/>
                <w:b w:val="0"/>
                <w:bCs w:val="0"/>
                <w:color w:val="auto"/>
                <w:kern w:val="0"/>
                <w:sz w:val="24"/>
                <w:szCs w:val="24"/>
                <w:lang w:bidi="ar"/>
              </w:rPr>
              <w:t>本项目建成后通过内部管理、设备选择、原辅材料的选用和管理、废物回收利用、污染治理等方面采取合理可行的防治措施，以“节能、降耗、减污”为目标，有效控制污染</w:t>
            </w:r>
            <w:r>
              <w:rPr>
                <w:rFonts w:hint="default" w:ascii="Times New Roman" w:hAnsi="Times New Roman" w:cs="Times New Roman"/>
                <w:b w:val="0"/>
                <w:bCs w:val="0"/>
                <w:color w:val="auto"/>
                <w:sz w:val="24"/>
                <w:szCs w:val="24"/>
              </w:rPr>
              <w:t>。</w:t>
            </w:r>
            <w:r>
              <w:rPr>
                <w:rFonts w:hint="default" w:ascii="Times New Roman" w:hAnsi="Times New Roman" w:cs="Times New Roman"/>
                <w:b w:val="0"/>
                <w:bCs w:val="0"/>
                <w:color w:val="auto"/>
                <w:kern w:val="0"/>
                <w:sz w:val="24"/>
                <w:szCs w:val="24"/>
                <w:lang w:bidi="ar"/>
              </w:rPr>
              <w:t>项目的水、电等资源利用不会突破区域的资源利用上线。</w:t>
            </w:r>
          </w:p>
          <w:p>
            <w:pPr>
              <w:pStyle w:val="80"/>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kern w:val="0"/>
                <w:sz w:val="24"/>
                <w:szCs w:val="24"/>
                <w:lang w:eastAsia="zh-CN" w:bidi="ar"/>
              </w:rPr>
              <w:t>（</w:t>
            </w:r>
            <w:r>
              <w:rPr>
                <w:rFonts w:hint="default" w:ascii="Times New Roman" w:hAnsi="Times New Roman" w:cs="Times New Roman"/>
                <w:b w:val="0"/>
                <w:bCs w:val="0"/>
                <w:color w:val="auto"/>
                <w:kern w:val="0"/>
                <w:sz w:val="24"/>
                <w:szCs w:val="24"/>
                <w:lang w:val="en-US" w:eastAsia="zh-CN" w:bidi="ar"/>
              </w:rPr>
              <w:t>4</w:t>
            </w:r>
            <w:r>
              <w:rPr>
                <w:rFonts w:hint="default" w:ascii="Times New Roman" w:hAnsi="Times New Roman" w:cs="Times New Roman"/>
                <w:b w:val="0"/>
                <w:bCs w:val="0"/>
                <w:color w:val="auto"/>
                <w:kern w:val="0"/>
                <w:sz w:val="24"/>
                <w:szCs w:val="24"/>
                <w:lang w:eastAsia="zh-CN" w:bidi="ar"/>
              </w:rPr>
              <w:t>）</w:t>
            </w:r>
            <w:r>
              <w:rPr>
                <w:rFonts w:hint="default" w:ascii="Times New Roman" w:hAnsi="Times New Roman" w:cs="Times New Roman"/>
                <w:b w:val="0"/>
                <w:bCs w:val="0"/>
                <w:color w:val="auto"/>
                <w:kern w:val="0"/>
                <w:sz w:val="24"/>
                <w:szCs w:val="24"/>
                <w:lang w:bidi="ar"/>
              </w:rPr>
              <w:t>生态</w:t>
            </w:r>
            <w:r>
              <w:rPr>
                <w:rFonts w:hint="default" w:ascii="Times New Roman" w:hAnsi="Times New Roman" w:cs="Times New Roman"/>
                <w:b w:val="0"/>
                <w:bCs w:val="0"/>
                <w:color w:val="auto"/>
                <w:sz w:val="24"/>
                <w:szCs w:val="24"/>
              </w:rPr>
              <w:t>环境准入清单</w:t>
            </w:r>
          </w:p>
          <w:p>
            <w:pPr>
              <w:pStyle w:val="80"/>
              <w:spacing w:line="360" w:lineRule="auto"/>
              <w:ind w:firstLine="480" w:firstLineChars="200"/>
              <w:jc w:val="both"/>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项目位于广东省惠州市</w:t>
            </w:r>
            <w:r>
              <w:rPr>
                <w:rFonts w:hint="default" w:ascii="Times New Roman" w:hAnsi="Times New Roman" w:cs="Times New Roman"/>
                <w:color w:val="auto"/>
                <w:sz w:val="24"/>
              </w:rPr>
              <w:t>博罗县园洲镇上南村市场中路</w:t>
            </w:r>
            <w:r>
              <w:rPr>
                <w:rFonts w:hint="default" w:ascii="Times New Roman" w:hAnsi="Times New Roman" w:cs="Times New Roman"/>
                <w:b w:val="0"/>
                <w:bCs w:val="0"/>
                <w:color w:val="auto"/>
                <w:sz w:val="24"/>
                <w:szCs w:val="24"/>
              </w:rPr>
              <w:t>，属于ZH44132220001博罗沙河流域重点管控单元（见附图</w:t>
            </w:r>
            <w:r>
              <w:rPr>
                <w:rFonts w:hint="default" w:ascii="Times New Roman" w:hAnsi="Times New Roman" w:cs="Times New Roman"/>
                <w:b w:val="0"/>
                <w:bCs w:val="0"/>
                <w:color w:val="auto"/>
                <w:sz w:val="24"/>
                <w:szCs w:val="24"/>
                <w:lang w:val="en-US" w:eastAsia="zh-CN"/>
              </w:rPr>
              <w:t>18</w:t>
            </w:r>
            <w:r>
              <w:rPr>
                <w:rFonts w:hint="default" w:ascii="Times New Roman" w:hAnsi="Times New Roman" w:cs="Times New Roman"/>
                <w:b w:val="0"/>
                <w:bCs w:val="0"/>
                <w:color w:val="auto"/>
                <w:sz w:val="24"/>
                <w:szCs w:val="24"/>
              </w:rPr>
              <w:t>），</w:t>
            </w:r>
            <w:r>
              <w:rPr>
                <w:rFonts w:hint="default" w:ascii="Times New Roman" w:hAnsi="Times New Roman" w:cs="Times New Roman"/>
                <w:b w:val="0"/>
                <w:bCs w:val="0"/>
                <w:color w:val="auto"/>
                <w:sz w:val="24"/>
                <w:szCs w:val="24"/>
                <w:lang w:val="en-US" w:eastAsia="zh-CN"/>
              </w:rPr>
              <w:t>具体管控要求</w:t>
            </w:r>
            <w:r>
              <w:rPr>
                <w:rFonts w:hint="default" w:ascii="Times New Roman" w:hAnsi="Times New Roman" w:cs="Times New Roman"/>
                <w:b w:val="0"/>
                <w:bCs w:val="0"/>
                <w:color w:val="auto"/>
                <w:sz w:val="24"/>
                <w:szCs w:val="24"/>
              </w:rPr>
              <w:t>如下：</w:t>
            </w:r>
          </w:p>
          <w:p>
            <w:pPr>
              <w:pStyle w:val="80"/>
              <w:spacing w:line="360" w:lineRule="auto"/>
              <w:ind w:firstLine="482" w:firstLineChars="200"/>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rPr>
              <w:t>表1-</w:t>
            </w:r>
            <w:r>
              <w:rPr>
                <w:rFonts w:hint="default" w:ascii="Times New Roman" w:hAnsi="Times New Roman" w:cs="Times New Roman"/>
                <w:b/>
                <w:bCs/>
                <w:color w:val="auto"/>
                <w:sz w:val="24"/>
                <w:szCs w:val="24"/>
                <w:lang w:val="en-US" w:eastAsia="zh-CN"/>
              </w:rPr>
              <w:t xml:space="preserve">2 </w:t>
            </w:r>
            <w:r>
              <w:rPr>
                <w:rFonts w:hint="default" w:ascii="Times New Roman" w:hAnsi="Times New Roman" w:cs="Times New Roman"/>
                <w:b/>
                <w:bCs/>
                <w:color w:val="auto"/>
                <w:sz w:val="24"/>
                <w:szCs w:val="24"/>
              </w:rPr>
              <w:t>博罗沙河流域重点管控单元</w:t>
            </w:r>
            <w:r>
              <w:rPr>
                <w:rFonts w:hint="default" w:ascii="Times New Roman" w:hAnsi="Times New Roman" w:cs="Times New Roman"/>
                <w:b/>
                <w:bCs/>
                <w:color w:val="auto"/>
                <w:sz w:val="24"/>
                <w:szCs w:val="24"/>
                <w:lang w:val="en-US" w:eastAsia="zh-CN"/>
              </w:rPr>
              <w:t>要求</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1"/>
              <w:gridCol w:w="4243"/>
              <w:gridCol w:w="2826"/>
              <w:gridCol w:w="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861" w:type="pct"/>
                  <w:gridSpan w:val="2"/>
                  <w:noWrap w:val="0"/>
                  <w:vAlign w:val="center"/>
                </w:tcPr>
                <w:p>
                  <w:pPr>
                    <w:keepNext w:val="0"/>
                    <w:keepLines w:val="0"/>
                    <w:pageBreakBefore w:val="0"/>
                    <w:kinsoku/>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博罗沙河流域重点管控单元</w:t>
                  </w:r>
                  <w:r>
                    <w:rPr>
                      <w:rFonts w:hint="default" w:ascii="Times New Roman" w:hAnsi="Times New Roman" w:cs="Times New Roman"/>
                      <w:b/>
                      <w:bCs/>
                      <w:color w:val="auto"/>
                      <w:sz w:val="21"/>
                      <w:szCs w:val="21"/>
                      <w:lang w:val="en-US" w:eastAsia="zh-CN"/>
                    </w:rPr>
                    <w:t>管控要求</w:t>
                  </w:r>
                </w:p>
              </w:tc>
              <w:tc>
                <w:tcPr>
                  <w:tcW w:w="1741" w:type="pct"/>
                  <w:noWrap w:val="0"/>
                  <w:vAlign w:val="center"/>
                </w:tcPr>
                <w:p>
                  <w:pPr>
                    <w:pStyle w:val="100"/>
                    <w:keepNext w:val="0"/>
                    <w:keepLines w:val="0"/>
                    <w:pageBreakBefore w:val="0"/>
                    <w:kinsoku/>
                    <w:overflowPunct/>
                    <w:topLinePunct w:val="0"/>
                    <w:bidi w:val="0"/>
                    <w:adjustRightInd w:val="0"/>
                    <w:snapToGrid w:val="0"/>
                    <w:spacing w:line="240" w:lineRule="auto"/>
                    <w:ind w:firstLine="402"/>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rPr>
                    <w:t>项目</w:t>
                  </w:r>
                  <w:r>
                    <w:rPr>
                      <w:rFonts w:hint="default" w:ascii="Times New Roman" w:hAnsi="Times New Roman" w:cs="Times New Roman"/>
                      <w:b/>
                      <w:bCs/>
                      <w:color w:val="auto"/>
                      <w:sz w:val="21"/>
                      <w:szCs w:val="21"/>
                      <w:lang w:val="en-US" w:eastAsia="zh-CN"/>
                    </w:rPr>
                    <w:t>分析</w:t>
                  </w:r>
                </w:p>
              </w:tc>
              <w:tc>
                <w:tcPr>
                  <w:tcW w:w="396" w:type="pct"/>
                  <w:noWrap w:val="0"/>
                  <w:vAlign w:val="center"/>
                </w:tcPr>
                <w:p>
                  <w:pPr>
                    <w:pStyle w:val="100"/>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cs="Times New Roman"/>
                      <w:b/>
                      <w:bCs/>
                      <w:color w:val="auto"/>
                      <w:sz w:val="21"/>
                      <w:szCs w:val="21"/>
                    </w:rPr>
                    <w:t>符合</w:t>
                  </w:r>
                  <w:r>
                    <w:rPr>
                      <w:rFonts w:hint="default" w:ascii="Times New Roman" w:hAnsi="Times New Roman" w:cs="Times New Roman"/>
                      <w:b/>
                      <w:bCs/>
                      <w:color w:val="auto"/>
                      <w:sz w:val="21"/>
                      <w:szCs w:val="21"/>
                      <w:lang w:val="en-US" w:eastAsia="zh-CN"/>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restar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区域布局管控</w:t>
                  </w: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1-1.【产业/鼓励引导类】饮用水水源保护区外的区域，重点发展电子信息、智能家电、先进材料等产业。</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1-1项目</w:t>
                  </w:r>
                  <w:r>
                    <w:rPr>
                      <w:rFonts w:hint="default" w:ascii="Times New Roman" w:hAnsi="Times New Roman" w:cs="Times New Roman"/>
                      <w:b w:val="0"/>
                      <w:bCs w:val="0"/>
                      <w:color w:val="auto"/>
                      <w:sz w:val="21"/>
                      <w:szCs w:val="21"/>
                      <w:lang w:val="en-US" w:eastAsia="zh-CN"/>
                    </w:rPr>
                    <w:t>主要从事锂离子电池制造，属于电子信息产业，</w:t>
                  </w:r>
                  <w:r>
                    <w:rPr>
                      <w:rFonts w:hint="default" w:ascii="Times New Roman" w:hAnsi="Times New Roman" w:cs="Times New Roman"/>
                      <w:b w:val="0"/>
                      <w:bCs w:val="0"/>
                      <w:color w:val="auto"/>
                      <w:sz w:val="21"/>
                      <w:szCs w:val="21"/>
                    </w:rPr>
                    <w:t>属于产业鼓励引导类。</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b w:val="0"/>
                      <w:bCs w:val="0"/>
                      <w:color w:val="auto"/>
                      <w:sz w:val="21"/>
                      <w:szCs w:val="21"/>
                    </w:rPr>
                    <w:t>1-2项目主要从事</w:t>
                  </w:r>
                  <w:r>
                    <w:rPr>
                      <w:rFonts w:hint="default" w:ascii="Times New Roman" w:hAnsi="Times New Roman" w:cs="Times New Roman"/>
                      <w:b w:val="0"/>
                      <w:bCs w:val="0"/>
                      <w:color w:val="auto"/>
                      <w:sz w:val="21"/>
                      <w:szCs w:val="21"/>
                      <w:lang w:val="en-US" w:eastAsia="zh-CN"/>
                    </w:rPr>
                    <w:t>锂离子电池制造</w:t>
                  </w:r>
                  <w:r>
                    <w:rPr>
                      <w:rFonts w:hint="default" w:ascii="Times New Roman" w:hAnsi="Times New Roman" w:cs="Times New Roman"/>
                      <w:b w:val="0"/>
                      <w:bCs w:val="0"/>
                      <w:color w:val="auto"/>
                      <w:sz w:val="21"/>
                      <w:szCs w:val="21"/>
                    </w:rPr>
                    <w:t>，不属于国家《产业结构调整指导目录(2019年本)》及《国家发展改革委关于修改&lt;产业结构调整指导目录（2019年本）&gt;有关条款的决定》中淘汰和限制类；项目不属于《市场准入负面清单（2022年版）》中的禁止和许可类项目。</w:t>
                  </w:r>
                  <w:r>
                    <w:rPr>
                      <w:rFonts w:hint="default" w:ascii="Times New Roman" w:hAnsi="Times New Roman" w:cs="Times New Roman"/>
                      <w:b w:val="0"/>
                      <w:bCs w:val="0"/>
                      <w:color w:val="auto"/>
                      <w:sz w:val="21"/>
                      <w:szCs w:val="21"/>
                      <w:lang w:val="en-US" w:eastAsia="zh-CN"/>
                    </w:rPr>
                    <w:t>项目使用的三元材料主要含有镍、钴、锰三种元素，不含有汞、</w:t>
                  </w:r>
                  <w:r>
                    <w:rPr>
                      <w:rFonts w:hint="default" w:ascii="Times New Roman" w:hAnsi="Times New Roman" w:cs="Times New Roman"/>
                      <w:b w:val="0"/>
                      <w:bCs w:val="0"/>
                      <w:color w:val="auto"/>
                      <w:sz w:val="21"/>
                      <w:szCs w:val="21"/>
                    </w:rPr>
                    <w:t>砷、镉、铬、铅</w:t>
                  </w:r>
                  <w:r>
                    <w:rPr>
                      <w:rFonts w:hint="default"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lang w:val="en-US" w:eastAsia="zh-CN"/>
                    </w:rPr>
                    <w:t>故项目符合要求。</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1-3.【产业/限制类】严格限制化工、包装印刷、工业涂装等高VOCs排放建设项目。</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1-3项目不属于高VOCs排放建设项目。</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-4.【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1-4项目所在区域属于一般生态空间，不在生态保护红线内。</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-5根据《惠州市饮用水源保护区划调整方案》（经广东省人民政府批准，粤府函〔2014〕188号）、《广东省人民政府关于调整惠州市部分饮用水水源保护区的批复》粤府函〔2019〕270号和《惠州市人民政府关于&lt;惠州市乡镇级及以下集中式饮用水水源保护区划定调整方案&gt;的批复》（惠府函</w:t>
                  </w:r>
                  <w:r>
                    <w:rPr>
                      <w:rFonts w:hint="default"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rPr>
                    <w:t>2020</w:t>
                  </w:r>
                  <w:r>
                    <w:rPr>
                      <w:rFonts w:hint="default"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rPr>
                    <w:t>317号），项目所在地不属于惠州市水源保护区。</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1-6项目</w:t>
                  </w:r>
                  <w:r>
                    <w:rPr>
                      <w:rFonts w:hint="default" w:ascii="Times New Roman" w:hAnsi="Times New Roman" w:cs="Times New Roman"/>
                      <w:color w:val="auto"/>
                      <w:lang w:val="en-US" w:eastAsia="zh-CN"/>
                    </w:rPr>
                    <w:t>距离东江1084m，</w:t>
                  </w:r>
                  <w:r>
                    <w:rPr>
                      <w:rFonts w:hint="default" w:ascii="Times New Roman" w:hAnsi="Times New Roman" w:cs="Times New Roman"/>
                      <w:b w:val="0"/>
                      <w:bCs w:val="0"/>
                      <w:color w:val="auto"/>
                      <w:sz w:val="21"/>
                      <w:szCs w:val="21"/>
                    </w:rPr>
                    <w:t>不属于东江干流和沙河干流两岸最高水位线外延五百米范围内</w:t>
                  </w:r>
                  <w:r>
                    <w:rPr>
                      <w:rFonts w:hint="default" w:ascii="Times New Roman" w:hAnsi="Times New Roman" w:cs="Times New Roman"/>
                      <w:b w:val="0"/>
                      <w:bCs w:val="0"/>
                      <w:color w:val="auto"/>
                      <w:sz w:val="21"/>
                      <w:szCs w:val="21"/>
                    </w:rPr>
                    <w:t>。</w:t>
                  </w:r>
                  <w:r>
                    <w:rPr>
                      <w:rFonts w:hint="eastAsia" w:ascii="Times New Roman" w:hAnsi="Times New Roman" w:cs="Times New Roman"/>
                      <w:b w:val="0"/>
                      <w:bCs w:val="0"/>
                      <w:color w:val="auto"/>
                      <w:sz w:val="21"/>
                      <w:szCs w:val="21"/>
                      <w:lang w:val="en-US" w:eastAsia="zh-CN"/>
                    </w:rPr>
                    <w:t>本项目不属于新建专业废弃物堆放场和处理场项目，</w:t>
                  </w:r>
                  <w:r>
                    <w:rPr>
                      <w:rFonts w:hint="default" w:ascii="Times New Roman" w:hAnsi="Times New Roman" w:cs="Times New Roman"/>
                      <w:color w:val="auto"/>
                      <w:highlight w:val="none"/>
                    </w:rPr>
                    <w:t>项目一般固废</w:t>
                  </w:r>
                  <w:r>
                    <w:rPr>
                      <w:rFonts w:hint="default" w:ascii="Times New Roman" w:hAnsi="Times New Roman" w:cs="Times New Roman"/>
                      <w:color w:val="auto"/>
                      <w:highlight w:val="none"/>
                      <w:lang w:val="en-US" w:eastAsia="zh-CN"/>
                    </w:rPr>
                    <w:t>暂存间硬底化处理</w:t>
                  </w:r>
                  <w:r>
                    <w:rPr>
                      <w:rFonts w:hint="default" w:ascii="Times New Roman" w:hAnsi="Times New Roman" w:cs="Times New Roman"/>
                      <w:color w:val="auto"/>
                      <w:highlight w:val="none"/>
                    </w:rPr>
                    <w:t>；危废间地面做好防腐防渗措施</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不会危及水体安全</w:t>
                  </w:r>
                  <w:r>
                    <w:rPr>
                      <w:rFonts w:hint="default" w:ascii="Times New Roman" w:hAnsi="Times New Roman" w:cs="Times New Roman"/>
                      <w:color w:val="auto"/>
                      <w:highlight w:val="none"/>
                    </w:rPr>
                    <w:t>。</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1-7.【水/禁止类】畜禽禁养区内不得从事畜禽养殖业。</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1-7项目不在畜禽禁养区内，且不从事畜禽养殖业。</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1-8项目不属于养殖业。</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1-9项目不属于储油库</w:t>
                  </w:r>
                  <w:r>
                    <w:rPr>
                      <w:rFonts w:hint="default"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rPr>
                    <w:t>产生和排放有毒有害大气污染物的建设项目</w:t>
                  </w:r>
                  <w:r>
                    <w:rPr>
                      <w:rFonts w:hint="default"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lang w:val="en-US" w:eastAsia="zh-CN"/>
                    </w:rPr>
                    <w:t>不使用高</w:t>
                  </w:r>
                  <w:r>
                    <w:rPr>
                      <w:rFonts w:hint="default" w:ascii="Times New Roman" w:hAnsi="Times New Roman" w:cs="Times New Roman"/>
                      <w:b w:val="0"/>
                      <w:bCs w:val="0"/>
                      <w:color w:val="auto"/>
                      <w:sz w:val="21"/>
                      <w:szCs w:val="21"/>
                    </w:rPr>
                    <w:t>挥发性有机物原辅材料。</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1-10.【大气/鼓励引导类】大气环境高排放重点管控区内，强化达标监管，引导工业项目落地集聚发展，有序推进区域内行业企业提标改造。</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1-10项目不使用含高挥发性有机物原料。产生的有机废气经有效处理设施处理后达标</w:t>
                  </w:r>
                  <w:r>
                    <w:rPr>
                      <w:rFonts w:hint="default" w:ascii="Times New Roman" w:hAnsi="Times New Roman" w:cs="Times New Roman"/>
                      <w:b w:val="0"/>
                      <w:bCs w:val="0"/>
                      <w:color w:val="auto"/>
                      <w:sz w:val="21"/>
                      <w:szCs w:val="21"/>
                      <w:lang w:eastAsia="zh-CN"/>
                    </w:rPr>
                    <w:t>排</w:t>
                  </w:r>
                  <w:r>
                    <w:rPr>
                      <w:rFonts w:hint="default" w:ascii="Times New Roman" w:hAnsi="Times New Roman" w:cs="Times New Roman"/>
                      <w:b w:val="0"/>
                      <w:bCs w:val="0"/>
                      <w:color w:val="auto"/>
                      <w:sz w:val="21"/>
                      <w:szCs w:val="21"/>
                    </w:rPr>
                    <w:t>放。</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1-11.【土壤/禁止类】禁止在重金属重点防控区域内新建、改建、扩建增加重金属污染物排放总量的建设项目。</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1-11本项目不排放重金属污染物。</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p>
              </w:tc>
              <w:tc>
                <w:tcPr>
                  <w:tcW w:w="2614" w:type="pct"/>
                  <w:noWrap w:val="0"/>
                  <w:vAlign w:val="center"/>
                </w:tcPr>
                <w:p>
                  <w:pPr>
                    <w:keepNext w:val="0"/>
                    <w:keepLines w:val="0"/>
                    <w:pageBreakBefore w:val="0"/>
                    <w:kinsoku/>
                    <w:overflowPunct/>
                    <w:topLinePunct w:val="0"/>
                    <w:autoSpaceDE w:val="0"/>
                    <w:autoSpaceDN w:val="0"/>
                    <w:bidi w:val="0"/>
                    <w:adjustRightInd w:val="0"/>
                    <w:snapToGrid w:val="0"/>
                    <w:spacing w:line="240" w:lineRule="auto"/>
                    <w:jc w:val="left"/>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-12.【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1-12本项目不排放重金属污染物。</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restar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能源资源利用</w:t>
                  </w: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2-1.【能源/鼓励引导类】鼓励降低煤炭消耗、能源消耗，引导光伏等多种形式的新能源利用。</w:t>
                  </w:r>
                </w:p>
              </w:tc>
              <w:tc>
                <w:tcPr>
                  <w:tcW w:w="1741" w:type="pct"/>
                  <w:vMerge w:val="restar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本项目不属于高能源消耗企业，设备采用电能</w:t>
                  </w:r>
                  <w:r>
                    <w:rPr>
                      <w:rFonts w:hint="default" w:ascii="Times New Roman" w:hAnsi="Times New Roman" w:cs="Times New Roman"/>
                      <w:b w:val="0"/>
                      <w:bCs w:val="0"/>
                      <w:color w:val="auto"/>
                      <w:lang w:eastAsia="zh-CN"/>
                    </w:rPr>
                    <w:t>，</w:t>
                  </w:r>
                  <w:r>
                    <w:rPr>
                      <w:rFonts w:hint="default" w:ascii="Times New Roman" w:hAnsi="Times New Roman" w:cs="Times New Roman"/>
                      <w:b w:val="0"/>
                      <w:bCs w:val="0"/>
                      <w:color w:val="auto"/>
                    </w:rPr>
                    <w:t>不涉及其他禁止燃料及对环境有影响的能源。</w:t>
                  </w:r>
                </w:p>
              </w:tc>
              <w:tc>
                <w:tcPr>
                  <w:tcW w:w="396" w:type="pct"/>
                  <w:vMerge w:val="restar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2-2.【能源/综合类】根据本地区大气环境质量改善要求逐步扩大高污染燃料禁燃区范围。</w:t>
                  </w:r>
                </w:p>
              </w:tc>
              <w:tc>
                <w:tcPr>
                  <w:tcW w:w="1741"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c>
                <w:tcPr>
                  <w:tcW w:w="396"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restar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污染物排放管控</w:t>
                  </w: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both"/>
                    <w:textAlignment w:val="auto"/>
                    <w:rPr>
                      <w:rFonts w:hint="default" w:ascii="Times New Roman" w:hAnsi="Times New Roman" w:eastAsia="宋体" w:cs="Times New Roman"/>
                      <w:b w:val="0"/>
                      <w:bCs w:val="0"/>
                      <w:color w:val="auto"/>
                      <w:lang w:val="en-US" w:eastAsia="zh-CN"/>
                    </w:rPr>
                  </w:pPr>
                  <w:r>
                    <w:rPr>
                      <w:rFonts w:hint="default" w:ascii="Times New Roman" w:hAnsi="Times New Roman" w:cs="Times New Roman"/>
                      <w:b w:val="0"/>
                      <w:bCs w:val="0"/>
                      <w:color w:val="auto"/>
                    </w:rPr>
                    <w:t>3-1.【水/限制类】单元内城镇生活污水处理厂出水水质COD、氨氮、总磷排放执行国家《地表水环境质量》（GB3838-2002）Ⅴ类标准，其余指标执行国家《城镇污水处理厂污染物排放标准》（GB18918-2002）一级A标准与广东省《水污染物排放限值》较严值的标准。</w:t>
                  </w:r>
                </w:p>
              </w:tc>
              <w:tc>
                <w:tcPr>
                  <w:tcW w:w="1741" w:type="pct"/>
                  <w:vMerge w:val="restar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项目</w:t>
                  </w:r>
                  <w:r>
                    <w:rPr>
                      <w:rFonts w:hint="default" w:ascii="Times New Roman" w:hAnsi="Times New Roman" w:cs="Times New Roman"/>
                      <w:b w:val="0"/>
                      <w:bCs w:val="0"/>
                      <w:color w:val="auto"/>
                      <w:sz w:val="21"/>
                      <w:szCs w:val="21"/>
                      <w:lang w:val="en-US" w:eastAsia="zh-CN"/>
                    </w:rPr>
                    <w:t>纯</w:t>
                  </w:r>
                  <w:r>
                    <w:rPr>
                      <w:rFonts w:hint="default" w:ascii="Times New Roman" w:hAnsi="Times New Roman" w:cs="Times New Roman"/>
                      <w:b w:val="0"/>
                      <w:bCs w:val="0"/>
                      <w:color w:val="auto"/>
                      <w:sz w:val="21"/>
                      <w:szCs w:val="21"/>
                      <w:lang w:val="en-US" w:eastAsia="zh-CN"/>
                    </w:rPr>
                    <w:t>水制备浓水排入市政污水管网</w:t>
                  </w:r>
                  <w:r>
                    <w:rPr>
                      <w:rFonts w:hint="default" w:ascii="Times New Roman" w:hAnsi="Times New Roman" w:cs="Times New Roman"/>
                      <w:b w:val="0"/>
                      <w:bCs w:val="0"/>
                      <w:color w:val="auto"/>
                      <w:sz w:val="21"/>
                      <w:szCs w:val="21"/>
                      <w:lang w:val="en-US" w:eastAsia="zh-CN"/>
                    </w:rPr>
                    <w:t>；</w:t>
                  </w:r>
                  <w:r>
                    <w:rPr>
                      <w:rFonts w:hint="default" w:ascii="Times New Roman" w:hAnsi="Times New Roman" w:cs="Times New Roman"/>
                      <w:b w:val="0"/>
                      <w:bCs w:val="0"/>
                      <w:color w:val="auto"/>
                      <w:sz w:val="21"/>
                      <w:szCs w:val="21"/>
                    </w:rPr>
                    <w:t>冷却水循环使用，定期补充新鲜水，不外排；</w:t>
                  </w:r>
                  <w:r>
                    <w:rPr>
                      <w:rFonts w:hint="default" w:ascii="Times New Roman" w:hAnsi="Times New Roman" w:cs="Times New Roman"/>
                      <w:color w:val="auto"/>
                      <w:szCs w:val="21"/>
                      <w:lang w:val="en-US" w:eastAsia="zh-CN"/>
                    </w:rPr>
                    <w:t>设备清洗废水、地面清洗废水作为危险废物交有危险废物资质单位处理；初期雨水经混凝沉淀处理后直接排入雨水管网；</w:t>
                  </w:r>
                  <w:r>
                    <w:rPr>
                      <w:rFonts w:hint="default" w:ascii="Times New Roman" w:hAnsi="Times New Roman" w:cs="Times New Roman"/>
                      <w:b w:val="0"/>
                      <w:bCs w:val="0"/>
                      <w:color w:val="auto"/>
                      <w:sz w:val="21"/>
                      <w:szCs w:val="21"/>
                    </w:rPr>
                    <w:t>生活污水经</w:t>
                  </w:r>
                  <w:r>
                    <w:rPr>
                      <w:rFonts w:hint="default" w:ascii="Times New Roman" w:hAnsi="Times New Roman" w:cs="Times New Roman"/>
                      <w:color w:val="auto"/>
                      <w:sz w:val="21"/>
                      <w:szCs w:val="21"/>
                    </w:rPr>
                    <w:t>三级化粪池</w:t>
                  </w:r>
                  <w:r>
                    <w:rPr>
                      <w:rFonts w:hint="eastAsia" w:cs="Times New Roman"/>
                      <w:color w:val="auto"/>
                      <w:sz w:val="21"/>
                      <w:szCs w:val="21"/>
                      <w:lang w:val="en-US" w:eastAsia="zh-CN"/>
                    </w:rPr>
                    <w:t>+接触氧化池</w:t>
                  </w:r>
                  <w:r>
                    <w:rPr>
                      <w:rFonts w:hint="default" w:ascii="Times New Roman" w:hAnsi="Times New Roman" w:cs="Times New Roman"/>
                      <w:b w:val="0"/>
                      <w:bCs w:val="0"/>
                      <w:color w:val="auto"/>
                      <w:sz w:val="21"/>
                      <w:szCs w:val="21"/>
                    </w:rPr>
                    <w:t>预处理后排入</w:t>
                  </w:r>
                  <w:r>
                    <w:rPr>
                      <w:rFonts w:hint="eastAsia" w:ascii="Times New Roman" w:hAnsi="Times New Roman" w:cs="Times New Roman"/>
                      <w:color w:val="auto"/>
                      <w:szCs w:val="21"/>
                      <w:lang w:val="en-US" w:eastAsia="zh-CN"/>
                    </w:rPr>
                    <w:t>博罗县</w:t>
                  </w:r>
                  <w:r>
                    <w:rPr>
                      <w:rFonts w:hint="default" w:ascii="Times New Roman" w:hAnsi="Times New Roman" w:cs="Times New Roman"/>
                      <w:color w:val="auto"/>
                      <w:sz w:val="21"/>
                      <w:szCs w:val="21"/>
                    </w:rPr>
                    <w:t>园洲镇第五污水处理厂</w:t>
                  </w:r>
                  <w:r>
                    <w:rPr>
                      <w:rFonts w:hint="default" w:ascii="Times New Roman" w:hAnsi="Times New Roman" w:cs="Times New Roman"/>
                      <w:b w:val="0"/>
                      <w:bCs w:val="0"/>
                      <w:color w:val="auto"/>
                      <w:sz w:val="21"/>
                      <w:szCs w:val="21"/>
                    </w:rPr>
                    <w:t>处理达标后排放。</w:t>
                  </w:r>
                  <w:r>
                    <w:rPr>
                      <w:rFonts w:hint="eastAsia" w:ascii="Times New Roman" w:hAnsi="Times New Roman" w:cs="Times New Roman"/>
                      <w:color w:val="auto"/>
                      <w:szCs w:val="21"/>
                      <w:lang w:val="en-US" w:eastAsia="zh-CN"/>
                    </w:rPr>
                    <w:t>博罗县</w:t>
                  </w:r>
                  <w:r>
                    <w:rPr>
                      <w:rFonts w:hint="default" w:ascii="Times New Roman" w:hAnsi="Times New Roman" w:cs="Times New Roman"/>
                      <w:color w:val="auto"/>
                      <w:sz w:val="21"/>
                      <w:szCs w:val="21"/>
                    </w:rPr>
                    <w:t>园洲镇第五污水处理厂</w:t>
                  </w:r>
                  <w:r>
                    <w:rPr>
                      <w:rFonts w:hint="default" w:ascii="Times New Roman" w:hAnsi="Times New Roman" w:cs="Times New Roman"/>
                      <w:b w:val="0"/>
                      <w:bCs w:val="0"/>
                      <w:color w:val="auto"/>
                      <w:sz w:val="21"/>
                      <w:szCs w:val="21"/>
                    </w:rPr>
                    <w:t>尾水排放执行《城镇污水处理厂污染物排放标准》（GB18918-2002）一级标准的A类标准和广东省地方标准《水污染物排放限值》（DB44/26-2001）中第二时段一级标准中较严者，其中氨氮和总磷执行《地表水环境质量标准》</w:t>
                  </w:r>
                  <w:r>
                    <w:rPr>
                      <w:rFonts w:hint="default"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rPr>
                    <w:t>GB3838-2002</w:t>
                  </w:r>
                  <w:r>
                    <w:rPr>
                      <w:rFonts w:hint="default" w:ascii="Times New Roman" w:hAnsi="Times New Roman" w:cs="Times New Roman"/>
                      <w:b w:val="0"/>
                      <w:bCs w:val="0"/>
                      <w:color w:val="auto"/>
                      <w:sz w:val="21"/>
                      <w:szCs w:val="21"/>
                      <w:lang w:eastAsia="zh-CN"/>
                    </w:rPr>
                    <w:t>）</w:t>
                  </w:r>
                  <w:r>
                    <w:rPr>
                      <w:rFonts w:hint="default" w:ascii="Times New Roman" w:hAnsi="Times New Roman" w:cs="Times New Roman"/>
                      <w:b w:val="0"/>
                      <w:bCs w:val="0"/>
                      <w:color w:val="auto"/>
                      <w:sz w:val="21"/>
                      <w:szCs w:val="21"/>
                    </w:rPr>
                    <w:t>中Ⅴ类标准。</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3-2.【水/限制类】严格控制流域内增加水污染物排放或对东江水质、水环境安全构成影响的项目。</w:t>
                  </w:r>
                </w:p>
              </w:tc>
              <w:tc>
                <w:tcPr>
                  <w:tcW w:w="1741" w:type="pct"/>
                  <w:vMerge w:val="continue"/>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741" w:type="pct"/>
                  <w:vMerge w:val="continue"/>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3-4.【水/综合类】强化农业面源污染治理，控制农药化肥使用量。</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3-4项目不属于农业，不使用农药化肥。</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3-5.【大气/限制类】重点行业新建涉VOCs排放的工业企业原则上应入园进区。新建项目VOCs实施倍量替代。</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eastAsia="宋体" w:cs="Times New Roman"/>
                      <w:b w:val="0"/>
                      <w:bCs w:val="0"/>
                      <w:color w:val="auto"/>
                      <w:sz w:val="21"/>
                      <w:szCs w:val="21"/>
                      <w:lang w:eastAsia="zh-CN"/>
                    </w:rPr>
                  </w:pPr>
                  <w:r>
                    <w:rPr>
                      <w:rFonts w:hint="default" w:ascii="Times New Roman" w:hAnsi="Times New Roman" w:cs="Times New Roman"/>
                      <w:b w:val="0"/>
                      <w:bCs w:val="0"/>
                      <w:color w:val="auto"/>
                      <w:sz w:val="21"/>
                      <w:szCs w:val="21"/>
                    </w:rPr>
                    <w:t>3-5项目不属于重点行业，生产过程中产生的</w:t>
                  </w:r>
                  <w:r>
                    <w:rPr>
                      <w:rFonts w:hint="default" w:ascii="Times New Roman" w:hAnsi="Times New Roman" w:cs="Times New Roman"/>
                      <w:b w:val="0"/>
                      <w:bCs w:val="0"/>
                      <w:color w:val="auto"/>
                      <w:sz w:val="21"/>
                      <w:szCs w:val="21"/>
                      <w:lang w:val="en-US" w:eastAsia="zh-CN"/>
                    </w:rPr>
                    <w:t>有机废气</w:t>
                  </w:r>
                  <w:r>
                    <w:rPr>
                      <w:rFonts w:hint="default" w:ascii="Times New Roman" w:hAnsi="Times New Roman" w:cs="Times New Roman"/>
                      <w:b w:val="0"/>
                      <w:bCs w:val="0"/>
                      <w:color w:val="auto"/>
                      <w:sz w:val="21"/>
                      <w:szCs w:val="21"/>
                    </w:rPr>
                    <w:t>经有效治理设施处理后达标排放。</w:t>
                  </w:r>
                  <w:r>
                    <w:rPr>
                      <w:rFonts w:hint="default" w:ascii="Times New Roman" w:hAnsi="Times New Roman" w:cs="Times New Roman"/>
                      <w:color w:val="auto"/>
                      <w:kern w:val="0"/>
                      <w:szCs w:val="21"/>
                      <w:lang w:bidi="ar"/>
                    </w:rPr>
                    <w:t>项目</w:t>
                  </w:r>
                  <w:r>
                    <w:rPr>
                      <w:rFonts w:hint="eastAsia" w:ascii="Times New Roman" w:hAnsi="Times New Roman" w:cs="Times New Roman"/>
                      <w:color w:val="auto"/>
                      <w:kern w:val="0"/>
                      <w:szCs w:val="21"/>
                      <w:lang w:val="en-US" w:eastAsia="zh-CN" w:bidi="ar"/>
                    </w:rPr>
                    <w:t>VOCs</w:t>
                  </w:r>
                  <w:r>
                    <w:rPr>
                      <w:rFonts w:hint="default" w:ascii="Times New Roman" w:hAnsi="Times New Roman" w:cs="Times New Roman"/>
                      <w:color w:val="auto"/>
                      <w:kern w:val="0"/>
                      <w:szCs w:val="21"/>
                      <w:lang w:bidi="ar"/>
                    </w:rPr>
                    <w:t>实施倍量替代，废气总量由惠州市生态环境局</w:t>
                  </w:r>
                  <w:r>
                    <w:rPr>
                      <w:rFonts w:hint="default" w:ascii="Times New Roman" w:hAnsi="Times New Roman" w:cs="Times New Roman"/>
                      <w:color w:val="auto"/>
                      <w:kern w:val="0"/>
                      <w:szCs w:val="21"/>
                      <w:lang w:val="en-US" w:eastAsia="zh-CN" w:bidi="ar"/>
                    </w:rPr>
                    <w:t>博罗</w:t>
                  </w:r>
                  <w:r>
                    <w:rPr>
                      <w:rFonts w:hint="default" w:ascii="Times New Roman" w:hAnsi="Times New Roman" w:cs="Times New Roman"/>
                      <w:color w:val="auto"/>
                      <w:kern w:val="0"/>
                      <w:szCs w:val="21"/>
                      <w:lang w:bidi="ar"/>
                    </w:rPr>
                    <w:t>分局调配</w:t>
                  </w:r>
                  <w:r>
                    <w:rPr>
                      <w:rFonts w:hint="default" w:ascii="Times New Roman" w:hAnsi="Times New Roman" w:cs="Times New Roman"/>
                      <w:color w:val="auto"/>
                      <w:kern w:val="0"/>
                      <w:szCs w:val="21"/>
                      <w:lang w:eastAsia="zh-CN" w:bidi="ar"/>
                    </w:rPr>
                    <w:t>。</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3-6. 【土壤/禁止类】禁止向农用地排放重金属或者其他有毒有害物质含量超标的污水、污泥，以及可能造成土壤污染的清淤底泥、尾矿、矿渣等。</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3-6 本项目产生的危废经收集后交有危险废物处理资质的公司处理，不外排。</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restar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环境风险防控</w:t>
                  </w: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4-1.【水/综合类】城镇污水处理厂、涉水企业应采取有效措施，防止事故废水直接排入水体。</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4-1</w:t>
                  </w:r>
                  <w:r>
                    <w:rPr>
                      <w:rFonts w:hint="default" w:ascii="Times New Roman" w:hAnsi="Times New Roman" w:cs="Times New Roman"/>
                      <w:color w:val="auto"/>
                      <w:kern w:val="21"/>
                      <w:szCs w:val="21"/>
                    </w:rPr>
                    <w:t>项目</w:t>
                  </w:r>
                  <w:r>
                    <w:rPr>
                      <w:rFonts w:hint="default" w:ascii="Times New Roman" w:hAnsi="Times New Roman" w:cs="Times New Roman"/>
                      <w:color w:val="auto"/>
                      <w:szCs w:val="21"/>
                      <w:lang w:val="en-US" w:eastAsia="zh-CN"/>
                    </w:rPr>
                    <w:t>纯水制备产生的浓水作为清净下水直接排入污水管网；冷却塔水循环使用，不外排；设备清洗废水、地面清洗废水作为危险废物交有危险废物资质单位处理；初期雨水经混凝沉淀处理后直接排入雨水管网</w:t>
                  </w:r>
                  <w:r>
                    <w:rPr>
                      <w:rFonts w:hint="default" w:ascii="Times New Roman" w:hAnsi="Times New Roman" w:cs="Times New Roman"/>
                      <w:color w:val="auto"/>
                      <w:szCs w:val="21"/>
                    </w:rPr>
                    <w:t>。</w:t>
                  </w:r>
                  <w:r>
                    <w:rPr>
                      <w:rFonts w:hint="default" w:ascii="Times New Roman" w:hAnsi="Times New Roman" w:cs="Times New Roman"/>
                      <w:b w:val="0"/>
                      <w:bCs w:val="0"/>
                      <w:color w:val="auto"/>
                      <w:sz w:val="21"/>
                      <w:szCs w:val="21"/>
                    </w:rPr>
                    <w:t>生活污水经</w:t>
                  </w:r>
                  <w:r>
                    <w:rPr>
                      <w:rFonts w:hint="default" w:ascii="Times New Roman" w:hAnsi="Times New Roman" w:cs="Times New Roman"/>
                      <w:color w:val="auto"/>
                      <w:sz w:val="21"/>
                      <w:szCs w:val="21"/>
                    </w:rPr>
                    <w:t>三级化粪池</w:t>
                  </w:r>
                  <w:r>
                    <w:rPr>
                      <w:rFonts w:hint="eastAsia" w:cs="Times New Roman"/>
                      <w:color w:val="auto"/>
                      <w:sz w:val="21"/>
                      <w:szCs w:val="21"/>
                      <w:lang w:val="en-US" w:eastAsia="zh-CN"/>
                    </w:rPr>
                    <w:t>+接触氧化池</w:t>
                  </w:r>
                  <w:r>
                    <w:rPr>
                      <w:rFonts w:hint="default" w:ascii="Times New Roman" w:hAnsi="Times New Roman" w:cs="Times New Roman"/>
                      <w:b w:val="0"/>
                      <w:bCs w:val="0"/>
                      <w:color w:val="auto"/>
                      <w:sz w:val="21"/>
                      <w:szCs w:val="21"/>
                    </w:rPr>
                    <w:t>预处理后排入</w:t>
                  </w:r>
                  <w:r>
                    <w:rPr>
                      <w:rFonts w:hint="eastAsia" w:ascii="Times New Roman" w:hAnsi="Times New Roman" w:cs="Times New Roman"/>
                      <w:color w:val="auto"/>
                      <w:szCs w:val="21"/>
                      <w:lang w:val="en-US" w:eastAsia="zh-CN"/>
                    </w:rPr>
                    <w:t>博罗县</w:t>
                  </w:r>
                  <w:r>
                    <w:rPr>
                      <w:rFonts w:hint="default" w:ascii="Times New Roman" w:hAnsi="Times New Roman" w:cs="Times New Roman"/>
                      <w:color w:val="auto"/>
                      <w:sz w:val="21"/>
                      <w:szCs w:val="21"/>
                    </w:rPr>
                    <w:t>园洲镇第五污水处理厂</w:t>
                  </w:r>
                  <w:r>
                    <w:rPr>
                      <w:rFonts w:hint="default" w:ascii="Times New Roman" w:hAnsi="Times New Roman" w:cs="Times New Roman"/>
                      <w:b w:val="0"/>
                      <w:bCs w:val="0"/>
                      <w:color w:val="auto"/>
                      <w:sz w:val="21"/>
                      <w:szCs w:val="21"/>
                    </w:rPr>
                    <w:t>深度处理。</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4-2.【水/综合类】加强饮用水水源保护区内环境风险排查，开展风险评估及水环境预警监测。</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4-2项目所在地不属于惠州市饮用水源保护区。</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47" w:type="pct"/>
                  <w:vMerge w:val="continue"/>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p>
              </w:tc>
              <w:tc>
                <w:tcPr>
                  <w:tcW w:w="2614"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741" w:type="pct"/>
                  <w:noWrap w:val="0"/>
                  <w:vAlign w:val="center"/>
                </w:tcPr>
                <w:p>
                  <w:pPr>
                    <w:keepNext w:val="0"/>
                    <w:keepLines w:val="0"/>
                    <w:pageBreakBefore w:val="0"/>
                    <w:kinsoku/>
                    <w:overflowPunct/>
                    <w:topLinePunct w:val="0"/>
                    <w:bidi w:val="0"/>
                    <w:adjustRightInd w:val="0"/>
                    <w:snapToGrid w:val="0"/>
                    <w:spacing w:line="240" w:lineRule="auto"/>
                    <w:textAlignment w:val="auto"/>
                    <w:rPr>
                      <w:rFonts w:hint="default" w:ascii="Times New Roman" w:hAnsi="Times New Roman" w:cs="Times New Roman"/>
                      <w:b w:val="0"/>
                      <w:bCs w:val="0"/>
                      <w:color w:val="auto"/>
                      <w:sz w:val="21"/>
                      <w:szCs w:val="21"/>
                    </w:rPr>
                  </w:pPr>
                  <w:r>
                    <w:rPr>
                      <w:rFonts w:hint="default" w:ascii="Times New Roman" w:hAnsi="Times New Roman" w:cs="Times New Roman"/>
                      <w:b w:val="0"/>
                      <w:bCs w:val="0"/>
                      <w:color w:val="auto"/>
                      <w:sz w:val="21"/>
                      <w:szCs w:val="21"/>
                    </w:rPr>
                    <w:t>4-3项目</w:t>
                  </w:r>
                  <w:r>
                    <w:rPr>
                      <w:rFonts w:hint="default" w:ascii="Times New Roman" w:hAnsi="Times New Roman" w:cs="Times New Roman"/>
                      <w:b w:val="0"/>
                      <w:bCs w:val="0"/>
                      <w:color w:val="auto"/>
                      <w:spacing w:val="-8"/>
                      <w:sz w:val="21"/>
                      <w:szCs w:val="21"/>
                    </w:rPr>
                    <w:t>制定并实施厂内事故预防计划，</w:t>
                  </w:r>
                  <w:r>
                    <w:rPr>
                      <w:rFonts w:hint="default" w:ascii="Times New Roman" w:hAnsi="Times New Roman" w:cs="Times New Roman"/>
                      <w:b w:val="0"/>
                      <w:bCs w:val="0"/>
                      <w:color w:val="auto"/>
                      <w:spacing w:val="-8"/>
                      <w:sz w:val="21"/>
                      <w:szCs w:val="21"/>
                      <w:lang w:val="en-US" w:eastAsia="zh-CN"/>
                    </w:rPr>
                    <w:t>建立环境监测预警制度，</w:t>
                  </w:r>
                  <w:r>
                    <w:rPr>
                      <w:rFonts w:hint="default" w:ascii="Times New Roman" w:hAnsi="Times New Roman" w:cs="Times New Roman"/>
                      <w:b w:val="0"/>
                      <w:bCs w:val="0"/>
                      <w:color w:val="auto"/>
                      <w:spacing w:val="-8"/>
                      <w:sz w:val="21"/>
                      <w:szCs w:val="21"/>
                    </w:rPr>
                    <w:t>明确管理组织、责任与责任范围、预防措施、宣传教育等内容。</w:t>
                  </w:r>
                </w:p>
              </w:tc>
              <w:tc>
                <w:tcPr>
                  <w:tcW w:w="396" w:type="pct"/>
                  <w:noWrap w:val="0"/>
                  <w:vAlign w:val="center"/>
                </w:tcPr>
                <w:p>
                  <w:pPr>
                    <w:pStyle w:val="80"/>
                    <w:keepNext w:val="0"/>
                    <w:keepLines w:val="0"/>
                    <w:pageBreakBefore w:val="0"/>
                    <w:kinsoku/>
                    <w:overflowPunct/>
                    <w:topLinePunct w:val="0"/>
                    <w:bidi w:val="0"/>
                    <w:adjustRightInd w:val="0"/>
                    <w:snapToGrid w:val="0"/>
                    <w:spacing w:line="240" w:lineRule="auto"/>
                    <w:jc w:val="left"/>
                    <w:textAlignment w:val="auto"/>
                    <w:rPr>
                      <w:rFonts w:hint="default" w:ascii="Times New Roman" w:hAnsi="Times New Roman" w:cs="Times New Roman"/>
                      <w:b w:val="0"/>
                      <w:bCs w:val="0"/>
                      <w:color w:val="auto"/>
                    </w:rPr>
                  </w:pPr>
                  <w:r>
                    <w:rPr>
                      <w:rFonts w:hint="default" w:ascii="Times New Roman" w:hAnsi="Times New Roman" w:cs="Times New Roman"/>
                      <w:b w:val="0"/>
                      <w:bCs w:val="0"/>
                      <w:color w:val="auto"/>
                    </w:rPr>
                    <w:t>符合</w:t>
                  </w:r>
                </w:p>
              </w:tc>
            </w:tr>
          </w:tbl>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cs="Times New Roman"/>
                <w:b w:val="0"/>
                <w:bCs w:val="0"/>
                <w:color w:val="auto"/>
                <w:kern w:val="0"/>
                <w:sz w:val="24"/>
                <w:szCs w:val="24"/>
                <w:lang w:bidi="ar"/>
              </w:rPr>
            </w:pPr>
            <w:r>
              <w:rPr>
                <w:rFonts w:hint="default" w:ascii="Times New Roman" w:hAnsi="Times New Roman" w:cs="Times New Roman"/>
                <w:b w:val="0"/>
                <w:bCs w:val="0"/>
                <w:color w:val="auto"/>
                <w:sz w:val="24"/>
                <w:szCs w:val="24"/>
              </w:rPr>
              <w:t>本项目符合博罗县“三线一单”管控要求。</w:t>
            </w:r>
          </w:p>
          <w:p>
            <w:pPr>
              <w:keepNext w:val="0"/>
              <w:keepLines w:val="0"/>
              <w:pageBreakBefore w:val="0"/>
              <w:widowControl/>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rPr>
              <w:t>、产业政策及选址规划符合性分析</w:t>
            </w:r>
          </w:p>
          <w:p>
            <w:pPr>
              <w:widowControl/>
              <w:adjustRightInd w:val="0"/>
              <w:snapToGrid w:val="0"/>
              <w:spacing w:line="360" w:lineRule="auto"/>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（1）选址规划符合性分析</w:t>
            </w:r>
          </w:p>
          <w:p>
            <w:pPr>
              <w:widowControl/>
              <w:adjustRightInd w:val="0"/>
              <w:snapToGrid w:val="0"/>
              <w:spacing w:line="360" w:lineRule="auto"/>
              <w:ind w:firstLine="480" w:firstLineChars="200"/>
              <w:jc w:val="left"/>
              <w:rPr>
                <w:rFonts w:hint="default" w:ascii="Times New Roman" w:hAnsi="Times New Roman" w:cs="Times New Roman"/>
                <w:color w:val="auto"/>
                <w:szCs w:val="21"/>
              </w:rPr>
            </w:pPr>
            <w:r>
              <w:rPr>
                <w:rFonts w:hint="default" w:ascii="Times New Roman" w:hAnsi="Times New Roman" w:eastAsia="宋体" w:cs="Times New Roman"/>
                <w:color w:val="auto"/>
                <w:kern w:val="0"/>
                <w:sz w:val="24"/>
                <w:szCs w:val="24"/>
                <w:lang w:val="en-US" w:eastAsia="zh-CN"/>
              </w:rPr>
              <w:t>本</w:t>
            </w:r>
            <w:r>
              <w:rPr>
                <w:rFonts w:hint="default" w:ascii="Times New Roman" w:hAnsi="Times New Roman" w:eastAsia="宋体" w:cs="Times New Roman"/>
                <w:color w:val="auto"/>
                <w:kern w:val="0"/>
                <w:sz w:val="24"/>
                <w:szCs w:val="24"/>
              </w:rPr>
              <w:t>项目位于</w:t>
            </w:r>
            <w:r>
              <w:rPr>
                <w:rFonts w:hint="default" w:ascii="Times New Roman" w:hAnsi="Times New Roman" w:cs="Times New Roman"/>
                <w:color w:val="auto"/>
                <w:sz w:val="24"/>
                <w:lang w:val="en-US" w:eastAsia="zh-CN"/>
              </w:rPr>
              <w:t>惠州市</w:t>
            </w:r>
            <w:r>
              <w:rPr>
                <w:rFonts w:hint="default" w:ascii="Times New Roman" w:hAnsi="Times New Roman" w:cs="Times New Roman"/>
                <w:color w:val="auto"/>
                <w:sz w:val="24"/>
              </w:rPr>
              <w:t>博罗县园洲镇上南村市场中路</w:t>
            </w:r>
            <w:r>
              <w:rPr>
                <w:rFonts w:hint="default" w:ascii="Times New Roman" w:hAnsi="Times New Roman" w:eastAsia="宋体" w:cs="Times New Roman"/>
                <w:color w:val="auto"/>
                <w:kern w:val="0"/>
                <w:sz w:val="24"/>
                <w:szCs w:val="24"/>
              </w:rPr>
              <w:t>，</w:t>
            </w:r>
            <w:r>
              <w:rPr>
                <w:rFonts w:hint="default" w:ascii="Times New Roman" w:hAnsi="Times New Roman" w:eastAsia="宋体" w:cs="Times New Roman"/>
                <w:color w:val="auto"/>
                <w:kern w:val="0"/>
                <w:sz w:val="24"/>
                <w:szCs w:val="24"/>
                <w:lang w:eastAsia="zh-CN"/>
              </w:rPr>
              <w:t>根据</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博罗县园洲镇总体规划修编(2018-2035)</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kern w:val="0"/>
                <w:sz w:val="24"/>
                <w:szCs w:val="24"/>
                <w:lang w:val="en-US" w:eastAsia="zh-CN"/>
              </w:rPr>
              <w:t>以及</w:t>
            </w:r>
            <w:r>
              <w:rPr>
                <w:rFonts w:hint="default" w:ascii="Times New Roman" w:hAnsi="Times New Roman" w:eastAsia="宋体" w:cs="Times New Roman"/>
                <w:color w:val="auto"/>
                <w:kern w:val="0"/>
                <w:sz w:val="24"/>
                <w:szCs w:val="24"/>
                <w:lang w:eastAsia="zh-CN"/>
              </w:rPr>
              <w:t>建设单位提供的</w:t>
            </w:r>
            <w:r>
              <w:rPr>
                <w:rFonts w:hint="default" w:ascii="Times New Roman" w:hAnsi="Times New Roman" w:eastAsia="宋体" w:cs="Times New Roman"/>
                <w:color w:val="auto"/>
                <w:kern w:val="0"/>
                <w:sz w:val="24"/>
                <w:szCs w:val="24"/>
                <w:lang w:val="en-US" w:eastAsia="zh-CN"/>
              </w:rPr>
              <w:t>土地证明（附件四）</w:t>
            </w:r>
            <w:r>
              <w:rPr>
                <w:rFonts w:hint="default" w:ascii="Times New Roman" w:hAnsi="Times New Roman" w:eastAsia="宋体" w:cs="Times New Roman"/>
                <w:color w:val="auto"/>
                <w:kern w:val="0"/>
                <w:sz w:val="24"/>
                <w:szCs w:val="24"/>
                <w:lang w:eastAsia="zh-CN"/>
              </w:rPr>
              <w:t>，项目用地</w:t>
            </w:r>
            <w:r>
              <w:rPr>
                <w:rFonts w:hint="default" w:ascii="Times New Roman" w:hAnsi="Times New Roman" w:eastAsia="宋体" w:cs="Times New Roman"/>
                <w:color w:val="auto"/>
                <w:kern w:val="0"/>
                <w:sz w:val="24"/>
                <w:szCs w:val="24"/>
                <w:lang w:val="en-US" w:eastAsia="zh-CN"/>
              </w:rPr>
              <w:t>类型</w:t>
            </w:r>
            <w:r>
              <w:rPr>
                <w:rFonts w:hint="default" w:ascii="Times New Roman" w:hAnsi="Times New Roman" w:eastAsia="宋体" w:cs="Times New Roman"/>
                <w:color w:val="auto"/>
                <w:kern w:val="0"/>
                <w:sz w:val="24"/>
                <w:szCs w:val="24"/>
                <w:lang w:eastAsia="zh-CN"/>
              </w:rPr>
              <w:t>为工业用地，与规划相符。因此，项目选址具有合理性。</w:t>
            </w:r>
          </w:p>
          <w:p>
            <w:pPr>
              <w:tabs>
                <w:tab w:val="left" w:pos="2970"/>
              </w:tabs>
              <w:spacing w:line="360" w:lineRule="auto"/>
              <w:ind w:firstLine="482" w:firstLineChars="200"/>
              <w:rPr>
                <w:rFonts w:hint="default" w:ascii="Times New Roman" w:hAnsi="Times New Roman" w:cs="Times New Roman"/>
                <w:b/>
                <w:bCs w:val="0"/>
                <w:color w:val="auto"/>
                <w:sz w:val="24"/>
                <w:szCs w:val="24"/>
              </w:rPr>
            </w:pPr>
            <w:r>
              <w:rPr>
                <w:rFonts w:hint="default" w:ascii="Times New Roman" w:hAnsi="Times New Roman" w:cs="Times New Roman"/>
                <w:b/>
                <w:bCs w:val="0"/>
                <w:color w:val="auto"/>
                <w:sz w:val="24"/>
                <w:szCs w:val="24"/>
              </w:rPr>
              <w:t>（2）与环境功能区划相符性分析</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kern w:val="0"/>
                <w:sz w:val="24"/>
                <w:szCs w:val="24"/>
                <w:lang w:val="en-US" w:eastAsia="zh-CN"/>
              </w:rPr>
            </w:pPr>
            <w:r>
              <w:rPr>
                <w:rFonts w:hint="default" w:ascii="Times New Roman" w:hAnsi="Times New Roman" w:eastAsia="宋体" w:cs="Times New Roman"/>
                <w:b/>
                <w:bCs/>
                <w:color w:val="auto"/>
                <w:kern w:val="0"/>
                <w:sz w:val="24"/>
                <w:szCs w:val="24"/>
                <w:lang w:val="en-US" w:eastAsia="zh-CN"/>
              </w:rPr>
              <w:t>水环境功能区划</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lang w:eastAsia="zh-CN"/>
              </w:rPr>
            </w:pPr>
            <w:r>
              <w:rPr>
                <w:rFonts w:hint="default" w:ascii="Times New Roman" w:hAnsi="Times New Roman" w:eastAsia="宋体" w:cs="Times New Roman"/>
                <w:color w:val="auto"/>
                <w:kern w:val="0"/>
                <w:sz w:val="24"/>
                <w:szCs w:val="24"/>
              </w:rPr>
              <w:t>根据《惠州市饮用水源保护区划调整方案》（粤府函〔2014〕188号）、《广东省人民政府关于调整惠州市部分饮用水水源保护区的批复》（粤府函〔2019〕270号）以及《关于惠州市乡镇级及以下集中式饮用水源保护区划定（调整）方案的批复》（惠府函〔2020〕317号），本项目所在区域不属于饮用水源保护区范围</w:t>
            </w:r>
            <w:r>
              <w:rPr>
                <w:rFonts w:hint="default" w:ascii="Times New Roman" w:hAnsi="Times New Roman" w:eastAsia="宋体" w:cs="Times New Roman"/>
                <w:color w:val="auto"/>
                <w:kern w:val="0"/>
                <w:sz w:val="24"/>
                <w:szCs w:val="24"/>
                <w:lang w:eastAsia="zh-CN"/>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大气环境功能区划</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根据《惠州市环境空气质量功能区划（2021年修订）》，项目所在区域为环境空气质量二类功能区。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声环境功能区划</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rPr>
            </w:pPr>
            <w:r>
              <w:rPr>
                <w:rFonts w:hint="default" w:ascii="Times New Roman" w:hAnsi="Times New Roman" w:cs="Times New Roman"/>
                <w:color w:val="auto"/>
                <w:sz w:val="24"/>
                <w:szCs w:val="24"/>
              </w:rPr>
              <w:t>根据《惠州市</w:t>
            </w:r>
            <w:r>
              <w:rPr>
                <w:rFonts w:hint="default" w:ascii="Times New Roman" w:hAnsi="Times New Roman" w:cs="Times New Roman"/>
                <w:color w:val="auto"/>
                <w:sz w:val="24"/>
                <w:szCs w:val="24"/>
                <w:lang w:val="en-US" w:eastAsia="zh-CN"/>
              </w:rPr>
              <w:t>声环境功能区划分方案（2022年）</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惠市环</w:t>
            </w:r>
            <w:r>
              <w:rPr>
                <w:rFonts w:hint="default" w:ascii="Times New Roman" w:hAnsi="Times New Roman" w:cs="Times New Roman"/>
                <w:color w:val="auto"/>
                <w:sz w:val="24"/>
                <w:szCs w:val="24"/>
              </w:rPr>
              <w:t>〔20</w:t>
            </w:r>
            <w:r>
              <w:rPr>
                <w:rFonts w:hint="default"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33</w:t>
            </w:r>
            <w:r>
              <w:rPr>
                <w:rFonts w:hint="default" w:ascii="Times New Roman" w:hAnsi="Times New Roman" w:cs="Times New Roman"/>
                <w:color w:val="auto"/>
                <w:sz w:val="24"/>
                <w:szCs w:val="24"/>
              </w:rPr>
              <w:t>号）</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位于居住、商业、工业混杂，需要维护住宅安静的区域，</w:t>
            </w:r>
            <w:r>
              <w:rPr>
                <w:rFonts w:hint="default" w:ascii="Times New Roman" w:hAnsi="Times New Roman" w:cs="Times New Roman"/>
                <w:color w:val="auto"/>
                <w:sz w:val="24"/>
                <w:szCs w:val="24"/>
              </w:rPr>
              <w:t>所在区域为声环境</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类区。</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项目所在地没有占用基本农业用地和林地，符合惠州市城市建设和环境功能区规划的要求，且</w:t>
            </w:r>
            <w:r>
              <w:rPr>
                <w:rFonts w:hint="default" w:ascii="Times New Roman" w:hAnsi="Times New Roman" w:eastAsia="宋体" w:cs="Times New Roman"/>
                <w:color w:val="auto"/>
                <w:kern w:val="0"/>
                <w:sz w:val="24"/>
                <w:szCs w:val="24"/>
                <w:lang w:val="en-US" w:eastAsia="zh-CN"/>
              </w:rPr>
              <w:t>具有</w:t>
            </w:r>
            <w:r>
              <w:rPr>
                <w:rFonts w:hint="default" w:ascii="Times New Roman" w:hAnsi="Times New Roman" w:eastAsia="宋体" w:cs="Times New Roman"/>
                <w:color w:val="auto"/>
                <w:kern w:val="0"/>
                <w:sz w:val="24"/>
                <w:szCs w:val="24"/>
              </w:rPr>
              <w:t>水、电等供应保障</w:t>
            </w:r>
            <w:r>
              <w:rPr>
                <w:rFonts w:hint="default" w:ascii="Times New Roman" w:hAnsi="Times New Roman" w:eastAsia="宋体" w:cs="Times New Roman"/>
                <w:color w:val="auto"/>
                <w:kern w:val="0"/>
                <w:sz w:val="24"/>
                <w:szCs w:val="24"/>
                <w:lang w:eastAsia="zh-CN"/>
              </w:rPr>
              <w:t>、</w:t>
            </w:r>
            <w:r>
              <w:rPr>
                <w:rFonts w:hint="default" w:ascii="Times New Roman" w:hAnsi="Times New Roman" w:eastAsia="宋体" w:cs="Times New Roman"/>
                <w:color w:val="auto"/>
                <w:kern w:val="0"/>
                <w:sz w:val="24"/>
                <w:szCs w:val="24"/>
              </w:rPr>
              <w:t>交通便利等条件。项目周围没有风景名胜区、生态脆弱带等，故项目选址是合理的。</w:t>
            </w:r>
          </w:p>
          <w:p>
            <w:pPr>
              <w:adjustRightInd w:val="0"/>
              <w:snapToGrid w:val="0"/>
              <w:spacing w:line="360" w:lineRule="auto"/>
              <w:ind w:firstLine="480" w:firstLineChars="200"/>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（3）产业政策相符性分析</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cs="Times New Roman"/>
                <w:color w:val="auto"/>
                <w:sz w:val="24"/>
                <w:szCs w:val="24"/>
              </w:rPr>
            </w:pPr>
            <w:r>
              <w:rPr>
                <w:rFonts w:hint="default" w:ascii="Times New Roman" w:hAnsi="Times New Roman" w:cs="Times New Roman"/>
                <w:color w:val="auto"/>
                <w:kern w:val="0"/>
                <w:sz w:val="24"/>
                <w:szCs w:val="24"/>
                <w:lang w:val="en-US" w:eastAsia="zh-CN"/>
              </w:rPr>
              <w:t>本</w:t>
            </w:r>
            <w:r>
              <w:rPr>
                <w:rFonts w:hint="default" w:ascii="Times New Roman" w:hAnsi="Times New Roman" w:cs="Times New Roman"/>
                <w:color w:val="auto"/>
                <w:kern w:val="0"/>
                <w:sz w:val="24"/>
                <w:szCs w:val="24"/>
              </w:rPr>
              <w:t>项目主要</w:t>
            </w:r>
            <w:r>
              <w:rPr>
                <w:rFonts w:hint="default" w:ascii="Times New Roman" w:hAnsi="Times New Roman" w:cs="Times New Roman"/>
                <w:color w:val="auto"/>
                <w:kern w:val="0"/>
                <w:sz w:val="24"/>
                <w:szCs w:val="24"/>
                <w:lang w:val="en-US" w:eastAsia="zh-CN"/>
              </w:rPr>
              <w:t>从事</w:t>
            </w:r>
            <w:r>
              <w:rPr>
                <w:rFonts w:hint="default" w:ascii="Times New Roman" w:hAnsi="Times New Roman" w:cs="Times New Roman"/>
                <w:color w:val="auto"/>
                <w:sz w:val="24"/>
                <w:szCs w:val="24"/>
                <w:lang w:val="en-US" w:eastAsia="zh-CN"/>
              </w:rPr>
              <w:t>锂离子电池</w:t>
            </w:r>
            <w:r>
              <w:rPr>
                <w:rFonts w:hint="default" w:ascii="Times New Roman" w:hAnsi="Times New Roman" w:cs="Times New Roman"/>
                <w:color w:val="auto"/>
                <w:kern w:val="0"/>
                <w:sz w:val="24"/>
                <w:szCs w:val="24"/>
              </w:rPr>
              <w:t>的生产，属于《国民经济行业分类》中的“</w:t>
            </w:r>
            <w:r>
              <w:rPr>
                <w:rFonts w:hint="default" w:ascii="Times New Roman" w:hAnsi="Times New Roman" w:cs="Times New Roman"/>
                <w:color w:val="auto"/>
                <w:sz w:val="24"/>
              </w:rPr>
              <w:t>C3841锂离子电池制造</w:t>
            </w:r>
            <w:r>
              <w:rPr>
                <w:rFonts w:hint="default" w:ascii="Times New Roman" w:hAnsi="Times New Roman" w:cs="Times New Roman"/>
                <w:color w:val="auto"/>
                <w:kern w:val="0"/>
                <w:sz w:val="24"/>
                <w:szCs w:val="24"/>
              </w:rPr>
              <w:t>”。</w:t>
            </w:r>
            <w:r>
              <w:rPr>
                <w:rFonts w:hint="default" w:ascii="Times New Roman" w:hAnsi="Times New Roman" w:cs="Times New Roman"/>
                <w:color w:val="auto"/>
                <w:sz w:val="24"/>
                <w:szCs w:val="24"/>
              </w:rPr>
              <w:t>根据国家发改委发布的《产业结构调整指导目录（2019年本）》，本项目不属于明文规定限制、淘汰类产业项目，符合国家及地方产业政策的要求。</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rPr>
            </w:pPr>
            <w:r>
              <w:rPr>
                <w:rFonts w:hint="default" w:ascii="Times New Roman" w:hAnsi="Times New Roman" w:eastAsia="宋体" w:cs="Times New Roman"/>
                <w:color w:val="auto"/>
                <w:kern w:val="0"/>
                <w:sz w:val="24"/>
                <w:szCs w:val="24"/>
              </w:rPr>
              <w:t>根据《市场准入负面清单（202</w:t>
            </w:r>
            <w:r>
              <w:rPr>
                <w:rFonts w:hint="default" w:ascii="Times New Roman" w:hAnsi="Times New Roman" w:eastAsia="宋体" w:cs="Times New Roman"/>
                <w:color w:val="auto"/>
                <w:kern w:val="0"/>
                <w:sz w:val="24"/>
                <w:szCs w:val="24"/>
                <w:lang w:val="en-US" w:eastAsia="zh-CN"/>
              </w:rPr>
              <w:t>2</w:t>
            </w:r>
            <w:r>
              <w:rPr>
                <w:rFonts w:hint="default" w:ascii="Times New Roman" w:hAnsi="Times New Roman" w:eastAsia="宋体" w:cs="Times New Roman"/>
                <w:color w:val="auto"/>
                <w:kern w:val="0"/>
                <w:sz w:val="24"/>
                <w:szCs w:val="24"/>
              </w:rPr>
              <w:t>年版）》内容：对禁止准入事项，市场主体不得进入，行政机关不予审批、核准，不得办理有关手续；对许可准入事项，包括有关资格的要求和程序、技术标准和许可要求等，由市场主体提出申请，行政机关依法依规</w:t>
            </w:r>
            <w:r>
              <w:rPr>
                <w:rFonts w:hint="default" w:ascii="Times New Roman" w:hAnsi="Times New Roman" w:eastAsia="宋体" w:cs="Times New Roman"/>
                <w:color w:val="auto"/>
                <w:kern w:val="0"/>
                <w:sz w:val="24"/>
                <w:szCs w:val="24"/>
                <w:lang w:eastAsia="zh-CN"/>
              </w:rPr>
              <w:t>作出</w:t>
            </w:r>
            <w:r>
              <w:rPr>
                <w:rFonts w:hint="default" w:ascii="Times New Roman" w:hAnsi="Times New Roman" w:eastAsia="宋体" w:cs="Times New Roman"/>
                <w:color w:val="auto"/>
                <w:kern w:val="0"/>
                <w:sz w:val="24"/>
                <w:szCs w:val="24"/>
              </w:rPr>
              <w:t>是否予以准入的决定，或由市场主体依照政府规定的准入条件和准入方式合规进入；对市场准入负面清单以外的行业、领域、业务等，各类市场主体皆可依法平等进入。</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jc w:val="both"/>
              <w:textAlignment w:val="auto"/>
              <w:rPr>
                <w:rFonts w:hint="default" w:ascii="Times New Roman" w:hAnsi="Times New Roman" w:cs="Times New Roman"/>
                <w:color w:val="auto"/>
                <w:kern w:val="0"/>
                <w:sz w:val="24"/>
                <w:szCs w:val="24"/>
              </w:rPr>
            </w:pPr>
            <w:r>
              <w:rPr>
                <w:rFonts w:hint="default" w:ascii="Times New Roman" w:hAnsi="Times New Roman" w:eastAsia="宋体" w:cs="Times New Roman"/>
                <w:color w:val="auto"/>
                <w:kern w:val="0"/>
                <w:sz w:val="24"/>
                <w:szCs w:val="24"/>
              </w:rPr>
              <w:t>本项目属于“</w:t>
            </w:r>
            <w:r>
              <w:rPr>
                <w:rFonts w:hint="default" w:ascii="Times New Roman" w:hAnsi="Times New Roman" w:cs="Times New Roman"/>
                <w:color w:val="auto"/>
                <w:sz w:val="24"/>
              </w:rPr>
              <w:t>C3841锂离子电池制造</w:t>
            </w:r>
            <w:r>
              <w:rPr>
                <w:rFonts w:hint="default" w:ascii="Times New Roman" w:hAnsi="Times New Roman" w:eastAsia="宋体" w:cs="Times New Roman"/>
                <w:color w:val="auto"/>
                <w:kern w:val="0"/>
                <w:sz w:val="24"/>
                <w:szCs w:val="24"/>
              </w:rPr>
              <w:t>”，不属于《市场准入负面清单（202</w:t>
            </w:r>
            <w:r>
              <w:rPr>
                <w:rFonts w:hint="default" w:ascii="Times New Roman" w:hAnsi="Times New Roman" w:eastAsia="宋体" w:cs="Times New Roman"/>
                <w:color w:val="auto"/>
                <w:kern w:val="0"/>
                <w:sz w:val="24"/>
                <w:szCs w:val="24"/>
                <w:lang w:val="en-US" w:eastAsia="zh-CN"/>
              </w:rPr>
              <w:t>2</w:t>
            </w:r>
            <w:r>
              <w:rPr>
                <w:rFonts w:hint="default" w:ascii="Times New Roman" w:hAnsi="Times New Roman" w:eastAsia="宋体" w:cs="Times New Roman"/>
                <w:color w:val="auto"/>
                <w:kern w:val="0"/>
                <w:sz w:val="24"/>
                <w:szCs w:val="24"/>
              </w:rPr>
              <w:t>年版）》中禁止或需要许可的类别。因此，</w:t>
            </w:r>
            <w:r>
              <w:rPr>
                <w:rFonts w:hint="default" w:ascii="Times New Roman" w:hAnsi="Times New Roman" w:eastAsia="宋体" w:cs="Times New Roman"/>
                <w:color w:val="auto"/>
                <w:kern w:val="0"/>
                <w:sz w:val="24"/>
                <w:szCs w:val="24"/>
                <w:lang w:val="en-US" w:eastAsia="zh-CN"/>
              </w:rPr>
              <w:t>本</w:t>
            </w:r>
            <w:r>
              <w:rPr>
                <w:rFonts w:hint="default" w:ascii="Times New Roman" w:hAnsi="Times New Roman" w:eastAsia="宋体" w:cs="Times New Roman"/>
                <w:color w:val="auto"/>
                <w:kern w:val="0"/>
                <w:sz w:val="24"/>
                <w:szCs w:val="24"/>
              </w:rPr>
              <w:t>项目符合《市场准入负面清单（202</w:t>
            </w:r>
            <w:r>
              <w:rPr>
                <w:rFonts w:hint="default" w:ascii="Times New Roman" w:hAnsi="Times New Roman" w:eastAsia="宋体" w:cs="Times New Roman"/>
                <w:color w:val="auto"/>
                <w:kern w:val="0"/>
                <w:sz w:val="24"/>
                <w:szCs w:val="24"/>
                <w:lang w:val="en-US" w:eastAsia="zh-CN"/>
              </w:rPr>
              <w:t>2</w:t>
            </w:r>
            <w:r>
              <w:rPr>
                <w:rFonts w:hint="default" w:ascii="Times New Roman" w:hAnsi="Times New Roman" w:eastAsia="宋体" w:cs="Times New Roman"/>
                <w:color w:val="auto"/>
                <w:kern w:val="0"/>
                <w:sz w:val="24"/>
                <w:szCs w:val="24"/>
              </w:rPr>
              <w:t>年版）》的相关规定。</w:t>
            </w:r>
          </w:p>
          <w:p>
            <w:pPr>
              <w:pStyle w:val="27"/>
              <w:adjustRightInd w:val="0"/>
              <w:spacing w:before="0" w:beforeAutospacing="0" w:after="0" w:afterAutospacing="0" w:line="360" w:lineRule="auto"/>
              <w:ind w:firstLine="482" w:firstLineChars="200"/>
              <w:jc w:val="both"/>
              <w:rPr>
                <w:rFonts w:hint="default" w:ascii="Times New Roman" w:hAnsi="Times New Roman" w:cs="Times New Roman"/>
                <w:b/>
                <w:color w:val="auto"/>
                <w:kern w:val="2"/>
                <w:sz w:val="24"/>
                <w:szCs w:val="24"/>
                <w:lang w:val="en-US" w:eastAsia="zh-CN"/>
              </w:rPr>
            </w:pPr>
            <w:r>
              <w:rPr>
                <w:rFonts w:hint="default" w:ascii="Times New Roman" w:hAnsi="Times New Roman" w:cs="Times New Roman"/>
                <w:b/>
                <w:color w:val="auto"/>
                <w:kern w:val="2"/>
                <w:sz w:val="24"/>
                <w:szCs w:val="24"/>
                <w:lang w:val="en-US" w:eastAsia="zh-CN"/>
              </w:rPr>
              <w:t>3、与《广东省水污染防治条例》（2021年1月1日实施）的相符性分析</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根据《广东省水污染防治条例》（2021年1月1日实施）摘录：</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第四十三条 在饮用水水源保护区内禁止下列行为：</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（一）设置排污口；</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（二）设置油类及其他有毒有害物品的储存罐、仓库、堆栈和废弃物回收场、加工场；</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（三）排放、倾倒、堆放、处置剧毒物品、放射性物质以及油类、酸碱类物质、工业废渣、生活垃圾、医疗废物及其他废弃物；</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（四）从事船舶制造、修理、拆解作业；</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（五）利用码头等设施或者船舶装卸油类、垃圾、粪便、煤、有毒有害物品；</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（六）利用船舶运输剧毒物品、危险废物以及国家规定禁止运输的其他危险化学品；</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（七）运输剧毒物品的车辆通行；</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（八）其他污染饮用水水源的行为。</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除前款规定外，饮用水水源一级保护区内还不得停泊与保护水源无关的船舶、木排、竹排，不得从事网箱养殖、旅游、游泳、垂钓、放养畜禽活动或者其他可能污染饮用水水体的活动。</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在饮用水水源二级保护区内从事网箱养殖、旅游等活动的，应当按照规定采取措施，防止污染饮用水水体。</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val="0"/>
                <w:bCs/>
                <w:color w:val="auto"/>
                <w:kern w:val="2"/>
                <w:sz w:val="24"/>
                <w:szCs w:val="24"/>
                <w:lang w:val="en-US" w:eastAsia="zh-CN"/>
              </w:rPr>
            </w:pPr>
            <w:r>
              <w:rPr>
                <w:rFonts w:hint="default" w:ascii="Times New Roman" w:hAnsi="Times New Roman" w:cs="Times New Roman"/>
                <w:b w:val="0"/>
                <w:bCs/>
                <w:color w:val="auto"/>
                <w:kern w:val="2"/>
                <w:sz w:val="24"/>
                <w:szCs w:val="24"/>
                <w:lang w:val="en-US" w:eastAsia="zh-CN"/>
              </w:rPr>
              <w:t>第四十四条 禁止在饮用水水源一级保护区内新建、改建、扩建与供水设施和保护水源无关的建设项目；已建成的与供水设施和保护水源无关的建设项目由县级以上人民政府责令拆除或者关闭。</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color w:val="auto"/>
              </w:rPr>
            </w:pPr>
            <w:r>
              <w:rPr>
                <w:rFonts w:hint="default" w:ascii="Times New Roman" w:hAnsi="Times New Roman" w:cs="Times New Roman"/>
                <w:b w:val="0"/>
                <w:bCs/>
                <w:color w:val="auto"/>
                <w:kern w:val="2"/>
                <w:sz w:val="24"/>
                <w:szCs w:val="24"/>
                <w:lang w:val="en-US" w:eastAsia="zh-CN"/>
              </w:rPr>
              <w:t>禁止在饮用水水源二级保护区内新建、改建、扩建排放污染物的建设项目；已建成的排放污染物的建设项目由县级以上人民政府责令拆除或者关闭；不排放污染物的建设项目，除与供水设施和保护水源有关的外，应当尽量避让饮用水水源二级保护区；经组织论证确实无法避让的，应当依法严格审批。经依法批准的建设项目，应当严格落实工程设计方案，并根据项目类型和环境风险防控需要，提高施工和运营期间的环境风险防控、突发环境事件应急处置等各项措施的等级。有关主管部门应当加强对建设项目施工、运营期间环境风险预警和防控工作的监督和指导。</w:t>
            </w:r>
          </w:p>
          <w:p>
            <w:pPr>
              <w:pStyle w:val="27"/>
              <w:adjustRightInd w:val="0"/>
              <w:spacing w:before="0" w:beforeAutospacing="0" w:after="0" w:afterAutospacing="0" w:line="360" w:lineRule="auto"/>
              <w:ind w:firstLine="480" w:firstLineChars="200"/>
              <w:jc w:val="both"/>
              <w:rPr>
                <w:rFonts w:hint="default" w:ascii="Times New Roman" w:hAnsi="Times New Roman" w:eastAsia="宋体" w:cs="Times New Roman"/>
                <w:b w:val="0"/>
                <w:bCs/>
                <w:color w:val="auto"/>
                <w:kern w:val="2"/>
                <w:sz w:val="24"/>
                <w:szCs w:val="24"/>
                <w:lang w:val="en-US" w:eastAsia="zh-CN"/>
              </w:rPr>
            </w:pPr>
            <w:r>
              <w:rPr>
                <w:rFonts w:hint="default" w:ascii="Times New Roman" w:hAnsi="Times New Roman" w:eastAsia="宋体" w:cs="Times New Roman"/>
                <w:b w:val="0"/>
                <w:bCs/>
                <w:color w:val="auto"/>
                <w:kern w:val="2"/>
                <w:sz w:val="24"/>
                <w:szCs w:val="24"/>
                <w:lang w:val="en-US" w:eastAsia="zh-CN"/>
              </w:rPr>
              <w:t>第五十条 新建、改建、扩建的项目应当符合国家产业政策规定。</w:t>
            </w:r>
          </w:p>
          <w:p>
            <w:pPr>
              <w:pStyle w:val="27"/>
              <w:adjustRightInd w:val="0"/>
              <w:spacing w:before="0" w:beforeAutospacing="0" w:after="0" w:afterAutospacing="0" w:line="360" w:lineRule="auto"/>
              <w:ind w:firstLine="480" w:firstLineChars="200"/>
              <w:jc w:val="both"/>
              <w:rPr>
                <w:rFonts w:hint="default" w:ascii="Times New Roman" w:hAnsi="Times New Roman" w:eastAsia="宋体" w:cs="Times New Roman"/>
                <w:b w:val="0"/>
                <w:bCs/>
                <w:color w:val="auto"/>
                <w:kern w:val="2"/>
                <w:sz w:val="24"/>
                <w:szCs w:val="24"/>
                <w:lang w:val="en-US" w:eastAsia="zh-CN"/>
              </w:rPr>
            </w:pPr>
            <w:r>
              <w:rPr>
                <w:rFonts w:hint="default" w:ascii="Times New Roman" w:hAnsi="Times New Roman" w:eastAsia="宋体" w:cs="Times New Roman"/>
                <w:b w:val="0"/>
                <w:bCs/>
                <w:color w:val="auto"/>
                <w:kern w:val="2"/>
                <w:sz w:val="24"/>
                <w:szCs w:val="24"/>
                <w:lang w:val="en-US" w:eastAsia="zh-CN"/>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pStyle w:val="27"/>
              <w:adjustRightInd w:val="0"/>
              <w:spacing w:before="0" w:beforeAutospacing="0" w:after="0" w:afterAutospacing="0" w:line="360" w:lineRule="auto"/>
              <w:ind w:firstLine="480" w:firstLineChars="200"/>
              <w:jc w:val="both"/>
              <w:rPr>
                <w:rFonts w:hint="default" w:ascii="Times New Roman" w:hAnsi="Times New Roman" w:eastAsia="宋体" w:cs="Times New Roman"/>
                <w:b w:val="0"/>
                <w:bCs/>
                <w:color w:val="auto"/>
                <w:kern w:val="2"/>
                <w:sz w:val="24"/>
                <w:szCs w:val="24"/>
                <w:lang w:val="en-US" w:eastAsia="zh-CN"/>
              </w:rPr>
            </w:pPr>
            <w:r>
              <w:rPr>
                <w:rFonts w:hint="default" w:ascii="Times New Roman" w:hAnsi="Times New Roman" w:eastAsia="宋体" w:cs="Times New Roman"/>
                <w:b w:val="0"/>
                <w:bCs/>
                <w:color w:val="auto"/>
                <w:kern w:val="2"/>
                <w:sz w:val="24"/>
                <w:szCs w:val="24"/>
                <w:lang w:val="en-US" w:eastAsia="zh-CN"/>
              </w:rPr>
              <w:t>北江流域实行重金属污染物排放总量控制，严格控制新建涉重金属排放的项目，新建、改建、扩建的项目严格实行重金属等特征污染物排放减量置换。</w:t>
            </w:r>
          </w:p>
          <w:p>
            <w:pPr>
              <w:pStyle w:val="27"/>
              <w:adjustRightInd w:val="0"/>
              <w:spacing w:before="0" w:beforeAutospacing="0" w:after="0" w:afterAutospacing="0" w:line="360" w:lineRule="auto"/>
              <w:ind w:firstLine="482" w:firstLineChars="200"/>
              <w:jc w:val="both"/>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bCs/>
                <w:color w:val="auto"/>
                <w:sz w:val="24"/>
                <w:szCs w:val="24"/>
                <w:lang w:val="en-US" w:eastAsia="zh-CN"/>
              </w:rPr>
              <w:t>相符性分析：</w:t>
            </w:r>
            <w:r>
              <w:rPr>
                <w:rFonts w:hint="default" w:ascii="Times New Roman" w:hAnsi="Times New Roman" w:cs="Times New Roman"/>
                <w:b w:val="0"/>
                <w:bCs w:val="0"/>
                <w:color w:val="auto"/>
                <w:sz w:val="24"/>
                <w:szCs w:val="24"/>
              </w:rPr>
              <w:t>本项目位于</w:t>
            </w:r>
            <w:r>
              <w:rPr>
                <w:rFonts w:hint="default" w:ascii="Times New Roman" w:hAnsi="Times New Roman" w:cs="Times New Roman"/>
                <w:color w:val="auto"/>
                <w:sz w:val="24"/>
                <w:lang w:val="en-US" w:eastAsia="zh-CN"/>
              </w:rPr>
              <w:t>惠州市</w:t>
            </w:r>
            <w:r>
              <w:rPr>
                <w:rFonts w:hint="default" w:ascii="Times New Roman" w:hAnsi="Times New Roman" w:cs="Times New Roman"/>
                <w:color w:val="auto"/>
                <w:sz w:val="24"/>
              </w:rPr>
              <w:t>博罗县园洲镇上南村市场中路</w:t>
            </w:r>
            <w:r>
              <w:rPr>
                <w:rFonts w:hint="default" w:ascii="Times New Roman" w:hAnsi="Times New Roman" w:cs="Times New Roman"/>
                <w:b w:val="0"/>
                <w:bCs w:val="0"/>
                <w:color w:val="auto"/>
                <w:sz w:val="24"/>
                <w:szCs w:val="24"/>
              </w:rPr>
              <w:t>，</w:t>
            </w:r>
            <w:r>
              <w:rPr>
                <w:rFonts w:hint="default" w:ascii="Times New Roman" w:hAnsi="Times New Roman" w:cs="Times New Roman"/>
                <w:b w:val="0"/>
                <w:bCs/>
                <w:color w:val="auto"/>
                <w:kern w:val="2"/>
                <w:sz w:val="24"/>
                <w:szCs w:val="24"/>
                <w:lang w:val="en-US" w:eastAsia="zh-CN"/>
              </w:rPr>
              <w:t>根据《广东省人民政府关于调整惠州市部分饮用水水源保护区的批复》（粤府函〔2019〕270号）和《关于惠州市乡镇级及以下集中式饮用水源保护区划定（调整）方案的批复》（惠府函〔2020〕317号），项目所在地不属于惠州市水源保护区。</w:t>
            </w:r>
            <w:r>
              <w:rPr>
                <w:rFonts w:hint="default" w:ascii="Times New Roman" w:hAnsi="Times New Roman" w:cs="Times New Roman"/>
                <w:b w:val="0"/>
                <w:bCs/>
                <w:color w:val="auto"/>
                <w:kern w:val="2"/>
                <w:sz w:val="24"/>
                <w:szCs w:val="24"/>
                <w:lang w:val="en-US" w:eastAsia="zh-CN"/>
              </w:rPr>
              <w:t>本项目</w:t>
            </w:r>
            <w:r>
              <w:rPr>
                <w:rFonts w:hint="default" w:ascii="Times New Roman" w:hAnsi="Times New Roman" w:cs="Times New Roman"/>
                <w:b w:val="0"/>
                <w:bCs w:val="0"/>
                <w:color w:val="auto"/>
                <w:sz w:val="24"/>
                <w:szCs w:val="24"/>
              </w:rPr>
              <w:t>属于</w:t>
            </w:r>
            <w:r>
              <w:rPr>
                <w:rFonts w:hint="default" w:ascii="Times New Roman" w:hAnsi="Times New Roman" w:cs="Times New Roman"/>
                <w:b w:val="0"/>
                <w:bCs w:val="0"/>
                <w:color w:val="auto"/>
                <w:sz w:val="24"/>
                <w:szCs w:val="24"/>
                <w:lang w:val="en-US" w:eastAsia="zh-CN"/>
              </w:rPr>
              <w:t>新建项目</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lang w:val="en-US" w:eastAsia="zh-CN"/>
              </w:rPr>
              <w:t>主要从事锂离子电池生产，不涉及电镀、磷化、酸洗等工艺，生产过程中不使用汞、砷、镉等原辅料，不属于铬盐、钛白粉、炼铍、纸浆制造等严重污染水环境的项目</w:t>
            </w:r>
            <w:r>
              <w:rPr>
                <w:rFonts w:hint="default" w:ascii="Times New Roman" w:hAnsi="Times New Roman" w:cs="Times New Roman"/>
                <w:b w:val="0"/>
                <w:bCs w:val="0"/>
                <w:color w:val="auto"/>
                <w:sz w:val="24"/>
                <w:szCs w:val="24"/>
                <w:lang w:val="en-US" w:eastAsia="zh-CN"/>
              </w:rPr>
              <w:t>；项目所在区域已完成雨污分流，项目</w:t>
            </w:r>
            <w:r>
              <w:rPr>
                <w:rFonts w:hint="default" w:ascii="Times New Roman" w:hAnsi="Times New Roman" w:cs="Times New Roman"/>
                <w:color w:val="auto"/>
                <w:sz w:val="24"/>
                <w:szCs w:val="24"/>
                <w:lang w:val="en-US" w:eastAsia="zh-CN"/>
              </w:rPr>
              <w:t>生活污水经</w:t>
            </w:r>
            <w:r>
              <w:rPr>
                <w:rFonts w:hint="default" w:ascii="Times New Roman" w:hAnsi="Times New Roman" w:cs="Times New Roman"/>
                <w:color w:val="auto"/>
                <w:sz w:val="24"/>
                <w:szCs w:val="24"/>
              </w:rPr>
              <w:t>三级化粪池</w:t>
            </w:r>
            <w:r>
              <w:rPr>
                <w:rFonts w:hint="eastAsia" w:cs="Times New Roman"/>
                <w:color w:val="auto"/>
                <w:sz w:val="24"/>
                <w:szCs w:val="24"/>
                <w:lang w:val="en-US" w:eastAsia="zh-CN"/>
              </w:rPr>
              <w:t>+接触氧化池</w:t>
            </w:r>
            <w:r>
              <w:rPr>
                <w:rFonts w:hint="default" w:ascii="Times New Roman" w:hAnsi="Times New Roman" w:cs="Times New Roman"/>
                <w:color w:val="auto"/>
                <w:sz w:val="24"/>
                <w:szCs w:val="24"/>
                <w:lang w:val="en-US" w:eastAsia="zh-CN"/>
              </w:rPr>
              <w:t>预处理后经市政污水管网排入</w:t>
            </w:r>
            <w:r>
              <w:rPr>
                <w:rFonts w:hint="eastAsia" w:ascii="Times New Roman" w:hAnsi="Times New Roman" w:cs="Times New Roman"/>
                <w:color w:val="auto"/>
                <w:szCs w:val="21"/>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sz w:val="24"/>
                <w:szCs w:val="24"/>
                <w:lang w:val="en-US" w:eastAsia="zh-CN"/>
              </w:rPr>
              <w:t>进行处理</w:t>
            </w:r>
            <w:r>
              <w:rPr>
                <w:rFonts w:hint="default" w:ascii="Times New Roman" w:hAnsi="Times New Roman" w:cs="Times New Roman"/>
                <w:b w:val="0"/>
                <w:bCs w:val="0"/>
                <w:color w:val="auto"/>
                <w:sz w:val="24"/>
                <w:szCs w:val="24"/>
              </w:rPr>
              <w:t>。</w:t>
            </w:r>
          </w:p>
          <w:p>
            <w:pPr>
              <w:pStyle w:val="27"/>
              <w:adjustRightInd w:val="0"/>
              <w:spacing w:before="0" w:beforeAutospacing="0" w:after="0" w:afterAutospacing="0" w:line="360" w:lineRule="auto"/>
              <w:ind w:firstLine="480" w:firstLineChars="200"/>
              <w:jc w:val="both"/>
              <w:rPr>
                <w:rFonts w:hint="default" w:ascii="Times New Roman" w:hAnsi="Times New Roman" w:cs="Times New Roman"/>
                <w:b/>
                <w:color w:val="auto"/>
                <w:kern w:val="2"/>
                <w:sz w:val="24"/>
                <w:szCs w:val="24"/>
                <w:lang w:val="en-US" w:eastAsia="zh-CN"/>
              </w:rPr>
            </w:pPr>
            <w:r>
              <w:rPr>
                <w:rFonts w:hint="default" w:ascii="Times New Roman" w:hAnsi="Times New Roman" w:cs="Times New Roman"/>
                <w:b w:val="0"/>
                <w:bCs w:val="0"/>
                <w:color w:val="auto"/>
                <w:sz w:val="24"/>
                <w:szCs w:val="24"/>
              </w:rPr>
              <w:t>因此，项目符合《广东省水污染防治条例》（</w:t>
            </w:r>
            <w:r>
              <w:rPr>
                <w:rFonts w:hint="default" w:ascii="Times New Roman" w:hAnsi="Times New Roman" w:cs="Times New Roman"/>
                <w:b w:val="0"/>
                <w:bCs/>
                <w:color w:val="auto"/>
                <w:kern w:val="2"/>
                <w:sz w:val="24"/>
                <w:szCs w:val="24"/>
                <w:lang w:val="en-US" w:eastAsia="zh-CN"/>
              </w:rPr>
              <w:t>2021年1月1日实施</w:t>
            </w:r>
            <w:r>
              <w:rPr>
                <w:rFonts w:hint="default" w:ascii="Times New Roman" w:hAnsi="Times New Roman" w:cs="Times New Roman"/>
                <w:b w:val="0"/>
                <w:bCs w:val="0"/>
                <w:color w:val="auto"/>
                <w:sz w:val="24"/>
                <w:szCs w:val="24"/>
              </w:rPr>
              <w:t>）</w:t>
            </w:r>
            <w:r>
              <w:rPr>
                <w:rFonts w:hint="default" w:ascii="Times New Roman" w:hAnsi="Times New Roman" w:cs="Times New Roman"/>
                <w:b w:val="0"/>
                <w:bCs/>
                <w:color w:val="auto"/>
                <w:kern w:val="2"/>
                <w:sz w:val="24"/>
                <w:szCs w:val="24"/>
                <w:lang w:val="en-US" w:eastAsia="zh-CN"/>
              </w:rPr>
              <w:t>的</w:t>
            </w:r>
            <w:r>
              <w:rPr>
                <w:rFonts w:hint="default" w:ascii="Times New Roman" w:hAnsi="Times New Roman" w:cs="Times New Roman"/>
                <w:b w:val="0"/>
                <w:bCs w:val="0"/>
                <w:color w:val="auto"/>
                <w:sz w:val="24"/>
                <w:szCs w:val="24"/>
              </w:rPr>
              <w:t>要求</w:t>
            </w:r>
            <w:r>
              <w:rPr>
                <w:rFonts w:hint="default" w:ascii="Times New Roman" w:hAnsi="Times New Roman" w:cs="Times New Roman"/>
                <w:b w:val="0"/>
                <w:bCs w:val="0"/>
                <w:color w:val="auto"/>
                <w:sz w:val="24"/>
                <w:szCs w:val="24"/>
                <w:lang w:eastAsia="zh-CN"/>
              </w:rPr>
              <w:t>。</w:t>
            </w:r>
          </w:p>
          <w:p>
            <w:pPr>
              <w:widowControl/>
              <w:spacing w:line="360" w:lineRule="auto"/>
              <w:ind w:firstLine="482" w:firstLineChars="200"/>
              <w:jc w:val="both"/>
              <w:rPr>
                <w:rFonts w:hint="default" w:ascii="Times New Roman" w:hAnsi="Times New Roman" w:cs="Times New Roman"/>
                <w:b/>
                <w:bCs/>
                <w:color w:val="auto"/>
                <w:kern w:val="0"/>
                <w:sz w:val="24"/>
                <w:szCs w:val="24"/>
                <w:lang w:bidi="ar"/>
              </w:rPr>
            </w:pPr>
            <w:r>
              <w:rPr>
                <w:rFonts w:hint="default" w:ascii="Times New Roman" w:hAnsi="Times New Roman" w:cs="Times New Roman"/>
                <w:b/>
                <w:bCs/>
                <w:color w:val="auto"/>
                <w:kern w:val="0"/>
                <w:sz w:val="24"/>
                <w:szCs w:val="24"/>
                <w:lang w:val="en-US" w:eastAsia="zh-CN" w:bidi="ar"/>
              </w:rPr>
              <w:t>4、</w:t>
            </w:r>
            <w:r>
              <w:rPr>
                <w:rFonts w:hint="default" w:ascii="Times New Roman" w:hAnsi="Times New Roman" w:cs="Times New Roman"/>
                <w:b/>
                <w:bCs/>
                <w:color w:val="auto"/>
                <w:kern w:val="0"/>
                <w:sz w:val="24"/>
                <w:szCs w:val="24"/>
                <w:lang w:bidi="ar"/>
              </w:rPr>
              <w:t>与《关于严格限制东江流域水污染项目建设进一步做好东江水质保护工作的通知》（粤府函</w:t>
            </w:r>
            <w:r>
              <w:rPr>
                <w:rFonts w:hint="default" w:ascii="Times New Roman" w:hAnsi="Times New Roman" w:cs="Times New Roman"/>
                <w:b/>
                <w:bCs/>
                <w:color w:val="auto"/>
                <w:kern w:val="0"/>
                <w:sz w:val="24"/>
                <w:szCs w:val="24"/>
                <w:lang w:eastAsia="zh-CN" w:bidi="ar"/>
              </w:rPr>
              <w:t>〔</w:t>
            </w:r>
            <w:r>
              <w:rPr>
                <w:rFonts w:hint="default" w:ascii="Times New Roman" w:hAnsi="Times New Roman" w:cs="Times New Roman"/>
                <w:b/>
                <w:bCs/>
                <w:color w:val="auto"/>
                <w:kern w:val="0"/>
                <w:sz w:val="24"/>
                <w:szCs w:val="24"/>
                <w:lang w:bidi="ar"/>
              </w:rPr>
              <w:t>2011</w:t>
            </w:r>
            <w:r>
              <w:rPr>
                <w:rFonts w:hint="default" w:ascii="Times New Roman" w:hAnsi="Times New Roman" w:cs="Times New Roman"/>
                <w:b/>
                <w:bCs/>
                <w:color w:val="auto"/>
                <w:kern w:val="0"/>
                <w:sz w:val="24"/>
                <w:szCs w:val="24"/>
                <w:lang w:eastAsia="zh-CN" w:bidi="ar"/>
              </w:rPr>
              <w:t>〕</w:t>
            </w:r>
            <w:r>
              <w:rPr>
                <w:rFonts w:hint="default" w:ascii="Times New Roman" w:hAnsi="Times New Roman" w:cs="Times New Roman"/>
                <w:b/>
                <w:bCs/>
                <w:color w:val="auto"/>
                <w:kern w:val="0"/>
                <w:sz w:val="24"/>
                <w:szCs w:val="24"/>
                <w:lang w:bidi="ar"/>
              </w:rPr>
              <w:t>339号）及《广东省人民政府关于严格限制东江流域水污染项目建设进一步做好东江水质保护工作的补充通知》（粤府函</w:t>
            </w:r>
            <w:r>
              <w:rPr>
                <w:rFonts w:hint="default" w:ascii="Times New Roman" w:hAnsi="Times New Roman" w:cs="Times New Roman"/>
                <w:b/>
                <w:bCs/>
                <w:color w:val="auto"/>
                <w:kern w:val="0"/>
                <w:sz w:val="24"/>
                <w:szCs w:val="24"/>
                <w:lang w:eastAsia="zh-CN" w:bidi="ar"/>
              </w:rPr>
              <w:t>〔</w:t>
            </w:r>
            <w:r>
              <w:rPr>
                <w:rFonts w:hint="default" w:ascii="Times New Roman" w:hAnsi="Times New Roman" w:cs="Times New Roman"/>
                <w:b/>
                <w:bCs/>
                <w:color w:val="auto"/>
                <w:kern w:val="0"/>
                <w:sz w:val="24"/>
                <w:szCs w:val="24"/>
                <w:lang w:bidi="ar"/>
              </w:rPr>
              <w:t>2013</w:t>
            </w:r>
            <w:r>
              <w:rPr>
                <w:rFonts w:hint="default" w:ascii="Times New Roman" w:hAnsi="Times New Roman" w:cs="Times New Roman"/>
                <w:b/>
                <w:bCs/>
                <w:color w:val="auto"/>
                <w:kern w:val="0"/>
                <w:sz w:val="24"/>
                <w:szCs w:val="24"/>
                <w:lang w:eastAsia="zh-CN" w:bidi="ar"/>
              </w:rPr>
              <w:t>〕</w:t>
            </w:r>
            <w:r>
              <w:rPr>
                <w:rFonts w:hint="default" w:ascii="Times New Roman" w:hAnsi="Times New Roman" w:cs="Times New Roman"/>
                <w:b/>
                <w:bCs/>
                <w:color w:val="auto"/>
                <w:kern w:val="0"/>
                <w:sz w:val="24"/>
                <w:szCs w:val="24"/>
                <w:lang w:bidi="ar"/>
              </w:rPr>
              <w:t>231号）的相关规定的相符性分析</w:t>
            </w:r>
          </w:p>
          <w:p>
            <w:pPr>
              <w:widowControl/>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kern w:val="0"/>
                <w:sz w:val="24"/>
                <w:szCs w:val="24"/>
                <w:lang w:bidi="ar"/>
              </w:rPr>
              <w:t>（一）根据《关于限制东江流域水污染项目建设进一步做好东江</w:t>
            </w:r>
            <w:r>
              <w:rPr>
                <w:rFonts w:hint="default" w:ascii="Times New Roman" w:hAnsi="Times New Roman" w:cs="Times New Roman"/>
                <w:b w:val="0"/>
                <w:bCs w:val="0"/>
                <w:color w:val="auto"/>
                <w:sz w:val="24"/>
                <w:szCs w:val="24"/>
              </w:rPr>
              <w:t>水质保护工作的通知》（粤府函</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2011</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339号），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w:t>
            </w:r>
          </w:p>
          <w:p>
            <w:pPr>
              <w:widowControl/>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widowControl/>
              <w:spacing w:line="360" w:lineRule="auto"/>
              <w:ind w:firstLine="480" w:firstLineChars="200"/>
              <w:jc w:val="left"/>
              <w:rPr>
                <w:rFonts w:hint="default" w:ascii="Times New Roman" w:hAnsi="Times New Roman" w:eastAsia="宋体" w:cs="Times New Roman"/>
                <w:b w:val="0"/>
                <w:bCs w:val="0"/>
                <w:color w:val="auto"/>
                <w:sz w:val="24"/>
                <w:szCs w:val="24"/>
                <w:lang w:eastAsia="zh-CN"/>
              </w:rPr>
            </w:pPr>
            <w:r>
              <w:rPr>
                <w:rFonts w:hint="default" w:ascii="Times New Roman" w:hAnsi="Times New Roman" w:cs="Times New Roman"/>
                <w:b w:val="0"/>
                <w:bCs w:val="0"/>
                <w:color w:val="auto"/>
                <w:sz w:val="24"/>
                <w:szCs w:val="24"/>
              </w:rPr>
              <w:t>（二）《广东省人民政府关于严格限制东江流域水污染项目建设进一步做好东江水质保护工作的补充通知》（粤府函</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2013</w:t>
            </w:r>
            <w:r>
              <w:rPr>
                <w:rFonts w:hint="default" w:ascii="Times New Roman" w:hAnsi="Times New Roman" w:cs="Times New Roman"/>
                <w:b w:val="0"/>
                <w:bCs w:val="0"/>
                <w:color w:val="auto"/>
                <w:sz w:val="24"/>
                <w:szCs w:val="24"/>
                <w:lang w:eastAsia="zh-CN"/>
              </w:rPr>
              <w:t>〕</w:t>
            </w:r>
            <w:r>
              <w:rPr>
                <w:rFonts w:hint="default" w:ascii="Times New Roman" w:hAnsi="Times New Roman" w:cs="Times New Roman"/>
                <w:b w:val="0"/>
                <w:bCs w:val="0"/>
                <w:color w:val="auto"/>
                <w:sz w:val="24"/>
                <w:szCs w:val="24"/>
              </w:rPr>
              <w:t>231号）</w:t>
            </w:r>
            <w:r>
              <w:rPr>
                <w:rFonts w:hint="default" w:ascii="Times New Roman" w:hAnsi="Times New Roman" w:cs="Times New Roman"/>
                <w:b w:val="0"/>
                <w:bCs w:val="0"/>
                <w:color w:val="auto"/>
                <w:sz w:val="24"/>
                <w:szCs w:val="24"/>
                <w:lang w:eastAsia="zh-CN"/>
              </w:rPr>
              <w:t>：</w:t>
            </w:r>
          </w:p>
          <w:p>
            <w:pPr>
              <w:widowControl/>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（1）增加东江一级支流沙河为流域严格控制污染项目建设的支流；</w:t>
            </w:r>
          </w:p>
          <w:p>
            <w:pPr>
              <w:widowControl/>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（2）符合下列条件之一的建设项目，不列入禁止建设和暂停审批范围：</w:t>
            </w:r>
          </w:p>
          <w:p>
            <w:pPr>
              <w:widowControl/>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①建设地点位于东江流域，但不排放废水或废水不排入东江及其支流，不会对东江水质和水环境安全构成影响的项目；</w:t>
            </w:r>
          </w:p>
          <w:p>
            <w:pPr>
              <w:widowControl/>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②通过提高清洁生产和污染防治水平，能够做到增产不</w:t>
            </w:r>
            <w:r>
              <w:rPr>
                <w:rFonts w:hint="default" w:ascii="Times New Roman" w:hAnsi="Times New Roman" w:cs="Times New Roman"/>
                <w:b w:val="0"/>
                <w:bCs w:val="0"/>
                <w:color w:val="auto"/>
                <w:sz w:val="24"/>
                <w:szCs w:val="24"/>
                <w:lang w:eastAsia="zh-CN"/>
              </w:rPr>
              <w:t>增</w:t>
            </w:r>
            <w:r>
              <w:rPr>
                <w:rFonts w:hint="default" w:ascii="Times New Roman" w:hAnsi="Times New Roman" w:cs="Times New Roman"/>
                <w:b w:val="0"/>
                <w:bCs w:val="0"/>
                <w:color w:val="auto"/>
                <w:sz w:val="24"/>
                <w:szCs w:val="24"/>
              </w:rPr>
              <w:t>污、增产减污、技改减污的改（扩）建项目及同流域内迁建减污项目；</w:t>
            </w:r>
          </w:p>
          <w:p>
            <w:pPr>
              <w:widowControl/>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③流域内拟迁入重污染行业统一规划、统一定点基地，且符合基地规划环评审查意见的建设项目。</w:t>
            </w:r>
          </w:p>
          <w:p>
            <w:pPr>
              <w:widowControl/>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（三）对《通知》附件―东江流域包含的主要行政区域‖作适当调整：</w:t>
            </w:r>
          </w:p>
          <w:p>
            <w:pPr>
              <w:widowControl/>
              <w:spacing w:line="360" w:lineRule="auto"/>
              <w:ind w:firstLine="480" w:firstLineChars="200"/>
              <w:jc w:val="left"/>
              <w:rPr>
                <w:rFonts w:hint="default" w:ascii="Times New Roman" w:hAnsi="Times New Roman" w:cs="Times New Roman"/>
                <w:b w:val="0"/>
                <w:bCs w:val="0"/>
                <w:color w:val="auto"/>
                <w:sz w:val="24"/>
                <w:szCs w:val="24"/>
              </w:rPr>
            </w:pPr>
            <w:r>
              <w:rPr>
                <w:rFonts w:hint="default" w:ascii="Times New Roman" w:hAnsi="Times New Roman" w:cs="Times New Roman"/>
                <w:b w:val="0"/>
                <w:bCs w:val="0"/>
                <w:color w:val="auto"/>
                <w:sz w:val="24"/>
                <w:szCs w:val="24"/>
              </w:rPr>
              <w:t>惠州市的适用区域调整为除大亚湾经济技术开发区和惠阳沿海区域、惠东沿海区域（稔山镇、吉隆镇、铁涌镇、平海镇、巽寮办事处）之外废水排入东江及其支流的全部范围。</w:t>
            </w:r>
          </w:p>
          <w:p>
            <w:pPr>
              <w:widowControl/>
              <w:spacing w:line="360" w:lineRule="auto"/>
              <w:ind w:firstLine="482" w:firstLineChars="200"/>
              <w:jc w:val="left"/>
              <w:rPr>
                <w:rFonts w:hint="default" w:ascii="Times New Roman" w:hAnsi="Times New Roman" w:cs="Times New Roman"/>
                <w:b w:val="0"/>
                <w:bCs w:val="0"/>
                <w:color w:val="auto"/>
                <w:sz w:val="24"/>
                <w:szCs w:val="24"/>
              </w:rPr>
            </w:pPr>
            <w:r>
              <w:rPr>
                <w:rFonts w:hint="default" w:ascii="Times New Roman" w:hAnsi="Times New Roman" w:eastAsia="宋体" w:cs="Times New Roman"/>
                <w:b/>
                <w:bCs/>
                <w:color w:val="auto"/>
                <w:sz w:val="24"/>
                <w:szCs w:val="24"/>
                <w:lang w:val="en-US" w:eastAsia="zh-CN"/>
              </w:rPr>
              <w:t>相符性分析：</w:t>
            </w:r>
            <w:r>
              <w:rPr>
                <w:rFonts w:hint="default" w:ascii="Times New Roman" w:hAnsi="Times New Roman" w:cs="Times New Roman"/>
                <w:b w:val="0"/>
                <w:bCs w:val="0"/>
                <w:color w:val="auto"/>
                <w:sz w:val="24"/>
                <w:szCs w:val="24"/>
              </w:rPr>
              <w:t>本项目</w:t>
            </w:r>
            <w:r>
              <w:rPr>
                <w:rFonts w:hint="default" w:ascii="Times New Roman" w:hAnsi="Times New Roman" w:cs="Times New Roman"/>
                <w:b w:val="0"/>
                <w:bCs w:val="0"/>
                <w:color w:val="auto"/>
                <w:sz w:val="24"/>
                <w:szCs w:val="24"/>
                <w:lang w:val="en-US" w:eastAsia="zh-CN"/>
              </w:rPr>
              <w:t>属于</w:t>
            </w:r>
            <w:r>
              <w:rPr>
                <w:rFonts w:hint="default" w:ascii="Times New Roman" w:hAnsi="Times New Roman" w:cs="Times New Roman"/>
                <w:color w:val="auto"/>
                <w:sz w:val="24"/>
              </w:rPr>
              <w:t>C3841锂离子电池制造</w:t>
            </w:r>
            <w:r>
              <w:rPr>
                <w:rFonts w:hint="default" w:ascii="Times New Roman" w:hAnsi="Times New Roman" w:cs="Times New Roman"/>
                <w:b w:val="0"/>
                <w:bCs w:val="0"/>
                <w:color w:val="auto"/>
                <w:sz w:val="24"/>
                <w:szCs w:val="24"/>
              </w:rPr>
              <w:t>，不涉及酸洗、磷化、陶化、电镀等表面处理工序，不属于上述禁止及暂停审批的行业和项目类型。</w:t>
            </w:r>
            <w:r>
              <w:rPr>
                <w:rFonts w:hint="default" w:ascii="Times New Roman" w:hAnsi="Times New Roman" w:cs="Times New Roman"/>
                <w:b w:val="0"/>
                <w:bCs w:val="0"/>
                <w:color w:val="auto"/>
                <w:sz w:val="24"/>
                <w:szCs w:val="24"/>
              </w:rPr>
              <w:t>项目</w:t>
            </w:r>
            <w:r>
              <w:rPr>
                <w:rFonts w:hint="default" w:ascii="Times New Roman" w:hAnsi="Times New Roman" w:cs="Times New Roman"/>
                <w:b w:val="0"/>
                <w:bCs w:val="0"/>
                <w:color w:val="auto"/>
                <w:sz w:val="24"/>
                <w:szCs w:val="24"/>
                <w:lang w:val="en-US" w:eastAsia="zh-CN"/>
              </w:rPr>
              <w:t>纯水制备浓水排入市政污水管网</w:t>
            </w:r>
            <w:r>
              <w:rPr>
                <w:rFonts w:hint="default" w:ascii="Times New Roman" w:hAnsi="Times New Roman" w:cs="Times New Roman"/>
                <w:b w:val="0"/>
                <w:bCs w:val="0"/>
                <w:color w:val="auto"/>
                <w:sz w:val="24"/>
                <w:szCs w:val="24"/>
                <w:lang w:val="en-US" w:eastAsia="zh-CN"/>
              </w:rPr>
              <w:t>；</w:t>
            </w:r>
            <w:r>
              <w:rPr>
                <w:rFonts w:hint="default" w:ascii="Times New Roman" w:hAnsi="Times New Roman" w:cs="Times New Roman"/>
                <w:b w:val="0"/>
                <w:bCs w:val="0"/>
                <w:color w:val="auto"/>
                <w:sz w:val="24"/>
                <w:szCs w:val="24"/>
              </w:rPr>
              <w:t>冷却水循环使用，定期补充新鲜水，不外排；</w:t>
            </w:r>
            <w:r>
              <w:rPr>
                <w:rFonts w:hint="default" w:ascii="Times New Roman" w:hAnsi="Times New Roman" w:cs="Times New Roman"/>
                <w:color w:val="auto"/>
                <w:sz w:val="24"/>
                <w:szCs w:val="24"/>
                <w:lang w:val="en-US" w:eastAsia="zh-CN"/>
              </w:rPr>
              <w:t>设备清洗废水、地面清洗废水作为危险废物交有危险废物资质单位处理；初期雨水经混凝沉淀处理后直接排入雨水管网</w:t>
            </w:r>
            <w:r>
              <w:rPr>
                <w:rFonts w:hint="default" w:ascii="Times New Roman" w:hAnsi="Times New Roman" w:cs="Times New Roman"/>
                <w:color w:val="auto"/>
                <w:sz w:val="24"/>
                <w:szCs w:val="24"/>
              </w:rPr>
              <w:t>。</w:t>
            </w:r>
            <w:r>
              <w:rPr>
                <w:rFonts w:hint="default" w:ascii="Times New Roman" w:hAnsi="Times New Roman" w:cs="Times New Roman"/>
                <w:b w:val="0"/>
                <w:bCs w:val="0"/>
                <w:color w:val="auto"/>
                <w:sz w:val="24"/>
                <w:szCs w:val="24"/>
                <w:lang w:val="en-US" w:eastAsia="zh-CN"/>
              </w:rPr>
              <w:t>项目</w:t>
            </w:r>
            <w:r>
              <w:rPr>
                <w:rFonts w:hint="default" w:ascii="Times New Roman" w:hAnsi="Times New Roman" w:cs="Times New Roman"/>
                <w:color w:val="auto"/>
                <w:sz w:val="24"/>
                <w:szCs w:val="24"/>
                <w:lang w:val="en-US" w:eastAsia="zh-CN"/>
              </w:rPr>
              <w:t>生活污水经</w:t>
            </w:r>
            <w:r>
              <w:rPr>
                <w:rFonts w:hint="default" w:ascii="Times New Roman" w:hAnsi="Times New Roman" w:cs="Times New Roman"/>
                <w:color w:val="auto"/>
                <w:sz w:val="24"/>
                <w:szCs w:val="24"/>
              </w:rPr>
              <w:t>三级化粪池</w:t>
            </w:r>
            <w:r>
              <w:rPr>
                <w:rFonts w:hint="eastAsia" w:cs="Times New Roman"/>
                <w:color w:val="auto"/>
                <w:sz w:val="24"/>
                <w:szCs w:val="24"/>
                <w:lang w:val="en-US" w:eastAsia="zh-CN"/>
              </w:rPr>
              <w:t>+接触氧化池</w:t>
            </w:r>
            <w:r>
              <w:rPr>
                <w:rFonts w:hint="default" w:ascii="Times New Roman" w:hAnsi="Times New Roman" w:cs="Times New Roman"/>
                <w:color w:val="auto"/>
                <w:sz w:val="24"/>
                <w:szCs w:val="24"/>
                <w:lang w:val="en-US" w:eastAsia="zh-CN"/>
              </w:rPr>
              <w:t>预处理后经市政污水管网排入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sz w:val="24"/>
                <w:szCs w:val="24"/>
                <w:lang w:val="en-US" w:eastAsia="zh-CN"/>
              </w:rPr>
              <w:t>进行处理</w:t>
            </w:r>
            <w:r>
              <w:rPr>
                <w:rFonts w:hint="default" w:ascii="Times New Roman" w:hAnsi="Times New Roman" w:cs="Times New Roman"/>
                <w:b w:val="0"/>
                <w:bCs w:val="0"/>
                <w:color w:val="auto"/>
                <w:sz w:val="24"/>
                <w:szCs w:val="24"/>
              </w:rPr>
              <w:t>。因此，本项目污水的排放符合《关于严格限制东江流域水污染项目建设进一步做好东江水质保护工作的通知》（粤府[2011]339号）及补充文件的相关规定。</w:t>
            </w:r>
          </w:p>
          <w:p>
            <w:pPr>
              <w:pStyle w:val="27"/>
              <w:adjustRightInd w:val="0"/>
              <w:spacing w:before="0" w:beforeAutospacing="0" w:after="0" w:afterAutospacing="0" w:line="360" w:lineRule="auto"/>
              <w:ind w:firstLine="482" w:firstLineChars="200"/>
              <w:jc w:val="both"/>
              <w:rPr>
                <w:rFonts w:hint="default" w:ascii="Times New Roman" w:hAnsi="Times New Roman" w:eastAsia="宋体" w:cs="Times New Roman"/>
                <w:color w:val="auto"/>
                <w:sz w:val="24"/>
                <w:szCs w:val="24"/>
              </w:rPr>
            </w:pPr>
            <w:r>
              <w:rPr>
                <w:rFonts w:hint="default" w:ascii="Times New Roman" w:hAnsi="Times New Roman" w:cs="Times New Roman"/>
                <w:b/>
                <w:color w:val="auto"/>
                <w:kern w:val="2"/>
                <w:sz w:val="24"/>
                <w:szCs w:val="24"/>
                <w:lang w:val="en-US" w:eastAsia="zh-CN"/>
              </w:rPr>
              <w:t>5、</w:t>
            </w:r>
            <w:r>
              <w:rPr>
                <w:rFonts w:hint="default" w:ascii="Times New Roman" w:hAnsi="Times New Roman" w:eastAsia="宋体" w:cs="Times New Roman"/>
                <w:b/>
                <w:bCs/>
                <w:color w:val="auto"/>
                <w:sz w:val="24"/>
                <w:szCs w:val="24"/>
              </w:rPr>
              <w:t>与《广东省大气污染防治条例》（2018年11月29日广东省第十三届人民代表大会常务委员会第七次会议通过）的相符性分析</w:t>
            </w:r>
          </w:p>
          <w:p>
            <w:pPr>
              <w:pStyle w:val="27"/>
              <w:adjustRightInd w:val="0"/>
              <w:spacing w:before="0" w:beforeAutospacing="0" w:after="0" w:afterAutospacing="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第三章 监督管理</w:t>
            </w:r>
          </w:p>
          <w:p>
            <w:pPr>
              <w:pStyle w:val="27"/>
              <w:adjustRightInd w:val="0"/>
              <w:spacing w:before="0" w:beforeAutospacing="0" w:after="0" w:afterAutospacing="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第十三条 新建、改建、扩建新增排放重点大气污染物的建设项目，建设单位应当在报批环境影响评价文件前按照规定向生态环境主管部门申请取得重点大气污染物排放总量控制指标。生态环境主管部门按照等量或者减量替代的原则核定重点大气污染物排放总量控制指标。</w:t>
            </w:r>
          </w:p>
          <w:p>
            <w:pPr>
              <w:pStyle w:val="27"/>
              <w:adjustRightInd w:val="0"/>
              <w:spacing w:before="0" w:beforeAutospacing="0" w:after="0" w:afterAutospacing="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第十六条 省人民政府应当制定并定期修订禁止新建、扩建的高污染工业项目名录和高污染工艺设备淘汰名录，并向社会公布。禁止新建、扩建列入名录的高污染工业项目。禁止使用列入淘汰名录的高污染工艺设备。淘汰的高污染工艺设备，不得转让给他人使用。地级以上市、县级人民政府应当组织制定本行政区域内现有高污染工业项目调整退出计划，并组织实施。</w:t>
            </w:r>
          </w:p>
          <w:p>
            <w:pPr>
              <w:pStyle w:val="27"/>
              <w:adjustRightInd w:val="0"/>
              <w:spacing w:before="0" w:beforeAutospacing="0" w:after="0" w:afterAutospacing="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第四章 工业污染防治</w:t>
            </w:r>
          </w:p>
          <w:p>
            <w:pPr>
              <w:pStyle w:val="27"/>
              <w:adjustRightInd w:val="0"/>
              <w:spacing w:before="0" w:beforeAutospacing="0" w:after="0" w:afterAutospacing="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第十七条 珠江三角洲区域禁止新建、扩建燃煤燃油火电机组或者企业燃煤燃油自备电站。珠江三角洲区域禁止新建、扩建国家规划外的钢铁、原油加工、乙烯生产、造纸、水泥、平板玻璃、除特种陶瓷以外的陶瓷、有色金属冶炼等大气重污染项目。</w:t>
            </w:r>
          </w:p>
          <w:p>
            <w:pPr>
              <w:pStyle w:val="27"/>
              <w:adjustRightInd w:val="0"/>
              <w:spacing w:before="0" w:beforeAutospacing="0" w:after="0" w:afterAutospacing="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第二十六条 新建、改建、扩建排放挥发性有机物的建设项目，应当使用污染防治先进可行技术。下列产生含挥发性有机物废气的生产和服务活动，应当优先使用低挥发性有机物含量的原材料和低排放环保工艺，在确保安全条件下，按照规定在密闭空间或者设备中进行，安装、使用满足防爆、防静电要求的治理效率高的污染防治设施；无法密闭或者不适宜密闭的，应当采取有效措施减少废气排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color w:val="auto"/>
                <w:kern w:val="0"/>
                <w:sz w:val="24"/>
                <w:szCs w:val="24"/>
              </w:rPr>
            </w:pPr>
            <w:r>
              <w:rPr>
                <w:rFonts w:hint="default" w:ascii="Times New Roman" w:hAnsi="Times New Roman" w:eastAsia="宋体" w:cs="Times New Roman"/>
                <w:b/>
                <w:bCs/>
                <w:color w:val="auto"/>
                <w:sz w:val="24"/>
                <w:szCs w:val="24"/>
                <w:lang w:val="en-US" w:eastAsia="zh-CN"/>
              </w:rPr>
              <w:t>相符性分析：</w:t>
            </w:r>
            <w:r>
              <w:rPr>
                <w:rFonts w:hint="default" w:ascii="Times New Roman" w:hAnsi="Times New Roman" w:cs="Times New Roman"/>
                <w:color w:val="auto"/>
                <w:sz w:val="24"/>
                <w:szCs w:val="24"/>
                <w:lang w:val="en-US" w:eastAsia="zh-CN"/>
              </w:rPr>
              <w:t>本</w:t>
            </w:r>
            <w:r>
              <w:rPr>
                <w:rFonts w:hint="default" w:ascii="Times New Roman" w:hAnsi="Times New Roman" w:cs="Times New Roman"/>
                <w:color w:val="auto"/>
                <w:sz w:val="24"/>
                <w:szCs w:val="24"/>
                <w:lang w:eastAsia="zh-CN"/>
              </w:rPr>
              <w:t>项目</w:t>
            </w:r>
            <w:r>
              <w:rPr>
                <w:rFonts w:hint="default" w:ascii="Times New Roman" w:hAnsi="Times New Roman" w:cs="Times New Roman"/>
                <w:color w:val="auto"/>
                <w:sz w:val="24"/>
                <w:szCs w:val="24"/>
                <w:lang w:val="en-US" w:eastAsia="zh-CN"/>
              </w:rPr>
              <w:t>主要从事锂离子电池的生产，不属于国家规划外的钢铁、原油加工、乙烯生产、造纸、水泥、平板玻璃、除特种陶瓷以外的陶瓷、有色金属冶炼等大气重污染项目。</w:t>
            </w:r>
            <w:r>
              <w:rPr>
                <w:rFonts w:hint="default" w:ascii="Times New Roman" w:hAnsi="Times New Roman" w:cs="Times New Roman"/>
                <w:b w:val="0"/>
                <w:bCs w:val="0"/>
                <w:color w:val="auto"/>
                <w:sz w:val="24"/>
                <w:szCs w:val="24"/>
              </w:rPr>
              <w:t>项目</w:t>
            </w:r>
            <w:r>
              <w:rPr>
                <w:rFonts w:hint="default" w:ascii="Times New Roman" w:hAnsi="Times New Roman" w:cs="Times New Roman"/>
                <w:color w:val="auto"/>
                <w:sz w:val="24"/>
                <w:lang w:val="en-US" w:eastAsia="zh-CN"/>
              </w:rPr>
              <w:t>烘干工序的初段与中段产生废气经冷凝装置处理后；再与涂布、烘干工序的尾段、注液工序、二封工序产生的有机废气</w:t>
            </w:r>
            <w:r>
              <w:rPr>
                <w:rFonts w:hint="eastAsia" w:ascii="Times New Roman" w:hAnsi="Times New Roman" w:cs="Times New Roman"/>
                <w:color w:val="auto"/>
                <w:sz w:val="24"/>
                <w:lang w:val="en-US" w:eastAsia="zh-CN"/>
              </w:rPr>
              <w:t>、投料工序产生的颗粒物</w:t>
            </w:r>
            <w:r>
              <w:rPr>
                <w:rFonts w:hint="default" w:ascii="Times New Roman" w:hAnsi="Times New Roman" w:cs="Times New Roman"/>
                <w:color w:val="auto"/>
                <w:sz w:val="24"/>
                <w:lang w:val="en-US" w:eastAsia="zh-CN"/>
              </w:rPr>
              <w:t>一同汇入集气干管，经“</w:t>
            </w:r>
            <w:r>
              <w:rPr>
                <w:rFonts w:hint="eastAsia" w:ascii="Times New Roman" w:hAnsi="Times New Roman" w:cs="Times New Roman"/>
                <w:color w:val="auto"/>
                <w:sz w:val="24"/>
                <w:lang w:val="en-US" w:eastAsia="zh-CN"/>
              </w:rPr>
              <w:t>布袋除尘器+</w:t>
            </w:r>
            <w:r>
              <w:rPr>
                <w:rFonts w:hint="default" w:ascii="Times New Roman" w:hAnsi="Times New Roman" w:cs="Times New Roman"/>
                <w:color w:val="auto"/>
                <w:sz w:val="24"/>
                <w:lang w:val="en-US" w:eastAsia="zh-CN"/>
              </w:rPr>
              <w:t>二级活性炭吸附装置”处理后</w:t>
            </w:r>
            <w:r>
              <w:rPr>
                <w:rFonts w:hint="default" w:ascii="Times New Roman" w:hAnsi="Times New Roman" w:cs="Times New Roman"/>
                <w:b w:val="0"/>
                <w:bCs w:val="0"/>
                <w:color w:val="auto"/>
                <w:sz w:val="24"/>
                <w:szCs w:val="24"/>
                <w:lang w:val="en-US" w:eastAsia="zh-CN"/>
              </w:rPr>
              <w:t>经</w:t>
            </w:r>
            <w:r>
              <w:rPr>
                <w:rFonts w:hint="eastAsia" w:ascii="Times New Roman" w:hAnsi="Times New Roman" w:cs="Times New Roman"/>
                <w:b w:val="0"/>
                <w:bCs w:val="0"/>
                <w:color w:val="auto"/>
                <w:sz w:val="24"/>
                <w:szCs w:val="24"/>
                <w:lang w:val="en-US" w:eastAsia="zh-CN"/>
              </w:rPr>
              <w:t>24</w:t>
            </w:r>
            <w:r>
              <w:rPr>
                <w:rFonts w:hint="default" w:ascii="Times New Roman" w:hAnsi="Times New Roman" w:cs="Times New Roman"/>
                <w:b w:val="0"/>
                <w:bCs w:val="0"/>
                <w:color w:val="auto"/>
                <w:sz w:val="24"/>
                <w:szCs w:val="24"/>
                <w:lang w:val="en-US" w:eastAsia="zh-CN"/>
              </w:rPr>
              <w:t>米排气筒</w:t>
            </w:r>
            <w:r>
              <w:rPr>
                <w:rFonts w:hint="default" w:ascii="Times New Roman" w:hAnsi="Times New Roman" w:cs="Times New Roman"/>
                <w:b w:val="0"/>
                <w:bCs w:val="0"/>
                <w:color w:val="auto"/>
                <w:sz w:val="24"/>
                <w:szCs w:val="24"/>
              </w:rPr>
              <w:t>达标排放</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lang w:val="en-US" w:eastAsia="zh-CN"/>
              </w:rPr>
              <w:t>不属于高污染工业项目。项目废气总量由惠州市生态环境局博罗分局进行分配。因此，项目符合《广东省大气污染防治条例》的要求。</w:t>
            </w:r>
          </w:p>
          <w:p>
            <w:pPr>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val="en-US" w:eastAsia="zh-CN"/>
              </w:rPr>
              <w:t>6</w:t>
            </w:r>
            <w:r>
              <w:rPr>
                <w:rFonts w:hint="default" w:ascii="Times New Roman" w:hAnsi="Times New Roman" w:cs="Times New Roman"/>
                <w:b/>
                <w:bCs/>
                <w:color w:val="auto"/>
                <w:sz w:val="24"/>
                <w:szCs w:val="24"/>
              </w:rPr>
              <w:t>、与《关于印发&lt;重点行业挥发性有机物综合治理方案&gt;的通知》（环大气[2019]53号）的相符性分析</w:t>
            </w:r>
          </w:p>
          <w:p>
            <w:pPr>
              <w:pStyle w:val="101"/>
              <w:ind w:firstLine="480"/>
              <w:rPr>
                <w:rFonts w:hint="default" w:ascii="Times New Roman" w:hAnsi="Times New Roman" w:cs="Times New Roman"/>
                <w:b w:val="0"/>
                <w:bCs w:val="0"/>
                <w:color w:val="auto"/>
                <w:szCs w:val="24"/>
              </w:rPr>
            </w:pPr>
            <w:r>
              <w:rPr>
                <w:rFonts w:hint="default" w:ascii="Times New Roman" w:hAnsi="Times New Roman" w:cs="Times New Roman"/>
                <w:b w:val="0"/>
                <w:bCs w:val="0"/>
                <w:color w:val="auto"/>
                <w:szCs w:val="24"/>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工业涂装、包装印刷等行业要加大源头替代力度；化工行业要推广使用低（无）VOCs含量、低反应活性的原辅材料，加快对芳香烃、含卤素有机化合物的绿色替代。企业应大力推广使用低VOCs含量木器涂料、车辆涂料、机械设备涂料、集装箱涂料以及建筑物和构筑物防护涂料等，在技术成熟的行业，推广使用低VOCs含量油墨和胶粘剂，重点区域到2020年年底前基本完成。鼓励加快低VOCs含量涂料、油墨、胶粘剂等研发和生产。</w:t>
            </w:r>
          </w:p>
          <w:p>
            <w:pPr>
              <w:pStyle w:val="101"/>
              <w:ind w:firstLine="480"/>
              <w:rPr>
                <w:rFonts w:hint="default" w:ascii="Times New Roman" w:hAnsi="Times New Roman" w:cs="Times New Roman"/>
                <w:b w:val="0"/>
                <w:bCs w:val="0"/>
                <w:color w:val="auto"/>
              </w:rPr>
            </w:pPr>
            <w:r>
              <w:rPr>
                <w:rFonts w:hint="default" w:ascii="Times New Roman" w:hAnsi="Times New Roman" w:cs="Times New Roman"/>
                <w:b w:val="0"/>
                <w:bCs w:val="0"/>
                <w:color w:val="auto"/>
                <w:szCs w:val="24"/>
              </w:rPr>
              <w:t>（二）</w:t>
            </w:r>
            <w:r>
              <w:rPr>
                <w:rFonts w:hint="default" w:ascii="Times New Roman" w:hAnsi="Times New Roman" w:cs="Times New Roman"/>
                <w:b w:val="0"/>
                <w:bCs w:val="0"/>
                <w:color w:val="auto"/>
              </w:rPr>
              <w:t>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p>
            <w:pPr>
              <w:autoSpaceDE w:val="0"/>
              <w:autoSpaceDN w:val="0"/>
              <w:adjustRightInd w:val="0"/>
              <w:snapToGrid w:val="0"/>
              <w:spacing w:line="360" w:lineRule="auto"/>
              <w:ind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相符性分析：</w:t>
            </w:r>
            <w:r>
              <w:rPr>
                <w:rFonts w:hint="default" w:ascii="Times New Roman" w:hAnsi="Times New Roman" w:cs="Times New Roman"/>
                <w:b w:val="0"/>
                <w:bCs w:val="0"/>
                <w:color w:val="auto"/>
                <w:sz w:val="24"/>
                <w:szCs w:val="24"/>
              </w:rPr>
              <w:t>项目</w:t>
            </w:r>
            <w:r>
              <w:rPr>
                <w:rFonts w:hint="default" w:ascii="Times New Roman" w:hAnsi="Times New Roman" w:cs="Times New Roman"/>
                <w:b w:val="0"/>
                <w:bCs w:val="0"/>
                <w:color w:val="auto"/>
                <w:sz w:val="24"/>
                <w:szCs w:val="24"/>
                <w:lang w:val="en-US" w:eastAsia="zh-CN"/>
              </w:rPr>
              <w:t>不涉及高</w:t>
            </w:r>
            <w:r>
              <w:rPr>
                <w:rFonts w:hint="default" w:ascii="Times New Roman" w:hAnsi="Times New Roman" w:eastAsia="宋体" w:cs="Times New Roman"/>
                <w:b w:val="0"/>
                <w:bCs w:val="0"/>
                <w:color w:val="auto"/>
                <w:sz w:val="24"/>
                <w:szCs w:val="24"/>
              </w:rPr>
              <w:t>VOCs</w:t>
            </w:r>
            <w:r>
              <w:rPr>
                <w:rFonts w:hint="default" w:ascii="Times New Roman" w:hAnsi="Times New Roman" w:eastAsia="宋体" w:cs="Times New Roman"/>
                <w:b w:val="0"/>
                <w:bCs w:val="0"/>
                <w:color w:val="auto"/>
                <w:sz w:val="24"/>
                <w:szCs w:val="24"/>
                <w:lang w:val="en-US" w:eastAsia="zh-CN"/>
              </w:rPr>
              <w:t>原辅料，项</w:t>
            </w:r>
            <w:r>
              <w:rPr>
                <w:rFonts w:hint="default" w:ascii="Times New Roman" w:hAnsi="Times New Roman" w:cs="Times New Roman"/>
                <w:b w:val="0"/>
                <w:bCs w:val="0"/>
                <w:color w:val="auto"/>
                <w:sz w:val="24"/>
                <w:szCs w:val="24"/>
                <w:lang w:val="en-US" w:eastAsia="zh-CN"/>
              </w:rPr>
              <w:t>目</w:t>
            </w:r>
            <w:r>
              <w:rPr>
                <w:rFonts w:hint="default" w:ascii="Times New Roman" w:hAnsi="Times New Roman" w:cs="Times New Roman"/>
                <w:b w:val="0"/>
                <w:bCs w:val="0"/>
                <w:color w:val="auto"/>
                <w:sz w:val="24"/>
                <w:szCs w:val="24"/>
              </w:rPr>
              <w:t>所使用的原料均由密闭桶/袋独立储存。</w:t>
            </w:r>
            <w:r>
              <w:rPr>
                <w:rFonts w:hint="default" w:ascii="Times New Roman" w:hAnsi="Times New Roman" w:cs="Times New Roman"/>
                <w:b w:val="0"/>
                <w:bCs w:val="0"/>
                <w:color w:val="auto"/>
                <w:sz w:val="24"/>
                <w:szCs w:val="24"/>
              </w:rPr>
              <w:t>项目</w:t>
            </w:r>
            <w:r>
              <w:rPr>
                <w:rFonts w:hint="default" w:ascii="Times New Roman" w:hAnsi="Times New Roman" w:cs="Times New Roman"/>
                <w:color w:val="auto"/>
                <w:sz w:val="24"/>
                <w:lang w:val="en-US" w:eastAsia="zh-CN"/>
              </w:rPr>
              <w:t>烘干工序的初段与中段产生废气经冷凝装置处理后；再与涂布、烘干工序的尾段、注液工序、二封工序产生的有机废气</w:t>
            </w:r>
            <w:r>
              <w:rPr>
                <w:rFonts w:hint="eastAsia" w:ascii="Times New Roman" w:hAnsi="Times New Roman" w:cs="Times New Roman"/>
                <w:color w:val="auto"/>
                <w:sz w:val="24"/>
                <w:lang w:val="en-US" w:eastAsia="zh-CN"/>
              </w:rPr>
              <w:t>、投料工序产生的颗粒物</w:t>
            </w:r>
            <w:r>
              <w:rPr>
                <w:rFonts w:hint="default" w:ascii="Times New Roman" w:hAnsi="Times New Roman" w:cs="Times New Roman"/>
                <w:color w:val="auto"/>
                <w:sz w:val="24"/>
                <w:lang w:val="en-US" w:eastAsia="zh-CN"/>
              </w:rPr>
              <w:t>一同汇入集气干管，经“</w:t>
            </w:r>
            <w:r>
              <w:rPr>
                <w:rFonts w:hint="eastAsia" w:ascii="Times New Roman" w:hAnsi="Times New Roman" w:cs="Times New Roman"/>
                <w:color w:val="auto"/>
                <w:sz w:val="24"/>
                <w:lang w:val="en-US" w:eastAsia="zh-CN"/>
              </w:rPr>
              <w:t>布袋除尘器+</w:t>
            </w:r>
            <w:r>
              <w:rPr>
                <w:rFonts w:hint="default" w:ascii="Times New Roman" w:hAnsi="Times New Roman" w:cs="Times New Roman"/>
                <w:color w:val="auto"/>
                <w:sz w:val="24"/>
                <w:lang w:val="en-US" w:eastAsia="zh-CN"/>
              </w:rPr>
              <w:t>二级活性炭吸附装置”处理后</w:t>
            </w:r>
            <w:r>
              <w:rPr>
                <w:rFonts w:hint="default" w:ascii="Times New Roman" w:hAnsi="Times New Roman" w:cs="Times New Roman"/>
                <w:b w:val="0"/>
                <w:bCs w:val="0"/>
                <w:color w:val="auto"/>
                <w:sz w:val="24"/>
                <w:szCs w:val="24"/>
                <w:lang w:val="en-US" w:eastAsia="zh-CN"/>
              </w:rPr>
              <w:t>经</w:t>
            </w:r>
            <w:r>
              <w:rPr>
                <w:rFonts w:hint="eastAsia" w:ascii="Times New Roman" w:hAnsi="Times New Roman" w:cs="Times New Roman"/>
                <w:b w:val="0"/>
                <w:bCs w:val="0"/>
                <w:color w:val="auto"/>
                <w:sz w:val="24"/>
                <w:szCs w:val="24"/>
                <w:lang w:val="en-US" w:eastAsia="zh-CN"/>
              </w:rPr>
              <w:t>24</w:t>
            </w:r>
            <w:r>
              <w:rPr>
                <w:rFonts w:hint="default" w:ascii="Times New Roman" w:hAnsi="Times New Roman" w:cs="Times New Roman"/>
                <w:b w:val="0"/>
                <w:bCs w:val="0"/>
                <w:color w:val="auto"/>
                <w:sz w:val="24"/>
                <w:szCs w:val="24"/>
                <w:lang w:val="en-US" w:eastAsia="zh-CN"/>
              </w:rPr>
              <w:t>米排气筒</w:t>
            </w:r>
            <w:r>
              <w:rPr>
                <w:rFonts w:hint="default" w:ascii="Times New Roman" w:hAnsi="Times New Roman" w:cs="Times New Roman"/>
                <w:b w:val="0"/>
                <w:bCs w:val="0"/>
                <w:color w:val="auto"/>
                <w:sz w:val="24"/>
                <w:szCs w:val="24"/>
              </w:rPr>
              <w:t>达标排放</w:t>
            </w:r>
            <w:r>
              <w:rPr>
                <w:rFonts w:hint="default" w:ascii="Times New Roman" w:hAnsi="Times New Roman" w:cs="Times New Roman"/>
                <w:b w:val="0"/>
                <w:bCs w:val="0"/>
                <w:color w:val="auto"/>
                <w:sz w:val="24"/>
                <w:szCs w:val="24"/>
              </w:rPr>
              <w:t>。综上所述，本项目符合《&lt;重点行业挥发性有机物综合治理方案&gt;的通知》（环大气〔2019〕53号）的相关要求。</w:t>
            </w:r>
          </w:p>
          <w:p>
            <w:pPr>
              <w:pStyle w:val="27"/>
              <w:adjustRightInd w:val="0"/>
              <w:snapToGrid w:val="0"/>
              <w:spacing w:before="0" w:beforeAutospacing="0" w:after="0" w:afterAutospacing="0" w:line="360" w:lineRule="auto"/>
              <w:ind w:firstLine="482" w:firstLineChars="200"/>
              <w:jc w:val="both"/>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7、与《广东省人民政府办公厅关于印发广东省促进工业》（粤办函〔2022〕11号）相符性分析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十八）支持光伏、锂离子电池产业发展，鼓励发展分布式光伏，推进海上风电发展，带动太阳能电池、风电装备产业链投资。推进供电煤耗300克标准煤/千瓦时以上煤电机组改造升级，对纳入规划的跨省区输电线路和具备条件的支撑性保障电源，加快核准开工、建设投产，带动装备制造业投资。推动重点地区沿海、内河老旧船舶更新改造及LNG加注站建设。发挥财政资金引导作用，鼓励企业加快技术改造和设备更新，加大省级企业技术改造资金支持力度，2022年推动8500家工业企业开展技术改造。大力实施钢铁、有色、建材、石化等重点领域企业节能降碳技术改造工程。（省能源局、省工业和信息化厅、省交通运输厅、各地级以上市人民政府按职责分工负责）</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eastAsia="宋体" w:cs="Times New Roman"/>
                <w:b/>
                <w:bCs/>
                <w:color w:val="auto"/>
                <w:sz w:val="24"/>
                <w:szCs w:val="24"/>
                <w:lang w:val="en-US" w:eastAsia="zh-CN"/>
              </w:rPr>
              <w:t>相符性分析：</w:t>
            </w:r>
            <w:r>
              <w:rPr>
                <w:rFonts w:hint="default" w:ascii="Times New Roman" w:hAnsi="Times New Roman" w:eastAsia="宋体" w:cs="Times New Roman"/>
                <w:color w:val="auto"/>
                <w:sz w:val="24"/>
                <w:szCs w:val="24"/>
                <w:lang w:val="en-US" w:eastAsia="zh-CN"/>
              </w:rPr>
              <w:t>本项目主要从事锂离子电池制造，属于锂离子电池产业发展。因此，本项目与</w:t>
            </w:r>
            <w:r>
              <w:rPr>
                <w:rFonts w:hint="default" w:ascii="Times New Roman" w:hAnsi="Times New Roman" w:eastAsia="宋体" w:cs="Times New Roman"/>
                <w:b w:val="0"/>
                <w:bCs w:val="0"/>
                <w:color w:val="auto"/>
                <w:sz w:val="24"/>
                <w:szCs w:val="24"/>
                <w:lang w:val="en-US" w:eastAsia="zh-CN"/>
              </w:rPr>
              <w:t>《广东省人民政府办公厅关于印发广东省促进工业》（粤办函〔2022〕11号）的相关规定是相符的。</w:t>
            </w:r>
          </w:p>
          <w:p>
            <w:pPr>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szCs w:val="24"/>
                <w:lang w:val="en-US" w:eastAsia="zh-CN"/>
              </w:rPr>
              <w:t>8、</w:t>
            </w:r>
            <w:r>
              <w:rPr>
                <w:rFonts w:hint="default" w:ascii="Times New Roman" w:hAnsi="Times New Roman" w:cs="Times New Roman"/>
                <w:b/>
                <w:bCs/>
                <w:color w:val="auto"/>
                <w:sz w:val="24"/>
              </w:rPr>
              <w:t>与《惠州市人民政府关于印发惠州市生态环境保护“十四五”规划的通知》（惠府〔2022〕11号）相符性分析</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“第三章 加快发展方式绿色转型，打造粤港澳大湾区高质量发展重要地区……第二 节严格“两高”项目准入管理……加强高耗能高排放建设项目生态环境源头防控。禁止新建、扩建水泥、平板玻璃、化学制浆、生皮制革以及国家规划外的钢铁、原油加工等项目。严格“两高”项目环评审批，审查涉“两高”行业的有关综合性规划和工业、能源等专项规划 环评；以“两高”行业为主导产业的园区规划环评应增加碳排放情况与减排潜力分析。新建、改建、扩建“两高”项目须符合生态环境保护法律法规和相关法定规划，满足重点污染物排 放总量控制、碳排放达峰目标、生态环境准入清单、相关规划环评和相应行业建设项目环 境准入条件、环评文件审批原则要求。新建、扩建“两高”项目应采用先进适用的工艺技术和装备，单位产品物耗、能耗、水耗等达到清洁生产先进水平。</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加强涉气项目环境准入管理。环境空气质量一类功能区实施严格保护，禁止新建、扩建大气污染物排放工业项目（国家和省规定不纳入环评管理的项目除外）。禁止新建、扩建燃煤燃油的火电机组（含企业自备电站），推进现有服役期满及落后老旧的燃煤火电机组有序退出；原则上不再新建燃煤锅炉，逐步淘汰生物质锅炉、集中供热管网覆盖区域内 的分散供热锅炉，逐步推动高污染燃料禁燃区全覆盖。禁止新建、扩建水泥、平板玻璃、化学制浆、生皮制革以及国家规划外的钢铁、原油加工等项目。严格限制新建生产和使用 高挥发性有机物原辅材料的项目。</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禁止在东江干流和一级支流两岸、西枝江主要支流两岸及大中型水库最高水位线水平外延五百米范围内新建废弃物堆放场和处理场。”</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相符性分析：</w:t>
            </w:r>
            <w:r>
              <w:rPr>
                <w:rFonts w:hint="default" w:ascii="Times New Roman" w:hAnsi="Times New Roman" w:eastAsia="宋体" w:cs="Times New Roman"/>
                <w:color w:val="auto"/>
                <w:sz w:val="24"/>
                <w:szCs w:val="24"/>
                <w:lang w:val="en-US" w:eastAsia="zh-CN"/>
              </w:rPr>
              <w:t>项目属于C3841锂离子电池制造，不在上述所列禁止新建项目的范畴内；项目位于东江流域，</w:t>
            </w:r>
            <w:r>
              <w:rPr>
                <w:rFonts w:hint="default" w:ascii="Times New Roman" w:hAnsi="Times New Roman" w:cs="Times New Roman"/>
                <w:color w:val="auto"/>
                <w:kern w:val="21"/>
                <w:sz w:val="24"/>
                <w:szCs w:val="24"/>
              </w:rPr>
              <w:t>项目</w:t>
            </w:r>
            <w:r>
              <w:rPr>
                <w:rFonts w:hint="default" w:ascii="Times New Roman" w:hAnsi="Times New Roman" w:cs="Times New Roman"/>
                <w:color w:val="auto"/>
                <w:sz w:val="24"/>
                <w:szCs w:val="24"/>
                <w:lang w:val="en-US" w:eastAsia="zh-CN"/>
              </w:rPr>
              <w:t>纯水制备产生的浓水作为清净下水直接排入污水管网；冷却塔水循环使用，不外排；设备清洗废水、地面清洗废水作为危险废物交有危险废物资质单位处理；初期雨水经混凝沉淀处理后直接排入雨水管网；</w:t>
            </w:r>
            <w:r>
              <w:rPr>
                <w:rFonts w:hint="default" w:ascii="Times New Roman" w:hAnsi="Times New Roman" w:cs="Times New Roman"/>
                <w:b w:val="0"/>
                <w:bCs w:val="0"/>
                <w:color w:val="auto"/>
                <w:sz w:val="24"/>
                <w:szCs w:val="24"/>
              </w:rPr>
              <w:t>生活污水经</w:t>
            </w:r>
            <w:r>
              <w:rPr>
                <w:rFonts w:hint="default" w:ascii="Times New Roman" w:hAnsi="Times New Roman" w:cs="Times New Roman"/>
                <w:color w:val="auto"/>
                <w:sz w:val="24"/>
                <w:szCs w:val="24"/>
              </w:rPr>
              <w:t>三级化粪池</w:t>
            </w:r>
            <w:r>
              <w:rPr>
                <w:rFonts w:hint="eastAsia" w:cs="Times New Roman"/>
                <w:color w:val="auto"/>
                <w:sz w:val="24"/>
                <w:szCs w:val="24"/>
                <w:lang w:val="en-US" w:eastAsia="zh-CN"/>
              </w:rPr>
              <w:t>+接触氧化池</w:t>
            </w:r>
            <w:r>
              <w:rPr>
                <w:rFonts w:hint="default" w:ascii="Times New Roman" w:hAnsi="Times New Roman" w:cs="Times New Roman"/>
                <w:b w:val="0"/>
                <w:bCs w:val="0"/>
                <w:color w:val="auto"/>
                <w:sz w:val="24"/>
                <w:szCs w:val="24"/>
              </w:rPr>
              <w:t>预处理后</w:t>
            </w:r>
            <w:r>
              <w:rPr>
                <w:rFonts w:hint="default" w:ascii="Times New Roman" w:hAnsi="Times New Roman" w:cs="Times New Roman"/>
                <w:b w:val="0"/>
                <w:bCs w:val="0"/>
                <w:color w:val="auto"/>
                <w:sz w:val="24"/>
                <w:szCs w:val="24"/>
                <w:lang w:eastAsia="zh-CN"/>
              </w:rPr>
              <w:t>排入市政管网纳入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b w:val="0"/>
                <w:bCs w:val="0"/>
                <w:color w:val="auto"/>
                <w:sz w:val="24"/>
                <w:szCs w:val="24"/>
                <w:lang w:eastAsia="zh-CN"/>
              </w:rPr>
              <w:t>处理后达标排放到中心排渠</w:t>
            </w:r>
            <w:r>
              <w:rPr>
                <w:rFonts w:hint="default" w:ascii="Times New Roman" w:hAnsi="Times New Roman" w:eastAsia="宋体" w:cs="Times New Roman"/>
                <w:color w:val="auto"/>
                <w:sz w:val="24"/>
                <w:szCs w:val="24"/>
                <w:lang w:val="en-US" w:eastAsia="zh-CN"/>
              </w:rPr>
              <w:t>。</w:t>
            </w:r>
            <w:r>
              <w:rPr>
                <w:rFonts w:hint="default" w:ascii="Times New Roman" w:hAnsi="Times New Roman" w:cs="Times New Roman"/>
                <w:b w:val="0"/>
                <w:bCs w:val="0"/>
                <w:color w:val="auto"/>
                <w:sz w:val="24"/>
                <w:szCs w:val="24"/>
              </w:rPr>
              <w:t>项目</w:t>
            </w:r>
            <w:r>
              <w:rPr>
                <w:rFonts w:hint="default" w:ascii="Times New Roman" w:hAnsi="Times New Roman" w:cs="Times New Roman"/>
                <w:color w:val="auto"/>
                <w:sz w:val="24"/>
                <w:lang w:val="en-US" w:eastAsia="zh-CN"/>
              </w:rPr>
              <w:t>烘干工序的初段与中段产生废气经冷凝装置处理后；再与涂布、烘干工序的尾段、注液工序、二封工序产生的有机废气</w:t>
            </w:r>
            <w:r>
              <w:rPr>
                <w:rFonts w:hint="eastAsia" w:ascii="Times New Roman" w:hAnsi="Times New Roman" w:cs="Times New Roman"/>
                <w:color w:val="auto"/>
                <w:sz w:val="24"/>
                <w:lang w:val="en-US" w:eastAsia="zh-CN"/>
              </w:rPr>
              <w:t>、投料工序产生的颗粒物</w:t>
            </w:r>
            <w:r>
              <w:rPr>
                <w:rFonts w:hint="default" w:ascii="Times New Roman" w:hAnsi="Times New Roman" w:cs="Times New Roman"/>
                <w:color w:val="auto"/>
                <w:sz w:val="24"/>
                <w:lang w:val="en-US" w:eastAsia="zh-CN"/>
              </w:rPr>
              <w:t>一同汇入集气干管，经“</w:t>
            </w:r>
            <w:r>
              <w:rPr>
                <w:rFonts w:hint="eastAsia" w:ascii="Times New Roman" w:hAnsi="Times New Roman" w:cs="Times New Roman"/>
                <w:color w:val="auto"/>
                <w:sz w:val="24"/>
                <w:lang w:val="en-US" w:eastAsia="zh-CN"/>
              </w:rPr>
              <w:t>布袋除尘器+</w:t>
            </w:r>
            <w:r>
              <w:rPr>
                <w:rFonts w:hint="default" w:ascii="Times New Roman" w:hAnsi="Times New Roman" w:cs="Times New Roman"/>
                <w:color w:val="auto"/>
                <w:sz w:val="24"/>
                <w:lang w:val="en-US" w:eastAsia="zh-CN"/>
              </w:rPr>
              <w:t>二级活性炭吸附装置”处理后</w:t>
            </w:r>
            <w:r>
              <w:rPr>
                <w:rFonts w:hint="default" w:ascii="Times New Roman" w:hAnsi="Times New Roman" w:cs="Times New Roman"/>
                <w:b w:val="0"/>
                <w:bCs w:val="0"/>
                <w:color w:val="auto"/>
                <w:sz w:val="24"/>
                <w:szCs w:val="24"/>
                <w:lang w:val="en-US" w:eastAsia="zh-CN"/>
              </w:rPr>
              <w:t>经</w:t>
            </w:r>
            <w:r>
              <w:rPr>
                <w:rFonts w:hint="eastAsia" w:ascii="Times New Roman" w:hAnsi="Times New Roman" w:cs="Times New Roman"/>
                <w:b w:val="0"/>
                <w:bCs w:val="0"/>
                <w:color w:val="auto"/>
                <w:sz w:val="24"/>
                <w:szCs w:val="24"/>
                <w:lang w:val="en-US" w:eastAsia="zh-CN"/>
              </w:rPr>
              <w:t>24</w:t>
            </w:r>
            <w:r>
              <w:rPr>
                <w:rFonts w:hint="default" w:ascii="Times New Roman" w:hAnsi="Times New Roman" w:cs="Times New Roman"/>
                <w:b w:val="0"/>
                <w:bCs w:val="0"/>
                <w:color w:val="auto"/>
                <w:sz w:val="24"/>
                <w:szCs w:val="24"/>
                <w:lang w:val="en-US" w:eastAsia="zh-CN"/>
              </w:rPr>
              <w:t>米排气筒</w:t>
            </w:r>
            <w:r>
              <w:rPr>
                <w:rFonts w:hint="default" w:ascii="Times New Roman" w:hAnsi="Times New Roman" w:cs="Times New Roman"/>
                <w:b w:val="0"/>
                <w:bCs w:val="0"/>
                <w:color w:val="auto"/>
                <w:sz w:val="24"/>
                <w:szCs w:val="24"/>
              </w:rPr>
              <w:t>达标排放，</w:t>
            </w:r>
            <w:r>
              <w:rPr>
                <w:rFonts w:hint="default" w:ascii="Times New Roman" w:hAnsi="Times New Roman" w:eastAsia="宋体" w:cs="Times New Roman"/>
                <w:color w:val="auto"/>
                <w:sz w:val="24"/>
                <w:szCs w:val="24"/>
                <w:lang w:val="en-US" w:eastAsia="zh-CN"/>
              </w:rPr>
              <w:t>对周边环境影响不大，故项目建设符合《惠州市生态环境保护“十四五”规划》（惠府〔2022〕11号）的相关要求。</w:t>
            </w:r>
          </w:p>
          <w:p>
            <w:pPr>
              <w:pStyle w:val="10"/>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与《锂离子电池行业规范条件（2021年本）》（工业和信息化部公告2021年第37号）的相符性分析。</w:t>
            </w:r>
          </w:p>
          <w:p>
            <w:pPr>
              <w:pStyle w:val="9"/>
              <w:rPr>
                <w:rFonts w:hint="default" w:ascii="Times New Roman" w:hAnsi="Times New Roman" w:eastAsia="仿宋体"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表1-3 本项目与《锂离子电池行业规范条件（2021年本）》符合性分析</w:t>
            </w:r>
          </w:p>
          <w:tbl>
            <w:tblPr>
              <w:tblStyle w:val="33"/>
              <w:tblW w:w="81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885"/>
              <w:gridCol w:w="3302"/>
              <w:gridCol w:w="2473"/>
              <w:gridCol w:w="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序号</w:t>
                  </w:r>
                </w:p>
              </w:tc>
              <w:tc>
                <w:tcPr>
                  <w:tcW w:w="4187" w:type="dxa"/>
                  <w:gridSpan w:val="2"/>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与本项目有关的具体内容</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本项目情况</w:t>
                  </w:r>
                </w:p>
              </w:tc>
              <w:tc>
                <w:tcPr>
                  <w:tcW w:w="778"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vMerge w:val="restart"/>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w:t>
                  </w:r>
                </w:p>
              </w:tc>
              <w:tc>
                <w:tcPr>
                  <w:tcW w:w="885" w:type="dxa"/>
                  <w:vMerge w:val="restart"/>
                  <w:noWrap w:val="0"/>
                  <w:vAlign w:val="center"/>
                </w:tcPr>
                <w:p>
                  <w:pPr>
                    <w:spacing w:beforeLines="0" w:afterLines="0"/>
                    <w:jc w:val="center"/>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产业布局和项目设立</w:t>
                  </w:r>
                </w:p>
              </w:tc>
              <w:tc>
                <w:tcPr>
                  <w:tcW w:w="3302"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ind w:firstLine="420" w:firstLineChars="200"/>
                    <w:jc w:val="both"/>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锂离子电池企业及项目应符合国家资源开发利用、生态环境保护、节能管理、安全生产等法律法规要求，符合国家产业政策和相关产业规划及布局要求，符合当地国土空间规划和生态环境保护专项规划等要求，符合“三线一单”生态环境分区管控要求。</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highlight w:val="yellow"/>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本项目符合生态环境保护相关法律法规，符合国家产业政策和相关产业规划及布局要求，符合当地国土空间规划要求，符合“三线一单”生态环境分区管控要求。</w:t>
                  </w:r>
                </w:p>
              </w:tc>
              <w:tc>
                <w:tcPr>
                  <w:tcW w:w="778" w:type="dxa"/>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p>
              </w:tc>
              <w:tc>
                <w:tcPr>
                  <w:tcW w:w="885"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p>
              </w:tc>
              <w:tc>
                <w:tcPr>
                  <w:tcW w:w="3302"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ind w:firstLine="420" w:firstLineChars="200"/>
                    <w:jc w:val="both"/>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在规划确定的永久基本农田、生态保护红线，以及国家法律法规、规章规定禁止建设工业企业的区域不得建设锂离子电池及配套项目。上述区域内的现有企业应按照法律法规要求拆除关闭，或严格控制规模、逐步迁出。</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highlight w:val="yellow"/>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本项目不在永久基本农田、生态保护红线，以及国家法律法规、规章规定禁止建设工业企业的区域内。</w:t>
                  </w:r>
                </w:p>
              </w:tc>
              <w:tc>
                <w:tcPr>
                  <w:tcW w:w="778" w:type="dxa"/>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3</w:t>
                  </w:r>
                </w:p>
              </w:tc>
              <w:tc>
                <w:tcPr>
                  <w:tcW w:w="885" w:type="dxa"/>
                  <w:noWrap w:val="0"/>
                  <w:vAlign w:val="center"/>
                </w:tcPr>
                <w:p>
                  <w:pPr>
                    <w:spacing w:beforeLines="0" w:afterLines="0"/>
                    <w:jc w:val="center"/>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安全和管理</w:t>
                  </w:r>
                </w:p>
              </w:tc>
              <w:tc>
                <w:tcPr>
                  <w:tcW w:w="3302"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ind w:firstLine="420" w:firstLineChars="200"/>
                    <w:jc w:val="both"/>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rPr>
                    <w:t>锂离子电池企业应加强应急处置能力建设，制定事故应急预案并定期开展演练，建设事故处置专业队伍，并配备与企业规模相适应的人员和装备。</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企业拟制定事故应急预案并定期开展演练建设事故处置专业队伍，并配备与企业规模相适应的人员和装备。</w:t>
                  </w:r>
                </w:p>
              </w:tc>
              <w:tc>
                <w:tcPr>
                  <w:tcW w:w="778" w:type="dxa"/>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vMerge w:val="restart"/>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4</w:t>
                  </w:r>
                </w:p>
              </w:tc>
              <w:tc>
                <w:tcPr>
                  <w:tcW w:w="885" w:type="dxa"/>
                  <w:vMerge w:val="restart"/>
                  <w:noWrap w:val="0"/>
                  <w:vAlign w:val="center"/>
                </w:tcPr>
                <w:p>
                  <w:pPr>
                    <w:spacing w:beforeLines="0" w:afterLines="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资源综合利用和生态环境保护</w:t>
                  </w:r>
                </w:p>
              </w:tc>
              <w:tc>
                <w:tcPr>
                  <w:tcW w:w="3302"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ind w:firstLine="420" w:firstLineChars="20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企业及项目应符合国家出台的土地使用标准，严格保护耕地，节约集约用地。</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本项目用地为工业用地，符合国家出台的土地使用标准。</w:t>
                  </w:r>
                </w:p>
              </w:tc>
              <w:tc>
                <w:tcPr>
                  <w:tcW w:w="778" w:type="dxa"/>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885"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3302"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ind w:firstLine="420" w:firstLineChars="200"/>
                    <w:jc w:val="both"/>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企业应制定产品单耗指标和能耗台账，不得使用国家明令淘汰的、严重污染环境的落后用能设备和生产工艺。鼓励企业调整用能结构，使用光伏等清洁能源，开展节能技术应用研究，制定节能规章制度，开发节能共性和关键技术，促进节能技术创新与成果转化。锂离子电池企业综合能耗应≤400kgce/万Ah。</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bCs/>
                      <w:color w:val="auto"/>
                      <w:sz w:val="21"/>
                      <w:szCs w:val="21"/>
                      <w:highlight w:val="none"/>
                      <w:vertAlign w:val="baseline"/>
                      <w:lang w:val="en-US" w:eastAsia="zh-CN"/>
                    </w:rPr>
                    <w:t>项目</w:t>
                  </w:r>
                  <w:r>
                    <w:rPr>
                      <w:rFonts w:hint="default" w:ascii="Times New Roman" w:hAnsi="Times New Roman" w:cs="Times New Roman"/>
                      <w:bCs/>
                      <w:color w:val="auto"/>
                      <w:sz w:val="21"/>
                      <w:szCs w:val="21"/>
                      <w:highlight w:val="none"/>
                      <w:vertAlign w:val="baseline"/>
                    </w:rPr>
                    <w:t>制定产品单耗指标和能耗</w:t>
                  </w:r>
                  <w:r>
                    <w:rPr>
                      <w:rFonts w:hint="default" w:ascii="Times New Roman" w:hAnsi="Times New Roman" w:cs="Times New Roman"/>
                      <w:bCs/>
                      <w:color w:val="auto"/>
                      <w:sz w:val="21"/>
                      <w:szCs w:val="21"/>
                      <w:highlight w:val="none"/>
                      <w:vertAlign w:val="baseline"/>
                      <w:lang w:eastAsia="zh-CN"/>
                    </w:rPr>
                    <w:t>台账</w:t>
                  </w:r>
                  <w:r>
                    <w:rPr>
                      <w:rFonts w:hint="default" w:ascii="Times New Roman" w:hAnsi="Times New Roman" w:cs="Times New Roman"/>
                      <w:bCs/>
                      <w:color w:val="auto"/>
                      <w:sz w:val="21"/>
                      <w:szCs w:val="21"/>
                      <w:highlight w:val="none"/>
                      <w:vertAlign w:val="baseline"/>
                    </w:rPr>
                    <w:t>，</w:t>
                  </w:r>
                  <w:r>
                    <w:rPr>
                      <w:rFonts w:hint="default" w:ascii="Times New Roman" w:hAnsi="Times New Roman" w:cs="Times New Roman"/>
                      <w:bCs/>
                      <w:color w:val="auto"/>
                      <w:sz w:val="21"/>
                      <w:szCs w:val="21"/>
                      <w:highlight w:val="none"/>
                      <w:vertAlign w:val="baseline"/>
                      <w:lang w:val="en-US" w:eastAsia="zh-CN"/>
                    </w:rPr>
                    <w:t>使用的设备和生产工艺不属于</w:t>
                  </w:r>
                  <w:r>
                    <w:rPr>
                      <w:rFonts w:hint="default" w:ascii="Times New Roman" w:hAnsi="Times New Roman" w:cs="Times New Roman"/>
                      <w:bCs/>
                      <w:color w:val="auto"/>
                      <w:sz w:val="21"/>
                      <w:szCs w:val="21"/>
                      <w:highlight w:val="none"/>
                      <w:vertAlign w:val="baseline"/>
                    </w:rPr>
                    <w:t>国家明令淘汰的、严重污染环境的落后用能设备和生产工艺</w:t>
                  </w:r>
                  <w:r>
                    <w:rPr>
                      <w:rFonts w:hint="default" w:ascii="Times New Roman" w:hAnsi="Times New Roman" w:cs="Times New Roman"/>
                      <w:bCs/>
                      <w:color w:val="auto"/>
                      <w:sz w:val="21"/>
                      <w:szCs w:val="21"/>
                      <w:highlight w:val="none"/>
                      <w:vertAlign w:val="baseline"/>
                      <w:lang w:eastAsia="zh-CN"/>
                    </w:rPr>
                    <w:t>，</w:t>
                  </w:r>
                  <w:r>
                    <w:rPr>
                      <w:rFonts w:hint="default" w:ascii="Times New Roman" w:hAnsi="Times New Roman" w:cs="Times New Roman"/>
                      <w:bCs/>
                      <w:color w:val="auto"/>
                      <w:sz w:val="21"/>
                      <w:szCs w:val="21"/>
                      <w:highlight w:val="none"/>
                      <w:vertAlign w:val="baseline"/>
                      <w:lang w:val="en-US" w:eastAsia="zh-CN"/>
                    </w:rPr>
                    <w:t>使用的能源为电源，综合能耗约为270.6tce/年，按产能总容量1200万Ah换算得到综合能耗约为225.5kgce/万Ah＜</w:t>
                  </w:r>
                  <w:r>
                    <w:rPr>
                      <w:rFonts w:hint="default" w:ascii="Times New Roman" w:hAnsi="Times New Roman" w:cs="Times New Roman"/>
                      <w:bCs/>
                      <w:color w:val="auto"/>
                      <w:sz w:val="21"/>
                      <w:szCs w:val="21"/>
                      <w:highlight w:val="none"/>
                      <w:vertAlign w:val="baseline"/>
                    </w:rPr>
                    <w:t>400kgce/万Ah。</w:t>
                  </w:r>
                </w:p>
              </w:tc>
              <w:tc>
                <w:tcPr>
                  <w:tcW w:w="778" w:type="dxa"/>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885"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3302"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ind w:firstLine="420" w:firstLineChars="20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企业应依法开展建设项目环境影响评价，严格执行环境保护设施“三同时”制度，并按规定开展竣工环境保护设施验收。</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本项目严格实行环境保护设施“三同时”制度，并按规定开展竣工环境保护设施验收。</w:t>
                  </w:r>
                </w:p>
              </w:tc>
              <w:tc>
                <w:tcPr>
                  <w:tcW w:w="778" w:type="dxa"/>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885"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3302"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ind w:firstLine="420" w:firstLineChars="20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锂离子电池生产企业应依法申领排污许可证，按照排污许可证排放污染物并落实各项环境管理要求，采取有效措施防止污染土壤和地下水，废有机溶剂、废电池等固体废物应依法分类贮存、收集、运输、综合利用或无害化处理。</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本项目应按照《排污许可管理条例》、《排污许可管理办法（试行）》（2019年修订）申领排污许可证，并按照排污许可证排放污染物并落实各项环境管理要求，采取有效措施防止污染土壤和地下水，废有机溶剂、废电池等固体废物应依法分类贮存、收集、运输、综合利用或无害化处理。</w:t>
                  </w:r>
                </w:p>
              </w:tc>
              <w:tc>
                <w:tcPr>
                  <w:tcW w:w="778" w:type="dxa"/>
                  <w:noWrap w:val="0"/>
                  <w:vAlign w:val="center"/>
                </w:tcPr>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885"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3302"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ind w:firstLine="420" w:firstLineChars="200"/>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企业应按照国家有关规定制定突发环境事件应急预案，妥善</w:t>
                  </w:r>
                  <w:r>
                    <w:rPr>
                      <w:rFonts w:hint="default" w:ascii="Times New Roman" w:hAnsi="Times New Roman" w:eastAsia="宋体" w:cs="Times New Roman"/>
                      <w:color w:val="auto"/>
                      <w:sz w:val="21"/>
                      <w:szCs w:val="21"/>
                      <w:lang w:val="en-US" w:eastAsia="zh-CN"/>
                    </w:rPr>
                    <w:t>处</w:t>
                  </w:r>
                  <w:r>
                    <w:rPr>
                      <w:rFonts w:hint="default" w:ascii="Times New Roman" w:hAnsi="Times New Roman" w:eastAsia="宋体" w:cs="Times New Roman"/>
                      <w:color w:val="auto"/>
                      <w:sz w:val="21"/>
                      <w:szCs w:val="21"/>
                    </w:rPr>
                    <w:t>理突发环境事件。企业应按照《环境信息依法披露制度改革方案》有关要求，依法披露环境信息。</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企业按国家有关规定突发环境事件应急预案，并依法披露环境信息。</w:t>
                  </w:r>
                </w:p>
              </w:tc>
              <w:tc>
                <w:tcPr>
                  <w:tcW w:w="778"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8"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p>
              </w:tc>
              <w:tc>
                <w:tcPr>
                  <w:tcW w:w="885" w:type="dxa"/>
                  <w:vMerge w:val="continue"/>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rPr>
                  </w:pPr>
                </w:p>
              </w:tc>
              <w:tc>
                <w:tcPr>
                  <w:tcW w:w="3302" w:type="dxa"/>
                  <w:noWrap w:val="0"/>
                  <w:vAlign w:val="center"/>
                </w:tcPr>
                <w:p>
                  <w:pPr>
                    <w:keepNext w:val="0"/>
                    <w:keepLines w:val="0"/>
                    <w:pageBreakBefore w:val="0"/>
                    <w:widowControl w:val="0"/>
                    <w:kinsoku/>
                    <w:wordWrap/>
                    <w:overflowPunct/>
                    <w:topLinePunct w:val="0"/>
                    <w:autoSpaceDE/>
                    <w:autoSpaceDN/>
                    <w:bidi w:val="0"/>
                    <w:adjustRightInd/>
                    <w:snapToGrid/>
                    <w:spacing w:beforeLines="0" w:afterLines="0"/>
                    <w:ind w:firstLine="420" w:firstLineChars="200"/>
                    <w:jc w:val="both"/>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企业应建立环境管理体系，鼓励通过第三方认证。鼓励企业持续开展清洁生产审核工作，清洁生产指标宜达到《电池行业清洁生产评价指标体系》中Ⅲ级及以上水平。</w:t>
                  </w:r>
                </w:p>
              </w:tc>
              <w:tc>
                <w:tcPr>
                  <w:tcW w:w="2473"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420" w:firstLineChars="200"/>
                    <w:jc w:val="both"/>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企业按要求建立环境管理体系。</w:t>
                  </w:r>
                </w:p>
              </w:tc>
              <w:tc>
                <w:tcPr>
                  <w:tcW w:w="778" w:type="dxa"/>
                  <w:noWrap w:val="0"/>
                  <w:vAlign w:val="center"/>
                </w:tcPr>
                <w:p>
                  <w:pPr>
                    <w:pStyle w:val="9"/>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符合</w:t>
                  </w:r>
                </w:p>
              </w:tc>
            </w:tr>
          </w:tbl>
          <w:p>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体" w:cs="Times New Roman"/>
                <w:color w:val="auto"/>
                <w:sz w:val="24"/>
                <w:szCs w:val="24"/>
                <w:lang w:val="en-US" w:eastAsia="zh-CN"/>
              </w:rPr>
            </w:pPr>
            <w:r>
              <w:rPr>
                <w:rFonts w:hint="default" w:ascii="Times New Roman" w:hAnsi="Times New Roman" w:cs="Times New Roman"/>
                <w:color w:val="auto"/>
                <w:sz w:val="24"/>
                <w:szCs w:val="24"/>
                <w:lang w:val="en-US" w:eastAsia="zh-CN"/>
              </w:rPr>
              <w:t>由表可知，本项目符合《锂离子电池行业规范条件（2021年本）》的要求。</w:t>
            </w:r>
          </w:p>
          <w:p>
            <w:pPr>
              <w:pStyle w:val="9"/>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kern w:val="2"/>
                <w:sz w:val="24"/>
                <w:szCs w:val="24"/>
                <w:highlight w:val="none"/>
                <w:lang w:val="en-US" w:eastAsia="zh-CN" w:bidi="ar-SA"/>
              </w:rPr>
            </w:pPr>
            <w:r>
              <w:rPr>
                <w:rFonts w:hint="default" w:ascii="Times New Roman" w:hAnsi="Times New Roman" w:eastAsia="宋体" w:cs="Times New Roman"/>
                <w:b/>
                <w:bCs/>
                <w:color w:val="auto"/>
                <w:kern w:val="2"/>
                <w:sz w:val="24"/>
                <w:szCs w:val="24"/>
                <w:highlight w:val="none"/>
                <w:lang w:val="en-US" w:eastAsia="zh-CN" w:bidi="ar-SA"/>
              </w:rPr>
              <w:t>10、本项目与《锂离子电池工厂设计标准》（GB51377-2019）符合性分析。</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表1-4 本项目与《锂离子电池工厂设计标准》（GB51377-2019）符合性分析</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7"/>
              <w:gridCol w:w="3039"/>
              <w:gridCol w:w="3060"/>
              <w:gridCol w:w="8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2585" w:type="pct"/>
                  <w:gridSpan w:val="2"/>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
                      <w:bCs w:val="0"/>
                      <w:color w:val="auto"/>
                      <w:sz w:val="21"/>
                      <w:szCs w:val="21"/>
                      <w:vertAlign w:val="baseline"/>
                    </w:rPr>
                  </w:pPr>
                  <w:r>
                    <w:rPr>
                      <w:rFonts w:hint="default" w:ascii="Times New Roman" w:hAnsi="Times New Roman" w:cs="Times New Roman"/>
                      <w:b/>
                      <w:bCs w:val="0"/>
                      <w:color w:val="auto"/>
                      <w:sz w:val="21"/>
                      <w:szCs w:val="21"/>
                      <w:vertAlign w:val="baseline"/>
                    </w:rPr>
                    <w:t>《锂离子电池工厂设计标准》（GB51377-2019）</w:t>
                  </w:r>
                </w:p>
              </w:tc>
              <w:tc>
                <w:tcPr>
                  <w:tcW w:w="1885"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项目情况</w:t>
                  </w:r>
                </w:p>
              </w:tc>
              <w:tc>
                <w:tcPr>
                  <w:tcW w:w="528"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
                      <w:bCs w:val="0"/>
                      <w:color w:val="auto"/>
                      <w:sz w:val="21"/>
                      <w:szCs w:val="21"/>
                      <w:vertAlign w:val="baseline"/>
                      <w:lang w:val="en-US" w:eastAsia="zh-CN"/>
                    </w:rPr>
                  </w:pPr>
                  <w:r>
                    <w:rPr>
                      <w:rFonts w:hint="default" w:ascii="Times New Roman" w:hAnsi="Times New Roman" w:cs="Times New Roman"/>
                      <w:b/>
                      <w:bCs w:val="0"/>
                      <w:color w:val="auto"/>
                      <w:sz w:val="21"/>
                      <w:szCs w:val="21"/>
                      <w:vertAlign w:val="baseline"/>
                      <w:lang w:val="en-US" w:eastAsia="zh-CN"/>
                    </w:rPr>
                    <w:t>相符情况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713"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基本规定</w:t>
                  </w:r>
                </w:p>
              </w:tc>
              <w:tc>
                <w:tcPr>
                  <w:tcW w:w="1872"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锂离子电池工厂设计应合理利用资源，保护环境，防止在生产建设活动中产生的废气、废水、废渣、粉尘以及噪声、振动、电磁辐射等对环境污染和危害。</w:t>
                  </w:r>
                </w:p>
              </w:tc>
              <w:tc>
                <w:tcPr>
                  <w:tcW w:w="1885"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highlight w:val="none"/>
                      <w:vertAlign w:val="baseline"/>
                      <w:lang w:val="en-US" w:eastAsia="zh-CN"/>
                    </w:rPr>
                    <w:t>项目涂布、烘干、注液、二封工序产生的非甲烷总烃</w:t>
                  </w:r>
                  <w:r>
                    <w:rPr>
                      <w:rFonts w:hint="eastAsia" w:ascii="Times New Roman" w:hAnsi="Times New Roman" w:eastAsia="宋体" w:cs="Times New Roman"/>
                      <w:bCs/>
                      <w:color w:val="auto"/>
                      <w:sz w:val="21"/>
                      <w:szCs w:val="21"/>
                      <w:highlight w:val="none"/>
                      <w:vertAlign w:val="baseline"/>
                      <w:lang w:val="en-US" w:eastAsia="zh-CN"/>
                    </w:rPr>
                    <w:t>、投料产生的颗粒物</w:t>
                  </w:r>
                  <w:r>
                    <w:rPr>
                      <w:rFonts w:hint="default" w:ascii="Times New Roman" w:hAnsi="Times New Roman" w:eastAsia="宋体" w:cs="Times New Roman"/>
                      <w:bCs/>
                      <w:color w:val="auto"/>
                      <w:sz w:val="21"/>
                      <w:szCs w:val="21"/>
                      <w:highlight w:val="none"/>
                      <w:vertAlign w:val="baseline"/>
                      <w:lang w:val="en-US" w:eastAsia="zh-CN"/>
                    </w:rPr>
                    <w:t>收集至二级活性炭吸附装置处理后引至排气筒DA001排放，经收集处理后废气可以达标排放；项目纯水制备产生的浓水作清净下水排入污水管网；冷却塔用水循环使用，定期补充，不外排；设备清洗废水与地面清洗废水作危险废物交有</w:t>
                  </w:r>
                  <w:r>
                    <w:rPr>
                      <w:rFonts w:hint="eastAsia" w:ascii="Times New Roman" w:hAnsi="Times New Roman" w:eastAsia="宋体" w:cs="Times New Roman"/>
                      <w:bCs/>
                      <w:color w:val="auto"/>
                      <w:sz w:val="21"/>
                      <w:szCs w:val="21"/>
                      <w:highlight w:val="none"/>
                      <w:vertAlign w:val="baseline"/>
                      <w:lang w:val="en-US" w:eastAsia="zh-CN"/>
                    </w:rPr>
                    <w:t>危险废物</w:t>
                  </w:r>
                  <w:r>
                    <w:rPr>
                      <w:rFonts w:hint="default" w:ascii="Times New Roman" w:hAnsi="Times New Roman" w:eastAsia="宋体" w:cs="Times New Roman"/>
                      <w:bCs/>
                      <w:color w:val="auto"/>
                      <w:sz w:val="21"/>
                      <w:szCs w:val="21"/>
                      <w:highlight w:val="none"/>
                      <w:vertAlign w:val="baseline"/>
                      <w:lang w:val="en-US" w:eastAsia="zh-CN"/>
                    </w:rPr>
                    <w:t>资质单位处理，初期雨水经混凝沉淀后直接排入雨水管网；生活污水经</w:t>
                  </w:r>
                  <w:r>
                    <w:rPr>
                      <w:rFonts w:hint="default" w:ascii="Times New Roman" w:hAnsi="Times New Roman" w:cs="Times New Roman"/>
                      <w:color w:val="auto"/>
                      <w:sz w:val="21"/>
                      <w:szCs w:val="21"/>
                    </w:rPr>
                    <w:t>三级化粪池</w:t>
                  </w:r>
                  <w:r>
                    <w:rPr>
                      <w:rFonts w:hint="eastAsia" w:cs="Times New Roman"/>
                      <w:color w:val="auto"/>
                      <w:sz w:val="21"/>
                      <w:szCs w:val="21"/>
                      <w:lang w:val="en-US" w:eastAsia="zh-CN"/>
                    </w:rPr>
                    <w:t>+接触氧化池</w:t>
                  </w:r>
                  <w:r>
                    <w:rPr>
                      <w:rFonts w:hint="default" w:ascii="Times New Roman" w:hAnsi="Times New Roman" w:eastAsia="宋体" w:cs="Times New Roman"/>
                      <w:bCs/>
                      <w:color w:val="auto"/>
                      <w:sz w:val="21"/>
                      <w:szCs w:val="21"/>
                      <w:highlight w:val="none"/>
                      <w:vertAlign w:val="baseline"/>
                      <w:lang w:val="en-US" w:eastAsia="zh-CN"/>
                    </w:rPr>
                    <w:t>预处理后纳入市政管网进入园洲镇第五污水处理厂处理；项目设备噪声经隔声减振后可以达标排放；项目一般固体废物收集后交由专业回收公司处理，危险废物收集后交由有</w:t>
                  </w:r>
                  <w:r>
                    <w:rPr>
                      <w:rFonts w:hint="eastAsia" w:ascii="Times New Roman" w:hAnsi="Times New Roman" w:eastAsia="宋体" w:cs="Times New Roman"/>
                      <w:bCs/>
                      <w:color w:val="auto"/>
                      <w:sz w:val="21"/>
                      <w:szCs w:val="21"/>
                      <w:highlight w:val="none"/>
                      <w:vertAlign w:val="baseline"/>
                      <w:lang w:val="en-US" w:eastAsia="zh-CN"/>
                    </w:rPr>
                    <w:t>危险废物</w:t>
                  </w:r>
                  <w:r>
                    <w:rPr>
                      <w:rFonts w:hint="default" w:ascii="Times New Roman" w:hAnsi="Times New Roman" w:eastAsia="宋体" w:cs="Times New Roman"/>
                      <w:bCs/>
                      <w:color w:val="auto"/>
                      <w:sz w:val="21"/>
                      <w:szCs w:val="21"/>
                      <w:highlight w:val="none"/>
                      <w:vertAlign w:val="baseline"/>
                      <w:lang w:val="en-US" w:eastAsia="zh-CN"/>
                    </w:rPr>
                    <w:t>资质的单位处理</w:t>
                  </w:r>
                  <w:r>
                    <w:rPr>
                      <w:rFonts w:hint="default" w:ascii="Times New Roman" w:hAnsi="Times New Roman" w:eastAsia="宋体" w:cs="Times New Roman"/>
                      <w:bCs/>
                      <w:color w:val="auto"/>
                      <w:sz w:val="21"/>
                      <w:szCs w:val="21"/>
                      <w:vertAlign w:val="baseline"/>
                      <w:lang w:val="en-US" w:eastAsia="zh-CN"/>
                    </w:rPr>
                    <w:t>。</w:t>
                  </w:r>
                </w:p>
              </w:tc>
              <w:tc>
                <w:tcPr>
                  <w:tcW w:w="528"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713" w:type="pct"/>
                  <w:vMerge w:val="restar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防火安全及疏散</w:t>
                  </w:r>
                </w:p>
              </w:tc>
              <w:tc>
                <w:tcPr>
                  <w:tcW w:w="1872"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锂离子电池工厂的耐火等级不应低于二级。</w:t>
                  </w:r>
                </w:p>
              </w:tc>
              <w:tc>
                <w:tcPr>
                  <w:tcW w:w="1885"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项目厂房耐火等级严格按照《建筑设计防火规范》（GB50016-2014）设计，耐火等级设计不低于二级。</w:t>
                  </w:r>
                </w:p>
              </w:tc>
              <w:tc>
                <w:tcPr>
                  <w:tcW w:w="528"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6" w:hRule="atLeast"/>
                <w:jc w:val="center"/>
              </w:trPr>
              <w:tc>
                <w:tcPr>
                  <w:tcW w:w="713" w:type="pct"/>
                  <w:vMerge w:val="continue"/>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eastAsia="宋体" w:cs="Times New Roman"/>
                      <w:bCs/>
                      <w:color w:val="auto"/>
                      <w:sz w:val="21"/>
                      <w:szCs w:val="21"/>
                      <w:vertAlign w:val="baseline"/>
                      <w:lang w:val="en-US" w:eastAsia="zh-CN"/>
                    </w:rPr>
                  </w:pPr>
                </w:p>
              </w:tc>
              <w:tc>
                <w:tcPr>
                  <w:tcW w:w="1872"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锂离子电池工厂各工作间的火灾危险性分类除应符合现行国家标准《建筑设计防火规范》GB 50016、《电子工业洁净厂房设计规范》GB 50472的有关规定外，并应符合下列规定：</w:t>
                  </w:r>
                </w:p>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（1）电解液储存间、配送间及注液区生产的火灾危险性应依据电解液的火灾危险性特征确定；</w:t>
                  </w:r>
                </w:p>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（2）当电解液的火灾危险性特征为甲、乙类，但电池注液区面积小于1000m</w:t>
                  </w:r>
                  <w:r>
                    <w:rPr>
                      <w:rFonts w:hint="default" w:ascii="Times New Roman" w:hAnsi="Times New Roman" w:eastAsia="宋体" w:cs="Times New Roman"/>
                      <w:bCs/>
                      <w:color w:val="auto"/>
                      <w:sz w:val="21"/>
                      <w:szCs w:val="21"/>
                      <w:vertAlign w:val="superscript"/>
                      <w:lang w:val="en-US" w:eastAsia="zh-CN"/>
                    </w:rPr>
                    <w:t>2</w:t>
                  </w:r>
                  <w:r>
                    <w:rPr>
                      <w:rFonts w:hint="default" w:ascii="Times New Roman" w:hAnsi="Times New Roman" w:eastAsia="宋体" w:cs="Times New Roman"/>
                      <w:bCs/>
                      <w:color w:val="auto"/>
                      <w:sz w:val="21"/>
                      <w:szCs w:val="21"/>
                      <w:vertAlign w:val="baseline"/>
                      <w:lang w:val="en-US" w:eastAsia="zh-CN"/>
                    </w:rPr>
                    <w:t>、内部生产设备密闭、电解液采用管道输送，且采用了泄漏报警、自动切断、事故排风措施时，火灾危险性可为丙类；</w:t>
                  </w:r>
                </w:p>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（3）电池成品包装区的火灾危险性应为丙类。</w:t>
                  </w:r>
                </w:p>
              </w:tc>
              <w:tc>
                <w:tcPr>
                  <w:tcW w:w="1885"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项目注液车间和电解液暂存仓按甲类仓库进行设计，注液车间面积为</w:t>
                  </w:r>
                  <w:r>
                    <w:rPr>
                      <w:rFonts w:hint="default" w:ascii="Times New Roman" w:hAnsi="Times New Roman" w:cs="Times New Roman"/>
                      <w:b w:val="0"/>
                      <w:bCs w:val="0"/>
                      <w:color w:val="auto"/>
                      <w:sz w:val="21"/>
                      <w:szCs w:val="20"/>
                      <w:lang w:val="en-US" w:eastAsia="zh-CN"/>
                    </w:rPr>
                    <w:t>100m</w:t>
                  </w:r>
                  <w:r>
                    <w:rPr>
                      <w:rFonts w:hint="default" w:ascii="Times New Roman" w:hAnsi="Times New Roman" w:cs="Times New Roman"/>
                      <w:b w:val="0"/>
                      <w:bCs w:val="0"/>
                      <w:color w:val="auto"/>
                      <w:sz w:val="21"/>
                      <w:szCs w:val="20"/>
                      <w:vertAlign w:val="superscript"/>
                      <w:lang w:val="en-US" w:eastAsia="zh-CN"/>
                    </w:rPr>
                    <w:t>2</w:t>
                  </w:r>
                  <w:r>
                    <w:rPr>
                      <w:rFonts w:hint="default" w:ascii="Times New Roman" w:hAnsi="Times New Roman" w:cs="Times New Roman"/>
                      <w:b w:val="0"/>
                      <w:bCs w:val="0"/>
                      <w:color w:val="auto"/>
                      <w:sz w:val="21"/>
                      <w:szCs w:val="20"/>
                      <w:lang w:val="en-US" w:eastAsia="zh-CN"/>
                    </w:rPr>
                    <w:t>，注液机为密闭设备，电解液通过管道输送，采用了泄漏报警、自动切断等装置。</w:t>
                  </w:r>
                </w:p>
              </w:tc>
              <w:tc>
                <w:tcPr>
                  <w:tcW w:w="528"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jc w:val="center"/>
              </w:trPr>
              <w:tc>
                <w:tcPr>
                  <w:tcW w:w="713" w:type="pct"/>
                  <w:vMerge w:val="continue"/>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eastAsia="宋体" w:cs="Times New Roman"/>
                      <w:bCs/>
                      <w:color w:val="auto"/>
                      <w:sz w:val="21"/>
                      <w:szCs w:val="21"/>
                      <w:vertAlign w:val="baseline"/>
                      <w:lang w:val="en-US" w:eastAsia="zh-CN"/>
                    </w:rPr>
                  </w:pPr>
                </w:p>
              </w:tc>
              <w:tc>
                <w:tcPr>
                  <w:tcW w:w="1872"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化成工序应采取以下安全措施：</w:t>
                  </w:r>
                </w:p>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（1）当采用闭口化成工艺时，每个电池应被安全器具隔离或每台设备都具有独立的排风隔火装置；房间内应设置全面排风和事故排风；</w:t>
                  </w:r>
                </w:p>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（2）当采用开口化成工艺时，每个电池应设置独立的抽真空排气装置；房间内应设置事故排风。</w:t>
                  </w:r>
                </w:p>
              </w:tc>
              <w:tc>
                <w:tcPr>
                  <w:tcW w:w="1885"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项目进行化成工序前已将电芯封口，每个电芯单独隔离，化成车间设车间换风系统排风。</w:t>
                  </w:r>
                </w:p>
              </w:tc>
              <w:tc>
                <w:tcPr>
                  <w:tcW w:w="528"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713" w:type="pct"/>
                  <w:vMerge w:val="continue"/>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eastAsia="宋体" w:cs="Times New Roman"/>
                      <w:bCs/>
                      <w:color w:val="auto"/>
                      <w:sz w:val="21"/>
                      <w:szCs w:val="21"/>
                      <w:vertAlign w:val="baseline"/>
                      <w:lang w:val="en-US" w:eastAsia="zh-CN"/>
                    </w:rPr>
                  </w:pPr>
                </w:p>
              </w:tc>
              <w:tc>
                <w:tcPr>
                  <w:tcW w:w="1872"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甲、乙类电解液储存间及配送间应靠外墙布置，应设置防泄漏设施、泄压设施，并应采用不发生火花的防静电地面。</w:t>
                  </w:r>
                </w:p>
              </w:tc>
              <w:tc>
                <w:tcPr>
                  <w:tcW w:w="1885"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电解液暂存间设置在注液车间中，按甲类仓库设计，做好防渗防漏措施，设置泄压设施，采用不发生火花的防静电地面。</w:t>
                  </w:r>
                </w:p>
              </w:tc>
              <w:tc>
                <w:tcPr>
                  <w:tcW w:w="528"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713"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电解液供应系统</w:t>
                  </w:r>
                </w:p>
              </w:tc>
              <w:tc>
                <w:tcPr>
                  <w:tcW w:w="1872"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电解液暂存间至注液机管道应有防泄漏措施，电解液供液主管路上应设置紧急切断阀。</w:t>
                  </w:r>
                </w:p>
              </w:tc>
              <w:tc>
                <w:tcPr>
                  <w:tcW w:w="1885"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电解液从电解液暂存间经输送管道输送至注液机，管道设有防泄漏监控装置，主管路上设有紧急切断阀。</w:t>
                  </w:r>
                </w:p>
              </w:tc>
              <w:tc>
                <w:tcPr>
                  <w:tcW w:w="528"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713"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通风与废气处理</w:t>
                  </w:r>
                </w:p>
              </w:tc>
              <w:tc>
                <w:tcPr>
                  <w:tcW w:w="1872"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电解液暂存间和注液间应设置事故通风系统，事故通风换气次数不应小于12次/h。</w:t>
                  </w:r>
                </w:p>
              </w:tc>
              <w:tc>
                <w:tcPr>
                  <w:tcW w:w="1885"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电解液暂存间设置在注液车间中，注液车间设有换气次数为15次/h的车间换风系统排风。</w:t>
                  </w:r>
                </w:p>
              </w:tc>
              <w:tc>
                <w:tcPr>
                  <w:tcW w:w="528"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713"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给水排水</w:t>
                  </w:r>
                </w:p>
              </w:tc>
              <w:tc>
                <w:tcPr>
                  <w:tcW w:w="1872"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厂区雨水管网与市政排水网接驳前，厂区内应设置截留阀门，并应保证在突发情况下将产生的废水节流至厂区内的雨水管道及事故应急池内。</w:t>
                  </w:r>
                </w:p>
              </w:tc>
              <w:tc>
                <w:tcPr>
                  <w:tcW w:w="1885"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both"/>
                    <w:rPr>
                      <w:rFonts w:hint="default" w:ascii="Times New Roman" w:hAnsi="Times New Roman" w:eastAsia="宋体" w:cs="Times New Roman"/>
                      <w:bCs/>
                      <w:color w:val="auto"/>
                      <w:sz w:val="21"/>
                      <w:szCs w:val="21"/>
                      <w:vertAlign w:val="baseline"/>
                      <w:lang w:val="en-US" w:eastAsia="zh-CN"/>
                    </w:rPr>
                  </w:pPr>
                  <w:r>
                    <w:rPr>
                      <w:rFonts w:hint="default" w:ascii="Times New Roman" w:hAnsi="Times New Roman" w:eastAsia="宋体" w:cs="Times New Roman"/>
                      <w:bCs/>
                      <w:color w:val="auto"/>
                      <w:sz w:val="21"/>
                      <w:szCs w:val="21"/>
                      <w:vertAlign w:val="baseline"/>
                      <w:lang w:val="en-US" w:eastAsia="zh-CN"/>
                    </w:rPr>
                    <w:t>项目所在区域已实行雨污分流，厂区雨水管网与市政排水网接驳，设有雨水阀门，发生突发环境事件时关闭雨水阀门，防止事故废水及泄漏液体经雨水阀门外流至外环境，将截流的事故废水经重力流至事故应急池中临时存放，收集后交由有</w:t>
                  </w:r>
                  <w:r>
                    <w:rPr>
                      <w:rFonts w:hint="eastAsia" w:ascii="Times New Roman" w:hAnsi="Times New Roman" w:eastAsia="宋体" w:cs="Times New Roman"/>
                      <w:bCs/>
                      <w:color w:val="auto"/>
                      <w:sz w:val="21"/>
                      <w:szCs w:val="21"/>
                      <w:vertAlign w:val="baseline"/>
                      <w:lang w:val="en-US" w:eastAsia="zh-CN"/>
                    </w:rPr>
                    <w:t>危险废物</w:t>
                  </w:r>
                  <w:r>
                    <w:rPr>
                      <w:rFonts w:hint="default" w:ascii="Times New Roman" w:hAnsi="Times New Roman" w:eastAsia="宋体" w:cs="Times New Roman"/>
                      <w:bCs/>
                      <w:color w:val="auto"/>
                      <w:sz w:val="21"/>
                      <w:szCs w:val="21"/>
                      <w:vertAlign w:val="baseline"/>
                      <w:lang w:val="en-US" w:eastAsia="zh-CN"/>
                    </w:rPr>
                    <w:t>资质的单位处理。</w:t>
                  </w:r>
                </w:p>
              </w:tc>
              <w:tc>
                <w:tcPr>
                  <w:tcW w:w="528" w:type="pct"/>
                  <w:noWrap w:val="0"/>
                  <w:vAlign w:val="center"/>
                </w:tcPr>
                <w:p>
                  <w:pPr>
                    <w:keepNext w:val="0"/>
                    <w:keepLines w:val="0"/>
                    <w:pageBreakBefore w:val="0"/>
                    <w:suppressLineNumbers w:val="0"/>
                    <w:kinsoku/>
                    <w:wordWrap/>
                    <w:topLinePunct w:val="0"/>
                    <w:bidi w:val="0"/>
                    <w:adjustRightInd/>
                    <w:snapToGrid/>
                    <w:spacing w:before="0" w:beforeAutospacing="0" w:after="0" w:afterAutospacing="0" w:line="240" w:lineRule="auto"/>
                    <w:ind w:right="0"/>
                    <w:jc w:val="center"/>
                    <w:rPr>
                      <w:rFonts w:hint="default" w:ascii="Times New Roman" w:hAnsi="Times New Roman" w:cs="Times New Roman"/>
                      <w:bCs/>
                      <w:color w:val="auto"/>
                      <w:sz w:val="21"/>
                      <w:szCs w:val="21"/>
                      <w:vertAlign w:val="baseline"/>
                      <w:lang w:val="en-US" w:eastAsia="zh-CN"/>
                    </w:rPr>
                  </w:pPr>
                  <w:r>
                    <w:rPr>
                      <w:rFonts w:hint="default" w:ascii="Times New Roman" w:hAnsi="Times New Roman" w:cs="Times New Roman"/>
                      <w:bCs/>
                      <w:color w:val="auto"/>
                      <w:sz w:val="21"/>
                      <w:szCs w:val="21"/>
                      <w:vertAlign w:val="baseline"/>
                      <w:lang w:val="en-US" w:eastAsia="zh-CN"/>
                    </w:rPr>
                    <w:t>符合</w:t>
                  </w:r>
                </w:p>
              </w:tc>
            </w:tr>
          </w:tbl>
          <w:p>
            <w:pPr>
              <w:pStyle w:val="9"/>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由表可知，本项目符合《锂离子电池工厂设计标准》的要求。</w:t>
            </w:r>
          </w:p>
          <w:p>
            <w:pPr>
              <w:keepNext w:val="0"/>
              <w:keepLines w:val="0"/>
              <w:pageBreakBefore w:val="0"/>
              <w:widowControl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ascii="Times New Roman" w:hAnsi="Times New Roman" w:cs="Times New Roman"/>
                <w:color w:val="auto"/>
                <w:kern w:val="0"/>
                <w:sz w:val="24"/>
                <w:szCs w:val="24"/>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color w:val="auto"/>
                <w:lang w:val="en-US" w:eastAsia="zh-CN"/>
              </w:rPr>
            </w:pPr>
          </w:p>
          <w:p>
            <w:pPr>
              <w:pStyle w:val="18"/>
              <w:rPr>
                <w:rFonts w:hint="default" w:ascii="Times New Roman" w:hAnsi="Times New Roman" w:cs="Times New Roman"/>
                <w:color w:val="auto"/>
                <w:kern w:val="0"/>
                <w:sz w:val="24"/>
                <w:szCs w:val="24"/>
                <w:lang w:val="en-US" w:eastAsia="zh-CN"/>
              </w:rPr>
            </w:pPr>
          </w:p>
          <w:p>
            <w:pPr>
              <w:rPr>
                <w:rFonts w:hint="default"/>
                <w:color w:val="auto"/>
                <w:lang w:val="en-US" w:eastAsia="zh-CN"/>
              </w:rPr>
            </w:pPr>
          </w:p>
        </w:tc>
      </w:tr>
    </w:tbl>
    <w:p>
      <w:pPr>
        <w:spacing w:line="360" w:lineRule="auto"/>
        <w:outlineLvl w:val="0"/>
        <w:rPr>
          <w:rFonts w:hint="default" w:ascii="Times New Roman" w:hAnsi="Times New Roman" w:eastAsia="黑体" w:cs="Times New Roman"/>
          <w:color w:val="auto"/>
          <w:sz w:val="30"/>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p>
      <w:pPr>
        <w:pStyle w:val="27"/>
        <w:keepNext w:val="0"/>
        <w:keepLines w:val="0"/>
        <w:pageBreakBefore w:val="0"/>
        <w:widowControl/>
        <w:kinsoku/>
        <w:wordWrap/>
        <w:overflowPunct/>
        <w:topLinePunct w:val="0"/>
        <w:autoSpaceDE/>
        <w:autoSpaceDN/>
        <w:bidi w:val="0"/>
        <w:adjustRightInd/>
        <w:snapToGrid/>
        <w:jc w:val="center"/>
        <w:textAlignment w:val="auto"/>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二、建设项目工程分析</w:t>
      </w: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47"/>
        <w:gridCol w:w="861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9038" w:hRule="atLeast"/>
          <w:jc w:val="center"/>
        </w:trPr>
        <w:tc>
          <w:tcPr>
            <w:tcW w:w="418" w:type="dxa"/>
            <w:noWrap w:val="0"/>
            <w:vAlign w:val="center"/>
          </w:tcPr>
          <w:p>
            <w:pPr>
              <w:pStyle w:val="27"/>
              <w:adjustRightInd w:val="0"/>
              <w:snapToGrid w:val="0"/>
              <w:spacing w:before="0" w:beforeAutospacing="0" w:after="0" w:afterAutospacing="0"/>
              <w:jc w:val="center"/>
              <w:outlineLvl w:val="1"/>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4"/>
                <w:szCs w:val="24"/>
                <w:lang w:val="en-US" w:eastAsia="zh-CN"/>
              </w:rPr>
              <w:t>建设内容</w:t>
            </w:r>
          </w:p>
        </w:tc>
        <w:tc>
          <w:tcPr>
            <w:tcW w:w="8642" w:type="dxa"/>
            <w:noWrap w:val="0"/>
            <w:vAlign w:val="top"/>
          </w:tcPr>
          <w:p>
            <w:pPr>
              <w:spacing w:before="120" w:beforeLines="50" w:line="360" w:lineRule="auto"/>
              <w:ind w:firstLine="482" w:firstLineChars="200"/>
              <w:textAlignment w:val="baseline"/>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2.1.1项目背景及任务由来</w:t>
            </w:r>
          </w:p>
          <w:p>
            <w:pPr>
              <w:spacing w:line="360" w:lineRule="auto"/>
              <w:ind w:firstLine="482" w:firstLineChars="200"/>
              <w:textAlignment w:val="baseline"/>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2.1.1.1项目背景</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项目位于</w:t>
            </w:r>
            <w:r>
              <w:rPr>
                <w:rFonts w:hint="default" w:ascii="Times New Roman" w:hAnsi="Times New Roman" w:cs="Times New Roman"/>
                <w:color w:val="auto"/>
                <w:sz w:val="24"/>
                <w:lang w:val="en-US" w:eastAsia="zh-CN"/>
              </w:rPr>
              <w:t>惠州市</w:t>
            </w:r>
            <w:r>
              <w:rPr>
                <w:rFonts w:hint="default" w:ascii="Times New Roman" w:hAnsi="Times New Roman" w:cs="Times New Roman"/>
                <w:color w:val="auto"/>
                <w:sz w:val="24"/>
              </w:rPr>
              <w:t>博罗县园洲镇上南村市场中路</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租用现有厂房进行生产，其中心地理经纬度为：E113°58′48.315″，N23°7′29.821″，具体地理位置见附图1。项目总投资1000万元，占地面</w:t>
            </w:r>
            <w:r>
              <w:rPr>
                <w:rFonts w:hint="default" w:ascii="Times New Roman" w:hAnsi="Times New Roman" w:eastAsia="宋体" w:cs="Times New Roman"/>
                <w:color w:val="auto"/>
                <w:sz w:val="24"/>
                <w:szCs w:val="24"/>
                <w:lang w:val="en-US" w:eastAsia="zh-CN"/>
              </w:rPr>
              <w:t>积2500m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，总建筑</w:t>
            </w:r>
            <w:r>
              <w:rPr>
                <w:rFonts w:hint="default" w:ascii="Times New Roman" w:hAnsi="Times New Roman" w:cs="Times New Roman"/>
                <w:color w:val="auto"/>
                <w:sz w:val="24"/>
                <w:szCs w:val="24"/>
                <w:lang w:val="en-US" w:eastAsia="zh-CN"/>
              </w:rPr>
              <w:t>面积为2400m</w:t>
            </w:r>
            <w:r>
              <w:rPr>
                <w:rFonts w:hint="default" w:ascii="Times New Roman" w:hAnsi="Times New Roman" w:cs="Times New Roman"/>
                <w:color w:val="auto"/>
                <w:sz w:val="24"/>
                <w:szCs w:val="24"/>
                <w:vertAlign w:val="superscript"/>
                <w:lang w:val="en-US" w:eastAsia="zh-CN"/>
              </w:rPr>
              <w:t>2</w:t>
            </w:r>
            <w:r>
              <w:rPr>
                <w:rFonts w:hint="default" w:ascii="Times New Roman" w:hAnsi="Times New Roman" w:cs="Times New Roman"/>
                <w:color w:val="auto"/>
                <w:sz w:val="24"/>
                <w:szCs w:val="24"/>
                <w:lang w:val="en-US" w:eastAsia="zh-CN"/>
              </w:rPr>
              <w:t>。</w:t>
            </w:r>
            <w:r>
              <w:rPr>
                <w:rFonts w:hint="default" w:ascii="Times New Roman" w:hAnsi="Times New Roman" w:eastAsia="宋体" w:cs="Times New Roman"/>
                <w:color w:val="auto"/>
                <w:kern w:val="0"/>
                <w:sz w:val="24"/>
                <w:szCs w:val="24"/>
                <w:lang w:eastAsia="zh-CN"/>
              </w:rPr>
              <w:t>根据</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博罗县园洲镇总体规划修编（2018-2035）</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kern w:val="0"/>
                <w:sz w:val="24"/>
                <w:szCs w:val="24"/>
                <w:lang w:val="en-US" w:eastAsia="zh-CN"/>
              </w:rPr>
              <w:t>以及</w:t>
            </w:r>
            <w:r>
              <w:rPr>
                <w:rFonts w:hint="default" w:ascii="Times New Roman" w:hAnsi="Times New Roman" w:eastAsia="宋体" w:cs="Times New Roman"/>
                <w:color w:val="auto"/>
                <w:kern w:val="0"/>
                <w:sz w:val="24"/>
                <w:szCs w:val="24"/>
                <w:lang w:eastAsia="zh-CN"/>
              </w:rPr>
              <w:t>建设单位提供的</w:t>
            </w:r>
            <w:r>
              <w:rPr>
                <w:rFonts w:hint="default" w:ascii="Times New Roman" w:hAnsi="Times New Roman" w:eastAsia="宋体" w:cs="Times New Roman"/>
                <w:color w:val="auto"/>
                <w:kern w:val="0"/>
                <w:sz w:val="24"/>
                <w:szCs w:val="24"/>
                <w:lang w:val="en-US" w:eastAsia="zh-CN"/>
              </w:rPr>
              <w:t>土地证明</w:t>
            </w:r>
            <w:r>
              <w:rPr>
                <w:rFonts w:hint="default" w:ascii="Times New Roman" w:hAnsi="Times New Roman" w:eastAsia="宋体" w:cs="Times New Roman"/>
                <w:color w:val="auto"/>
                <w:kern w:val="0"/>
                <w:sz w:val="24"/>
                <w:szCs w:val="24"/>
                <w:lang w:eastAsia="zh-CN"/>
              </w:rPr>
              <w:t>，</w:t>
            </w:r>
            <w:r>
              <w:rPr>
                <w:rFonts w:hint="default" w:ascii="Times New Roman" w:hAnsi="Times New Roman" w:cs="Times New Roman"/>
                <w:color w:val="auto"/>
                <w:sz w:val="24"/>
                <w:szCs w:val="24"/>
                <w:lang w:val="en-US" w:eastAsia="zh-CN"/>
              </w:rPr>
              <w:t>项目选址属于工业用地。项目主要从事锂离子电池制造，年产锂离子电池1000万个。</w:t>
            </w:r>
          </w:p>
          <w:p>
            <w:pPr>
              <w:spacing w:line="360" w:lineRule="auto"/>
              <w:ind w:firstLine="482" w:firstLineChars="200"/>
              <w:textAlignment w:val="baseline"/>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2.1.1.2任务由来</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根据《中华人民共和国环境保护法》</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中华人民共和国主席令第22号</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、《中华人民共和国环境影响评价法》</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中华人民共和国主席令第77号</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和《建设项目环境保护管理条例》</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val="en-US" w:eastAsia="zh-CN"/>
              </w:rPr>
              <w:t>国务院令第253号</w:t>
            </w:r>
            <w:r>
              <w:rPr>
                <w:rFonts w:hint="default" w:ascii="Times New Roman" w:hAnsi="Times New Roman" w:eastAsia="宋体" w:cs="Times New Roman"/>
                <w:color w:val="auto"/>
                <w:sz w:val="24"/>
                <w:szCs w:val="24"/>
                <w:lang w:eastAsia="zh-CN"/>
              </w:rPr>
              <w:t>）等</w:t>
            </w:r>
            <w:r>
              <w:rPr>
                <w:rFonts w:hint="default" w:ascii="Times New Roman" w:hAnsi="Times New Roman" w:cs="Times New Roman"/>
                <w:color w:val="auto"/>
                <w:sz w:val="24"/>
                <w:szCs w:val="24"/>
              </w:rPr>
              <w:t>有关环保法律、法规，本项目需进行环境影响评价。结合建设项目建设情况，检索《国民经济行业分类》（GB/T4754-2017），判定项目属于“</w:t>
            </w:r>
            <w:r>
              <w:rPr>
                <w:rFonts w:hint="default" w:ascii="Times New Roman" w:hAnsi="Times New Roman" w:cs="Times New Roman"/>
                <w:color w:val="auto"/>
                <w:sz w:val="24"/>
              </w:rPr>
              <w:t>C3841锂离子电池制造</w:t>
            </w:r>
            <w:r>
              <w:rPr>
                <w:rFonts w:hint="default" w:ascii="Times New Roman" w:hAnsi="Times New Roman" w:cs="Times New Roman"/>
                <w:color w:val="auto"/>
                <w:sz w:val="24"/>
                <w:szCs w:val="24"/>
              </w:rPr>
              <w:t>”；检索《建设项目环境影响评价分类管理名录》（2021年版），判定项目类别为“</w:t>
            </w:r>
            <w:r>
              <w:rPr>
                <w:rFonts w:hint="default" w:ascii="Times New Roman" w:hAnsi="Times New Roman" w:cs="Times New Roman"/>
                <w:color w:val="auto"/>
                <w:sz w:val="24"/>
                <w:szCs w:val="24"/>
                <w:lang w:val="en-US" w:eastAsia="zh-CN"/>
              </w:rPr>
              <w:t>77 电池制造384-其他</w:t>
            </w:r>
            <w:r>
              <w:rPr>
                <w:rFonts w:hint="default" w:ascii="Times New Roman" w:hAnsi="Times New Roman" w:cs="Times New Roman"/>
                <w:color w:val="auto"/>
                <w:sz w:val="24"/>
                <w:szCs w:val="24"/>
              </w:rPr>
              <w:t>”，故该拟建项目应编制环境影响报告表。</w:t>
            </w:r>
          </w:p>
          <w:p>
            <w:pPr>
              <w:spacing w:line="360" w:lineRule="auto"/>
              <w:ind w:firstLine="480" w:firstLineChars="200"/>
              <w:textAlignment w:val="baseline"/>
              <w:rPr>
                <w:rFonts w:hint="default" w:ascii="Times New Roman" w:hAnsi="Times New Roman" w:cs="Times New Roman"/>
                <w:bCs/>
                <w:color w:val="auto"/>
                <w:sz w:val="24"/>
                <w:szCs w:val="24"/>
              </w:rPr>
            </w:pPr>
            <w:r>
              <w:rPr>
                <w:rFonts w:hint="default" w:ascii="Times New Roman" w:hAnsi="Times New Roman" w:cs="Times New Roman"/>
                <w:color w:val="auto"/>
                <w:sz w:val="24"/>
                <w:szCs w:val="24"/>
              </w:rPr>
              <w:t>本项目环境影响评价类别</w:t>
            </w:r>
            <w:r>
              <w:rPr>
                <w:rFonts w:hint="default" w:ascii="Times New Roman" w:hAnsi="Times New Roman" w:cs="Times New Roman"/>
                <w:bCs/>
                <w:color w:val="auto"/>
                <w:sz w:val="24"/>
                <w:szCs w:val="24"/>
              </w:rPr>
              <w:t>判定依据，详见下表。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snapToGrid w:val="0"/>
                <w:color w:val="auto"/>
                <w:sz w:val="24"/>
                <w:szCs w:val="24"/>
              </w:rPr>
            </w:pPr>
            <w:r>
              <w:rPr>
                <w:rFonts w:hint="default" w:ascii="Times New Roman" w:hAnsi="Times New Roman" w:cs="Times New Roman"/>
                <w:b/>
                <w:snapToGrid w:val="0"/>
                <w:color w:val="auto"/>
                <w:sz w:val="24"/>
                <w:szCs w:val="24"/>
              </w:rPr>
              <w:t>表2-1 环境影响评价类别判定表</w:t>
            </w:r>
          </w:p>
          <w:tbl>
            <w:tblPr>
              <w:tblStyle w:val="32"/>
              <w:tblW w:w="8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9"/>
              <w:gridCol w:w="35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snapToGrid w:val="0"/>
                      <w:color w:val="auto"/>
                      <w:szCs w:val="21"/>
                    </w:rPr>
                  </w:pPr>
                  <w:r>
                    <w:rPr>
                      <w:rFonts w:hint="default" w:ascii="Times New Roman" w:hAnsi="Times New Roman" w:cs="Times New Roman"/>
                      <w:b/>
                      <w:bCs/>
                      <w:snapToGrid w:val="0"/>
                      <w:color w:val="auto"/>
                      <w:szCs w:val="21"/>
                    </w:rPr>
                    <w:t>判定依据</w:t>
                  </w:r>
                </w:p>
              </w:tc>
              <w:tc>
                <w:tcPr>
                  <w:tcW w:w="35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snapToGrid w:val="0"/>
                      <w:color w:val="auto"/>
                      <w:szCs w:val="21"/>
                    </w:rPr>
                  </w:pPr>
                  <w:r>
                    <w:rPr>
                      <w:rFonts w:hint="default" w:ascii="Times New Roman" w:hAnsi="Times New Roman" w:cs="Times New Roman"/>
                      <w:b/>
                      <w:bCs/>
                      <w:snapToGrid w:val="0"/>
                      <w:color w:val="auto"/>
                      <w:szCs w:val="21"/>
                    </w:rPr>
                    <w:t>内容分析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49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Cs w:val="21"/>
                    </w:rPr>
                  </w:pPr>
                  <w:r>
                    <w:rPr>
                      <w:rFonts w:hint="default" w:ascii="Times New Roman" w:hAnsi="Times New Roman" w:cs="Times New Roman"/>
                      <w:snapToGrid w:val="0"/>
                      <w:color w:val="auto"/>
                      <w:szCs w:val="21"/>
                    </w:rPr>
                    <w:t>国民经济行业类别及代码（2017年）</w:t>
                  </w:r>
                </w:p>
              </w:tc>
              <w:tc>
                <w:tcPr>
                  <w:tcW w:w="35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 w:val="21"/>
                      <w:szCs w:val="21"/>
                    </w:rPr>
                  </w:pPr>
                  <w:r>
                    <w:rPr>
                      <w:rFonts w:hint="default" w:ascii="Times New Roman" w:hAnsi="Times New Roman" w:cs="Times New Roman"/>
                      <w:color w:val="auto"/>
                      <w:sz w:val="21"/>
                      <w:szCs w:val="21"/>
                    </w:rPr>
                    <w:t>C3841锂离子电池制造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49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Cs w:val="21"/>
                    </w:rPr>
                  </w:pPr>
                  <w:r>
                    <w:rPr>
                      <w:rFonts w:hint="default" w:ascii="Times New Roman" w:hAnsi="Times New Roman" w:cs="Times New Roman"/>
                      <w:snapToGrid w:val="0"/>
                      <w:color w:val="auto"/>
                      <w:szCs w:val="21"/>
                    </w:rPr>
                    <w:t>建设项目环境影响评价分类管理名录（2021年版）</w:t>
                  </w:r>
                </w:p>
              </w:tc>
              <w:tc>
                <w:tcPr>
                  <w:tcW w:w="35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 w:val="21"/>
                      <w:szCs w:val="21"/>
                    </w:rPr>
                  </w:pPr>
                  <w:r>
                    <w:rPr>
                      <w:rFonts w:hint="default" w:ascii="Times New Roman" w:hAnsi="Times New Roman" w:cs="Times New Roman"/>
                      <w:color w:val="auto"/>
                      <w:sz w:val="21"/>
                      <w:szCs w:val="21"/>
                      <w:lang w:val="en-US" w:eastAsia="zh-CN"/>
                    </w:rPr>
                    <w:t>77 电池制造384-其他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9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kern w:val="0"/>
                      <w:szCs w:val="21"/>
                    </w:rPr>
                  </w:pPr>
                  <w:r>
                    <w:rPr>
                      <w:rFonts w:hint="default" w:ascii="Times New Roman" w:hAnsi="Times New Roman" w:cs="Times New Roman"/>
                      <w:snapToGrid w:val="0"/>
                      <w:color w:val="auto"/>
                      <w:kern w:val="0"/>
                      <w:szCs w:val="21"/>
                    </w:rPr>
                    <w:t>建设项目环评类别判定</w:t>
                  </w:r>
                </w:p>
              </w:tc>
              <w:tc>
                <w:tcPr>
                  <w:tcW w:w="354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Cs w:val="21"/>
                    </w:rPr>
                  </w:pPr>
                  <w:r>
                    <w:rPr>
                      <w:rFonts w:hint="default" w:ascii="Times New Roman" w:hAnsi="Times New Roman" w:cs="Times New Roman"/>
                      <w:snapToGrid w:val="0"/>
                      <w:color w:val="auto"/>
                      <w:szCs w:val="21"/>
                    </w:rPr>
                    <w:t>本项目应编制“环境影响报告表”</w:t>
                  </w:r>
                </w:p>
              </w:tc>
            </w:tr>
          </w:tbl>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color w:val="auto"/>
                <w:sz w:val="24"/>
                <w:szCs w:val="24"/>
              </w:rPr>
              <w:t>受建设单位委托，广东</w:t>
            </w:r>
            <w:r>
              <w:rPr>
                <w:rFonts w:hint="default" w:ascii="Times New Roman" w:hAnsi="Times New Roman" w:cs="Times New Roman"/>
                <w:color w:val="auto"/>
                <w:sz w:val="24"/>
                <w:szCs w:val="24"/>
                <w:lang w:val="en-US" w:eastAsia="zh-CN"/>
              </w:rPr>
              <w:t>永壹</w:t>
            </w:r>
            <w:r>
              <w:rPr>
                <w:rFonts w:hint="default" w:ascii="Times New Roman" w:hAnsi="Times New Roman" w:cs="Times New Roman"/>
                <w:color w:val="auto"/>
                <w:sz w:val="24"/>
                <w:szCs w:val="24"/>
              </w:rPr>
              <w:t>环保科技</w:t>
            </w:r>
            <w:r>
              <w:rPr>
                <w:rFonts w:hint="default" w:ascii="Times New Roman" w:hAnsi="Times New Roman" w:cs="Times New Roman"/>
                <w:color w:val="auto"/>
                <w:sz w:val="24"/>
                <w:szCs w:val="24"/>
                <w:lang w:val="en-US" w:eastAsia="zh-CN"/>
              </w:rPr>
              <w:t>咨询</w:t>
            </w:r>
            <w:r>
              <w:rPr>
                <w:rFonts w:hint="default" w:ascii="Times New Roman" w:hAnsi="Times New Roman" w:cs="Times New Roman"/>
                <w:color w:val="auto"/>
                <w:sz w:val="24"/>
                <w:szCs w:val="24"/>
              </w:rPr>
              <w:t>有限公司承担了本建设项目的环境影响评价工作。评价单位接受委托后，在现场踏勘、资料分析和环境监测的基础上，按照国家和地方的有关法律法规和政策、环境影响评价技术规范和标准，编制了</w:t>
            </w:r>
            <w:r>
              <w:rPr>
                <w:rFonts w:hint="default" w:ascii="Times New Roman" w:hAnsi="Times New Roman"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广东晋辉科技有限公司年产锂</w:t>
            </w:r>
            <w:r>
              <w:rPr>
                <w:rFonts w:hint="eastAsia" w:ascii="Times New Roman" w:hAnsi="Times New Roman" w:eastAsia="宋体" w:cs="Times New Roman"/>
                <w:color w:val="auto"/>
                <w:sz w:val="24"/>
                <w:szCs w:val="24"/>
                <w:highlight w:val="none"/>
                <w:lang w:val="en-US" w:eastAsia="zh-CN"/>
              </w:rPr>
              <w:t>离子</w:t>
            </w:r>
            <w:r>
              <w:rPr>
                <w:rFonts w:hint="default" w:ascii="Times New Roman" w:hAnsi="Times New Roman" w:eastAsia="宋体" w:cs="Times New Roman"/>
                <w:color w:val="auto"/>
                <w:sz w:val="24"/>
                <w:szCs w:val="24"/>
                <w:highlight w:val="none"/>
                <w:lang w:eastAsia="zh-CN"/>
              </w:rPr>
              <w:t>电池1000万个新建项目</w:t>
            </w:r>
            <w:r>
              <w:rPr>
                <w:rFonts w:hint="default" w:ascii="Times New Roman" w:hAnsi="Times New Roman" w:cs="Times New Roman"/>
                <w:color w:val="auto"/>
                <w:sz w:val="24"/>
                <w:szCs w:val="24"/>
                <w:highlight w:val="none"/>
              </w:rPr>
              <w:t>环境影响报告表》。</w:t>
            </w:r>
          </w:p>
          <w:p>
            <w:pPr>
              <w:adjustRightInd w:val="0"/>
              <w:snapToGrid w:val="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2.1.2 建设内容及规模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32"/>
                <w:lang w:val="en-US" w:eastAsia="zh-CN"/>
              </w:rPr>
              <w:t>项目位于</w:t>
            </w:r>
            <w:r>
              <w:rPr>
                <w:rFonts w:hint="default" w:ascii="Times New Roman" w:hAnsi="Times New Roman" w:cs="Times New Roman"/>
                <w:color w:val="auto"/>
                <w:sz w:val="24"/>
                <w:lang w:val="en-US" w:eastAsia="zh-CN"/>
              </w:rPr>
              <w:t>惠州市</w:t>
            </w:r>
            <w:r>
              <w:rPr>
                <w:rFonts w:hint="default" w:ascii="Times New Roman" w:hAnsi="Times New Roman" w:cs="Times New Roman"/>
                <w:color w:val="auto"/>
                <w:sz w:val="24"/>
              </w:rPr>
              <w:t>博罗县园洲镇上南村市场中路</w:t>
            </w:r>
            <w:r>
              <w:rPr>
                <w:rFonts w:hint="default" w:ascii="Times New Roman" w:hAnsi="Times New Roman" w:cs="Times New Roman"/>
                <w:color w:val="auto"/>
                <w:sz w:val="24"/>
                <w:szCs w:val="32"/>
                <w:lang w:eastAsia="zh-CN"/>
              </w:rPr>
              <w:t>，</w:t>
            </w:r>
            <w:r>
              <w:rPr>
                <w:rFonts w:hint="default" w:ascii="Times New Roman" w:hAnsi="Times New Roman" w:cs="Times New Roman"/>
                <w:color w:val="auto"/>
                <w:sz w:val="24"/>
                <w:szCs w:val="24"/>
                <w:lang w:val="en-US" w:eastAsia="zh-CN"/>
              </w:rPr>
              <w:t>租用现有厂房进行生产，占地面</w:t>
            </w:r>
            <w:r>
              <w:rPr>
                <w:rFonts w:hint="default" w:ascii="Times New Roman" w:hAnsi="Times New Roman" w:eastAsia="宋体" w:cs="Times New Roman"/>
                <w:color w:val="auto"/>
                <w:sz w:val="24"/>
                <w:szCs w:val="24"/>
                <w:lang w:val="en-US" w:eastAsia="zh-CN"/>
              </w:rPr>
              <w:t>积2500m</w:t>
            </w:r>
            <w:r>
              <w:rPr>
                <w:rFonts w:hint="default" w:ascii="Times New Roman" w:hAnsi="Times New Roman" w:eastAsia="宋体" w:cs="Times New Roman"/>
                <w:color w:val="auto"/>
                <w:sz w:val="24"/>
                <w:szCs w:val="24"/>
                <w:vertAlign w:val="superscript"/>
                <w:lang w:val="en-US" w:eastAsia="zh-CN"/>
              </w:rPr>
              <w:t>2</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32"/>
                <w:lang w:val="en-US" w:eastAsia="zh-CN"/>
              </w:rPr>
              <w:t>项目所在厂房共三层，厂房总高度为1</w:t>
            </w:r>
            <w:r>
              <w:rPr>
                <w:rFonts w:hint="eastAsia" w:ascii="Times New Roman" w:hAnsi="Times New Roman" w:eastAsia="宋体" w:cs="Times New Roman"/>
                <w:color w:val="auto"/>
                <w:sz w:val="24"/>
                <w:szCs w:val="32"/>
                <w:lang w:val="en-US" w:eastAsia="zh-CN"/>
              </w:rPr>
              <w:t>5</w:t>
            </w:r>
            <w:r>
              <w:rPr>
                <w:rFonts w:hint="default" w:ascii="Times New Roman" w:hAnsi="Times New Roman" w:eastAsia="宋体" w:cs="Times New Roman"/>
                <w:color w:val="auto"/>
                <w:sz w:val="24"/>
                <w:szCs w:val="32"/>
                <w:lang w:val="en-US" w:eastAsia="zh-CN"/>
              </w:rPr>
              <w:t>m，本项目生产车间位于其中</w:t>
            </w:r>
            <w:r>
              <w:rPr>
                <w:rFonts w:hint="default" w:ascii="Times New Roman" w:hAnsi="Times New Roman" w:cs="Times New Roman"/>
                <w:color w:val="auto"/>
                <w:sz w:val="24"/>
                <w:szCs w:val="24"/>
                <w:u w:val="none"/>
                <w:lang w:val="en-US" w:eastAsia="zh-CN"/>
              </w:rPr>
              <w:t>一层、二层</w:t>
            </w:r>
            <w:r>
              <w:rPr>
                <w:rFonts w:hint="default" w:ascii="Times New Roman" w:hAnsi="Times New Roman" w:eastAsia="宋体" w:cs="Times New Roman"/>
                <w:color w:val="auto"/>
                <w:sz w:val="24"/>
                <w:szCs w:val="32"/>
                <w:lang w:val="en-US" w:eastAsia="zh-CN"/>
              </w:rPr>
              <w:t>，仓库和办公室位于项目区西南侧，总建筑</w:t>
            </w:r>
            <w:r>
              <w:rPr>
                <w:rFonts w:hint="default" w:ascii="Times New Roman" w:hAnsi="Times New Roman" w:cs="Times New Roman"/>
                <w:color w:val="auto"/>
                <w:sz w:val="24"/>
                <w:szCs w:val="32"/>
                <w:lang w:val="en-US" w:eastAsia="zh-CN"/>
              </w:rPr>
              <w:t>面积为</w:t>
            </w:r>
            <w:r>
              <w:rPr>
                <w:rFonts w:hint="default" w:ascii="Times New Roman" w:hAnsi="Times New Roman" w:cs="Times New Roman"/>
                <w:color w:val="auto"/>
                <w:sz w:val="24"/>
                <w:szCs w:val="24"/>
                <w:lang w:val="en-US" w:eastAsia="zh-CN"/>
              </w:rPr>
              <w:t>2400</w:t>
            </w:r>
            <w:r>
              <w:rPr>
                <w:rFonts w:hint="default" w:ascii="Times New Roman" w:hAnsi="Times New Roman" w:cs="Times New Roman"/>
                <w:color w:val="auto"/>
                <w:sz w:val="24"/>
                <w:szCs w:val="32"/>
                <w:lang w:val="en-US" w:eastAsia="zh-CN"/>
              </w:rPr>
              <w:t>m</w:t>
            </w:r>
            <w:r>
              <w:rPr>
                <w:rFonts w:hint="default" w:ascii="Times New Roman" w:hAnsi="Times New Roman" w:cs="Times New Roman"/>
                <w:color w:val="auto"/>
                <w:sz w:val="24"/>
                <w:szCs w:val="32"/>
                <w:vertAlign w:val="superscript"/>
                <w:lang w:val="en-US" w:eastAsia="zh-CN"/>
              </w:rPr>
              <w:t>2</w:t>
            </w:r>
            <w:r>
              <w:rPr>
                <w:rFonts w:hint="default" w:ascii="Times New Roman" w:hAnsi="Times New Roman" w:cs="Times New Roman"/>
                <w:color w:val="auto"/>
                <w:sz w:val="24"/>
                <w:szCs w:val="32"/>
                <w:lang w:val="en-US" w:eastAsia="zh-CN"/>
              </w:rPr>
              <w:t>。项目总投资1000万元，预计招员工48人，</w:t>
            </w:r>
            <w:r>
              <w:rPr>
                <w:rFonts w:hint="default" w:ascii="Times New Roman" w:hAnsi="Times New Roman" w:cs="Times New Roman"/>
                <w:color w:val="auto"/>
                <w:sz w:val="24"/>
                <w:szCs w:val="24"/>
              </w:rPr>
              <w:t>年工作天数为</w:t>
            </w:r>
            <w:r>
              <w:rPr>
                <w:rFonts w:hint="default" w:ascii="Times New Roman" w:hAnsi="Times New Roman" w:cs="Times New Roman"/>
                <w:color w:val="auto"/>
                <w:sz w:val="24"/>
                <w:szCs w:val="24"/>
                <w:lang w:val="en-US" w:eastAsia="zh-CN"/>
              </w:rPr>
              <w:t>28</w:t>
            </w:r>
            <w:r>
              <w:rPr>
                <w:rFonts w:hint="default" w:ascii="Times New Roman" w:hAnsi="Times New Roman" w:cs="Times New Roman"/>
                <w:color w:val="auto"/>
                <w:sz w:val="24"/>
                <w:szCs w:val="24"/>
              </w:rPr>
              <w:t>0天，每天工作</w:t>
            </w:r>
            <w:r>
              <w:rPr>
                <w:rFonts w:hint="default" w:ascii="Times New Roman" w:hAnsi="Times New Roman" w:cs="Times New Roman"/>
                <w:color w:val="auto"/>
                <w:sz w:val="24"/>
                <w:szCs w:val="24"/>
                <w:lang w:val="en-US" w:eastAsia="zh-CN"/>
              </w:rPr>
              <w:t>2班，每班10</w:t>
            </w:r>
            <w:r>
              <w:rPr>
                <w:rFonts w:hint="default" w:ascii="Times New Roman" w:hAnsi="Times New Roman" w:cs="Times New Roman"/>
                <w:color w:val="auto"/>
                <w:sz w:val="24"/>
                <w:szCs w:val="24"/>
              </w:rPr>
              <w:t>小时</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员工均不在厂区内食宿。</w:t>
            </w:r>
            <w:r>
              <w:rPr>
                <w:rFonts w:hint="default" w:ascii="Times New Roman" w:hAnsi="Times New Roman" w:cs="Times New Roman"/>
                <w:color w:val="auto"/>
                <w:sz w:val="24"/>
                <w:szCs w:val="24"/>
                <w:lang w:val="en-US" w:eastAsia="zh-CN"/>
              </w:rPr>
              <w:t>项目主要从事锂离子电池制造，年产锂离子电池1000万个。</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lang w:val="en-US" w:eastAsia="zh-CN"/>
              </w:rPr>
              <w:t>项目租用</w:t>
            </w:r>
            <w:r>
              <w:rPr>
                <w:rFonts w:hint="default" w:ascii="Times New Roman" w:hAnsi="Times New Roman" w:cs="Times New Roman"/>
                <w:color w:val="auto"/>
                <w:sz w:val="24"/>
                <w:lang w:val="en-US" w:eastAsia="zh-CN"/>
              </w:rPr>
              <w:t>惠州市</w:t>
            </w:r>
            <w:r>
              <w:rPr>
                <w:rFonts w:hint="default" w:ascii="Times New Roman" w:hAnsi="Times New Roman" w:cs="Times New Roman"/>
                <w:color w:val="auto"/>
                <w:sz w:val="24"/>
              </w:rPr>
              <w:t>博罗县园洲镇上南村市场中路</w:t>
            </w:r>
            <w:r>
              <w:rPr>
                <w:rFonts w:hint="default" w:ascii="Times New Roman" w:hAnsi="Times New Roman" w:cs="Times New Roman"/>
                <w:color w:val="auto"/>
                <w:sz w:val="24"/>
                <w:lang w:val="en-US" w:eastAsia="zh-CN"/>
              </w:rPr>
              <w:t>作为生产场所，共设有3栋建筑物（分别为门卫室、生产厂房、办公楼），仅生产厂房的3层为惠州市兆坤锂能科技有限公司，其余区域均为本项目租用。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color w:val="auto"/>
                <w:sz w:val="24"/>
                <w:szCs w:val="32"/>
                <w:lang w:val="en-US" w:eastAsia="zh-CN"/>
              </w:rPr>
            </w:pPr>
            <w:r>
              <w:rPr>
                <w:rFonts w:hint="default" w:ascii="Times New Roman" w:hAnsi="Times New Roman" w:cs="Times New Roman"/>
                <w:color w:val="auto"/>
                <w:sz w:val="24"/>
                <w:szCs w:val="24"/>
              </w:rPr>
              <w:t>其建设内容及工程规模详见表2-</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snapToGrid w:val="0"/>
                <w:color w:val="auto"/>
                <w:sz w:val="24"/>
                <w:szCs w:val="24"/>
              </w:rPr>
            </w:pPr>
            <w:r>
              <w:rPr>
                <w:rFonts w:hint="default" w:ascii="Times New Roman" w:hAnsi="Times New Roman" w:eastAsia="宋体" w:cs="Times New Roman"/>
                <w:b/>
                <w:snapToGrid w:val="0"/>
                <w:color w:val="auto"/>
                <w:sz w:val="24"/>
                <w:szCs w:val="24"/>
              </w:rPr>
              <w:t>表2-2 本项目工程内容及规模</w:t>
            </w:r>
          </w:p>
          <w:tbl>
            <w:tblPr>
              <w:tblStyle w:val="33"/>
              <w:tblW w:w="84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1318"/>
              <w:gridCol w:w="841"/>
              <w:gridCol w:w="704"/>
              <w:gridCol w:w="4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类别</w:t>
                  </w: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lang w:val="en-US" w:eastAsia="zh-CN"/>
                    </w:rPr>
                    <w:t>项目名称</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3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主体工程</w:t>
                  </w:r>
                </w:p>
              </w:tc>
              <w:tc>
                <w:tcPr>
                  <w:tcW w:w="782"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生产车间（厂房位于项目区东侧，占地面积1000m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，建筑面积2000m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w:t>
                  </w:r>
                </w:p>
              </w:tc>
              <w:tc>
                <w:tcPr>
                  <w:tcW w:w="49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一层</w:t>
                  </w:r>
                </w:p>
              </w:tc>
              <w:tc>
                <w:tcPr>
                  <w:tcW w:w="332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楼层高度5.6m，占地面积1000m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，建筑面积1000m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。设有配料间（占地面积80m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）、涂布</w:t>
                  </w:r>
                  <w:r>
                    <w:rPr>
                      <w:rFonts w:hint="eastAsia" w:ascii="Times New Roman" w:hAnsi="Times New Roman" w:cs="Times New Roman"/>
                      <w:color w:val="auto"/>
                      <w:lang w:val="en-US" w:eastAsia="zh-CN"/>
                    </w:rPr>
                    <w:t>烘烤</w:t>
                  </w:r>
                  <w:r>
                    <w:rPr>
                      <w:rFonts w:hint="default" w:ascii="Times New Roman" w:hAnsi="Times New Roman" w:cs="Times New Roman"/>
                      <w:color w:val="auto"/>
                      <w:lang w:val="en-US" w:eastAsia="zh-CN"/>
                    </w:rPr>
                    <w:t>车间（占地面积150m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）、辊压车间（占地面积200m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）、卷绕车间（占地面积100m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）、制片车间（占地面积100m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782"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49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二层</w:t>
                  </w:r>
                </w:p>
              </w:tc>
              <w:tc>
                <w:tcPr>
                  <w:tcW w:w="332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楼层高度4.3m，占地面积1000m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，建筑面积1000m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。设有化成车间（占地面积80m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）、烘烤车间（占地面积150m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）、组装车间（占地面积200m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）、注液车间（占地面积100m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）、冲壳车间（占地面积50m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）、二封车间（占地面积100m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）、分容车间（占地面积100m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val="en-US" w:eastAsia="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辅助工程</w:t>
                  </w: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办公室</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位于项目厂区南侧，占地面积约250m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，建筑面积约250m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，楼高3m。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储运工程</w:t>
                  </w: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原料仓库</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位于项目厂区东南侧，占地面积为30m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，建筑面积为50m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辅料间</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位于项目厂区东侧，占地面积为20m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，建筑面积为50m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成品间</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位于项目车间一层西北侧，占地面积为30m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，建筑面积为30m</w:t>
                  </w:r>
                  <w:r>
                    <w:rPr>
                      <w:rFonts w:hint="default" w:ascii="Times New Roman" w:hAnsi="Times New Roman" w:eastAsia="宋体" w:cs="Times New Roman"/>
                      <w:color w:val="auto"/>
                      <w:vertAlign w:val="superscript"/>
                      <w:lang w:val="en-US" w:eastAsia="zh-CN"/>
                    </w:rPr>
                    <w:t>2</w:t>
                  </w:r>
                  <w:r>
                    <w:rPr>
                      <w:rFonts w:hint="default" w:ascii="Times New Roman" w:hAnsi="Times New Roman" w:cs="Times New Roman"/>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公用工程</w:t>
                  </w: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Cs w:val="21"/>
                    </w:rPr>
                    <w:t>给水系统</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Cs w:val="21"/>
                    </w:rPr>
                    <w:t>由市政供水管网供应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Cs w:val="21"/>
                    </w:rPr>
                    <w:t>供电系统</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Cs w:val="21"/>
                    </w:rPr>
                    <w:t>由市政供电线网提供，项目不设备用发电机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Cs w:val="21"/>
                    </w:rPr>
                    <w:t>排水系统</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left"/>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szCs w:val="21"/>
                    </w:rPr>
                    <w:t>排水采用雨污分流系统；生活污水经</w:t>
                  </w:r>
                  <w:r>
                    <w:rPr>
                      <w:rFonts w:hint="default" w:ascii="Times New Roman" w:hAnsi="Times New Roman" w:cs="Times New Roman"/>
                      <w:color w:val="auto"/>
                      <w:sz w:val="21"/>
                      <w:szCs w:val="21"/>
                    </w:rPr>
                    <w:t>三级化粪池</w:t>
                  </w:r>
                  <w:r>
                    <w:rPr>
                      <w:rFonts w:hint="eastAsia" w:cs="Times New Roman"/>
                      <w:color w:val="auto"/>
                      <w:sz w:val="21"/>
                      <w:szCs w:val="21"/>
                      <w:lang w:val="en-US" w:eastAsia="zh-CN"/>
                    </w:rPr>
                    <w:t>+接触氧化池</w:t>
                  </w:r>
                  <w:r>
                    <w:rPr>
                      <w:rFonts w:hint="default" w:ascii="Times New Roman" w:hAnsi="Times New Roman" w:cs="Times New Roman"/>
                      <w:color w:val="auto"/>
                      <w:szCs w:val="21"/>
                    </w:rPr>
                    <w:t>预处理后通过市政污水管网纳入</w:t>
                  </w:r>
                  <w:r>
                    <w:rPr>
                      <w:rFonts w:hint="eastAsia" w:ascii="Times New Roman" w:hAnsi="Times New Roman" w:cs="Times New Roman"/>
                      <w:color w:val="auto"/>
                      <w:sz w:val="21"/>
                      <w:szCs w:val="21"/>
                      <w:lang w:val="en-US" w:eastAsia="zh-CN"/>
                    </w:rPr>
                    <w:t>博罗县</w:t>
                  </w:r>
                  <w:r>
                    <w:rPr>
                      <w:rFonts w:hint="default" w:ascii="Times New Roman" w:hAnsi="Times New Roman" w:cs="Times New Roman"/>
                      <w:color w:val="auto"/>
                      <w:sz w:val="21"/>
                      <w:szCs w:val="21"/>
                    </w:rPr>
                    <w:t>园洲镇第五污水处理厂</w:t>
                  </w:r>
                  <w:r>
                    <w:rPr>
                      <w:rFonts w:hint="default" w:ascii="Times New Roman" w:hAnsi="Times New Roman" w:cs="Times New Roman"/>
                      <w:color w:val="auto"/>
                      <w:szCs w:val="21"/>
                      <w:lang w:val="en-US" w:eastAsia="zh-CN"/>
                    </w:rPr>
                    <w:t>处理，达标</w:t>
                  </w:r>
                  <w:r>
                    <w:rPr>
                      <w:rFonts w:hint="default" w:ascii="Times New Roman" w:hAnsi="Times New Roman" w:cs="Times New Roman"/>
                      <w:color w:val="auto"/>
                      <w:szCs w:val="21"/>
                    </w:rPr>
                    <w:t>尾水</w:t>
                  </w:r>
                  <w:r>
                    <w:rPr>
                      <w:rFonts w:hint="default" w:ascii="Times New Roman" w:hAnsi="Times New Roman" w:eastAsia="宋体" w:cs="Times New Roman"/>
                      <w:color w:val="auto"/>
                      <w:sz w:val="21"/>
                      <w:szCs w:val="21"/>
                    </w:rPr>
                    <w:t>排入</w:t>
                  </w:r>
                  <w:r>
                    <w:rPr>
                      <w:rFonts w:hint="default" w:ascii="Times New Roman" w:hAnsi="Times New Roman" w:eastAsia="宋体" w:cs="Times New Roman"/>
                      <w:color w:val="auto"/>
                      <w:sz w:val="21"/>
                      <w:szCs w:val="21"/>
                      <w:lang w:val="en-US" w:eastAsia="zh-CN"/>
                    </w:rPr>
                    <w:t>中心排渠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环保工程</w:t>
                  </w:r>
                </w:p>
              </w:tc>
              <w:tc>
                <w:tcPr>
                  <w:tcW w:w="782"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废水治理</w:t>
                  </w:r>
                </w:p>
              </w:tc>
              <w:tc>
                <w:tcPr>
                  <w:tcW w:w="917"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冷却塔用水</w:t>
                  </w:r>
                </w:p>
              </w:tc>
              <w:tc>
                <w:tcPr>
                  <w:tcW w:w="290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项目冷却塔用水循环使用，定期补充损耗，不外排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782"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917"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清洗废水</w:t>
                  </w:r>
                </w:p>
              </w:tc>
              <w:tc>
                <w:tcPr>
                  <w:tcW w:w="290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作危险废物交有</w:t>
                  </w:r>
                  <w:r>
                    <w:rPr>
                      <w:rFonts w:hint="eastAsia" w:ascii="Times New Roman" w:hAnsi="Times New Roman" w:eastAsia="宋体" w:cs="Times New Roman"/>
                      <w:color w:val="auto"/>
                      <w:lang w:val="en-US" w:eastAsia="zh-CN"/>
                    </w:rPr>
                    <w:t>危险废物</w:t>
                  </w:r>
                  <w:r>
                    <w:rPr>
                      <w:rFonts w:hint="default" w:ascii="Times New Roman" w:hAnsi="Times New Roman" w:eastAsia="宋体" w:cs="Times New Roman"/>
                      <w:color w:val="auto"/>
                      <w:lang w:val="en-US" w:eastAsia="zh-CN"/>
                    </w:rPr>
                    <w:t>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782"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917"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初期雨水</w:t>
                  </w:r>
                </w:p>
              </w:tc>
              <w:tc>
                <w:tcPr>
                  <w:tcW w:w="290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经沉淀池和混凝沉淀后直接排入雨水管网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782"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917"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纯水机浓水</w:t>
                  </w:r>
                </w:p>
              </w:tc>
              <w:tc>
                <w:tcPr>
                  <w:tcW w:w="290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纯水机浓水排入市政污水管网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782"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p>
              </w:tc>
              <w:tc>
                <w:tcPr>
                  <w:tcW w:w="917"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生活污水</w:t>
                  </w:r>
                </w:p>
              </w:tc>
              <w:tc>
                <w:tcPr>
                  <w:tcW w:w="290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rPr>
                    <w:t>经</w:t>
                  </w:r>
                  <w:r>
                    <w:rPr>
                      <w:rFonts w:hint="default" w:ascii="Times New Roman" w:hAnsi="Times New Roman" w:cs="Times New Roman"/>
                      <w:color w:val="auto"/>
                      <w:sz w:val="21"/>
                      <w:szCs w:val="21"/>
                    </w:rPr>
                    <w:t>三级化粪池</w:t>
                  </w:r>
                  <w:r>
                    <w:rPr>
                      <w:rFonts w:hint="eastAsia" w:cs="Times New Roman"/>
                      <w:color w:val="auto"/>
                      <w:sz w:val="21"/>
                      <w:szCs w:val="21"/>
                      <w:lang w:val="en-US" w:eastAsia="zh-CN"/>
                    </w:rPr>
                    <w:t>+接触氧化池</w:t>
                  </w:r>
                  <w:r>
                    <w:rPr>
                      <w:rFonts w:hint="default" w:ascii="Times New Roman" w:hAnsi="Times New Roman" w:cs="Times New Roman"/>
                      <w:color w:val="auto"/>
                    </w:rPr>
                    <w:t>处理后由市政管网排入</w:t>
                  </w:r>
                  <w:r>
                    <w:rPr>
                      <w:rFonts w:hint="eastAsia" w:ascii="Times New Roman" w:hAnsi="Times New Roman" w:cs="Times New Roman"/>
                      <w:color w:val="auto"/>
                      <w:sz w:val="21"/>
                      <w:szCs w:val="21"/>
                      <w:lang w:val="en-US" w:eastAsia="zh-CN"/>
                    </w:rPr>
                    <w:t>博罗县</w:t>
                  </w:r>
                  <w:r>
                    <w:rPr>
                      <w:rFonts w:hint="default" w:ascii="Times New Roman" w:hAnsi="Times New Roman" w:cs="Times New Roman"/>
                      <w:color w:val="auto"/>
                      <w:sz w:val="21"/>
                      <w:szCs w:val="21"/>
                    </w:rPr>
                    <w:t>园洲镇第五污水处理厂</w:t>
                  </w:r>
                  <w:r>
                    <w:rPr>
                      <w:rFonts w:hint="default" w:ascii="Times New Roman" w:hAnsi="Times New Roman" w:cs="Times New Roman"/>
                      <w:color w:val="auto"/>
                      <w:lang w:val="en-US" w:eastAsia="zh-CN"/>
                    </w:rPr>
                    <w:t>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废气治理</w:t>
                  </w:r>
                </w:p>
              </w:tc>
              <w:tc>
                <w:tcPr>
                  <w:tcW w:w="917"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有机废气、颗粒物</w:t>
                  </w:r>
                </w:p>
              </w:tc>
              <w:tc>
                <w:tcPr>
                  <w:tcW w:w="290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布袋除尘器+二级活性炭吸附装置+</w:t>
                  </w:r>
                  <w:r>
                    <w:rPr>
                      <w:rFonts w:hint="eastAsia" w:ascii="Times New Roman" w:hAnsi="Times New Roman" w:cs="Times New Roman"/>
                      <w:color w:val="auto"/>
                      <w:lang w:val="en-US" w:eastAsia="zh-CN"/>
                    </w:rPr>
                    <w:t>24</w:t>
                  </w:r>
                  <w:r>
                    <w:rPr>
                      <w:rFonts w:hint="default" w:ascii="Times New Roman" w:hAnsi="Times New Roman" w:cs="Times New Roman"/>
                      <w:color w:val="auto"/>
                      <w:lang w:val="en-US" w:eastAsia="zh-CN"/>
                    </w:rPr>
                    <w:t>米高排气筒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噪声治理</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合理布局，</w:t>
                  </w:r>
                  <w:r>
                    <w:rPr>
                      <w:rFonts w:hint="default" w:ascii="Times New Roman" w:hAnsi="Times New Roman" w:cs="Times New Roman"/>
                      <w:color w:val="auto"/>
                      <w:szCs w:val="21"/>
                    </w:rPr>
                    <w:t>采取减振、隔声措施；定期对设备进行维护与保养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固废治理</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Cs w:val="21"/>
                    </w:rPr>
                    <w:t>一般固废经收集后交由专业回收公司回收，危险废物交由有</w:t>
                  </w:r>
                  <w:r>
                    <w:rPr>
                      <w:rFonts w:hint="default" w:ascii="Times New Roman" w:hAnsi="Times New Roman" w:cs="Times New Roman"/>
                      <w:color w:val="auto"/>
                      <w:lang w:val="en-US" w:eastAsia="zh-CN"/>
                    </w:rPr>
                    <w:t>危险废物</w:t>
                  </w:r>
                  <w:r>
                    <w:rPr>
                      <w:rFonts w:hint="default" w:ascii="Times New Roman" w:hAnsi="Times New Roman" w:cs="Times New Roman"/>
                      <w:color w:val="auto"/>
                      <w:szCs w:val="21"/>
                    </w:rPr>
                    <w:t>资质的单位回收，生活垃圾交环卫部门处理。一般固废暂存间</w:t>
                  </w:r>
                  <w:r>
                    <w:rPr>
                      <w:rFonts w:hint="default" w:ascii="Times New Roman" w:hAnsi="Times New Roman" w:cs="Times New Roman"/>
                      <w:color w:val="auto"/>
                      <w:kern w:val="0"/>
                      <w:szCs w:val="21"/>
                    </w:rPr>
                    <w:t>占地面积约1</w:t>
                  </w:r>
                  <w:r>
                    <w:rPr>
                      <w:rFonts w:hint="default" w:ascii="Times New Roman" w:hAnsi="Times New Roman" w:cs="Times New Roman"/>
                      <w:color w:val="auto"/>
                      <w:kern w:val="0"/>
                      <w:szCs w:val="21"/>
                      <w:lang w:val="en-US" w:eastAsia="zh-CN"/>
                    </w:rPr>
                    <w:t>0</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r>
                    <w:rPr>
                      <w:rFonts w:hint="default" w:ascii="Times New Roman" w:hAnsi="Times New Roman" w:cs="Times New Roman"/>
                      <w:color w:val="auto"/>
                      <w:szCs w:val="21"/>
                    </w:rPr>
                    <w:t>；</w:t>
                  </w:r>
                  <w:r>
                    <w:rPr>
                      <w:rFonts w:hint="default" w:ascii="Times New Roman" w:hAnsi="Times New Roman" w:cs="Times New Roman"/>
                      <w:color w:val="auto"/>
                      <w:kern w:val="0"/>
                      <w:szCs w:val="21"/>
                    </w:rPr>
                    <w:t>危废间占地面积约</w:t>
                  </w:r>
                  <w:r>
                    <w:rPr>
                      <w:rFonts w:hint="default" w:ascii="Times New Roman" w:hAnsi="Times New Roman" w:cs="Times New Roman"/>
                      <w:color w:val="auto"/>
                      <w:kern w:val="0"/>
                      <w:szCs w:val="21"/>
                      <w:lang w:val="en-US" w:eastAsia="zh-CN"/>
                    </w:rPr>
                    <w:t>1</w:t>
                  </w:r>
                  <w:r>
                    <w:rPr>
                      <w:rFonts w:hint="eastAsia" w:ascii="Times New Roman" w:hAnsi="Times New Roman" w:cs="Times New Roman"/>
                      <w:color w:val="auto"/>
                      <w:kern w:val="0"/>
                      <w:szCs w:val="21"/>
                      <w:lang w:val="en-US" w:eastAsia="zh-CN"/>
                    </w:rPr>
                    <w:t>5</w:t>
                  </w:r>
                  <w:r>
                    <w:rPr>
                      <w:rFonts w:hint="default" w:ascii="Times New Roman" w:hAnsi="Times New Roman" w:cs="Times New Roman"/>
                      <w:color w:val="auto"/>
                      <w:kern w:val="0"/>
                      <w:szCs w:val="21"/>
                    </w:rPr>
                    <w:t>m</w:t>
                  </w:r>
                  <w:r>
                    <w:rPr>
                      <w:rFonts w:hint="default" w:ascii="Times New Roman" w:hAnsi="Times New Roman" w:cs="Times New Roman"/>
                      <w:color w:val="auto"/>
                      <w:kern w:val="0"/>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环境风险防范措施</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szCs w:val="21"/>
                    </w:rPr>
                  </w:pPr>
                  <w:r>
                    <w:rPr>
                      <w:rFonts w:hint="default" w:ascii="Times New Roman" w:hAnsi="Times New Roman" w:cs="Times New Roman"/>
                      <w:color w:val="auto"/>
                    </w:rPr>
                    <w:t>项目拟在厂区设置1个容积为</w:t>
                  </w:r>
                  <w:r>
                    <w:rPr>
                      <w:rFonts w:hint="eastAsia" w:ascii="Times New Roman" w:hAnsi="Times New Roman" w:cs="Times New Roman"/>
                      <w:color w:val="auto"/>
                      <w:lang w:val="en-US" w:eastAsia="zh-CN"/>
                    </w:rPr>
                    <w:t>300</w:t>
                  </w:r>
                  <w:r>
                    <w:rPr>
                      <w:rFonts w:hint="default" w:ascii="Times New Roman" w:hAnsi="Times New Roman" w:cs="Times New Roman"/>
                      <w:color w:val="auto"/>
                    </w:rPr>
                    <w:t>m</w:t>
                  </w:r>
                  <w:r>
                    <w:rPr>
                      <w:rFonts w:hint="default" w:ascii="Times New Roman" w:hAnsi="Times New Roman" w:cs="Times New Roman"/>
                      <w:color w:val="auto"/>
                      <w:vertAlign w:val="superscript"/>
                    </w:rPr>
                    <w:t>3</w:t>
                  </w:r>
                  <w:r>
                    <w:rPr>
                      <w:rFonts w:hint="default" w:ascii="Times New Roman" w:hAnsi="Times New Roman" w:cs="Times New Roman"/>
                      <w:color w:val="auto"/>
                    </w:rPr>
                    <w:t>的事故废水应急池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依托工程</w:t>
                  </w:r>
                </w:p>
              </w:tc>
              <w:tc>
                <w:tcPr>
                  <w:tcW w:w="78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生活污水</w:t>
                  </w:r>
                </w:p>
              </w:tc>
              <w:tc>
                <w:tcPr>
                  <w:tcW w:w="3823"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both"/>
                    <w:textAlignment w:val="auto"/>
                    <w:rPr>
                      <w:rFonts w:hint="default" w:ascii="Times New Roman" w:hAnsi="Times New Roman" w:cs="Times New Roman"/>
                      <w:color w:val="auto"/>
                      <w:lang w:val="en-US"/>
                    </w:rPr>
                  </w:pPr>
                  <w:r>
                    <w:rPr>
                      <w:rFonts w:hint="default" w:ascii="Times New Roman" w:hAnsi="Times New Roman" w:cs="Times New Roman"/>
                      <w:color w:val="auto"/>
                      <w:szCs w:val="21"/>
                    </w:rPr>
                    <w:t>生活污水经</w:t>
                  </w:r>
                  <w:r>
                    <w:rPr>
                      <w:rFonts w:hint="default" w:ascii="Times New Roman" w:hAnsi="Times New Roman" w:cs="Times New Roman"/>
                      <w:color w:val="auto"/>
                      <w:sz w:val="21"/>
                      <w:szCs w:val="21"/>
                    </w:rPr>
                    <w:t>三级化粪池</w:t>
                  </w:r>
                  <w:r>
                    <w:rPr>
                      <w:rFonts w:hint="eastAsia" w:cs="Times New Roman"/>
                      <w:color w:val="auto"/>
                      <w:sz w:val="21"/>
                      <w:szCs w:val="21"/>
                      <w:lang w:val="en-US" w:eastAsia="zh-CN"/>
                    </w:rPr>
                    <w:t>+接触氧化池</w:t>
                  </w:r>
                  <w:r>
                    <w:rPr>
                      <w:rFonts w:hint="default" w:ascii="Times New Roman" w:hAnsi="Times New Roman" w:cs="Times New Roman"/>
                      <w:color w:val="auto"/>
                      <w:szCs w:val="21"/>
                    </w:rPr>
                    <w:t>预处理后通过市政污水管网纳入</w:t>
                  </w:r>
                  <w:r>
                    <w:rPr>
                      <w:rFonts w:hint="eastAsia" w:ascii="Times New Roman" w:hAnsi="Times New Roman" w:cs="Times New Roman"/>
                      <w:color w:val="auto"/>
                      <w:sz w:val="21"/>
                      <w:szCs w:val="21"/>
                      <w:lang w:val="en-US" w:eastAsia="zh-CN"/>
                    </w:rPr>
                    <w:t>博罗县</w:t>
                  </w:r>
                  <w:r>
                    <w:rPr>
                      <w:rFonts w:hint="default" w:ascii="Times New Roman" w:hAnsi="Times New Roman" w:cs="Times New Roman"/>
                      <w:color w:val="auto"/>
                      <w:sz w:val="21"/>
                      <w:szCs w:val="21"/>
                    </w:rPr>
                    <w:t>园洲镇第五污水处理厂</w:t>
                  </w:r>
                  <w:r>
                    <w:rPr>
                      <w:rFonts w:hint="default" w:ascii="Times New Roman" w:hAnsi="Times New Roman" w:cs="Times New Roman"/>
                      <w:color w:val="auto"/>
                      <w:szCs w:val="21"/>
                      <w:lang w:val="en-US" w:eastAsia="zh-CN"/>
                    </w:rPr>
                    <w:t>处理，达标</w:t>
                  </w:r>
                  <w:r>
                    <w:rPr>
                      <w:rFonts w:hint="default" w:ascii="Times New Roman" w:hAnsi="Times New Roman" w:cs="Times New Roman"/>
                      <w:color w:val="auto"/>
                      <w:szCs w:val="21"/>
                    </w:rPr>
                    <w:t>尾水</w:t>
                  </w:r>
                  <w:r>
                    <w:rPr>
                      <w:rFonts w:hint="default" w:ascii="Times New Roman" w:hAnsi="Times New Roman" w:eastAsia="宋体" w:cs="Times New Roman"/>
                      <w:color w:val="auto"/>
                      <w:sz w:val="21"/>
                      <w:szCs w:val="21"/>
                    </w:rPr>
                    <w:t>排入</w:t>
                  </w:r>
                  <w:r>
                    <w:rPr>
                      <w:rFonts w:hint="default" w:ascii="Times New Roman" w:hAnsi="Times New Roman" w:eastAsia="宋体" w:cs="Times New Roman"/>
                      <w:color w:val="auto"/>
                      <w:sz w:val="21"/>
                      <w:szCs w:val="21"/>
                      <w:lang w:val="en-US" w:eastAsia="zh-CN"/>
                    </w:rPr>
                    <w:t>中心排渠</w:t>
                  </w:r>
                </w:p>
              </w:tc>
            </w:tr>
          </w:tbl>
          <w:p>
            <w:pPr>
              <w:adjustRightInd w:val="0"/>
              <w:snapToGrid w:val="0"/>
              <w:spacing w:before="120" w:beforeLines="50" w:line="360" w:lineRule="auto"/>
              <w:ind w:firstLine="458" w:firstLineChars="200"/>
              <w:rPr>
                <w:rFonts w:hint="default" w:ascii="Times New Roman" w:hAnsi="Times New Roman" w:cs="Times New Roman"/>
                <w:b/>
                <w:bCs/>
                <w:color w:val="auto"/>
                <w:spacing w:val="-6"/>
                <w:sz w:val="24"/>
                <w:szCs w:val="24"/>
              </w:rPr>
            </w:pPr>
            <w:r>
              <w:rPr>
                <w:rFonts w:hint="default" w:ascii="Times New Roman" w:hAnsi="Times New Roman" w:cs="Times New Roman"/>
                <w:b/>
                <w:bCs/>
                <w:color w:val="auto"/>
                <w:spacing w:val="-6"/>
                <w:sz w:val="24"/>
                <w:szCs w:val="24"/>
              </w:rPr>
              <w:t>2.1.3 产品方案</w:t>
            </w:r>
          </w:p>
          <w:p>
            <w:pPr>
              <w:adjustRightInd w:val="0"/>
              <w:snapToGrid w:val="0"/>
              <w:spacing w:line="360" w:lineRule="auto"/>
              <w:ind w:firstLine="480" w:firstLineChars="200"/>
              <w:rPr>
                <w:rFonts w:hint="default" w:ascii="Times New Roman" w:hAnsi="Times New Roman" w:cs="Times New Roman"/>
                <w:color w:val="auto"/>
                <w:szCs w:val="21"/>
              </w:rPr>
            </w:pPr>
            <w:r>
              <w:rPr>
                <w:rFonts w:hint="default" w:ascii="Times New Roman" w:hAnsi="Times New Roman" w:cs="Times New Roman"/>
                <w:color w:val="auto"/>
                <w:sz w:val="24"/>
                <w:szCs w:val="24"/>
              </w:rPr>
              <w:t>根据建设单位提供的资料，项目主要产品方案见下表：</w:t>
            </w:r>
          </w:p>
          <w:p>
            <w:pPr>
              <w:spacing w:line="360" w:lineRule="auto"/>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表2-3 产品方案及产量</w:t>
            </w:r>
          </w:p>
          <w:tbl>
            <w:tblPr>
              <w:tblStyle w:val="33"/>
              <w:tblW w:w="8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148"/>
              <w:gridCol w:w="1891"/>
              <w:gridCol w:w="1525"/>
              <w:gridCol w:w="1891"/>
              <w:gridCol w:w="1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kern w:val="2"/>
                      <w:sz w:val="21"/>
                      <w:szCs w:val="24"/>
                      <w:lang w:val="en-US" w:eastAsia="zh-CN" w:bidi="ar-SA"/>
                    </w:rPr>
                  </w:pPr>
                  <w:r>
                    <w:rPr>
                      <w:rFonts w:hint="default" w:ascii="Times New Roman" w:hAnsi="Times New Roman" w:cs="Times New Roman"/>
                      <w:b/>
                      <w:bCs/>
                      <w:color w:val="auto"/>
                      <w:lang w:val="en-US" w:eastAsia="zh-CN"/>
                    </w:rPr>
                    <w:t>序号</w:t>
                  </w:r>
                </w:p>
              </w:tc>
              <w:tc>
                <w:tcPr>
                  <w:tcW w:w="67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kern w:val="2"/>
                      <w:sz w:val="21"/>
                      <w:szCs w:val="24"/>
                      <w:lang w:val="en-US" w:eastAsia="zh-CN" w:bidi="ar-SA"/>
                    </w:rPr>
                  </w:pPr>
                  <w:r>
                    <w:rPr>
                      <w:rFonts w:hint="default" w:ascii="Times New Roman" w:hAnsi="Times New Roman" w:cs="Times New Roman"/>
                      <w:b/>
                      <w:bCs/>
                      <w:color w:val="auto"/>
                      <w:lang w:val="en-US" w:eastAsia="zh-CN"/>
                    </w:rPr>
                    <w:t>产品名称</w:t>
                  </w:r>
                </w:p>
              </w:tc>
              <w:tc>
                <w:tcPr>
                  <w:tcW w:w="11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kern w:val="2"/>
                      <w:sz w:val="21"/>
                      <w:szCs w:val="24"/>
                      <w:lang w:val="en-US" w:eastAsia="zh-CN" w:bidi="ar-SA"/>
                    </w:rPr>
                  </w:pPr>
                  <w:r>
                    <w:rPr>
                      <w:rFonts w:hint="default" w:ascii="Times New Roman" w:hAnsi="Times New Roman" w:cs="Times New Roman"/>
                      <w:b/>
                      <w:bCs/>
                      <w:color w:val="auto"/>
                      <w:lang w:val="en-US" w:eastAsia="zh-CN"/>
                    </w:rPr>
                    <w:t>产能</w:t>
                  </w:r>
                </w:p>
              </w:tc>
              <w:tc>
                <w:tcPr>
                  <w:tcW w:w="90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参数</w:t>
                  </w:r>
                </w:p>
              </w:tc>
              <w:tc>
                <w:tcPr>
                  <w:tcW w:w="11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照片</w:t>
                  </w:r>
                </w:p>
              </w:tc>
              <w:tc>
                <w:tcPr>
                  <w:tcW w:w="7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kern w:val="2"/>
                      <w:sz w:val="21"/>
                      <w:szCs w:val="24"/>
                      <w:lang w:val="en-US" w:eastAsia="zh-CN" w:bidi="ar-SA"/>
                    </w:rPr>
                  </w:pPr>
                  <w:r>
                    <w:rPr>
                      <w:rFonts w:hint="default" w:ascii="Times New Roman" w:hAnsi="Times New Roman" w:cs="Times New Roman"/>
                      <w:b/>
                      <w:bCs/>
                      <w:color w:val="auto"/>
                      <w:lang w:val="en-US" w:eastAsia="zh-CN"/>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kern w:val="2"/>
                      <w:sz w:val="21"/>
                      <w:szCs w:val="24"/>
                      <w:lang w:val="en-US" w:eastAsia="zh-CN" w:bidi="ar-SA"/>
                    </w:rPr>
                    <w:t>1</w:t>
                  </w:r>
                </w:p>
              </w:tc>
              <w:tc>
                <w:tcPr>
                  <w:tcW w:w="67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锂离子电池</w:t>
                  </w:r>
                </w:p>
              </w:tc>
              <w:tc>
                <w:tcPr>
                  <w:tcW w:w="11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1200万Ah/a</w:t>
                  </w:r>
                </w:p>
                <w:p>
                  <w:pPr>
                    <w:pStyle w:val="49"/>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2"/>
                      <w:sz w:val="21"/>
                      <w:szCs w:val="24"/>
                      <w:lang w:val="en-US" w:eastAsia="zh-CN" w:bidi="ar-SA"/>
                    </w:rPr>
                    <w:t>（22000kwh/a）</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（1000万个/年）</w:t>
                  </w:r>
                </w:p>
              </w:tc>
              <w:tc>
                <w:tcPr>
                  <w:tcW w:w="90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1.2Ah/个（2.2wh/个）</w:t>
                  </w:r>
                </w:p>
              </w:tc>
              <w:tc>
                <w:tcPr>
                  <w:tcW w:w="111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anchor distT="0" distB="0" distL="114300" distR="114300" simplePos="0" relativeHeight="251662336" behindDoc="1" locked="0" layoutInCell="1" allowOverlap="1">
                        <wp:simplePos x="0" y="0"/>
                        <wp:positionH relativeFrom="column">
                          <wp:posOffset>-32385</wp:posOffset>
                        </wp:positionH>
                        <wp:positionV relativeFrom="paragraph">
                          <wp:posOffset>165100</wp:posOffset>
                        </wp:positionV>
                        <wp:extent cx="1127760" cy="990600"/>
                        <wp:effectExtent l="0" t="0" r="15240" b="0"/>
                        <wp:wrapTight wrapText="bothSides">
                          <wp:wrapPolygon>
                            <wp:start x="21592" y="-2"/>
                            <wp:lineTo x="0" y="0"/>
                            <wp:lineTo x="0" y="21599"/>
                            <wp:lineTo x="21592" y="21601"/>
                            <wp:lineTo x="8" y="21601"/>
                            <wp:lineTo x="21600" y="21599"/>
                            <wp:lineTo x="21600" y="0"/>
                            <wp:lineTo x="8" y="-2"/>
                            <wp:lineTo x="21592" y="-2"/>
                          </wp:wrapPolygon>
                        </wp:wrapTight>
                        <wp:docPr id="44" name="图片 80" descr="8029c26328e1aba36dd1d6bdcd234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80" descr="8029c26328e1aba36dd1d6bdcd234da"/>
                                <pic:cNvPicPr>
                                  <a:picLocks noChangeAspect="1"/>
                                </pic:cNvPicPr>
                              </pic:nvPicPr>
                              <pic:blipFill>
                                <a:blip r:embed="rId9"/>
                                <a:srcRect l="41878" t="26326" r="15970" b="24315"/>
                                <a:stretch>
                                  <a:fillRect/>
                                </a:stretch>
                              </pic:blipFill>
                              <pic:spPr>
                                <a:xfrm>
                                  <a:off x="0" y="0"/>
                                  <a:ext cx="1127760" cy="990600"/>
                                </a:xfrm>
                                <a:prstGeom prst="rect">
                                  <a:avLst/>
                                </a:prstGeom>
                                <a:noFill/>
                                <a:ln>
                                  <a:noFill/>
                                </a:ln>
                              </pic:spPr>
                            </pic:pic>
                          </a:graphicData>
                        </a:graphic>
                      </wp:anchor>
                    </w:drawing>
                  </w:r>
                  <w:r>
                    <w:rPr>
                      <w:rFonts w:hint="default" w:ascii="Times New Roman" w:hAnsi="Times New Roman" w:cs="Times New Roman"/>
                      <w:color w:val="auto"/>
                      <w:lang w:val="en-US" w:eastAsia="zh-CN"/>
                    </w:rPr>
                    <w:t>（规格：φ21mm，高70mm）</w:t>
                  </w:r>
                </w:p>
              </w:tc>
              <w:tc>
                <w:tcPr>
                  <w:tcW w:w="712"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用于电子烟的电池</w:t>
                  </w:r>
                </w:p>
              </w:tc>
            </w:tr>
          </w:tbl>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val="0"/>
                <w:bCs w:val="0"/>
                <w:color w:val="auto"/>
                <w:spacing w:val="-6"/>
                <w:sz w:val="21"/>
                <w:szCs w:val="21"/>
                <w:lang w:val="en-US" w:eastAsia="zh-CN"/>
              </w:rPr>
            </w:pPr>
            <w:r>
              <w:rPr>
                <w:rFonts w:hint="default" w:ascii="Times New Roman" w:hAnsi="Times New Roman" w:cs="Times New Roman"/>
                <w:b w:val="0"/>
                <w:bCs w:val="0"/>
                <w:color w:val="auto"/>
                <w:spacing w:val="-6"/>
                <w:sz w:val="21"/>
                <w:szCs w:val="21"/>
                <w:lang w:val="en-US" w:eastAsia="zh-CN"/>
              </w:rPr>
              <w:t>注：项目产品锂离子电池执行《便携式电子产品用锂离子电池和电池组安全要求》（GB31241-2014）。</w:t>
            </w:r>
          </w:p>
          <w:p>
            <w:pPr>
              <w:adjustRightInd w:val="0"/>
              <w:snapToGrid w:val="0"/>
              <w:spacing w:line="360" w:lineRule="auto"/>
              <w:ind w:firstLine="458" w:firstLineChars="200"/>
              <w:rPr>
                <w:rFonts w:hint="default" w:ascii="Times New Roman" w:hAnsi="Times New Roman" w:cs="Times New Roman"/>
                <w:b/>
                <w:bCs/>
                <w:color w:val="auto"/>
                <w:spacing w:val="-6"/>
                <w:sz w:val="24"/>
                <w:szCs w:val="24"/>
              </w:rPr>
            </w:pPr>
            <w:r>
              <w:rPr>
                <w:rFonts w:hint="default" w:ascii="Times New Roman" w:hAnsi="Times New Roman" w:cs="Times New Roman"/>
                <w:b/>
                <w:bCs/>
                <w:color w:val="auto"/>
                <w:spacing w:val="-6"/>
                <w:sz w:val="24"/>
                <w:szCs w:val="24"/>
              </w:rPr>
              <w:t>2.1.4 原辅材料</w:t>
            </w:r>
          </w:p>
          <w:p>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（1）原辅材料用量情况</w:t>
            </w:r>
          </w:p>
          <w:p>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项目主要原辅材料消耗情况详见表</w:t>
            </w:r>
            <w:r>
              <w:rPr>
                <w:rFonts w:hint="eastAsia"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-4。</w:t>
            </w:r>
          </w:p>
          <w:p>
            <w:pPr>
              <w:spacing w:line="360" w:lineRule="auto"/>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表2-4 项目主要原辅材料使用消耗一览表</w:t>
            </w:r>
          </w:p>
          <w:tbl>
            <w:tblPr>
              <w:tblStyle w:val="33"/>
              <w:tblW w:w="50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1576"/>
              <w:gridCol w:w="1126"/>
              <w:gridCol w:w="1235"/>
              <w:gridCol w:w="1095"/>
              <w:gridCol w:w="853"/>
              <w:gridCol w:w="972"/>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序号</w:t>
                  </w:r>
                </w:p>
              </w:tc>
              <w:tc>
                <w:tcPr>
                  <w:tcW w:w="93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原辅材料名称</w:t>
                  </w:r>
                </w:p>
              </w:tc>
              <w:tc>
                <w:tcPr>
                  <w:tcW w:w="66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年耗量</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包装方式</w:t>
                  </w:r>
                </w:p>
              </w:tc>
              <w:tc>
                <w:tcPr>
                  <w:tcW w:w="65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规格</w:t>
                  </w:r>
                </w:p>
              </w:tc>
              <w:tc>
                <w:tcPr>
                  <w:tcW w:w="50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状态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最大储存量</w:t>
                  </w:r>
                </w:p>
              </w:tc>
              <w:tc>
                <w:tcPr>
                  <w:tcW w:w="5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使用工序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935" w:type="pct"/>
                  <w:noWrap w:val="0"/>
                  <w:vAlign w:val="center"/>
                </w:tcPr>
                <w:p>
                  <w:pPr>
                    <w:snapToGrid w:val="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color w:val="auto"/>
                      <w:sz w:val="21"/>
                      <w:szCs w:val="20"/>
                    </w:rPr>
                    <w:t>三元</w:t>
                  </w:r>
                  <w:r>
                    <w:rPr>
                      <w:rFonts w:hint="default" w:ascii="Times New Roman" w:hAnsi="Times New Roman" w:cs="Times New Roman"/>
                      <w:color w:val="auto"/>
                      <w:sz w:val="21"/>
                      <w:szCs w:val="20"/>
                      <w:lang w:val="en-US" w:eastAsia="zh-CN"/>
                    </w:rPr>
                    <w:t>材料</w:t>
                  </w:r>
                </w:p>
              </w:tc>
              <w:tc>
                <w:tcPr>
                  <w:tcW w:w="668" w:type="pct"/>
                  <w:noWrap w:val="0"/>
                  <w:vAlign w:val="center"/>
                </w:tcPr>
                <w:p>
                  <w:pPr>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color w:val="auto"/>
                      <w:sz w:val="21"/>
                      <w:szCs w:val="18"/>
                    </w:rPr>
                    <w:t>30吨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袋装</w:t>
                  </w:r>
                </w:p>
              </w:tc>
              <w:tc>
                <w:tcPr>
                  <w:tcW w:w="650" w:type="pct"/>
                  <w:noWrap w:val="0"/>
                  <w:vAlign w:val="center"/>
                </w:tcPr>
                <w:p>
                  <w:pPr>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color w:val="auto"/>
                      <w:sz w:val="21"/>
                      <w:szCs w:val="18"/>
                    </w:rPr>
                    <w:t>25kg/</w:t>
                  </w:r>
                  <w:r>
                    <w:rPr>
                      <w:rFonts w:hint="default" w:ascii="Times New Roman" w:hAnsi="Times New Roman" w:cs="Times New Roman"/>
                      <w:b w:val="0"/>
                      <w:bCs w:val="0"/>
                      <w:color w:val="auto"/>
                      <w:sz w:val="21"/>
                      <w:szCs w:val="21"/>
                      <w:lang w:val="en-US" w:eastAsia="zh-CN"/>
                    </w:rPr>
                    <w:t>袋</w:t>
                  </w:r>
                </w:p>
              </w:tc>
              <w:tc>
                <w:tcPr>
                  <w:tcW w:w="506" w:type="pct"/>
                  <w:noWrap w:val="0"/>
                  <w:vAlign w:val="center"/>
                </w:tcPr>
                <w:p>
                  <w:pPr>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color w:val="auto"/>
                      <w:sz w:val="21"/>
                      <w:szCs w:val="18"/>
                      <w:lang w:val="en-US" w:eastAsia="zh-CN"/>
                    </w:rPr>
                    <w:t>粉末</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1.25吨</w:t>
                  </w:r>
                </w:p>
              </w:tc>
              <w:tc>
                <w:tcPr>
                  <w:tcW w:w="51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正极材料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2</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20"/>
                    </w:rPr>
                    <w:t>锰酸锂</w:t>
                  </w:r>
                </w:p>
              </w:tc>
              <w:tc>
                <w:tcPr>
                  <w:tcW w:w="668"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40吨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袋装</w:t>
                  </w:r>
                </w:p>
              </w:tc>
              <w:tc>
                <w:tcPr>
                  <w:tcW w:w="650" w:type="pct"/>
                  <w:noWrap w:val="0"/>
                  <w:vAlign w:val="center"/>
                </w:tcPr>
                <w:p>
                  <w:pPr>
                    <w:snapToGrid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25kg/</w:t>
                  </w:r>
                  <w:r>
                    <w:rPr>
                      <w:rFonts w:hint="default" w:ascii="Times New Roman" w:hAnsi="Times New Roman" w:cs="Times New Roman"/>
                      <w:b w:val="0"/>
                      <w:bCs w:val="0"/>
                      <w:color w:val="auto"/>
                      <w:sz w:val="21"/>
                      <w:szCs w:val="21"/>
                      <w:lang w:val="en-US" w:eastAsia="zh-CN"/>
                    </w:rPr>
                    <w:t>袋</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粉末</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1.7吨</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3</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20"/>
                    </w:rPr>
                    <w:t>铝箔</w:t>
                  </w:r>
                </w:p>
              </w:tc>
              <w:tc>
                <w:tcPr>
                  <w:tcW w:w="668"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10吨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纸箱包装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250kg/箱</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固态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1吨</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20"/>
                      <w:lang w:val="en-US" w:eastAsia="zh-CN"/>
                    </w:rPr>
                    <w:t>铝</w:t>
                  </w:r>
                  <w:r>
                    <w:rPr>
                      <w:rFonts w:hint="default" w:ascii="Times New Roman" w:hAnsi="Times New Roman" w:cs="Times New Roman"/>
                      <w:color w:val="auto"/>
                      <w:sz w:val="21"/>
                      <w:szCs w:val="20"/>
                    </w:rPr>
                    <w:t>极耳</w:t>
                  </w:r>
                </w:p>
              </w:tc>
              <w:tc>
                <w:tcPr>
                  <w:tcW w:w="668"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1.5吨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袋装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1kg/卷</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固态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0.1吨</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5</w:t>
                  </w:r>
                </w:p>
              </w:tc>
              <w:tc>
                <w:tcPr>
                  <w:tcW w:w="935" w:type="pct"/>
                  <w:noWrap w:val="0"/>
                  <w:vAlign w:val="center"/>
                </w:tcPr>
                <w:p>
                  <w:pPr>
                    <w:snapToGrid w:val="0"/>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NMP</w:t>
                  </w:r>
                </w:p>
              </w:tc>
              <w:tc>
                <w:tcPr>
                  <w:tcW w:w="668" w:type="pct"/>
                  <w:noWrap w:val="0"/>
                  <w:vAlign w:val="center"/>
                </w:tcPr>
                <w:p>
                  <w:pPr>
                    <w:snapToGrid w:val="0"/>
                    <w:jc w:val="center"/>
                    <w:rPr>
                      <w:rFonts w:hint="default" w:ascii="Times New Roman" w:hAnsi="Times New Roman" w:eastAsia="宋体" w:cs="Times New Roman"/>
                      <w:color w:val="auto"/>
                      <w:sz w:val="21"/>
                      <w:szCs w:val="18"/>
                      <w:lang w:val="en-US" w:eastAsia="zh-CN"/>
                    </w:rPr>
                  </w:pPr>
                  <w:r>
                    <w:rPr>
                      <w:rFonts w:hint="eastAsia" w:ascii="Times New Roman" w:hAnsi="Times New Roman" w:cs="Times New Roman"/>
                      <w:color w:val="auto"/>
                      <w:sz w:val="21"/>
                      <w:szCs w:val="18"/>
                      <w:lang w:val="en-US" w:eastAsia="zh-CN"/>
                    </w:rPr>
                    <w:t>17.424</w:t>
                  </w:r>
                  <w:r>
                    <w:rPr>
                      <w:rFonts w:hint="default" w:ascii="Times New Roman" w:hAnsi="Times New Roman" w:cs="Times New Roman"/>
                      <w:color w:val="auto"/>
                      <w:sz w:val="21"/>
                      <w:szCs w:val="18"/>
                      <w:lang w:val="en-US" w:eastAsia="zh-CN"/>
                    </w:rPr>
                    <w:t>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桶装</w:t>
                  </w:r>
                </w:p>
              </w:tc>
              <w:tc>
                <w:tcPr>
                  <w:tcW w:w="650" w:type="pct"/>
                  <w:noWrap w:val="0"/>
                  <w:vAlign w:val="center"/>
                </w:tcPr>
                <w:p>
                  <w:pPr>
                    <w:snapToGrid w:val="0"/>
                    <w:jc w:val="center"/>
                    <w:rPr>
                      <w:rFonts w:hint="default" w:ascii="Times New Roman" w:hAnsi="Times New Roman" w:eastAsia="宋体" w:cs="Times New Roman"/>
                      <w:color w:val="auto"/>
                      <w:sz w:val="21"/>
                      <w:szCs w:val="18"/>
                      <w:lang w:val="en-US" w:eastAsia="zh-CN"/>
                    </w:rPr>
                  </w:pPr>
                  <w:r>
                    <w:rPr>
                      <w:rFonts w:hint="default" w:ascii="Times New Roman" w:hAnsi="Times New Roman" w:cs="Times New Roman"/>
                      <w:color w:val="auto"/>
                      <w:sz w:val="21"/>
                      <w:szCs w:val="18"/>
                      <w:lang w:val="en-US" w:eastAsia="zh-CN"/>
                    </w:rPr>
                    <w:t>200</w:t>
                  </w:r>
                  <w:r>
                    <w:rPr>
                      <w:rFonts w:hint="default" w:ascii="Times New Roman" w:hAnsi="Times New Roman" w:cs="Times New Roman"/>
                      <w:color w:val="auto"/>
                      <w:sz w:val="21"/>
                      <w:szCs w:val="18"/>
                    </w:rPr>
                    <w:t>kg/桶</w:t>
                  </w:r>
                </w:p>
              </w:tc>
              <w:tc>
                <w:tcPr>
                  <w:tcW w:w="506" w:type="pct"/>
                  <w:noWrap w:val="0"/>
                  <w:vAlign w:val="center"/>
                </w:tcPr>
                <w:p>
                  <w:pPr>
                    <w:snapToGrid w:val="0"/>
                    <w:jc w:val="center"/>
                    <w:rPr>
                      <w:rFonts w:hint="default" w:ascii="Times New Roman" w:hAnsi="Times New Roman" w:cs="Times New Roman"/>
                      <w:color w:val="auto"/>
                      <w:sz w:val="21"/>
                      <w:szCs w:val="18"/>
                      <w:lang w:val="en-US" w:eastAsia="zh-CN"/>
                    </w:rPr>
                  </w:pPr>
                  <w:r>
                    <w:rPr>
                      <w:rFonts w:hint="default" w:ascii="Times New Roman" w:hAnsi="Times New Roman" w:cs="Times New Roman"/>
                      <w:color w:val="auto"/>
                      <w:sz w:val="21"/>
                      <w:szCs w:val="18"/>
                      <w:lang w:val="en-US" w:eastAsia="zh-CN"/>
                    </w:rPr>
                    <w:t>液态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1吨</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6</w:t>
                  </w:r>
                </w:p>
              </w:tc>
              <w:tc>
                <w:tcPr>
                  <w:tcW w:w="935" w:type="pct"/>
                  <w:noWrap w:val="0"/>
                  <w:vAlign w:val="center"/>
                </w:tcPr>
                <w:p>
                  <w:pPr>
                    <w:snapToGrid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0"/>
                    </w:rPr>
                    <w:t>SP</w:t>
                  </w:r>
                  <w:r>
                    <w:rPr>
                      <w:rFonts w:hint="default" w:ascii="Times New Roman" w:hAnsi="Times New Roman" w:cs="Times New Roman"/>
                      <w:color w:val="auto"/>
                      <w:sz w:val="21"/>
                      <w:szCs w:val="20"/>
                      <w:lang w:val="en-US" w:eastAsia="zh-CN"/>
                    </w:rPr>
                    <w:t>碳黑</w:t>
                  </w:r>
                </w:p>
              </w:tc>
              <w:tc>
                <w:tcPr>
                  <w:tcW w:w="668"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3</w:t>
                  </w:r>
                  <w:r>
                    <w:rPr>
                      <w:rFonts w:hint="default" w:ascii="Times New Roman" w:hAnsi="Times New Roman" w:cs="Times New Roman"/>
                      <w:color w:val="auto"/>
                      <w:sz w:val="21"/>
                      <w:szCs w:val="18"/>
                    </w:rPr>
                    <w:t>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袋装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10kg/包</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粉末</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0.2吨</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7</w:t>
                  </w:r>
                </w:p>
              </w:tc>
              <w:tc>
                <w:tcPr>
                  <w:tcW w:w="935" w:type="pct"/>
                  <w:noWrap w:val="0"/>
                  <w:vAlign w:val="center"/>
                </w:tcPr>
                <w:p>
                  <w:pPr>
                    <w:snapToGrid w:val="0"/>
                    <w:jc w:val="center"/>
                    <w:rPr>
                      <w:rFonts w:hint="default" w:ascii="Times New Roman" w:hAnsi="Times New Roman" w:eastAsia="宋体" w:cs="Times New Roman"/>
                      <w:color w:val="auto"/>
                      <w:sz w:val="21"/>
                      <w:szCs w:val="20"/>
                      <w:lang w:val="en-US" w:eastAsia="zh-CN"/>
                    </w:rPr>
                  </w:pPr>
                  <w:r>
                    <w:rPr>
                      <w:rFonts w:hint="default" w:ascii="Times New Roman" w:hAnsi="Times New Roman" w:cs="Times New Roman"/>
                      <w:color w:val="auto"/>
                      <w:sz w:val="21"/>
                      <w:szCs w:val="20"/>
                      <w:lang w:val="en-US" w:eastAsia="zh-CN"/>
                    </w:rPr>
                    <w:t>聚偏氟乙烯（PVDF）</w:t>
                  </w:r>
                </w:p>
              </w:tc>
              <w:tc>
                <w:tcPr>
                  <w:tcW w:w="668" w:type="pct"/>
                  <w:noWrap w:val="0"/>
                  <w:vAlign w:val="center"/>
                </w:tcPr>
                <w:p>
                  <w:pPr>
                    <w:snapToGrid w:val="0"/>
                    <w:jc w:val="center"/>
                    <w:rPr>
                      <w:rFonts w:hint="default" w:ascii="Times New Roman" w:hAnsi="Times New Roman" w:eastAsia="宋体" w:cs="Times New Roman"/>
                      <w:color w:val="auto"/>
                      <w:sz w:val="21"/>
                      <w:szCs w:val="18"/>
                      <w:lang w:val="en-US" w:eastAsia="zh-CN"/>
                    </w:rPr>
                  </w:pPr>
                  <w:r>
                    <w:rPr>
                      <w:rFonts w:hint="default" w:ascii="Times New Roman" w:hAnsi="Times New Roman" w:cs="Times New Roman"/>
                      <w:color w:val="auto"/>
                      <w:sz w:val="21"/>
                      <w:szCs w:val="18"/>
                      <w:lang w:val="en-US" w:eastAsia="zh-CN"/>
                    </w:rPr>
                    <w:t>0.5吨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袋装</w:t>
                  </w:r>
                </w:p>
              </w:tc>
              <w:tc>
                <w:tcPr>
                  <w:tcW w:w="650" w:type="pct"/>
                  <w:noWrap w:val="0"/>
                  <w:vAlign w:val="center"/>
                </w:tcPr>
                <w:p>
                  <w:pPr>
                    <w:snapToGrid w:val="0"/>
                    <w:jc w:val="center"/>
                    <w:rPr>
                      <w:rFonts w:hint="default" w:ascii="Times New Roman" w:hAnsi="Times New Roman" w:eastAsia="宋体" w:cs="Times New Roman"/>
                      <w:color w:val="auto"/>
                      <w:sz w:val="21"/>
                      <w:szCs w:val="18"/>
                      <w:lang w:val="en-US" w:eastAsia="zh-CN"/>
                    </w:rPr>
                  </w:pPr>
                  <w:r>
                    <w:rPr>
                      <w:rFonts w:hint="default" w:ascii="Times New Roman" w:hAnsi="Times New Roman" w:cs="Times New Roman"/>
                      <w:color w:val="auto"/>
                      <w:sz w:val="21"/>
                      <w:szCs w:val="18"/>
                      <w:lang w:val="en-US" w:eastAsia="zh-CN"/>
                    </w:rPr>
                    <w:t>20kg/包</w:t>
                  </w:r>
                </w:p>
              </w:tc>
              <w:tc>
                <w:tcPr>
                  <w:tcW w:w="506" w:type="pct"/>
                  <w:noWrap w:val="0"/>
                  <w:vAlign w:val="center"/>
                </w:tcPr>
                <w:p>
                  <w:pPr>
                    <w:snapToGrid w:val="0"/>
                    <w:jc w:val="center"/>
                    <w:rPr>
                      <w:rFonts w:hint="default" w:ascii="Times New Roman" w:hAnsi="Times New Roman" w:cs="Times New Roman"/>
                      <w:color w:val="auto"/>
                      <w:sz w:val="21"/>
                      <w:szCs w:val="18"/>
                      <w:lang w:val="en-US" w:eastAsia="zh-CN"/>
                    </w:rPr>
                  </w:pPr>
                  <w:r>
                    <w:rPr>
                      <w:rFonts w:hint="default" w:ascii="Times New Roman" w:hAnsi="Times New Roman" w:cs="Times New Roman"/>
                      <w:color w:val="auto"/>
                      <w:sz w:val="21"/>
                      <w:szCs w:val="18"/>
                      <w:lang w:val="en-US" w:eastAsia="zh-CN"/>
                    </w:rPr>
                    <w:t>粉末</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0.1吨</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8</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20"/>
                    </w:rPr>
                    <w:t>石墨</w:t>
                  </w:r>
                </w:p>
              </w:tc>
              <w:tc>
                <w:tcPr>
                  <w:tcW w:w="668"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40</w:t>
                  </w:r>
                  <w:r>
                    <w:rPr>
                      <w:rFonts w:hint="default" w:ascii="Times New Roman" w:hAnsi="Times New Roman" w:cs="Times New Roman"/>
                      <w:color w:val="auto"/>
                      <w:sz w:val="21"/>
                      <w:szCs w:val="18"/>
                    </w:rPr>
                    <w:t>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袋装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25kg/</w:t>
                  </w:r>
                  <w:r>
                    <w:rPr>
                      <w:rFonts w:hint="default" w:ascii="Times New Roman" w:hAnsi="Times New Roman" w:cs="Times New Roman"/>
                      <w:b w:val="0"/>
                      <w:bCs w:val="0"/>
                      <w:color w:val="auto"/>
                      <w:sz w:val="21"/>
                      <w:szCs w:val="21"/>
                      <w:lang w:val="en-US" w:eastAsia="zh-CN"/>
                    </w:rPr>
                    <w:t>袋</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粉末</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2吨</w:t>
                  </w:r>
                </w:p>
              </w:tc>
              <w:tc>
                <w:tcPr>
                  <w:tcW w:w="51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kern w:val="2"/>
                      <w:sz w:val="21"/>
                      <w:szCs w:val="21"/>
                      <w:lang w:val="en-US" w:eastAsia="zh-CN" w:bidi="ar-SA"/>
                    </w:rPr>
                    <w:t>负极材料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9</w:t>
                  </w:r>
                </w:p>
              </w:tc>
              <w:tc>
                <w:tcPr>
                  <w:tcW w:w="935" w:type="pct"/>
                  <w:noWrap w:val="0"/>
                  <w:vAlign w:val="center"/>
                </w:tcPr>
                <w:p>
                  <w:pPr>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color w:val="auto"/>
                      <w:sz w:val="21"/>
                      <w:szCs w:val="20"/>
                    </w:rPr>
                    <w:t>铜箔</w:t>
                  </w:r>
                </w:p>
              </w:tc>
              <w:tc>
                <w:tcPr>
                  <w:tcW w:w="668" w:type="pct"/>
                  <w:noWrap w:val="0"/>
                  <w:vAlign w:val="center"/>
                </w:tcPr>
                <w:p>
                  <w:pPr>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color w:val="auto"/>
                      <w:sz w:val="21"/>
                      <w:szCs w:val="18"/>
                    </w:rPr>
                    <w:t>20吨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纸箱包装</w:t>
                  </w:r>
                </w:p>
              </w:tc>
              <w:tc>
                <w:tcPr>
                  <w:tcW w:w="650" w:type="pct"/>
                  <w:noWrap w:val="0"/>
                  <w:vAlign w:val="center"/>
                </w:tcPr>
                <w:p>
                  <w:pPr>
                    <w:snapToGrid w:val="0"/>
                    <w:jc w:val="center"/>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color w:val="auto"/>
                      <w:sz w:val="21"/>
                      <w:szCs w:val="18"/>
                    </w:rPr>
                    <w:t>250kg/箱</w:t>
                  </w:r>
                </w:p>
              </w:tc>
              <w:tc>
                <w:tcPr>
                  <w:tcW w:w="506" w:type="pct"/>
                  <w:noWrap w:val="0"/>
                  <w:vAlign w:val="center"/>
                </w:tcPr>
                <w:p>
                  <w:pPr>
                    <w:snapToGrid w:val="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cs="Times New Roman"/>
                      <w:color w:val="auto"/>
                      <w:sz w:val="21"/>
                      <w:szCs w:val="18"/>
                      <w:lang w:val="en-US" w:eastAsia="zh-CN"/>
                    </w:rPr>
                    <w:t>固态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w:t>
                  </w:r>
                  <w:r>
                    <w:rPr>
                      <w:rFonts w:hint="default" w:ascii="Times New Roman" w:hAnsi="Times New Roman" w:cs="Times New Roman"/>
                      <w:b w:val="0"/>
                      <w:bCs w:val="0"/>
                      <w:color w:val="auto"/>
                      <w:kern w:val="2"/>
                      <w:sz w:val="21"/>
                      <w:szCs w:val="21"/>
                      <w:lang w:val="en-US" w:eastAsia="zh-CN" w:bidi="ar-SA"/>
                    </w:rPr>
                    <w:t>吨</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10</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20"/>
                      <w:lang w:val="en-US" w:eastAsia="zh-CN"/>
                    </w:rPr>
                    <w:t>镍</w:t>
                  </w:r>
                  <w:r>
                    <w:rPr>
                      <w:rFonts w:hint="default" w:ascii="Times New Roman" w:hAnsi="Times New Roman" w:cs="Times New Roman"/>
                      <w:color w:val="auto"/>
                      <w:sz w:val="21"/>
                      <w:szCs w:val="20"/>
                    </w:rPr>
                    <w:t>极耳</w:t>
                  </w:r>
                </w:p>
              </w:tc>
              <w:tc>
                <w:tcPr>
                  <w:tcW w:w="668"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2吨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袋装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1.5kg/卷</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固态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0.09</w:t>
                  </w:r>
                  <w:r>
                    <w:rPr>
                      <w:rFonts w:hint="default" w:ascii="Times New Roman" w:hAnsi="Times New Roman" w:cs="Times New Roman"/>
                      <w:b w:val="0"/>
                      <w:bCs w:val="0"/>
                      <w:color w:val="auto"/>
                      <w:kern w:val="2"/>
                      <w:sz w:val="21"/>
                      <w:szCs w:val="21"/>
                      <w:lang w:val="en-US" w:eastAsia="zh-CN" w:bidi="ar-SA"/>
                    </w:rPr>
                    <w:t>吨</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11</w:t>
                  </w:r>
                </w:p>
              </w:tc>
              <w:tc>
                <w:tcPr>
                  <w:tcW w:w="935" w:type="pct"/>
                  <w:noWrap w:val="0"/>
                  <w:vAlign w:val="center"/>
                </w:tcPr>
                <w:p>
                  <w:pPr>
                    <w:snapToGrid w:val="0"/>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纯水</w:t>
                  </w:r>
                </w:p>
              </w:tc>
              <w:tc>
                <w:tcPr>
                  <w:tcW w:w="668" w:type="pct"/>
                  <w:noWrap w:val="0"/>
                  <w:vAlign w:val="center"/>
                </w:tcPr>
                <w:p>
                  <w:pPr>
                    <w:snapToGrid w:val="0"/>
                    <w:jc w:val="center"/>
                    <w:rPr>
                      <w:rFonts w:hint="default" w:ascii="Times New Roman" w:hAnsi="Times New Roman" w:eastAsia="宋体" w:cs="Times New Roman"/>
                      <w:color w:val="auto"/>
                      <w:sz w:val="21"/>
                      <w:szCs w:val="18"/>
                      <w:lang w:val="en-US" w:eastAsia="zh-CN"/>
                    </w:rPr>
                  </w:pPr>
                  <w:r>
                    <w:rPr>
                      <w:rFonts w:hint="default" w:ascii="Times New Roman" w:hAnsi="Times New Roman" w:cs="Times New Roman"/>
                      <w:color w:val="auto"/>
                      <w:sz w:val="21"/>
                      <w:szCs w:val="18"/>
                      <w:lang w:val="en-US" w:eastAsia="zh-CN"/>
                    </w:rPr>
                    <w:t>10吨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w:t>
                  </w:r>
                </w:p>
              </w:tc>
              <w:tc>
                <w:tcPr>
                  <w:tcW w:w="650" w:type="pct"/>
                  <w:noWrap w:val="0"/>
                  <w:vAlign w:val="center"/>
                </w:tcPr>
                <w:p>
                  <w:pPr>
                    <w:snapToGrid w:val="0"/>
                    <w:jc w:val="center"/>
                    <w:rPr>
                      <w:rFonts w:hint="default" w:ascii="Times New Roman" w:hAnsi="Times New Roman" w:eastAsia="宋体" w:cs="Times New Roman"/>
                      <w:color w:val="auto"/>
                      <w:sz w:val="21"/>
                      <w:szCs w:val="18"/>
                      <w:lang w:val="en-US" w:eastAsia="zh-CN"/>
                    </w:rPr>
                  </w:pPr>
                  <w:r>
                    <w:rPr>
                      <w:rFonts w:hint="default" w:ascii="Times New Roman" w:hAnsi="Times New Roman" w:cs="Times New Roman"/>
                      <w:color w:val="auto"/>
                      <w:sz w:val="21"/>
                      <w:szCs w:val="18"/>
                      <w:lang w:val="en-US" w:eastAsia="zh-CN"/>
                    </w:rPr>
                    <w:t>/</w:t>
                  </w:r>
                </w:p>
              </w:tc>
              <w:tc>
                <w:tcPr>
                  <w:tcW w:w="506" w:type="pct"/>
                  <w:noWrap w:val="0"/>
                  <w:vAlign w:val="center"/>
                </w:tcPr>
                <w:p>
                  <w:pPr>
                    <w:snapToGrid w:val="0"/>
                    <w:jc w:val="center"/>
                    <w:rPr>
                      <w:rFonts w:hint="default" w:ascii="Times New Roman" w:hAnsi="Times New Roman" w:cs="Times New Roman"/>
                      <w:color w:val="auto"/>
                      <w:sz w:val="21"/>
                      <w:szCs w:val="18"/>
                      <w:lang w:val="en-US" w:eastAsia="zh-CN"/>
                    </w:rPr>
                  </w:pPr>
                  <w:r>
                    <w:rPr>
                      <w:rFonts w:hint="default" w:ascii="Times New Roman" w:hAnsi="Times New Roman" w:cs="Times New Roman"/>
                      <w:color w:val="auto"/>
                      <w:sz w:val="21"/>
                      <w:szCs w:val="18"/>
                      <w:lang w:val="en-US" w:eastAsia="zh-CN"/>
                    </w:rPr>
                    <w:t>液态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12</w:t>
                  </w:r>
                </w:p>
              </w:tc>
              <w:tc>
                <w:tcPr>
                  <w:tcW w:w="935" w:type="pct"/>
                  <w:noWrap w:val="0"/>
                  <w:vAlign w:val="center"/>
                </w:tcPr>
                <w:p>
                  <w:pPr>
                    <w:snapToGrid w:val="0"/>
                    <w:jc w:val="center"/>
                    <w:rPr>
                      <w:rFonts w:hint="default" w:ascii="Times New Roman" w:hAnsi="Times New Roman" w:cs="Times New Roman"/>
                      <w:color w:val="auto"/>
                      <w:sz w:val="21"/>
                      <w:szCs w:val="20"/>
                      <w:lang w:val="en-US" w:eastAsia="zh-CN"/>
                    </w:rPr>
                  </w:pPr>
                  <w:r>
                    <w:rPr>
                      <w:rFonts w:hint="default" w:ascii="Times New Roman" w:hAnsi="Times New Roman" w:cs="Times New Roman"/>
                      <w:color w:val="auto"/>
                      <w:sz w:val="21"/>
                      <w:szCs w:val="20"/>
                      <w:lang w:val="en-US" w:eastAsia="zh-CN"/>
                    </w:rPr>
                    <w:t>丁苯橡胶（SBR）</w:t>
                  </w:r>
                </w:p>
              </w:tc>
              <w:tc>
                <w:tcPr>
                  <w:tcW w:w="668" w:type="pct"/>
                  <w:noWrap w:val="0"/>
                  <w:vAlign w:val="center"/>
                </w:tcPr>
                <w:p>
                  <w:pPr>
                    <w:snapToGrid w:val="0"/>
                    <w:jc w:val="center"/>
                    <w:rPr>
                      <w:rFonts w:hint="default" w:ascii="Times New Roman" w:hAnsi="Times New Roman" w:cs="Times New Roman"/>
                      <w:color w:val="auto"/>
                      <w:sz w:val="21"/>
                      <w:szCs w:val="18"/>
                      <w:lang w:val="en-US" w:eastAsia="zh-CN"/>
                    </w:rPr>
                  </w:pPr>
                  <w:r>
                    <w:rPr>
                      <w:rFonts w:hint="default" w:ascii="Times New Roman" w:hAnsi="Times New Roman" w:cs="Times New Roman"/>
                      <w:color w:val="auto"/>
                      <w:sz w:val="21"/>
                      <w:szCs w:val="18"/>
                      <w:lang w:val="en-US" w:eastAsia="zh-CN"/>
                    </w:rPr>
                    <w:t>0.5吨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桶装</w:t>
                  </w:r>
                </w:p>
              </w:tc>
              <w:tc>
                <w:tcPr>
                  <w:tcW w:w="650" w:type="pct"/>
                  <w:noWrap w:val="0"/>
                  <w:vAlign w:val="center"/>
                </w:tcPr>
                <w:p>
                  <w:pPr>
                    <w:snapToGrid w:val="0"/>
                    <w:jc w:val="center"/>
                    <w:rPr>
                      <w:rFonts w:hint="default" w:ascii="Times New Roman" w:hAnsi="Times New Roman" w:cs="Times New Roman"/>
                      <w:color w:val="auto"/>
                      <w:sz w:val="21"/>
                      <w:szCs w:val="18"/>
                      <w:lang w:val="en-US" w:eastAsia="zh-CN"/>
                    </w:rPr>
                  </w:pPr>
                  <w:r>
                    <w:rPr>
                      <w:rFonts w:hint="default" w:ascii="Times New Roman" w:hAnsi="Times New Roman" w:cs="Times New Roman"/>
                      <w:color w:val="auto"/>
                      <w:sz w:val="21"/>
                      <w:szCs w:val="18"/>
                      <w:lang w:val="en-US" w:eastAsia="zh-CN"/>
                    </w:rPr>
                    <w:t>25kg/桶</w:t>
                  </w:r>
                </w:p>
              </w:tc>
              <w:tc>
                <w:tcPr>
                  <w:tcW w:w="506" w:type="pct"/>
                  <w:noWrap w:val="0"/>
                  <w:vAlign w:val="center"/>
                </w:tcPr>
                <w:p>
                  <w:pPr>
                    <w:snapToGrid w:val="0"/>
                    <w:jc w:val="center"/>
                    <w:rPr>
                      <w:rFonts w:hint="default" w:ascii="Times New Roman" w:hAnsi="Times New Roman" w:cs="Times New Roman"/>
                      <w:color w:val="auto"/>
                      <w:sz w:val="21"/>
                      <w:szCs w:val="18"/>
                      <w:lang w:val="en-US" w:eastAsia="zh-CN"/>
                    </w:rPr>
                  </w:pPr>
                  <w:r>
                    <w:rPr>
                      <w:rFonts w:hint="default" w:ascii="Times New Roman" w:hAnsi="Times New Roman" w:cs="Times New Roman"/>
                      <w:color w:val="auto"/>
                      <w:sz w:val="21"/>
                      <w:szCs w:val="18"/>
                      <w:lang w:val="en-US" w:eastAsia="zh-CN"/>
                    </w:rPr>
                    <w:t>液态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0.1吨</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13</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20"/>
                    </w:rPr>
                    <w:t>隔膜</w:t>
                  </w:r>
                </w:p>
              </w:tc>
              <w:tc>
                <w:tcPr>
                  <w:tcW w:w="668" w:type="pct"/>
                  <w:noWrap w:val="0"/>
                  <w:vAlign w:val="center"/>
                </w:tcPr>
                <w:p>
                  <w:pPr>
                    <w:snapToGrid w:val="0"/>
                    <w:jc w:val="center"/>
                    <w:rPr>
                      <w:rFonts w:hint="default" w:ascii="Times New Roman" w:hAnsi="Times New Roman" w:cs="Times New Roman"/>
                      <w:b w:val="0"/>
                      <w:bCs w:val="0"/>
                      <w:color w:val="auto"/>
                      <w:kern w:val="2"/>
                      <w:sz w:val="21"/>
                      <w:szCs w:val="21"/>
                      <w:vertAlign w:val="superscript"/>
                      <w:lang w:val="en-US" w:eastAsia="zh-CN" w:bidi="ar-SA"/>
                    </w:rPr>
                  </w:pPr>
                  <w:r>
                    <w:rPr>
                      <w:rFonts w:hint="default" w:ascii="Times New Roman" w:hAnsi="Times New Roman" w:cs="Times New Roman"/>
                      <w:color w:val="auto"/>
                      <w:sz w:val="21"/>
                      <w:szCs w:val="18"/>
                      <w:lang w:val="en-US" w:eastAsia="zh-CN"/>
                    </w:rPr>
                    <w:t>120万m</w:t>
                  </w:r>
                  <w:r>
                    <w:rPr>
                      <w:rFonts w:hint="default" w:ascii="Times New Roman" w:hAnsi="Times New Roman" w:cs="Times New Roman"/>
                      <w:color w:val="auto"/>
                      <w:sz w:val="21"/>
                      <w:szCs w:val="18"/>
                      <w:vertAlign w:val="superscript"/>
                      <w:lang w:val="en-US" w:eastAsia="zh-CN"/>
                    </w:rPr>
                    <w:t>2</w:t>
                  </w:r>
                  <w:r>
                    <w:rPr>
                      <w:rFonts w:hint="default" w:ascii="Times New Roman" w:hAnsi="Times New Roman" w:cs="Times New Roman"/>
                      <w:color w:val="auto"/>
                      <w:sz w:val="21"/>
                      <w:szCs w:val="18"/>
                      <w:vertAlign w:val="baseline"/>
                      <w:lang w:val="en-US" w:eastAsia="zh-CN"/>
                    </w:rPr>
                    <w:t>（约8.3吨）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纸箱包装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900</w:t>
                  </w:r>
                  <w:r>
                    <w:rPr>
                      <w:rFonts w:hint="default" w:ascii="Times New Roman" w:hAnsi="Times New Roman" w:cs="Times New Roman"/>
                      <w:color w:val="auto"/>
                      <w:sz w:val="21"/>
                      <w:szCs w:val="18"/>
                      <w:lang w:val="en-US" w:eastAsia="zh-CN"/>
                    </w:rPr>
                    <w:t>m</w:t>
                  </w:r>
                  <w:r>
                    <w:rPr>
                      <w:rFonts w:hint="default" w:ascii="Times New Roman" w:hAnsi="Times New Roman" w:cs="Times New Roman"/>
                      <w:color w:val="auto"/>
                      <w:sz w:val="21"/>
                      <w:szCs w:val="18"/>
                      <w:vertAlign w:val="superscript"/>
                      <w:lang w:val="en-US" w:eastAsia="zh-CN"/>
                    </w:rPr>
                    <w:t>2</w:t>
                  </w:r>
                  <w:r>
                    <w:rPr>
                      <w:rFonts w:hint="default" w:ascii="Times New Roman" w:hAnsi="Times New Roman" w:cs="Times New Roman"/>
                      <w:color w:val="auto"/>
                      <w:sz w:val="21"/>
                      <w:szCs w:val="18"/>
                    </w:rPr>
                    <w:t>/箱</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固态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10</w:t>
                  </w:r>
                  <w:r>
                    <w:rPr>
                      <w:rFonts w:hint="default" w:ascii="Times New Roman" w:hAnsi="Times New Roman" w:cs="Times New Roman"/>
                      <w:color w:val="auto"/>
                      <w:sz w:val="21"/>
                      <w:szCs w:val="18"/>
                      <w:lang w:val="en-US" w:eastAsia="zh-CN"/>
                    </w:rPr>
                    <w:t>万m</w:t>
                  </w:r>
                  <w:r>
                    <w:rPr>
                      <w:rFonts w:hint="default" w:ascii="Times New Roman" w:hAnsi="Times New Roman" w:cs="Times New Roman"/>
                      <w:color w:val="auto"/>
                      <w:sz w:val="21"/>
                      <w:szCs w:val="18"/>
                      <w:vertAlign w:val="superscript"/>
                      <w:lang w:val="en-US" w:eastAsia="zh-CN"/>
                    </w:rPr>
                    <w:t>2</w:t>
                  </w:r>
                </w:p>
              </w:tc>
              <w:tc>
                <w:tcPr>
                  <w:tcW w:w="5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卷绕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14</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20"/>
                    </w:rPr>
                    <w:t>电解液</w:t>
                  </w:r>
                </w:p>
              </w:tc>
              <w:tc>
                <w:tcPr>
                  <w:tcW w:w="668"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10吨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桶装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200kg/桶</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液态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1</w:t>
                  </w:r>
                  <w:r>
                    <w:rPr>
                      <w:rFonts w:hint="default" w:ascii="Times New Roman" w:hAnsi="Times New Roman" w:cs="Times New Roman"/>
                      <w:b w:val="0"/>
                      <w:bCs w:val="0"/>
                      <w:color w:val="auto"/>
                      <w:kern w:val="2"/>
                      <w:sz w:val="21"/>
                      <w:szCs w:val="21"/>
                      <w:lang w:val="en-US" w:eastAsia="zh-CN" w:bidi="ar-SA"/>
                    </w:rPr>
                    <w:t>吨</w:t>
                  </w:r>
                </w:p>
              </w:tc>
              <w:tc>
                <w:tcPr>
                  <w:tcW w:w="5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注液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15</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铝塑膜</w:t>
                  </w:r>
                </w:p>
              </w:tc>
              <w:tc>
                <w:tcPr>
                  <w:tcW w:w="668"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8吨</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纸箱包装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40</w:t>
                  </w:r>
                  <w:r>
                    <w:rPr>
                      <w:rFonts w:hint="default" w:ascii="Times New Roman" w:hAnsi="Times New Roman" w:cs="Times New Roman"/>
                      <w:color w:val="auto"/>
                      <w:sz w:val="21"/>
                      <w:szCs w:val="18"/>
                      <w:lang w:val="en-US" w:eastAsia="zh-CN"/>
                    </w:rPr>
                    <w:t>kg</w:t>
                  </w:r>
                  <w:r>
                    <w:rPr>
                      <w:rFonts w:hint="default" w:ascii="Times New Roman" w:hAnsi="Times New Roman" w:cs="Times New Roman"/>
                      <w:color w:val="auto"/>
                      <w:sz w:val="21"/>
                      <w:szCs w:val="18"/>
                    </w:rPr>
                    <w:t>/箱</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固态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0.5</w:t>
                  </w:r>
                  <w:r>
                    <w:rPr>
                      <w:rFonts w:hint="default" w:ascii="Times New Roman" w:hAnsi="Times New Roman" w:cs="Times New Roman"/>
                      <w:b w:val="0"/>
                      <w:bCs w:val="0"/>
                      <w:color w:val="auto"/>
                      <w:kern w:val="2"/>
                      <w:sz w:val="21"/>
                      <w:szCs w:val="21"/>
                      <w:lang w:val="en-US" w:eastAsia="zh-CN" w:bidi="ar-SA"/>
                    </w:rPr>
                    <w:t>吨</w:t>
                  </w:r>
                </w:p>
              </w:tc>
              <w:tc>
                <w:tcPr>
                  <w:tcW w:w="5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装配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16</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吸塑</w:t>
                  </w:r>
                </w:p>
              </w:tc>
              <w:tc>
                <w:tcPr>
                  <w:tcW w:w="668" w:type="pct"/>
                  <w:noWrap w:val="0"/>
                  <w:vAlign w:val="center"/>
                </w:tcPr>
                <w:p>
                  <w:pPr>
                    <w:snapToGrid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30万</w:t>
                  </w:r>
                  <w:r>
                    <w:rPr>
                      <w:rFonts w:hint="default" w:ascii="Times New Roman" w:hAnsi="Times New Roman" w:cs="Times New Roman"/>
                      <w:color w:val="auto"/>
                      <w:sz w:val="21"/>
                      <w:szCs w:val="18"/>
                      <w:lang w:val="en-US" w:eastAsia="zh-CN"/>
                    </w:rPr>
                    <w:t>件</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袋装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200</w:t>
                  </w:r>
                  <w:r>
                    <w:rPr>
                      <w:rFonts w:hint="default" w:ascii="Times New Roman" w:hAnsi="Times New Roman" w:cs="Times New Roman"/>
                      <w:color w:val="auto"/>
                      <w:sz w:val="21"/>
                      <w:szCs w:val="18"/>
                      <w:lang w:val="en-US" w:eastAsia="zh-CN"/>
                    </w:rPr>
                    <w:t>件</w:t>
                  </w:r>
                  <w:r>
                    <w:rPr>
                      <w:rFonts w:hint="default" w:ascii="Times New Roman" w:hAnsi="Times New Roman" w:cs="Times New Roman"/>
                      <w:color w:val="auto"/>
                      <w:sz w:val="21"/>
                      <w:szCs w:val="18"/>
                    </w:rPr>
                    <w:t>/包</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固态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color w:val="auto"/>
                      <w:sz w:val="21"/>
                      <w:szCs w:val="18"/>
                      <w:lang w:val="en-US" w:eastAsia="zh-CN"/>
                    </w:rPr>
                    <w:t>1</w:t>
                  </w:r>
                  <w:r>
                    <w:rPr>
                      <w:rFonts w:hint="default" w:ascii="Times New Roman" w:hAnsi="Times New Roman" w:cs="Times New Roman"/>
                      <w:color w:val="auto"/>
                      <w:sz w:val="21"/>
                      <w:szCs w:val="18"/>
                    </w:rPr>
                    <w:t>万</w:t>
                  </w:r>
                  <w:r>
                    <w:rPr>
                      <w:rFonts w:hint="default" w:ascii="Times New Roman" w:hAnsi="Times New Roman" w:cs="Times New Roman"/>
                      <w:color w:val="auto"/>
                      <w:sz w:val="21"/>
                      <w:szCs w:val="18"/>
                      <w:lang w:val="en-US" w:eastAsia="zh-CN"/>
                    </w:rPr>
                    <w:t>件</w:t>
                  </w:r>
                </w:p>
              </w:tc>
              <w:tc>
                <w:tcPr>
                  <w:tcW w:w="51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包装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17</w:t>
                  </w:r>
                </w:p>
              </w:tc>
              <w:tc>
                <w:tcPr>
                  <w:tcW w:w="935"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包装材料</w:t>
                  </w:r>
                </w:p>
              </w:tc>
              <w:tc>
                <w:tcPr>
                  <w:tcW w:w="668" w:type="pct"/>
                  <w:noWrap w:val="0"/>
                  <w:vAlign w:val="center"/>
                </w:tcPr>
                <w:p>
                  <w:pPr>
                    <w:snapToGrid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1万</w:t>
                  </w:r>
                  <w:r>
                    <w:rPr>
                      <w:rFonts w:hint="default" w:ascii="Times New Roman" w:hAnsi="Times New Roman" w:cs="Times New Roman"/>
                      <w:color w:val="auto"/>
                      <w:sz w:val="21"/>
                      <w:szCs w:val="18"/>
                      <w:lang w:val="en-US" w:eastAsia="zh-CN"/>
                    </w:rPr>
                    <w:t>件</w:t>
                  </w:r>
                </w:p>
              </w:tc>
              <w:tc>
                <w:tcPr>
                  <w:tcW w:w="733"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 w:val="21"/>
                      <w:szCs w:val="21"/>
                      <w:lang w:val="en-US" w:eastAsia="zh-CN"/>
                    </w:rPr>
                    <w:t>袋装</w:t>
                  </w:r>
                </w:p>
              </w:tc>
              <w:tc>
                <w:tcPr>
                  <w:tcW w:w="650"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rPr>
                    <w:t>10</w:t>
                  </w:r>
                  <w:r>
                    <w:rPr>
                      <w:rFonts w:hint="default" w:ascii="Times New Roman" w:hAnsi="Times New Roman" w:cs="Times New Roman"/>
                      <w:color w:val="auto"/>
                      <w:sz w:val="21"/>
                      <w:szCs w:val="18"/>
                      <w:lang w:val="en-US" w:eastAsia="zh-CN"/>
                    </w:rPr>
                    <w:t>件</w:t>
                  </w:r>
                  <w:r>
                    <w:rPr>
                      <w:rFonts w:hint="default" w:ascii="Times New Roman" w:hAnsi="Times New Roman" w:cs="Times New Roman"/>
                      <w:color w:val="auto"/>
                      <w:sz w:val="21"/>
                      <w:szCs w:val="18"/>
                    </w:rPr>
                    <w:t>/扎</w:t>
                  </w:r>
                </w:p>
              </w:tc>
              <w:tc>
                <w:tcPr>
                  <w:tcW w:w="506" w:type="pct"/>
                  <w:noWrap w:val="0"/>
                  <w:vAlign w:val="center"/>
                </w:tcPr>
                <w:p>
                  <w:pPr>
                    <w:snapToGrid w:val="0"/>
                    <w:jc w:val="center"/>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color w:val="auto"/>
                      <w:sz w:val="21"/>
                      <w:szCs w:val="18"/>
                      <w:lang w:val="en-US" w:eastAsia="zh-CN"/>
                    </w:rPr>
                    <w:t>固态</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2000件</w:t>
                  </w:r>
                </w:p>
              </w:tc>
              <w:tc>
                <w:tcPr>
                  <w:tcW w:w="51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p>
              </w:tc>
            </w:tr>
          </w:tbl>
          <w:p>
            <w:pPr>
              <w:adjustRightInd w:val="0"/>
              <w:snapToGrid w:val="0"/>
              <w:spacing w:line="360" w:lineRule="auto"/>
              <w:ind w:firstLine="420" w:firstLineChars="200"/>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注：正极材料与负极材料的原辅材料的比例约为</w:t>
            </w:r>
            <w:r>
              <w:rPr>
                <w:rFonts w:hint="eastAsia" w:ascii="Times New Roman" w:hAnsi="Times New Roman" w:eastAsia="宋体" w:cs="Times New Roman"/>
                <w:color w:val="auto"/>
                <w:sz w:val="21"/>
                <w:szCs w:val="21"/>
                <w:lang w:val="en-US" w:eastAsia="zh-CN"/>
              </w:rPr>
              <w:t>10</w:t>
            </w:r>
            <w:r>
              <w:rPr>
                <w:rFonts w:hint="default" w:ascii="Times New Roman" w:hAnsi="Times New Roman" w:eastAsia="宋体" w:cs="Times New Roman"/>
                <w:color w:val="auto"/>
                <w:sz w:val="21"/>
                <w:szCs w:val="21"/>
                <w:lang w:val="en-US" w:eastAsia="zh-CN"/>
              </w:rPr>
              <w:t>：7。</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NMP物料核算</w:t>
            </w:r>
          </w:p>
          <w:p>
            <w:pPr>
              <w:adjustRightInd w:val="0"/>
              <w:snapToGrid w:val="0"/>
              <w:spacing w:line="360" w:lineRule="auto"/>
              <w:ind w:firstLine="480" w:firstLineChars="200"/>
              <w:rPr>
                <w:rFonts w:hint="default" w:ascii="Times New Roman" w:hAnsi="Times New Roman" w:cs="Times New Roman"/>
                <w:color w:val="auto"/>
                <w:sz w:val="24"/>
                <w:highlight w:val="yellow"/>
                <w:lang w:val="en-US" w:eastAsia="zh-CN"/>
              </w:rPr>
            </w:pPr>
            <w:r>
              <w:rPr>
                <w:rFonts w:hint="default" w:ascii="Times New Roman" w:hAnsi="Times New Roman" w:eastAsia="宋体" w:cs="Times New Roman"/>
                <w:color w:val="auto"/>
                <w:sz w:val="24"/>
                <w:szCs w:val="24"/>
                <w:highlight w:val="none"/>
                <w:lang w:val="en-US" w:eastAsia="zh-CN"/>
              </w:rPr>
              <w:t>根据</w:t>
            </w:r>
            <w:r>
              <w:rPr>
                <w:rFonts w:hint="default" w:ascii="Times New Roman" w:hAnsi="Times New Roman" w:cs="Times New Roman"/>
                <w:color w:val="auto"/>
                <w:sz w:val="24"/>
                <w:highlight w:val="none"/>
              </w:rPr>
              <w:t>生态环境部《排放源统计调查产排污核算方法和系数手册》中“</w:t>
            </w:r>
            <w:r>
              <w:rPr>
                <w:rFonts w:hint="default" w:ascii="Times New Roman" w:hAnsi="Times New Roman" w:cs="Times New Roman"/>
                <w:color w:val="auto"/>
                <w:sz w:val="24"/>
                <w:highlight w:val="none"/>
                <w:lang w:val="en-US" w:eastAsia="zh-CN"/>
              </w:rPr>
              <w:t>384电池制造行业系数</w:t>
            </w:r>
            <w:r>
              <w:rPr>
                <w:rFonts w:hint="default" w:ascii="Times New Roman" w:hAnsi="Times New Roman" w:cs="Times New Roman"/>
                <w:color w:val="auto"/>
                <w:sz w:val="24"/>
                <w:highlight w:val="none"/>
              </w:rPr>
              <w:t>手册”-“</w:t>
            </w:r>
            <w:r>
              <w:rPr>
                <w:rFonts w:hint="default" w:ascii="Times New Roman" w:hAnsi="Times New Roman" w:cs="Times New Roman"/>
                <w:color w:val="auto"/>
                <w:sz w:val="24"/>
                <w:highlight w:val="none"/>
                <w:lang w:val="en-US" w:eastAsia="zh-CN"/>
              </w:rPr>
              <w:t>3841锂离子电池制造行业系数表</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锂离子电池单体</w:t>
            </w:r>
            <w:r>
              <w:rPr>
                <w:rFonts w:hint="default" w:ascii="Times New Roman" w:hAnsi="Times New Roman" w:cs="Times New Roman"/>
                <w:color w:val="auto"/>
                <w:sz w:val="24"/>
                <w:highlight w:val="none"/>
              </w:rPr>
              <w:t>”中</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软包</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的</w:t>
            </w:r>
            <w:r>
              <w:rPr>
                <w:rFonts w:hint="default" w:ascii="Times New Roman" w:hAnsi="Times New Roman" w:cs="Times New Roman"/>
                <w:color w:val="auto"/>
                <w:sz w:val="24"/>
                <w:highlight w:val="none"/>
                <w:lang w:val="en-US" w:eastAsia="zh-CN"/>
              </w:rPr>
              <w:t>挥发性有机物</w:t>
            </w:r>
            <w:r>
              <w:rPr>
                <w:rFonts w:hint="default" w:ascii="Times New Roman" w:hAnsi="Times New Roman" w:cs="Times New Roman"/>
                <w:color w:val="auto"/>
                <w:sz w:val="24"/>
                <w:highlight w:val="none"/>
              </w:rPr>
              <w:t>的产污系数为</w:t>
            </w:r>
            <w:r>
              <w:rPr>
                <w:rFonts w:hint="eastAsia" w:ascii="Times New Roman" w:hAnsi="Times New Roman" w:cs="Times New Roman"/>
                <w:color w:val="auto"/>
                <w:sz w:val="24"/>
                <w:highlight w:val="none"/>
                <w:lang w:val="en-US" w:eastAsia="zh-CN"/>
              </w:rPr>
              <w:t>7.92</w:t>
            </w:r>
            <w:r>
              <w:rPr>
                <w:rFonts w:hint="default" w:ascii="Times New Roman" w:hAnsi="Times New Roman" w:cs="Times New Roman"/>
                <w:color w:val="auto"/>
                <w:sz w:val="24"/>
                <w:highlight w:val="none"/>
                <w:lang w:val="en-US" w:eastAsia="zh-CN"/>
              </w:rPr>
              <w:t>×10</w:t>
            </w:r>
            <w:r>
              <w:rPr>
                <w:rFonts w:hint="default" w:ascii="Times New Roman" w:hAnsi="Times New Roman" w:cs="Times New Roman"/>
                <w:color w:val="auto"/>
                <w:sz w:val="24"/>
                <w:highlight w:val="none"/>
                <w:vertAlign w:val="superscript"/>
                <w:lang w:val="en-US" w:eastAsia="zh-CN"/>
              </w:rPr>
              <w:t>2</w:t>
            </w:r>
            <w:r>
              <w:rPr>
                <w:rFonts w:hint="default" w:ascii="Times New Roman" w:hAnsi="Times New Roman" w:cs="Times New Roman"/>
                <w:color w:val="auto"/>
                <w:sz w:val="24"/>
                <w:highlight w:val="none"/>
              </w:rPr>
              <w:t>克/</w:t>
            </w:r>
            <w:r>
              <w:rPr>
                <w:rFonts w:hint="default" w:ascii="Times New Roman" w:hAnsi="Times New Roman" w:cs="Times New Roman"/>
                <w:color w:val="auto"/>
                <w:sz w:val="24"/>
                <w:highlight w:val="none"/>
                <w:lang w:val="en-US" w:eastAsia="zh-CN"/>
              </w:rPr>
              <w:t>千瓦时-产品</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项目年产22000kwh电池，故项目挥发性有机物的产生量为</w:t>
            </w:r>
            <w:r>
              <w:rPr>
                <w:rFonts w:hint="eastAsia" w:ascii="Times New Roman" w:hAnsi="Times New Roman" w:cs="Times New Roman"/>
                <w:color w:val="auto"/>
                <w:sz w:val="24"/>
                <w:highlight w:val="none"/>
                <w:lang w:val="en-US" w:eastAsia="zh-CN"/>
              </w:rPr>
              <w:t>17.424</w:t>
            </w:r>
            <w:r>
              <w:rPr>
                <w:rFonts w:hint="default" w:ascii="Times New Roman" w:hAnsi="Times New Roman" w:cs="Times New Roman"/>
                <w:color w:val="auto"/>
                <w:sz w:val="24"/>
                <w:highlight w:val="none"/>
                <w:lang w:val="en-US" w:eastAsia="zh-CN"/>
              </w:rPr>
              <w:t>t/a。</w:t>
            </w:r>
          </w:p>
          <w:p>
            <w:pPr>
              <w:adjustRightInd w:val="0"/>
              <w:snapToGrid w:val="0"/>
              <w:spacing w:line="360" w:lineRule="auto"/>
              <w:jc w:val="center"/>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表2-5 项目物料平衡表</w:t>
            </w:r>
          </w:p>
          <w:tbl>
            <w:tblPr>
              <w:tblStyle w:val="33"/>
              <w:tblW w:w="83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6"/>
              <w:gridCol w:w="1417"/>
              <w:gridCol w:w="709"/>
              <w:gridCol w:w="1843"/>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3" w:type="dxa"/>
                  <w:gridSpan w:val="2"/>
                  <w:noWrap w:val="0"/>
                  <w:vAlign w:val="center"/>
                </w:tcPr>
                <w:p>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投入方（t/a）</w:t>
                  </w:r>
                </w:p>
              </w:tc>
              <w:tc>
                <w:tcPr>
                  <w:tcW w:w="5432" w:type="dxa"/>
                  <w:gridSpan w:val="3"/>
                  <w:noWrap w:val="0"/>
                  <w:vAlign w:val="center"/>
                </w:tcPr>
                <w:p>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产出方（t/a）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物料名称</w:t>
                  </w:r>
                </w:p>
              </w:tc>
              <w:tc>
                <w:tcPr>
                  <w:tcW w:w="1417" w:type="dxa"/>
                  <w:noWrap w:val="0"/>
                  <w:vAlign w:val="center"/>
                </w:tcPr>
                <w:p>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用量</w:t>
                  </w:r>
                </w:p>
              </w:tc>
              <w:tc>
                <w:tcPr>
                  <w:tcW w:w="709" w:type="dxa"/>
                  <w:noWrap w:val="0"/>
                  <w:vAlign w:val="center"/>
                </w:tcPr>
                <w:p>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名称</w:t>
                  </w:r>
                </w:p>
              </w:tc>
              <w:tc>
                <w:tcPr>
                  <w:tcW w:w="1843" w:type="dxa"/>
                  <w:noWrap w:val="0"/>
                  <w:vAlign w:val="center"/>
                </w:tcPr>
                <w:p>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物料组成</w:t>
                  </w:r>
                </w:p>
              </w:tc>
              <w:tc>
                <w:tcPr>
                  <w:tcW w:w="2880" w:type="dxa"/>
                  <w:noWrap w:val="0"/>
                  <w:vAlign w:val="center"/>
                </w:tcPr>
                <w:p>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20"/>
                      <w:highlight w:val="none"/>
                    </w:rPr>
                    <w:t>三元</w:t>
                  </w:r>
                  <w:r>
                    <w:rPr>
                      <w:rFonts w:hint="default" w:ascii="Times New Roman" w:hAnsi="Times New Roman" w:cs="Times New Roman"/>
                      <w:color w:val="auto"/>
                      <w:sz w:val="21"/>
                      <w:szCs w:val="20"/>
                      <w:highlight w:val="none"/>
                      <w:lang w:val="en-US" w:eastAsia="zh-CN"/>
                    </w:rPr>
                    <w:t>材料</w:t>
                  </w:r>
                </w:p>
              </w:tc>
              <w:tc>
                <w:tcPr>
                  <w:tcW w:w="1417"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18"/>
                      <w:highlight w:val="none"/>
                    </w:rPr>
                    <w:t>30</w:t>
                  </w:r>
                </w:p>
              </w:tc>
              <w:tc>
                <w:tcPr>
                  <w:tcW w:w="709" w:type="dxa"/>
                  <w:vMerge w:val="restart"/>
                  <w:noWrap w:val="0"/>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产品</w:t>
                  </w:r>
                </w:p>
              </w:tc>
              <w:tc>
                <w:tcPr>
                  <w:tcW w:w="1843" w:type="dxa"/>
                  <w:vMerge w:val="restart"/>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锂离子电池</w:t>
                  </w:r>
                </w:p>
              </w:tc>
              <w:tc>
                <w:tcPr>
                  <w:tcW w:w="2880" w:type="dxa"/>
                  <w:vMerge w:val="restart"/>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20"/>
                      <w:highlight w:val="none"/>
                    </w:rPr>
                    <w:t>锰酸锂</w:t>
                  </w:r>
                </w:p>
              </w:tc>
              <w:tc>
                <w:tcPr>
                  <w:tcW w:w="1417"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18"/>
                      <w:highlight w:val="none"/>
                    </w:rPr>
                    <w:t>40</w:t>
                  </w:r>
                </w:p>
              </w:tc>
              <w:tc>
                <w:tcPr>
                  <w:tcW w:w="709" w:type="dxa"/>
                  <w:vMerge w:val="continue"/>
                  <w:noWrap w:val="0"/>
                  <w:vAlign w:val="center"/>
                </w:tcPr>
                <w:p>
                  <w:pPr>
                    <w:adjustRightInd w:val="0"/>
                    <w:snapToGrid w:val="0"/>
                    <w:jc w:val="center"/>
                    <w:rPr>
                      <w:rFonts w:hint="default" w:ascii="Times New Roman" w:hAnsi="Times New Roman" w:cs="Times New Roman"/>
                      <w:color w:val="auto"/>
                      <w:szCs w:val="21"/>
                      <w:highlight w:val="yellow"/>
                    </w:rPr>
                  </w:pPr>
                </w:p>
              </w:tc>
              <w:tc>
                <w:tcPr>
                  <w:tcW w:w="1843" w:type="dxa"/>
                  <w:vMerge w:val="continue"/>
                  <w:noWrap w:val="0"/>
                  <w:vAlign w:val="center"/>
                </w:tcPr>
                <w:p>
                  <w:pPr>
                    <w:adjustRightInd w:val="0"/>
                    <w:snapToGrid w:val="0"/>
                    <w:jc w:val="center"/>
                    <w:rPr>
                      <w:rFonts w:hint="default" w:ascii="Times New Roman" w:hAnsi="Times New Roman" w:cs="Times New Roman"/>
                      <w:color w:val="auto"/>
                      <w:szCs w:val="21"/>
                      <w:highlight w:val="yellow"/>
                    </w:rPr>
                  </w:pPr>
                </w:p>
              </w:tc>
              <w:tc>
                <w:tcPr>
                  <w:tcW w:w="2880" w:type="dxa"/>
                  <w:vMerge w:val="continue"/>
                  <w:noWrap w:val="0"/>
                  <w:vAlign w:val="center"/>
                </w:tcPr>
                <w:p>
                  <w:pPr>
                    <w:adjustRightInd w:val="0"/>
                    <w:snapToGrid w:val="0"/>
                    <w:jc w:val="center"/>
                    <w:rPr>
                      <w:rFonts w:hint="default" w:ascii="Times New Roman" w:hAnsi="Times New Roman" w:cs="Times New Roman"/>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20"/>
                      <w:highlight w:val="none"/>
                    </w:rPr>
                    <w:t>铝箔</w:t>
                  </w:r>
                </w:p>
              </w:tc>
              <w:tc>
                <w:tcPr>
                  <w:tcW w:w="1417"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18"/>
                      <w:highlight w:val="none"/>
                    </w:rPr>
                    <w:t>10</w:t>
                  </w:r>
                </w:p>
              </w:tc>
              <w:tc>
                <w:tcPr>
                  <w:tcW w:w="709" w:type="dxa"/>
                  <w:vMerge w:val="continue"/>
                  <w:noWrap w:val="0"/>
                  <w:vAlign w:val="center"/>
                </w:tcPr>
                <w:p>
                  <w:pPr>
                    <w:adjustRightInd w:val="0"/>
                    <w:snapToGrid w:val="0"/>
                    <w:jc w:val="center"/>
                    <w:rPr>
                      <w:rFonts w:hint="default" w:ascii="Times New Roman" w:hAnsi="Times New Roman" w:cs="Times New Roman"/>
                      <w:color w:val="auto"/>
                      <w:szCs w:val="21"/>
                      <w:highlight w:val="yellow"/>
                    </w:rPr>
                  </w:pPr>
                </w:p>
              </w:tc>
              <w:tc>
                <w:tcPr>
                  <w:tcW w:w="1843" w:type="dxa"/>
                  <w:vMerge w:val="continue"/>
                  <w:noWrap w:val="0"/>
                  <w:vAlign w:val="center"/>
                </w:tcPr>
                <w:p>
                  <w:pPr>
                    <w:adjustRightInd w:val="0"/>
                    <w:snapToGrid w:val="0"/>
                    <w:jc w:val="center"/>
                    <w:rPr>
                      <w:rFonts w:hint="default" w:ascii="Times New Roman" w:hAnsi="Times New Roman" w:cs="Times New Roman"/>
                      <w:color w:val="auto"/>
                      <w:szCs w:val="21"/>
                      <w:highlight w:val="yellow"/>
                    </w:rPr>
                  </w:pPr>
                </w:p>
              </w:tc>
              <w:tc>
                <w:tcPr>
                  <w:tcW w:w="2880" w:type="dxa"/>
                  <w:vMerge w:val="continue"/>
                  <w:noWrap w:val="0"/>
                  <w:vAlign w:val="center"/>
                </w:tcPr>
                <w:p>
                  <w:pPr>
                    <w:adjustRightInd w:val="0"/>
                    <w:snapToGrid w:val="0"/>
                    <w:jc w:val="center"/>
                    <w:rPr>
                      <w:rFonts w:hint="default" w:ascii="Times New Roman" w:hAnsi="Times New Roman" w:cs="Times New Roman"/>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20"/>
                      <w:highlight w:val="none"/>
                      <w:lang w:val="en-US" w:eastAsia="zh-CN"/>
                    </w:rPr>
                    <w:t>铝</w:t>
                  </w:r>
                  <w:r>
                    <w:rPr>
                      <w:rFonts w:hint="default" w:ascii="Times New Roman" w:hAnsi="Times New Roman" w:cs="Times New Roman"/>
                      <w:color w:val="auto"/>
                      <w:sz w:val="21"/>
                      <w:szCs w:val="20"/>
                      <w:highlight w:val="none"/>
                    </w:rPr>
                    <w:t>极耳</w:t>
                  </w:r>
                </w:p>
              </w:tc>
              <w:tc>
                <w:tcPr>
                  <w:tcW w:w="1417"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18"/>
                      <w:highlight w:val="none"/>
                    </w:rPr>
                    <w:t>1.5</w:t>
                  </w:r>
                </w:p>
              </w:tc>
              <w:tc>
                <w:tcPr>
                  <w:tcW w:w="709" w:type="dxa"/>
                  <w:vMerge w:val="restart"/>
                  <w:noWrap w:val="0"/>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废气</w:t>
                  </w:r>
                </w:p>
              </w:tc>
              <w:tc>
                <w:tcPr>
                  <w:tcW w:w="1843"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颗粒物</w:t>
                  </w:r>
                </w:p>
              </w:tc>
              <w:tc>
                <w:tcPr>
                  <w:tcW w:w="2880"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color w:val="auto"/>
                      <w:kern w:val="2"/>
                      <w:sz w:val="21"/>
                      <w:szCs w:val="20"/>
                      <w:highlight w:val="none"/>
                      <w:lang w:val="en-US" w:eastAsia="zh-CN" w:bidi="ar-SA"/>
                    </w:rPr>
                  </w:pPr>
                  <w:r>
                    <w:rPr>
                      <w:rFonts w:hint="default" w:ascii="Times New Roman" w:hAnsi="Times New Roman" w:cs="Times New Roman"/>
                      <w:color w:val="auto"/>
                      <w:sz w:val="21"/>
                      <w:szCs w:val="20"/>
                      <w:highlight w:val="none"/>
                      <w:lang w:val="en-US" w:eastAsia="zh-CN"/>
                    </w:rPr>
                    <w:t>NMP</w:t>
                  </w:r>
                </w:p>
              </w:tc>
              <w:tc>
                <w:tcPr>
                  <w:tcW w:w="1417" w:type="dxa"/>
                  <w:noWrap w:val="0"/>
                  <w:vAlign w:val="center"/>
                </w:tcPr>
                <w:p>
                  <w:pPr>
                    <w:snapToGrid w:val="0"/>
                    <w:jc w:val="center"/>
                    <w:rPr>
                      <w:rFonts w:hint="default" w:ascii="Times New Roman" w:hAnsi="Times New Roman" w:eastAsia="宋体" w:cs="Times New Roman"/>
                      <w:color w:val="auto"/>
                      <w:kern w:val="2"/>
                      <w:sz w:val="21"/>
                      <w:szCs w:val="18"/>
                      <w:highlight w:val="none"/>
                      <w:lang w:val="en-US" w:eastAsia="zh-CN" w:bidi="ar-SA"/>
                    </w:rPr>
                  </w:pPr>
                  <w:r>
                    <w:rPr>
                      <w:rFonts w:hint="eastAsia" w:ascii="Times New Roman" w:hAnsi="Times New Roman" w:cs="Times New Roman"/>
                      <w:color w:val="auto"/>
                      <w:sz w:val="21"/>
                      <w:szCs w:val="18"/>
                      <w:highlight w:val="none"/>
                      <w:lang w:val="en-US" w:eastAsia="zh-CN"/>
                    </w:rPr>
                    <w:t>17.424</w:t>
                  </w:r>
                </w:p>
              </w:tc>
              <w:tc>
                <w:tcPr>
                  <w:tcW w:w="709" w:type="dxa"/>
                  <w:vMerge w:val="continue"/>
                  <w:noWrap w:val="0"/>
                  <w:vAlign w:val="center"/>
                </w:tcPr>
                <w:p>
                  <w:pPr>
                    <w:adjustRightInd w:val="0"/>
                    <w:snapToGrid w:val="0"/>
                    <w:jc w:val="center"/>
                    <w:rPr>
                      <w:rFonts w:hint="default" w:ascii="Times New Roman" w:hAnsi="Times New Roman" w:cs="Times New Roman"/>
                      <w:color w:val="auto"/>
                      <w:szCs w:val="21"/>
                      <w:highlight w:val="none"/>
                    </w:rPr>
                  </w:pPr>
                </w:p>
              </w:tc>
              <w:tc>
                <w:tcPr>
                  <w:tcW w:w="1843"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挥发性有机物</w:t>
                  </w:r>
                </w:p>
              </w:tc>
              <w:tc>
                <w:tcPr>
                  <w:tcW w:w="2880"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17.42</w:t>
                  </w:r>
                  <w:r>
                    <w:rPr>
                      <w:rFonts w:hint="eastAsia" w:cs="Times New Roman"/>
                      <w:color w:val="auto"/>
                      <w:szCs w:val="21"/>
                      <w:highlight w:val="none"/>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20"/>
                      <w:highlight w:val="none"/>
                    </w:rPr>
                    <w:t>SP</w:t>
                  </w:r>
                  <w:r>
                    <w:rPr>
                      <w:rFonts w:hint="default" w:ascii="Times New Roman" w:hAnsi="Times New Roman" w:cs="Times New Roman"/>
                      <w:color w:val="auto"/>
                      <w:sz w:val="21"/>
                      <w:szCs w:val="20"/>
                      <w:highlight w:val="none"/>
                      <w:lang w:val="en-US" w:eastAsia="zh-CN"/>
                    </w:rPr>
                    <w:t>碳黑</w:t>
                  </w:r>
                </w:p>
              </w:tc>
              <w:tc>
                <w:tcPr>
                  <w:tcW w:w="1417" w:type="dxa"/>
                  <w:noWrap w:val="0"/>
                  <w:vAlign w:val="center"/>
                </w:tcPr>
                <w:p>
                  <w:pPr>
                    <w:snapToGrid w:val="0"/>
                    <w:jc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18"/>
                      <w:highlight w:val="none"/>
                      <w:lang w:val="en-US" w:eastAsia="zh-CN"/>
                    </w:rPr>
                    <w:t>3</w:t>
                  </w:r>
                </w:p>
              </w:tc>
              <w:tc>
                <w:tcPr>
                  <w:tcW w:w="709" w:type="dxa"/>
                  <w:vMerge w:val="restart"/>
                  <w:noWrap w:val="0"/>
                  <w:vAlign w:val="center"/>
                </w:tcPr>
                <w:p>
                  <w:pPr>
                    <w:adjustRightInd w:val="0"/>
                    <w:snapToGrid w:val="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固体废物</w:t>
                  </w:r>
                </w:p>
              </w:tc>
              <w:tc>
                <w:tcPr>
                  <w:tcW w:w="1843"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废铜铝箔边角料</w:t>
                  </w:r>
                </w:p>
              </w:tc>
              <w:tc>
                <w:tcPr>
                  <w:tcW w:w="2880"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0.70</w:t>
                  </w:r>
                  <w:r>
                    <w:rPr>
                      <w:rFonts w:hint="eastAsia" w:cs="Times New Roman"/>
                      <w:color w:val="auto"/>
                      <w:szCs w:val="21"/>
                      <w:highlight w:val="none"/>
                      <w:lang w:val="en-US" w:eastAsia="zh-CN"/>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eastAsia="宋体" w:cs="Times New Roman"/>
                      <w:color w:val="auto"/>
                      <w:kern w:val="2"/>
                      <w:sz w:val="21"/>
                      <w:szCs w:val="20"/>
                      <w:highlight w:val="none"/>
                      <w:lang w:val="en-US" w:eastAsia="zh-CN" w:bidi="ar-SA"/>
                    </w:rPr>
                  </w:pPr>
                  <w:r>
                    <w:rPr>
                      <w:rFonts w:hint="default" w:ascii="Times New Roman" w:hAnsi="Times New Roman" w:cs="Times New Roman"/>
                      <w:color w:val="auto"/>
                      <w:sz w:val="21"/>
                      <w:szCs w:val="20"/>
                      <w:highlight w:val="none"/>
                      <w:lang w:val="en-US" w:eastAsia="zh-CN"/>
                    </w:rPr>
                    <w:t>聚偏氟乙烯（PVDF）</w:t>
                  </w:r>
                </w:p>
              </w:tc>
              <w:tc>
                <w:tcPr>
                  <w:tcW w:w="1417" w:type="dxa"/>
                  <w:noWrap w:val="0"/>
                  <w:vAlign w:val="center"/>
                </w:tcPr>
                <w:p>
                  <w:pPr>
                    <w:snapToGrid w:val="0"/>
                    <w:jc w:val="center"/>
                    <w:rPr>
                      <w:rFonts w:hint="default" w:ascii="Times New Roman" w:hAnsi="Times New Roman" w:eastAsia="宋体" w:cs="Times New Roman"/>
                      <w:color w:val="auto"/>
                      <w:kern w:val="2"/>
                      <w:sz w:val="21"/>
                      <w:szCs w:val="18"/>
                      <w:highlight w:val="none"/>
                      <w:lang w:val="en-US" w:eastAsia="zh-CN" w:bidi="ar-SA"/>
                    </w:rPr>
                  </w:pPr>
                  <w:r>
                    <w:rPr>
                      <w:rFonts w:hint="default" w:ascii="Times New Roman" w:hAnsi="Times New Roman" w:cs="Times New Roman"/>
                      <w:color w:val="auto"/>
                      <w:sz w:val="21"/>
                      <w:szCs w:val="18"/>
                      <w:highlight w:val="none"/>
                      <w:lang w:val="en-US" w:eastAsia="zh-CN"/>
                    </w:rPr>
                    <w:t>0.5</w:t>
                  </w:r>
                </w:p>
              </w:tc>
              <w:tc>
                <w:tcPr>
                  <w:tcW w:w="709" w:type="dxa"/>
                  <w:vMerge w:val="continue"/>
                  <w:noWrap w:val="0"/>
                  <w:vAlign w:val="center"/>
                </w:tcPr>
                <w:p>
                  <w:pPr>
                    <w:adjustRightInd w:val="0"/>
                    <w:snapToGrid w:val="0"/>
                    <w:jc w:val="center"/>
                    <w:rPr>
                      <w:rFonts w:hint="default" w:ascii="Times New Roman" w:hAnsi="Times New Roman" w:cs="Times New Roman"/>
                      <w:color w:val="auto"/>
                      <w:szCs w:val="21"/>
                      <w:highlight w:val="none"/>
                    </w:rPr>
                  </w:pPr>
                </w:p>
              </w:tc>
              <w:tc>
                <w:tcPr>
                  <w:tcW w:w="1843"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分条边角料</w:t>
                  </w:r>
                </w:p>
              </w:tc>
              <w:tc>
                <w:tcPr>
                  <w:tcW w:w="2880"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20"/>
                      <w:highlight w:val="none"/>
                    </w:rPr>
                    <w:t>石墨</w:t>
                  </w:r>
                </w:p>
              </w:tc>
              <w:tc>
                <w:tcPr>
                  <w:tcW w:w="1417"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18"/>
                      <w:highlight w:val="none"/>
                    </w:rPr>
                    <w:t>40</w:t>
                  </w:r>
                </w:p>
              </w:tc>
              <w:tc>
                <w:tcPr>
                  <w:tcW w:w="709" w:type="dxa"/>
                  <w:vMerge w:val="continue"/>
                  <w:noWrap w:val="0"/>
                  <w:vAlign w:val="center"/>
                </w:tcPr>
                <w:p>
                  <w:pPr>
                    <w:adjustRightInd w:val="0"/>
                    <w:snapToGrid w:val="0"/>
                    <w:jc w:val="center"/>
                    <w:rPr>
                      <w:rFonts w:hint="default" w:ascii="Times New Roman" w:hAnsi="Times New Roman" w:cs="Times New Roman"/>
                      <w:color w:val="auto"/>
                      <w:szCs w:val="21"/>
                      <w:highlight w:val="none"/>
                    </w:rPr>
                  </w:pPr>
                </w:p>
              </w:tc>
              <w:tc>
                <w:tcPr>
                  <w:tcW w:w="1843"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废隔膜纸</w:t>
                  </w:r>
                </w:p>
              </w:tc>
              <w:tc>
                <w:tcPr>
                  <w:tcW w:w="2880"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20"/>
                      <w:highlight w:val="none"/>
                    </w:rPr>
                    <w:t>铜箔</w:t>
                  </w:r>
                </w:p>
              </w:tc>
              <w:tc>
                <w:tcPr>
                  <w:tcW w:w="1417"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18"/>
                      <w:highlight w:val="none"/>
                    </w:rPr>
                    <w:t>20</w:t>
                  </w:r>
                </w:p>
              </w:tc>
              <w:tc>
                <w:tcPr>
                  <w:tcW w:w="709" w:type="dxa"/>
                  <w:vMerge w:val="continue"/>
                  <w:noWrap w:val="0"/>
                  <w:vAlign w:val="center"/>
                </w:tcPr>
                <w:p>
                  <w:pPr>
                    <w:adjustRightInd w:val="0"/>
                    <w:snapToGrid w:val="0"/>
                    <w:jc w:val="center"/>
                    <w:rPr>
                      <w:rFonts w:hint="default" w:ascii="Times New Roman" w:hAnsi="Times New Roman" w:cs="Times New Roman"/>
                      <w:color w:val="auto"/>
                      <w:szCs w:val="21"/>
                      <w:highlight w:val="none"/>
                    </w:rPr>
                  </w:pPr>
                </w:p>
              </w:tc>
              <w:tc>
                <w:tcPr>
                  <w:tcW w:w="1843"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废铝塑膜</w:t>
                  </w:r>
                </w:p>
              </w:tc>
              <w:tc>
                <w:tcPr>
                  <w:tcW w:w="2880"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20"/>
                      <w:highlight w:val="none"/>
                      <w:lang w:val="en-US" w:eastAsia="zh-CN"/>
                    </w:rPr>
                    <w:t>镍</w:t>
                  </w:r>
                  <w:r>
                    <w:rPr>
                      <w:rFonts w:hint="default" w:ascii="Times New Roman" w:hAnsi="Times New Roman" w:cs="Times New Roman"/>
                      <w:color w:val="auto"/>
                      <w:sz w:val="21"/>
                      <w:szCs w:val="20"/>
                      <w:highlight w:val="none"/>
                    </w:rPr>
                    <w:t>极耳</w:t>
                  </w:r>
                </w:p>
              </w:tc>
              <w:tc>
                <w:tcPr>
                  <w:tcW w:w="1417"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18"/>
                      <w:highlight w:val="none"/>
                    </w:rPr>
                    <w:t>2</w:t>
                  </w:r>
                </w:p>
              </w:tc>
              <w:tc>
                <w:tcPr>
                  <w:tcW w:w="709" w:type="dxa"/>
                  <w:vMerge w:val="continue"/>
                  <w:noWrap w:val="0"/>
                  <w:vAlign w:val="center"/>
                </w:tcPr>
                <w:p>
                  <w:pPr>
                    <w:adjustRightInd w:val="0"/>
                    <w:snapToGrid w:val="0"/>
                    <w:jc w:val="center"/>
                    <w:rPr>
                      <w:rFonts w:hint="default" w:ascii="Times New Roman" w:hAnsi="Times New Roman" w:cs="Times New Roman"/>
                      <w:color w:val="auto"/>
                      <w:szCs w:val="21"/>
                      <w:highlight w:val="none"/>
                    </w:rPr>
                  </w:pPr>
                </w:p>
              </w:tc>
              <w:tc>
                <w:tcPr>
                  <w:tcW w:w="1843"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废电池</w:t>
                  </w:r>
                </w:p>
              </w:tc>
              <w:tc>
                <w:tcPr>
                  <w:tcW w:w="2880"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4.</w:t>
                  </w:r>
                  <w:r>
                    <w:rPr>
                      <w:rFonts w:hint="eastAsia" w:ascii="Times New Roman" w:hAnsi="Times New Roman" w:cs="Times New Roman"/>
                      <w:color w:val="auto"/>
                      <w:szCs w:val="21"/>
                      <w:highlight w:val="none"/>
                      <w:lang w:val="en-US" w:eastAsia="zh-CN"/>
                    </w:rPr>
                    <w:t>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546" w:type="dxa"/>
                  <w:noWrap w:val="0"/>
                  <w:vAlign w:val="center"/>
                </w:tcPr>
                <w:p>
                  <w:pPr>
                    <w:snapToGrid w:val="0"/>
                    <w:jc w:val="center"/>
                    <w:rPr>
                      <w:rFonts w:hint="default" w:ascii="Times New Roman" w:hAnsi="Times New Roman" w:cs="Times New Roman"/>
                      <w:color w:val="auto"/>
                      <w:kern w:val="2"/>
                      <w:sz w:val="21"/>
                      <w:szCs w:val="20"/>
                      <w:highlight w:val="none"/>
                      <w:lang w:val="en-US" w:eastAsia="zh-CN" w:bidi="ar-SA"/>
                    </w:rPr>
                  </w:pPr>
                  <w:r>
                    <w:rPr>
                      <w:rFonts w:hint="default" w:ascii="Times New Roman" w:hAnsi="Times New Roman" w:cs="Times New Roman"/>
                      <w:color w:val="auto"/>
                      <w:sz w:val="21"/>
                      <w:szCs w:val="20"/>
                      <w:highlight w:val="none"/>
                      <w:lang w:val="en-US" w:eastAsia="zh-CN"/>
                    </w:rPr>
                    <w:t>纯水</w:t>
                  </w:r>
                </w:p>
              </w:tc>
              <w:tc>
                <w:tcPr>
                  <w:tcW w:w="1417" w:type="dxa"/>
                  <w:noWrap w:val="0"/>
                  <w:vAlign w:val="center"/>
                </w:tcPr>
                <w:p>
                  <w:pPr>
                    <w:snapToGrid w:val="0"/>
                    <w:jc w:val="center"/>
                    <w:rPr>
                      <w:rFonts w:hint="default" w:ascii="Times New Roman" w:hAnsi="Times New Roman" w:eastAsia="宋体" w:cs="Times New Roman"/>
                      <w:color w:val="auto"/>
                      <w:kern w:val="2"/>
                      <w:sz w:val="21"/>
                      <w:szCs w:val="18"/>
                      <w:highlight w:val="none"/>
                      <w:lang w:val="en-US" w:eastAsia="zh-CN" w:bidi="ar-SA"/>
                    </w:rPr>
                  </w:pPr>
                  <w:r>
                    <w:rPr>
                      <w:rFonts w:hint="default" w:ascii="Times New Roman" w:hAnsi="Times New Roman" w:cs="Times New Roman"/>
                      <w:color w:val="auto"/>
                      <w:sz w:val="21"/>
                      <w:szCs w:val="18"/>
                      <w:highlight w:val="none"/>
                      <w:lang w:val="en-US" w:eastAsia="zh-CN"/>
                    </w:rPr>
                    <w:t>10</w:t>
                  </w:r>
                </w:p>
              </w:tc>
              <w:tc>
                <w:tcPr>
                  <w:tcW w:w="709" w:type="dxa"/>
                  <w:noWrap w:val="0"/>
                  <w:vAlign w:val="center"/>
                </w:tcPr>
                <w:p>
                  <w:pPr>
                    <w:adjustRightInd w:val="0"/>
                    <w:snapToGrid w:val="0"/>
                    <w:jc w:val="center"/>
                    <w:rPr>
                      <w:rFonts w:hint="default" w:ascii="Times New Roman" w:hAnsi="Times New Roman" w:cs="Times New Roman"/>
                      <w:color w:val="auto"/>
                      <w:szCs w:val="21"/>
                      <w:highlight w:val="none"/>
                    </w:rPr>
                  </w:pPr>
                </w:p>
              </w:tc>
              <w:tc>
                <w:tcPr>
                  <w:tcW w:w="1843" w:type="dxa"/>
                  <w:noWrap w:val="0"/>
                  <w:vAlign w:val="center"/>
                </w:tcPr>
                <w:p>
                  <w:pPr>
                    <w:adjustRightInd w:val="0"/>
                    <w:snapToGrid w:val="0"/>
                    <w:jc w:val="center"/>
                    <w:rPr>
                      <w:rFonts w:hint="default" w:ascii="Times New Roman" w:hAnsi="Times New Roman" w:eastAsia="宋体" w:cs="Times New Roman"/>
                      <w:color w:val="auto"/>
                      <w:szCs w:val="21"/>
                      <w:highlight w:val="yellow"/>
                      <w:lang w:val="en-US" w:eastAsia="zh-CN"/>
                    </w:rPr>
                  </w:pPr>
                </w:p>
              </w:tc>
              <w:tc>
                <w:tcPr>
                  <w:tcW w:w="2880" w:type="dxa"/>
                  <w:noWrap w:val="0"/>
                  <w:vAlign w:val="center"/>
                </w:tcPr>
                <w:p>
                  <w:pPr>
                    <w:adjustRightInd w:val="0"/>
                    <w:snapToGrid w:val="0"/>
                    <w:jc w:val="center"/>
                    <w:rPr>
                      <w:rFonts w:hint="default" w:ascii="Times New Roman" w:hAnsi="Times New Roman" w:eastAsia="宋体" w:cs="Times New Roman"/>
                      <w:color w:val="auto"/>
                      <w:szCs w:val="21"/>
                      <w:highlight w:val="yellow"/>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color w:val="auto"/>
                      <w:kern w:val="2"/>
                      <w:sz w:val="21"/>
                      <w:szCs w:val="20"/>
                      <w:highlight w:val="none"/>
                      <w:lang w:val="en-US" w:eastAsia="zh-CN" w:bidi="ar-SA"/>
                    </w:rPr>
                  </w:pPr>
                  <w:r>
                    <w:rPr>
                      <w:rFonts w:hint="default" w:ascii="Times New Roman" w:hAnsi="Times New Roman" w:cs="Times New Roman"/>
                      <w:color w:val="auto"/>
                      <w:sz w:val="21"/>
                      <w:szCs w:val="20"/>
                      <w:highlight w:val="none"/>
                      <w:lang w:val="en-US" w:eastAsia="zh-CN"/>
                    </w:rPr>
                    <w:t>丁苯橡胶（SBR）</w:t>
                  </w:r>
                </w:p>
              </w:tc>
              <w:tc>
                <w:tcPr>
                  <w:tcW w:w="1417" w:type="dxa"/>
                  <w:noWrap w:val="0"/>
                  <w:vAlign w:val="center"/>
                </w:tcPr>
                <w:p>
                  <w:pPr>
                    <w:snapToGrid w:val="0"/>
                    <w:jc w:val="center"/>
                    <w:rPr>
                      <w:rFonts w:hint="default" w:ascii="Times New Roman" w:hAnsi="Times New Roman" w:cs="Times New Roman"/>
                      <w:color w:val="auto"/>
                      <w:kern w:val="2"/>
                      <w:sz w:val="21"/>
                      <w:szCs w:val="18"/>
                      <w:highlight w:val="none"/>
                      <w:lang w:val="en-US" w:eastAsia="zh-CN" w:bidi="ar-SA"/>
                    </w:rPr>
                  </w:pPr>
                  <w:r>
                    <w:rPr>
                      <w:rFonts w:hint="default" w:ascii="Times New Roman" w:hAnsi="Times New Roman" w:cs="Times New Roman"/>
                      <w:color w:val="auto"/>
                      <w:sz w:val="21"/>
                      <w:szCs w:val="18"/>
                      <w:highlight w:val="none"/>
                      <w:lang w:val="en-US" w:eastAsia="zh-CN"/>
                    </w:rPr>
                    <w:t>0.5</w:t>
                  </w:r>
                </w:p>
              </w:tc>
              <w:tc>
                <w:tcPr>
                  <w:tcW w:w="709" w:type="dxa"/>
                  <w:noWrap w:val="0"/>
                  <w:vAlign w:val="center"/>
                </w:tcPr>
                <w:p>
                  <w:pPr>
                    <w:adjustRightInd w:val="0"/>
                    <w:snapToGrid w:val="0"/>
                    <w:jc w:val="center"/>
                    <w:rPr>
                      <w:rFonts w:hint="default" w:ascii="Times New Roman" w:hAnsi="Times New Roman" w:cs="Times New Roman"/>
                      <w:color w:val="auto"/>
                      <w:szCs w:val="21"/>
                      <w:highlight w:val="yellow"/>
                    </w:rPr>
                  </w:pPr>
                </w:p>
              </w:tc>
              <w:tc>
                <w:tcPr>
                  <w:tcW w:w="1843" w:type="dxa"/>
                  <w:noWrap w:val="0"/>
                  <w:vAlign w:val="center"/>
                </w:tcPr>
                <w:p>
                  <w:pPr>
                    <w:adjustRightInd w:val="0"/>
                    <w:snapToGrid w:val="0"/>
                    <w:jc w:val="center"/>
                    <w:rPr>
                      <w:rFonts w:hint="default" w:ascii="Times New Roman" w:hAnsi="Times New Roman" w:cs="Times New Roman"/>
                      <w:color w:val="auto"/>
                      <w:szCs w:val="21"/>
                      <w:highlight w:val="yellow"/>
                    </w:rPr>
                  </w:pPr>
                </w:p>
              </w:tc>
              <w:tc>
                <w:tcPr>
                  <w:tcW w:w="2880" w:type="dxa"/>
                  <w:noWrap w:val="0"/>
                  <w:vAlign w:val="center"/>
                </w:tcPr>
                <w:p>
                  <w:pPr>
                    <w:adjustRightInd w:val="0"/>
                    <w:snapToGrid w:val="0"/>
                    <w:jc w:val="center"/>
                    <w:rPr>
                      <w:rFonts w:hint="default" w:ascii="Times New Roman" w:hAnsi="Times New Roman" w:cs="Times New Roman"/>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color w:val="auto"/>
                      <w:sz w:val="21"/>
                      <w:szCs w:val="20"/>
                      <w:highlight w:val="none"/>
                      <w:lang w:val="en-US" w:eastAsia="zh-CN"/>
                    </w:rPr>
                  </w:pPr>
                  <w:r>
                    <w:rPr>
                      <w:rFonts w:hint="default" w:ascii="Times New Roman" w:hAnsi="Times New Roman" w:cs="Times New Roman"/>
                      <w:color w:val="auto"/>
                      <w:sz w:val="21"/>
                      <w:szCs w:val="20"/>
                      <w:highlight w:val="none"/>
                      <w:lang w:val="en-US" w:eastAsia="zh-CN"/>
                    </w:rPr>
                    <w:t>隔膜</w:t>
                  </w:r>
                </w:p>
              </w:tc>
              <w:tc>
                <w:tcPr>
                  <w:tcW w:w="1417" w:type="dxa"/>
                  <w:noWrap w:val="0"/>
                  <w:vAlign w:val="center"/>
                </w:tcPr>
                <w:p>
                  <w:pPr>
                    <w:snapToGrid w:val="0"/>
                    <w:jc w:val="center"/>
                    <w:rPr>
                      <w:rFonts w:hint="default" w:ascii="Times New Roman" w:hAnsi="Times New Roman" w:cs="Times New Roman"/>
                      <w:color w:val="auto"/>
                      <w:sz w:val="21"/>
                      <w:szCs w:val="18"/>
                      <w:highlight w:val="none"/>
                      <w:lang w:val="en-US" w:eastAsia="zh-CN"/>
                    </w:rPr>
                  </w:pPr>
                  <w:r>
                    <w:rPr>
                      <w:rFonts w:hint="default" w:ascii="Times New Roman" w:hAnsi="Times New Roman" w:cs="Times New Roman"/>
                      <w:color w:val="auto"/>
                      <w:sz w:val="21"/>
                      <w:szCs w:val="18"/>
                      <w:highlight w:val="none"/>
                      <w:lang w:val="en-US" w:eastAsia="zh-CN"/>
                    </w:rPr>
                    <w:t>8.3</w:t>
                  </w:r>
                </w:p>
              </w:tc>
              <w:tc>
                <w:tcPr>
                  <w:tcW w:w="709" w:type="dxa"/>
                  <w:noWrap w:val="0"/>
                  <w:vAlign w:val="center"/>
                </w:tcPr>
                <w:p>
                  <w:pPr>
                    <w:adjustRightInd w:val="0"/>
                    <w:snapToGrid w:val="0"/>
                    <w:jc w:val="center"/>
                    <w:rPr>
                      <w:rFonts w:hint="default" w:ascii="Times New Roman" w:hAnsi="Times New Roman" w:cs="Times New Roman"/>
                      <w:color w:val="auto"/>
                      <w:szCs w:val="21"/>
                      <w:highlight w:val="yellow"/>
                    </w:rPr>
                  </w:pPr>
                </w:p>
              </w:tc>
              <w:tc>
                <w:tcPr>
                  <w:tcW w:w="1843" w:type="dxa"/>
                  <w:noWrap w:val="0"/>
                  <w:vAlign w:val="center"/>
                </w:tcPr>
                <w:p>
                  <w:pPr>
                    <w:adjustRightInd w:val="0"/>
                    <w:snapToGrid w:val="0"/>
                    <w:jc w:val="center"/>
                    <w:rPr>
                      <w:rFonts w:hint="default" w:ascii="Times New Roman" w:hAnsi="Times New Roman" w:cs="Times New Roman"/>
                      <w:color w:val="auto"/>
                      <w:szCs w:val="21"/>
                      <w:highlight w:val="yellow"/>
                    </w:rPr>
                  </w:pPr>
                </w:p>
              </w:tc>
              <w:tc>
                <w:tcPr>
                  <w:tcW w:w="2880" w:type="dxa"/>
                  <w:noWrap w:val="0"/>
                  <w:vAlign w:val="center"/>
                </w:tcPr>
                <w:p>
                  <w:pPr>
                    <w:adjustRightInd w:val="0"/>
                    <w:snapToGrid w:val="0"/>
                    <w:jc w:val="center"/>
                    <w:rPr>
                      <w:rFonts w:hint="default" w:ascii="Times New Roman" w:hAnsi="Times New Roman" w:cs="Times New Roman"/>
                      <w:color w:val="auto"/>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6" w:type="dxa"/>
                  <w:noWrap w:val="0"/>
                  <w:vAlign w:val="center"/>
                </w:tcPr>
                <w:p>
                  <w:pPr>
                    <w:snapToGrid w:val="0"/>
                    <w:jc w:val="center"/>
                    <w:rPr>
                      <w:rFonts w:hint="default" w:ascii="Times New Roman" w:hAnsi="Times New Roman" w:cs="Times New Roman"/>
                      <w:b w:val="0"/>
                      <w:bCs w:val="0"/>
                      <w:color w:val="auto"/>
                      <w:kern w:val="2"/>
                      <w:sz w:val="21"/>
                      <w:szCs w:val="21"/>
                      <w:highlight w:val="none"/>
                      <w:lang w:val="en-US" w:eastAsia="zh-CN" w:bidi="ar-SA"/>
                    </w:rPr>
                  </w:pPr>
                  <w:r>
                    <w:rPr>
                      <w:rFonts w:hint="default" w:ascii="Times New Roman" w:hAnsi="Times New Roman" w:cs="Times New Roman"/>
                      <w:color w:val="auto"/>
                      <w:sz w:val="21"/>
                      <w:szCs w:val="20"/>
                      <w:highlight w:val="none"/>
                    </w:rPr>
                    <w:t>电解液</w:t>
                  </w:r>
                </w:p>
              </w:tc>
              <w:tc>
                <w:tcPr>
                  <w:tcW w:w="1417" w:type="dxa"/>
                  <w:noWrap w:val="0"/>
                  <w:vAlign w:val="center"/>
                </w:tcPr>
                <w:p>
                  <w:pPr>
                    <w:adjustRightInd w:val="0"/>
                    <w:snapToGri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w:t>
                  </w:r>
                </w:p>
              </w:tc>
              <w:tc>
                <w:tcPr>
                  <w:tcW w:w="709" w:type="dxa"/>
                  <w:noWrap w:val="0"/>
                  <w:vAlign w:val="center"/>
                </w:tcPr>
                <w:p>
                  <w:pPr>
                    <w:adjustRightInd w:val="0"/>
                    <w:snapToGrid w:val="0"/>
                    <w:jc w:val="center"/>
                    <w:rPr>
                      <w:rFonts w:hint="default" w:ascii="Times New Roman" w:hAnsi="Times New Roman" w:cs="Times New Roman"/>
                      <w:color w:val="auto"/>
                      <w:szCs w:val="21"/>
                      <w:highlight w:val="none"/>
                    </w:rPr>
                  </w:pPr>
                </w:p>
              </w:tc>
              <w:tc>
                <w:tcPr>
                  <w:tcW w:w="1843" w:type="dxa"/>
                  <w:noWrap w:val="0"/>
                  <w:vAlign w:val="center"/>
                </w:tcPr>
                <w:p>
                  <w:pPr>
                    <w:adjustRightInd w:val="0"/>
                    <w:snapToGrid w:val="0"/>
                    <w:jc w:val="center"/>
                    <w:rPr>
                      <w:rFonts w:hint="default" w:ascii="Times New Roman" w:hAnsi="Times New Roman" w:cs="Times New Roman"/>
                      <w:color w:val="auto"/>
                      <w:szCs w:val="21"/>
                      <w:highlight w:val="none"/>
                    </w:rPr>
                  </w:pPr>
                </w:p>
              </w:tc>
              <w:tc>
                <w:tcPr>
                  <w:tcW w:w="2880" w:type="dxa"/>
                  <w:noWrap w:val="0"/>
                  <w:vAlign w:val="center"/>
                </w:tcPr>
                <w:p>
                  <w:pPr>
                    <w:adjustRightInd w:val="0"/>
                    <w:snapToGrid w:val="0"/>
                    <w:jc w:val="center"/>
                    <w:rPr>
                      <w:rFonts w:hint="default"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46" w:type="dxa"/>
                  <w:noWrap w:val="0"/>
                  <w:vAlign w:val="center"/>
                </w:tcPr>
                <w:p>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合计</w:t>
                  </w:r>
                </w:p>
              </w:tc>
              <w:tc>
                <w:tcPr>
                  <w:tcW w:w="1417" w:type="dxa"/>
                  <w:noWrap w:val="0"/>
                  <w:vAlign w:val="center"/>
                </w:tcPr>
                <w:p>
                  <w:pPr>
                    <w:adjustRightInd w:val="0"/>
                    <w:snapToGrid w:val="0"/>
                    <w:jc w:val="center"/>
                    <w:rPr>
                      <w:rFonts w:hint="default" w:ascii="Times New Roman" w:hAnsi="Times New Roman" w:eastAsia="宋体" w:cs="Times New Roman"/>
                      <w:b/>
                      <w:bCs/>
                      <w:color w:val="auto"/>
                      <w:szCs w:val="21"/>
                      <w:highlight w:val="none"/>
                      <w:lang w:val="en-US" w:eastAsia="zh-CN"/>
                    </w:rPr>
                  </w:pPr>
                  <w:r>
                    <w:rPr>
                      <w:rFonts w:hint="default" w:ascii="Times New Roman" w:hAnsi="Times New Roman" w:cs="Times New Roman"/>
                      <w:b/>
                      <w:bCs/>
                      <w:color w:val="auto"/>
                      <w:szCs w:val="21"/>
                      <w:highlight w:val="none"/>
                      <w:lang w:val="en-US" w:eastAsia="zh-CN"/>
                    </w:rPr>
                    <w:t>19</w:t>
                  </w:r>
                  <w:r>
                    <w:rPr>
                      <w:rFonts w:hint="eastAsia" w:ascii="Times New Roman" w:hAnsi="Times New Roman" w:cs="Times New Roman"/>
                      <w:b/>
                      <w:bCs/>
                      <w:color w:val="auto"/>
                      <w:szCs w:val="21"/>
                      <w:highlight w:val="none"/>
                      <w:lang w:val="en-US" w:eastAsia="zh-CN"/>
                    </w:rPr>
                    <w:t>3.224</w:t>
                  </w:r>
                </w:p>
              </w:tc>
              <w:tc>
                <w:tcPr>
                  <w:tcW w:w="2552" w:type="dxa"/>
                  <w:gridSpan w:val="2"/>
                  <w:noWrap w:val="0"/>
                  <w:vAlign w:val="center"/>
                </w:tcPr>
                <w:p>
                  <w:pPr>
                    <w:adjustRightInd w:val="0"/>
                    <w:snapToGrid w:val="0"/>
                    <w:jc w:val="center"/>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合计</w:t>
                  </w:r>
                </w:p>
              </w:tc>
              <w:tc>
                <w:tcPr>
                  <w:tcW w:w="2880" w:type="dxa"/>
                  <w:noWrap w:val="0"/>
                  <w:vAlign w:val="center"/>
                </w:tcPr>
                <w:p>
                  <w:pPr>
                    <w:adjustRightInd w:val="0"/>
                    <w:snapToGrid w:val="0"/>
                    <w:jc w:val="center"/>
                    <w:rPr>
                      <w:rFonts w:hint="default" w:ascii="Times New Roman" w:hAnsi="Times New Roman" w:eastAsia="宋体"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193.224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5" w:type="dxa"/>
                  <w:gridSpan w:val="5"/>
                  <w:noWrap w:val="0"/>
                  <w:vAlign w:val="center"/>
                </w:tcPr>
                <w:p>
                  <w:pPr>
                    <w:adjustRightInd w:val="0"/>
                    <w:snapToGrid w:val="0"/>
                    <w:jc w:val="both"/>
                    <w:rPr>
                      <w:rFonts w:hint="default" w:ascii="Times New Roman" w:hAnsi="Times New Roman" w:cs="Times New Roman"/>
                      <w:b w:val="0"/>
                      <w:bCs w:val="0"/>
                      <w:color w:val="auto"/>
                      <w:szCs w:val="21"/>
                      <w:highlight w:val="none"/>
                      <w:lang w:val="en-US" w:eastAsia="zh-CN"/>
                    </w:rPr>
                  </w:pPr>
                  <w:r>
                    <w:rPr>
                      <w:rFonts w:hint="default" w:ascii="Times New Roman" w:hAnsi="Times New Roman" w:cs="Times New Roman"/>
                      <w:b w:val="0"/>
                      <w:bCs w:val="0"/>
                      <w:color w:val="auto"/>
                      <w:szCs w:val="21"/>
                      <w:highlight w:val="none"/>
                      <w:lang w:val="en-US" w:eastAsia="zh-CN"/>
                    </w:rPr>
                    <w:t>注：废NMP在废气产生量已统计进去了，故废NMP不再算入总量。</w:t>
                  </w:r>
                </w:p>
              </w:tc>
            </w:tr>
          </w:tbl>
          <w:p>
            <w:pPr>
              <w:adjustRightInd w:val="0"/>
              <w:snapToGrid w:val="0"/>
              <w:spacing w:line="360" w:lineRule="auto"/>
              <w:jc w:val="center"/>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object>
                <v:shape id="_x0000_i1025" o:spt="75" type="#_x0000_t75" style="height:275.25pt;width:309pt;" o:ole="t" filled="f" o:preferrelative="t" stroked="f" coordsize="21600,21600">
                  <v:path/>
                  <v:fill on="f" focussize="0,0"/>
                  <v:stroke on="f"/>
                  <v:imagedata r:id="rId11" o:title=""/>
                  <o:lock v:ext="edit" aspectratio="f"/>
                  <w10:wrap type="none"/>
                  <w10:anchorlock/>
                </v:shape>
                <o:OLEObject Type="Embed" ProgID="Visio.Drawing.15" ShapeID="_x0000_i1025" DrawAspect="Content" ObjectID="_1468075725" r:id="rId10">
                  <o:LockedField>false</o:LockedField>
                </o:OLEObject>
              </w:object>
            </w:r>
          </w:p>
          <w:p>
            <w:pPr>
              <w:adjustRightInd w:val="0"/>
              <w:snapToGrid w:val="0"/>
              <w:spacing w:line="360" w:lineRule="auto"/>
              <w:ind w:firstLine="482" w:firstLineChars="200"/>
              <w:jc w:val="center"/>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图2-1 项目物料平衡图（t/a）</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主要原辅材料理化性质：</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color w:val="auto"/>
                <w:kern w:val="0"/>
                <w:sz w:val="24"/>
                <w:szCs w:val="24"/>
                <w:highlight w:val="yellow"/>
              </w:rPr>
            </w:pPr>
            <w:r>
              <w:rPr>
                <w:rFonts w:hint="default" w:ascii="Times New Roman" w:hAnsi="Times New Roman" w:cs="Times New Roman"/>
                <w:b/>
                <w:bCs/>
                <w:color w:val="auto"/>
                <w:sz w:val="24"/>
                <w:szCs w:val="32"/>
                <w:lang w:val="en-US" w:eastAsia="zh-CN"/>
              </w:rPr>
              <w:t>三元材料：</w:t>
            </w:r>
            <w:r>
              <w:rPr>
                <w:rFonts w:hint="default" w:ascii="Times New Roman" w:hAnsi="Times New Roman" w:cs="Times New Roman"/>
                <w:color w:val="auto"/>
                <w:kern w:val="0"/>
                <w:sz w:val="24"/>
                <w:szCs w:val="24"/>
              </w:rPr>
              <w:t>化学名称</w:t>
            </w:r>
            <w:r>
              <w:rPr>
                <w:rFonts w:hint="default" w:ascii="Times New Roman" w:hAnsi="Times New Roman" w:cs="Times New Roman"/>
                <w:color w:val="auto"/>
                <w:kern w:val="0"/>
                <w:sz w:val="24"/>
                <w:szCs w:val="24"/>
                <w:lang w:eastAsia="zh-CN"/>
              </w:rPr>
              <w:t>为</w:t>
            </w:r>
            <w:r>
              <w:rPr>
                <w:rFonts w:hint="default" w:ascii="Times New Roman" w:hAnsi="Times New Roman" w:cs="Times New Roman"/>
                <w:bCs/>
                <w:snapToGrid w:val="0"/>
                <w:color w:val="auto"/>
                <w:sz w:val="24"/>
                <w:szCs w:val="24"/>
              </w:rPr>
              <w:t>镍钴锰酸锂</w:t>
            </w:r>
            <w:r>
              <w:rPr>
                <w:rFonts w:hint="default" w:ascii="Times New Roman" w:hAnsi="Times New Roman" w:cs="Times New Roman"/>
                <w:color w:val="auto"/>
                <w:kern w:val="0"/>
                <w:sz w:val="24"/>
                <w:szCs w:val="24"/>
              </w:rPr>
              <w:t>，按镍、钴、锰三种元素有不同的摩尔比，三元的</w:t>
            </w:r>
            <w:r>
              <w:rPr>
                <w:rFonts w:hint="default" w:ascii="Times New Roman" w:hAnsi="Times New Roman" w:cs="Times New Roman"/>
                <w:color w:val="auto"/>
                <w:kern w:val="0"/>
                <w:sz w:val="24"/>
                <w:szCs w:val="24"/>
                <w:lang w:val="en-US" w:eastAsia="zh-CN"/>
              </w:rPr>
              <w:t>分子式</w:t>
            </w:r>
            <w:r>
              <w:rPr>
                <w:rFonts w:hint="default" w:ascii="Times New Roman" w:hAnsi="Times New Roman" w:cs="Times New Roman"/>
                <w:color w:val="auto"/>
                <w:kern w:val="0"/>
                <w:sz w:val="24"/>
                <w:szCs w:val="24"/>
              </w:rPr>
              <w:t>为</w:t>
            </w:r>
            <w:r>
              <w:rPr>
                <w:rFonts w:hint="default" w:ascii="Times New Roman" w:hAnsi="Times New Roman" w:cs="Times New Roman"/>
                <w:color w:val="auto"/>
                <w:kern w:val="0"/>
                <w:sz w:val="24"/>
                <w:szCs w:val="24"/>
                <w:lang w:val="en-US" w:eastAsia="zh-CN"/>
              </w:rPr>
              <w:t>Li（</w:t>
            </w:r>
            <w:r>
              <w:rPr>
                <w:rFonts w:hint="default" w:ascii="Times New Roman" w:hAnsi="Times New Roman" w:cs="Times New Roman"/>
                <w:color w:val="auto"/>
                <w:kern w:val="0"/>
                <w:sz w:val="24"/>
                <w:szCs w:val="24"/>
              </w:rPr>
              <w:t>NixCoyMn</w:t>
            </w:r>
            <w:r>
              <w:rPr>
                <w:rFonts w:hint="default" w:ascii="Times New Roman" w:hAnsi="Times New Roman" w:cs="Times New Roman"/>
                <w:color w:val="auto"/>
                <w:kern w:val="0"/>
                <w:sz w:val="24"/>
                <w:szCs w:val="24"/>
                <w:vertAlign w:val="subscript"/>
              </w:rPr>
              <w:t>1-x-y</w:t>
            </w:r>
            <w:r>
              <w:rPr>
                <w:rFonts w:hint="default" w:ascii="Times New Roman" w:hAnsi="Times New Roman" w:cs="Times New Roman"/>
                <w:color w:val="auto"/>
                <w:kern w:val="0"/>
                <w:sz w:val="24"/>
                <w:szCs w:val="24"/>
                <w:lang w:val="en-US" w:eastAsia="zh-CN"/>
              </w:rPr>
              <w:t>）</w:t>
            </w:r>
            <w:r>
              <w:rPr>
                <w:rFonts w:hint="default" w:ascii="Times New Roman" w:hAnsi="Times New Roman" w:cs="Times New Roman"/>
                <w:color w:val="auto"/>
                <w:kern w:val="0"/>
                <w:sz w:val="24"/>
                <w:szCs w:val="24"/>
              </w:rPr>
              <w:t>O</w:t>
            </w:r>
            <w:r>
              <w:rPr>
                <w:rFonts w:hint="default" w:ascii="Times New Roman" w:hAnsi="Times New Roman" w:cs="Times New Roman"/>
                <w:color w:val="auto"/>
                <w:kern w:val="0"/>
                <w:sz w:val="24"/>
                <w:szCs w:val="24"/>
                <w:vertAlign w:val="subscript"/>
              </w:rPr>
              <w:t>2</w:t>
            </w:r>
            <w:r>
              <w:rPr>
                <w:rFonts w:hint="default" w:ascii="Times New Roman" w:hAnsi="Times New Roman" w:cs="Times New Roman"/>
                <w:color w:val="auto"/>
                <w:kern w:val="0"/>
                <w:sz w:val="24"/>
                <w:szCs w:val="24"/>
                <w:lang w:eastAsia="zh-CN"/>
              </w:rPr>
              <w:t>，</w:t>
            </w:r>
            <w:r>
              <w:rPr>
                <w:rFonts w:hint="default" w:ascii="Times New Roman" w:hAnsi="Times New Roman" w:cs="Times New Roman"/>
                <w:color w:val="auto"/>
                <w:kern w:val="0"/>
                <w:sz w:val="24"/>
                <w:szCs w:val="24"/>
                <w:lang w:val="en-US" w:eastAsia="zh-CN"/>
              </w:rPr>
              <w:t>具体成分及</w:t>
            </w:r>
            <w:r>
              <w:rPr>
                <w:rFonts w:hint="default" w:ascii="Times New Roman" w:hAnsi="Times New Roman" w:cs="Times New Roman"/>
                <w:color w:val="auto"/>
                <w:kern w:val="0"/>
                <w:sz w:val="24"/>
                <w:szCs w:val="24"/>
              </w:rPr>
              <w:t>性能见</w:t>
            </w:r>
            <w:r>
              <w:rPr>
                <w:rFonts w:hint="default" w:ascii="Times New Roman" w:hAnsi="Times New Roman" w:cs="Times New Roman"/>
                <w:color w:val="auto"/>
                <w:kern w:val="0"/>
                <w:sz w:val="24"/>
                <w:szCs w:val="24"/>
                <w:lang w:val="en-US" w:eastAsia="zh-CN"/>
              </w:rPr>
              <w:t>下</w:t>
            </w:r>
            <w:r>
              <w:rPr>
                <w:rFonts w:hint="default" w:ascii="Times New Roman" w:hAnsi="Times New Roman" w:cs="Times New Roman"/>
                <w:color w:val="auto"/>
                <w:kern w:val="0"/>
                <w:sz w:val="24"/>
                <w:szCs w:val="24"/>
              </w:rPr>
              <w:t>表。</w:t>
            </w:r>
          </w:p>
          <w:p>
            <w:pPr>
              <w:spacing w:line="360" w:lineRule="auto"/>
              <w:jc w:val="center"/>
              <w:rPr>
                <w:rFonts w:hint="default" w:ascii="Times New Roman" w:hAnsi="Times New Roman" w:eastAsia="宋体" w:cs="Times New Roman"/>
                <w:b/>
                <w:color w:val="auto"/>
                <w:sz w:val="24"/>
                <w:szCs w:val="24"/>
                <w:lang w:val="en-US" w:eastAsia="zh-CN"/>
              </w:rPr>
            </w:pPr>
            <w:r>
              <w:rPr>
                <w:rFonts w:hint="default" w:ascii="Times New Roman" w:hAnsi="Times New Roman" w:cs="Times New Roman"/>
                <w:b/>
                <w:color w:val="auto"/>
                <w:sz w:val="24"/>
                <w:szCs w:val="24"/>
              </w:rPr>
              <w:t>表2</w:t>
            </w:r>
            <w:r>
              <w:rPr>
                <w:rFonts w:hint="default" w:ascii="Times New Roman" w:hAnsi="Times New Roman" w:cs="Times New Roman"/>
                <w:b/>
                <w:color w:val="auto"/>
                <w:sz w:val="24"/>
                <w:szCs w:val="24"/>
                <w:lang w:val="en-US" w:eastAsia="zh-CN"/>
              </w:rPr>
              <w:t>-6</w:t>
            </w:r>
            <w:r>
              <w:rPr>
                <w:rFonts w:hint="default" w:ascii="Times New Roman" w:hAnsi="Times New Roman" w:cs="Times New Roman"/>
                <w:b/>
                <w:color w:val="auto"/>
                <w:sz w:val="24"/>
                <w:szCs w:val="24"/>
              </w:rPr>
              <w:t xml:space="preserve"> </w:t>
            </w:r>
            <w:r>
              <w:rPr>
                <w:rFonts w:hint="default" w:ascii="Times New Roman" w:hAnsi="Times New Roman" w:cs="Times New Roman"/>
                <w:b/>
                <w:color w:val="auto"/>
                <w:sz w:val="24"/>
                <w:szCs w:val="24"/>
                <w:lang w:val="en-US" w:eastAsia="zh-CN"/>
              </w:rPr>
              <w:t>三元材料物化指标分析</w:t>
            </w:r>
          </w:p>
          <w:tbl>
            <w:tblPr>
              <w:tblStyle w:val="33"/>
              <w:tblW w:w="4998" w:type="pct"/>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3"/>
              <w:gridCol w:w="1684"/>
              <w:gridCol w:w="51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项目</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pacing w:val="4"/>
                      <w:sz w:val="21"/>
                      <w:szCs w:val="21"/>
                      <w:lang w:val="en-US" w:eastAsia="zh-CN"/>
                    </w:rPr>
                    <w:t>主含量（%）</w:t>
                  </w: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pacing w:val="-3"/>
                      <w:sz w:val="21"/>
                      <w:szCs w:val="21"/>
                    </w:rPr>
                    <w:t>L</w:t>
                  </w:r>
                  <w:r>
                    <w:rPr>
                      <w:rFonts w:hint="default" w:ascii="Times New Roman" w:hAnsi="Times New Roman" w:eastAsia="宋体" w:cs="Times New Roman"/>
                      <w:color w:val="auto"/>
                      <w:spacing w:val="-2"/>
                      <w:sz w:val="21"/>
                      <w:szCs w:val="21"/>
                    </w:rPr>
                    <w:t>i</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pacing w:val="18"/>
                      <w:position w:val="1"/>
                      <w:sz w:val="21"/>
                      <w:szCs w:val="21"/>
                    </w:rPr>
                    <w:t>7.46±0.4</w:t>
                  </w:r>
                  <w:r>
                    <w:rPr>
                      <w:rFonts w:hint="default" w:ascii="Times New Roman" w:hAnsi="Times New Roman" w:eastAsia="宋体" w:cs="Times New Roman"/>
                      <w:b w:val="0"/>
                      <w:bCs w:val="0"/>
                      <w:color w:val="auto"/>
                      <w:spacing w:val="17"/>
                      <w:position w:val="1"/>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1"/>
                      <w:sz w:val="21"/>
                      <w:szCs w:val="21"/>
                    </w:rPr>
                    <w:t>Ni</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8"/>
                      <w:position w:val="1"/>
                      <w:sz w:val="21"/>
                      <w:szCs w:val="21"/>
                    </w:rPr>
                    <w:t>3</w:t>
                  </w:r>
                  <w:r>
                    <w:rPr>
                      <w:rFonts w:hint="default" w:ascii="Times New Roman" w:hAnsi="Times New Roman" w:eastAsia="宋体" w:cs="Times New Roman"/>
                      <w:b w:val="0"/>
                      <w:bCs w:val="0"/>
                      <w:color w:val="auto"/>
                      <w:spacing w:val="16"/>
                      <w:position w:val="1"/>
                      <w:sz w:val="21"/>
                      <w:szCs w:val="21"/>
                    </w:rPr>
                    <w:t>0.80±1.00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5"/>
                      <w:position w:val="1"/>
                      <w:sz w:val="21"/>
                      <w:szCs w:val="21"/>
                    </w:rPr>
                    <w:t>C</w:t>
                  </w:r>
                  <w:r>
                    <w:rPr>
                      <w:rFonts w:hint="default" w:ascii="Times New Roman" w:hAnsi="Times New Roman" w:eastAsia="宋体" w:cs="Times New Roman"/>
                      <w:color w:val="auto"/>
                      <w:spacing w:val="-4"/>
                      <w:position w:val="1"/>
                      <w:sz w:val="21"/>
                      <w:szCs w:val="21"/>
                    </w:rPr>
                    <w:t>o</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7"/>
                      <w:position w:val="1"/>
                      <w:sz w:val="21"/>
                      <w:szCs w:val="21"/>
                    </w:rPr>
                    <w:t>1</w:t>
                  </w:r>
                  <w:r>
                    <w:rPr>
                      <w:rFonts w:hint="default" w:ascii="Times New Roman" w:hAnsi="Times New Roman" w:eastAsia="宋体" w:cs="Times New Roman"/>
                      <w:b w:val="0"/>
                      <w:bCs w:val="0"/>
                      <w:color w:val="auto"/>
                      <w:spacing w:val="9"/>
                      <w:position w:val="1"/>
                      <w:sz w:val="21"/>
                      <w:szCs w:val="21"/>
                    </w:rPr>
                    <w:t>3.10±1.00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3"/>
                      <w:position w:val="1"/>
                      <w:sz w:val="21"/>
                      <w:szCs w:val="21"/>
                    </w:rPr>
                    <w:t>M</w:t>
                  </w:r>
                  <w:r>
                    <w:rPr>
                      <w:rFonts w:hint="default" w:ascii="Times New Roman" w:hAnsi="Times New Roman" w:eastAsia="宋体" w:cs="Times New Roman"/>
                      <w:color w:val="auto"/>
                      <w:spacing w:val="-2"/>
                      <w:position w:val="1"/>
                      <w:sz w:val="21"/>
                      <w:szCs w:val="21"/>
                    </w:rPr>
                    <w:t>n</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7"/>
                      <w:position w:val="1"/>
                      <w:sz w:val="21"/>
                      <w:szCs w:val="21"/>
                    </w:rPr>
                    <w:t>1</w:t>
                  </w:r>
                  <w:r>
                    <w:rPr>
                      <w:rFonts w:hint="default" w:ascii="Times New Roman" w:hAnsi="Times New Roman" w:eastAsia="宋体" w:cs="Times New Roman"/>
                      <w:b w:val="0"/>
                      <w:bCs w:val="0"/>
                      <w:color w:val="auto"/>
                      <w:spacing w:val="15"/>
                      <w:position w:val="1"/>
                      <w:sz w:val="21"/>
                      <w:szCs w:val="21"/>
                    </w:rPr>
                    <w:t>5.00±1.00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104" w:firstLineChars="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杂质元素（μg/g）</w:t>
                  </w: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2"/>
                      <w:position w:val="1"/>
                      <w:sz w:val="21"/>
                      <w:szCs w:val="21"/>
                    </w:rPr>
                    <w:t>Fe</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12"/>
                      <w:sz w:val="21"/>
                      <w:szCs w:val="21"/>
                      <w:lang w:val="en-US" w:eastAsia="zh-CN"/>
                    </w:rPr>
                    <w:t>2</w:t>
                  </w:r>
                  <w:r>
                    <w:rPr>
                      <w:rFonts w:hint="default" w:ascii="Times New Roman" w:hAnsi="Times New Roman" w:eastAsia="宋体" w:cs="Times New Roman"/>
                      <w:b w:val="0"/>
                      <w:bCs w:val="0"/>
                      <w:color w:val="auto"/>
                      <w:spacing w:val="12"/>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5"/>
                      <w:position w:val="1"/>
                      <w:sz w:val="21"/>
                      <w:szCs w:val="21"/>
                    </w:rPr>
                    <w:t>C</w:t>
                  </w:r>
                  <w:r>
                    <w:rPr>
                      <w:rFonts w:hint="default" w:ascii="Times New Roman" w:hAnsi="Times New Roman" w:eastAsia="宋体" w:cs="Times New Roman"/>
                      <w:color w:val="auto"/>
                      <w:spacing w:val="-4"/>
                      <w:position w:val="1"/>
                      <w:sz w:val="21"/>
                      <w:szCs w:val="21"/>
                    </w:rPr>
                    <w:t>u</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6"/>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sz w:val="21"/>
                      <w:szCs w:val="21"/>
                      <w:lang w:val="en-US" w:eastAsia="zh-CN"/>
                    </w:rPr>
                  </w:pP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pacing w:val="-2"/>
                      <w:position w:val="1"/>
                      <w:sz w:val="21"/>
                      <w:szCs w:val="21"/>
                    </w:rPr>
                    <w:t>Zn</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6"/>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5"/>
                      <w:position w:val="1"/>
                      <w:sz w:val="21"/>
                      <w:szCs w:val="21"/>
                    </w:rPr>
                    <w:t>C</w:t>
                  </w:r>
                  <w:r>
                    <w:rPr>
                      <w:rFonts w:hint="default" w:ascii="Times New Roman" w:hAnsi="Times New Roman" w:eastAsia="宋体" w:cs="Times New Roman"/>
                      <w:color w:val="auto"/>
                      <w:spacing w:val="-4"/>
                      <w:position w:val="1"/>
                      <w:sz w:val="21"/>
                      <w:szCs w:val="21"/>
                    </w:rPr>
                    <w:t>a</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5"/>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vertAlign w:val="superscript"/>
                      <w:lang w:val="en-US" w:eastAsia="zh-CN" w:bidi="ar-SA"/>
                    </w:rPr>
                  </w:pPr>
                  <w:r>
                    <w:rPr>
                      <w:rFonts w:hint="default" w:ascii="Times New Roman" w:hAnsi="Times New Roman" w:eastAsia="宋体" w:cs="Times New Roman"/>
                      <w:color w:val="auto"/>
                      <w:spacing w:val="1"/>
                      <w:position w:val="1"/>
                      <w:sz w:val="21"/>
                      <w:szCs w:val="21"/>
                    </w:rPr>
                    <w:t>Na</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12"/>
                      <w:sz w:val="21"/>
                      <w:szCs w:val="21"/>
                      <w:lang w:val="en-US" w:eastAsia="zh-CN"/>
                    </w:rPr>
                    <w:t>25</w:t>
                  </w:r>
                  <w:r>
                    <w:rPr>
                      <w:rFonts w:hint="default" w:ascii="Times New Roman" w:hAnsi="Times New Roman" w:eastAsia="宋体" w:cs="Times New Roman"/>
                      <w:b w:val="0"/>
                      <w:bCs w:val="0"/>
                      <w:color w:val="auto"/>
                      <w:spacing w:val="14"/>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rPr>
                    <w:t>S</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12"/>
                      <w:sz w:val="21"/>
                      <w:szCs w:val="21"/>
                      <w:lang w:val="en-US" w:eastAsia="zh-CN"/>
                    </w:rPr>
                    <w:t>12</w:t>
                  </w:r>
                  <w:r>
                    <w:rPr>
                      <w:rFonts w:hint="default" w:ascii="Times New Roman" w:hAnsi="Times New Roman" w:eastAsia="宋体" w:cs="Times New Roman"/>
                      <w:b w:val="0"/>
                      <w:bCs w:val="0"/>
                      <w:color w:val="auto"/>
                      <w:spacing w:val="6"/>
                      <w:sz w:val="21"/>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7"/>
                      <w:sz w:val="21"/>
                      <w:szCs w:val="21"/>
                      <w:lang w:val="en-US" w:eastAsia="zh-CN"/>
                    </w:rPr>
                    <w:t>磁性杂质</w:t>
                  </w:r>
                  <w:r>
                    <w:rPr>
                      <w:rFonts w:hint="default" w:ascii="Times New Roman" w:hAnsi="Times New Roman" w:eastAsia="宋体" w:cs="Times New Roman"/>
                      <w:color w:val="auto"/>
                      <w:spacing w:val="7"/>
                      <w:sz w:val="21"/>
                      <w:szCs w:val="21"/>
                    </w:rPr>
                    <w:t>(</w:t>
                  </w:r>
                  <w:r>
                    <w:rPr>
                      <w:rFonts w:hint="default" w:ascii="Times New Roman" w:hAnsi="Times New Roman" w:eastAsia="宋体" w:cs="Times New Roman"/>
                      <w:color w:val="auto"/>
                      <w:sz w:val="21"/>
                      <w:szCs w:val="21"/>
                    </w:rPr>
                    <w:t>ppb</w:t>
                  </w:r>
                  <w:r>
                    <w:rPr>
                      <w:rFonts w:hint="default" w:ascii="Times New Roman" w:hAnsi="Times New Roman" w:eastAsia="宋体" w:cs="Times New Roman"/>
                      <w:color w:val="auto"/>
                      <w:spacing w:val="7"/>
                      <w:sz w:val="21"/>
                      <w:szCs w:val="21"/>
                    </w:rPr>
                    <w:t>)</w:t>
                  </w:r>
                </w:p>
              </w:tc>
              <w:tc>
                <w:tcPr>
                  <w:tcW w:w="3045" w:type="pct"/>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≤7</w:t>
                  </w:r>
                  <w:r>
                    <w:rPr>
                      <w:rFonts w:hint="default" w:ascii="Times New Roman" w:hAnsi="Times New Roman" w:eastAsia="宋体" w:cs="Times New Roman"/>
                      <w:b w:val="0"/>
                      <w:bCs w:val="0"/>
                      <w:color w:val="auto"/>
                      <w:spacing w:val="11"/>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粒度分布（μm）</w:t>
                  </w:r>
                </w:p>
              </w:tc>
              <w:tc>
                <w:tcPr>
                  <w:tcW w:w="1004" w:type="pct"/>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1"/>
                      <w:sz w:val="21"/>
                      <w:szCs w:val="21"/>
                    </w:rPr>
                    <w:t>D</w:t>
                  </w:r>
                  <w:r>
                    <w:rPr>
                      <w:rFonts w:hint="default" w:ascii="Times New Roman" w:hAnsi="Times New Roman" w:eastAsia="宋体" w:cs="Times New Roman"/>
                      <w:color w:val="auto"/>
                      <w:spacing w:val="-2"/>
                      <w:sz w:val="21"/>
                      <w:szCs w:val="21"/>
                      <w:vertAlign w:val="subscript"/>
                    </w:rPr>
                    <w:t>10</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12"/>
                      <w:sz w:val="21"/>
                      <w:szCs w:val="21"/>
                      <w:lang w:val="en-US" w:eastAsia="zh-CN"/>
                    </w:rPr>
                    <w:t>2</w:t>
                  </w:r>
                  <w:r>
                    <w:rPr>
                      <w:rFonts w:hint="default" w:ascii="Times New Roman" w:hAnsi="Times New Roman" w:eastAsia="宋体" w:cs="Times New Roman"/>
                      <w:b w:val="0"/>
                      <w:bCs w:val="0"/>
                      <w:color w:val="auto"/>
                      <w:spacing w:val="29"/>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1"/>
                      <w:sz w:val="21"/>
                      <w:szCs w:val="21"/>
                    </w:rPr>
                    <w:t>D</w:t>
                  </w:r>
                  <w:r>
                    <w:rPr>
                      <w:rFonts w:hint="default" w:ascii="Times New Roman" w:hAnsi="Times New Roman" w:eastAsia="宋体" w:cs="Times New Roman"/>
                      <w:color w:val="auto"/>
                      <w:spacing w:val="-2"/>
                      <w:sz w:val="21"/>
                      <w:szCs w:val="21"/>
                      <w:vertAlign w:val="subscript"/>
                    </w:rPr>
                    <w:t>50</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25"/>
                      <w:sz w:val="21"/>
                      <w:szCs w:val="21"/>
                    </w:rPr>
                    <w:t>4.4±1.0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1"/>
                      <w:sz w:val="21"/>
                      <w:szCs w:val="21"/>
                    </w:rPr>
                    <w:t>D</w:t>
                  </w:r>
                  <w:r>
                    <w:rPr>
                      <w:rFonts w:hint="default" w:ascii="Times New Roman" w:hAnsi="Times New Roman" w:eastAsia="宋体" w:cs="Times New Roman"/>
                      <w:color w:val="auto"/>
                      <w:spacing w:val="-2"/>
                      <w:sz w:val="21"/>
                      <w:szCs w:val="21"/>
                      <w:vertAlign w:val="subscript"/>
                    </w:rPr>
                    <w:t>90</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12"/>
                      <w:sz w:val="21"/>
                      <w:szCs w:val="21"/>
                      <w:lang w:val="en-US" w:eastAsia="zh-CN"/>
                    </w:rPr>
                    <w:t>10</w:t>
                  </w:r>
                  <w:r>
                    <w:rPr>
                      <w:rFonts w:hint="default" w:ascii="Times New Roman" w:hAnsi="Times New Roman" w:eastAsia="宋体" w:cs="Times New Roman"/>
                      <w:b w:val="0"/>
                      <w:bCs w:val="0"/>
                      <w:color w:val="auto"/>
                      <w:spacing w:val="27"/>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 w:hRule="atLeast"/>
              </w:trPr>
              <w:tc>
                <w:tcPr>
                  <w:tcW w:w="9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auto"/>
                    <w:rPr>
                      <w:rFonts w:hint="default" w:ascii="Times New Roman" w:hAnsi="Times New Roman" w:eastAsia="宋体" w:cs="Times New Roman"/>
                      <w:b w:val="0"/>
                      <w:bCs w:val="0"/>
                      <w:color w:val="auto"/>
                      <w:kern w:val="2"/>
                      <w:sz w:val="21"/>
                      <w:szCs w:val="21"/>
                      <w:lang w:val="en-US" w:eastAsia="zh-CN" w:bidi="ar-SA"/>
                    </w:rPr>
                  </w:pPr>
                </w:p>
              </w:tc>
              <w:tc>
                <w:tcPr>
                  <w:tcW w:w="1004" w:type="pct"/>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pacing w:val="-1"/>
                      <w:position w:val="2"/>
                      <w:sz w:val="21"/>
                      <w:szCs w:val="21"/>
                    </w:rPr>
                    <w:t>D</w:t>
                  </w:r>
                  <w:r>
                    <w:rPr>
                      <w:rFonts w:hint="default" w:ascii="Times New Roman" w:hAnsi="Times New Roman" w:eastAsia="宋体" w:cs="Times New Roman"/>
                      <w:color w:val="auto"/>
                      <w:spacing w:val="-1"/>
                      <w:sz w:val="21"/>
                      <w:szCs w:val="21"/>
                    </w:rPr>
                    <w:t>ma</w:t>
                  </w:r>
                  <w:r>
                    <w:rPr>
                      <w:rFonts w:hint="default" w:ascii="Times New Roman" w:hAnsi="Times New Roman" w:eastAsia="宋体" w:cs="Times New Roman"/>
                      <w:color w:val="auto"/>
                      <w:sz w:val="21"/>
                      <w:szCs w:val="21"/>
                    </w:rPr>
                    <w:t>x</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center"/>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12"/>
                      <w:sz w:val="21"/>
                      <w:szCs w:val="21"/>
                      <w:lang w:val="en-US" w:eastAsia="zh-CN"/>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pct"/>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jc w:val="left"/>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比表面积（</w:t>
                  </w:r>
                  <w:r>
                    <w:rPr>
                      <w:rFonts w:hint="default" w:ascii="Times New Roman" w:hAnsi="Times New Roman" w:cs="Times New Roman"/>
                      <w:color w:val="auto"/>
                      <w:sz w:val="21"/>
                      <w:szCs w:val="18"/>
                      <w:lang w:val="en-US" w:eastAsia="zh-CN"/>
                    </w:rPr>
                    <w:t>m</w:t>
                  </w:r>
                  <w:r>
                    <w:rPr>
                      <w:rFonts w:hint="default" w:ascii="Times New Roman" w:hAnsi="Times New Roman" w:cs="Times New Roman"/>
                      <w:color w:val="auto"/>
                      <w:sz w:val="21"/>
                      <w:szCs w:val="18"/>
                      <w:vertAlign w:val="superscript"/>
                      <w:lang w:val="en-US" w:eastAsia="zh-CN"/>
                    </w:rPr>
                    <w:t>2</w:t>
                  </w:r>
                  <w:r>
                    <w:rPr>
                      <w:rFonts w:hint="default" w:ascii="Times New Roman" w:hAnsi="Times New Roman" w:eastAsia="宋体" w:cs="Times New Roman"/>
                      <w:color w:val="auto"/>
                      <w:spacing w:val="4"/>
                      <w:sz w:val="21"/>
                      <w:szCs w:val="21"/>
                    </w:rPr>
                    <w:t>/</w:t>
                  </w:r>
                  <w:r>
                    <w:rPr>
                      <w:rFonts w:hint="default" w:ascii="Times New Roman" w:hAnsi="Times New Roman" w:eastAsia="宋体" w:cs="Times New Roman"/>
                      <w:color w:val="auto"/>
                      <w:sz w:val="21"/>
                      <w:szCs w:val="21"/>
                    </w:rPr>
                    <w:t>g</w:t>
                  </w:r>
                  <w:r>
                    <w:rPr>
                      <w:rFonts w:hint="default" w:ascii="Times New Roman" w:hAnsi="Times New Roman" w:eastAsia="宋体" w:cs="Times New Roman"/>
                      <w:color w:val="auto"/>
                      <w:sz w:val="21"/>
                      <w:szCs w:val="21"/>
                      <w:lang w:val="en-US" w:eastAsia="zh-CN"/>
                    </w:rPr>
                    <w:t>）</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position w:val="1"/>
                      <w:sz w:val="21"/>
                      <w:szCs w:val="21"/>
                    </w:rPr>
                    <w:t>0.57±0.1</w:t>
                  </w:r>
                  <w:r>
                    <w:rPr>
                      <w:rFonts w:hint="default" w:ascii="Times New Roman" w:hAnsi="Times New Roman" w:eastAsia="宋体" w:cs="Times New Roman"/>
                      <w:b w:val="0"/>
                      <w:bCs w:val="0"/>
                      <w:color w:val="auto"/>
                      <w:spacing w:val="11"/>
                      <w:position w:val="1"/>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pct"/>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jc w:val="left"/>
                    <w:rPr>
                      <w:rFonts w:hint="default" w:ascii="Times New Roman" w:hAnsi="Times New Roman" w:eastAsia="宋体" w:cs="Times New Roman"/>
                      <w:color w:val="auto"/>
                      <w:sz w:val="21"/>
                      <w:szCs w:val="21"/>
                    </w:rPr>
                  </w:pPr>
                  <w:r>
                    <w:rPr>
                      <w:rFonts w:hint="default" w:ascii="Times New Roman" w:hAnsi="Times New Roman" w:eastAsia="宋体" w:cs="Times New Roman"/>
                      <w:b w:val="0"/>
                      <w:bCs w:val="0"/>
                      <w:color w:val="auto"/>
                      <w:kern w:val="2"/>
                      <w:sz w:val="21"/>
                      <w:szCs w:val="21"/>
                      <w:lang w:val="en-US" w:eastAsia="zh-CN" w:bidi="ar-SA"/>
                    </w:rPr>
                    <w:t>振实密度（g/cm</w:t>
                  </w:r>
                  <w:r>
                    <w:rPr>
                      <w:rFonts w:hint="default" w:ascii="Times New Roman" w:hAnsi="Times New Roman" w:eastAsia="宋体" w:cs="Times New Roman"/>
                      <w:b w:val="0"/>
                      <w:bCs w:val="0"/>
                      <w:color w:val="auto"/>
                      <w:kern w:val="2"/>
                      <w:sz w:val="21"/>
                      <w:szCs w:val="21"/>
                      <w:vertAlign w:val="superscript"/>
                      <w:lang w:val="en-US" w:eastAsia="zh-CN" w:bidi="ar-SA"/>
                    </w:rPr>
                    <w:t>3</w:t>
                  </w:r>
                  <w:r>
                    <w:rPr>
                      <w:rFonts w:hint="default" w:ascii="Times New Roman" w:hAnsi="Times New Roman" w:eastAsia="宋体" w:cs="Times New Roman"/>
                      <w:b w:val="0"/>
                      <w:bCs w:val="0"/>
                      <w:color w:val="auto"/>
                      <w:kern w:val="2"/>
                      <w:sz w:val="21"/>
                      <w:szCs w:val="21"/>
                      <w:lang w:val="en-US" w:eastAsia="zh-CN" w:bidi="ar-SA"/>
                    </w:rPr>
                    <w:t>）</w:t>
                  </w:r>
                </w:p>
              </w:tc>
              <w:tc>
                <w:tcPr>
                  <w:tcW w:w="3045" w:type="pct"/>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position w:val="1"/>
                      <w:sz w:val="21"/>
                      <w:szCs w:val="21"/>
                    </w:rPr>
                    <w:drawing>
                      <wp:inline distT="0" distB="0" distL="114300" distR="114300">
                        <wp:extent cx="13335" cy="13335"/>
                        <wp:effectExtent l="0" t="0" r="0" b="0"/>
                        <wp:docPr id="59" name="图片 650"/>
                        <wp:cNvGraphicFramePr/>
                        <a:graphic xmlns:a="http://schemas.openxmlformats.org/drawingml/2006/main">
                          <a:graphicData uri="http://schemas.openxmlformats.org/drawingml/2006/picture">
                            <pic:pic xmlns:pic="http://schemas.openxmlformats.org/drawingml/2006/picture">
                              <pic:nvPicPr>
                                <pic:cNvPr id="59" name="图片 650"/>
                                <pic:cNvPicPr/>
                              </pic:nvPicPr>
                              <pic:blipFill>
                                <a:blip r:embed="rId12"/>
                                <a:stretch>
                                  <a:fillRect/>
                                </a:stretch>
                              </pic:blipFill>
                              <pic:spPr>
                                <a:xfrm>
                                  <a:off x="0" y="0"/>
                                  <a:ext cx="13335" cy="13335"/>
                                </a:xfrm>
                                <a:prstGeom prst="rect">
                                  <a:avLst/>
                                </a:prstGeom>
                                <a:noFill/>
                                <a:ln>
                                  <a:noFill/>
                                </a:ln>
                              </pic:spPr>
                            </pic:pic>
                          </a:graphicData>
                        </a:graphic>
                      </wp:inline>
                    </w:drawing>
                  </w:r>
                  <w:r>
                    <w:rPr>
                      <w:rFonts w:hint="default" w:ascii="Times New Roman" w:hAnsi="Times New Roman" w:eastAsia="宋体" w:cs="Times New Roman"/>
                      <w:b w:val="0"/>
                      <w:bCs w:val="0"/>
                      <w:color w:val="auto"/>
                      <w:spacing w:val="13"/>
                      <w:position w:val="1"/>
                      <w:sz w:val="21"/>
                      <w:szCs w:val="21"/>
                      <w:lang w:val="en-US" w:eastAsia="zh-CN"/>
                    </w:rPr>
                    <w:t>2.20</w:t>
                  </w:r>
                  <w:r>
                    <w:rPr>
                      <w:rFonts w:hint="default" w:ascii="Times New Roman" w:hAnsi="Times New Roman" w:eastAsia="宋体" w:cs="Times New Roman"/>
                      <w:b w:val="0"/>
                      <w:bCs w:val="0"/>
                      <w:color w:val="auto"/>
                      <w:spacing w:val="13"/>
                      <w:position w:val="1"/>
                      <w:sz w:val="21"/>
                      <w:szCs w:val="21"/>
                    </w:rPr>
                    <w:t>±</w:t>
                  </w:r>
                  <w:r>
                    <w:rPr>
                      <w:rFonts w:hint="default" w:ascii="Times New Roman" w:hAnsi="Times New Roman" w:eastAsia="宋体" w:cs="Times New Roman"/>
                      <w:b w:val="0"/>
                      <w:bCs w:val="0"/>
                      <w:color w:val="auto"/>
                      <w:spacing w:val="13"/>
                      <w:position w:val="1"/>
                      <w:sz w:val="21"/>
                      <w:szCs w:val="21"/>
                      <w:lang w:val="en-US" w:eastAsia="zh-CN"/>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pct"/>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jc w:val="left"/>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含水量（μg/g）</w:t>
                  </w:r>
                </w:p>
              </w:tc>
              <w:tc>
                <w:tcPr>
                  <w:tcW w:w="3045" w:type="pct"/>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8"/>
                      <w:sz w:val="21"/>
                      <w:szCs w:val="21"/>
                    </w:rPr>
                    <w:t>40</w:t>
                  </w:r>
                  <w:r>
                    <w:rPr>
                      <w:rFonts w:hint="default" w:ascii="Times New Roman" w:hAnsi="Times New Roman" w:eastAsia="宋体" w:cs="Times New Roman"/>
                      <w:b w:val="0"/>
                      <w:bCs w:val="0"/>
                      <w:color w:val="auto"/>
                      <w:spacing w:val="7"/>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pct"/>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jc w:val="left"/>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p</w:t>
                  </w:r>
                  <w:r>
                    <w:rPr>
                      <w:rFonts w:hint="default" w:ascii="Times New Roman" w:hAnsi="Times New Roman" w:eastAsia="宋体" w:cs="Times New Roman"/>
                      <w:color w:val="auto"/>
                      <w:sz w:val="21"/>
                      <w:szCs w:val="21"/>
                    </w:rPr>
                    <w:t>H</w:t>
                  </w:r>
                  <w:r>
                    <w:rPr>
                      <w:rFonts w:hint="default" w:ascii="Times New Roman" w:hAnsi="Times New Roman" w:eastAsia="宋体" w:cs="Times New Roman"/>
                      <w:color w:val="auto"/>
                      <w:spacing w:val="4"/>
                      <w:sz w:val="21"/>
                      <w:szCs w:val="21"/>
                      <w:lang w:val="en-US" w:eastAsia="zh-CN"/>
                    </w:rPr>
                    <w:t>值</w:t>
                  </w:r>
                </w:p>
              </w:tc>
              <w:tc>
                <w:tcPr>
                  <w:tcW w:w="3045" w:type="pct"/>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12"/>
                      <w:sz w:val="21"/>
                      <w:szCs w:val="21"/>
                      <w:lang w:val="en-US" w:eastAsia="zh-CN"/>
                    </w:rPr>
                    <w:t>11</w:t>
                  </w:r>
                  <w:r>
                    <w:rPr>
                      <w:rFonts w:hint="default" w:ascii="Times New Roman" w:hAnsi="Times New Roman" w:eastAsia="宋体" w:cs="Times New Roman"/>
                      <w:b w:val="0"/>
                      <w:bCs w:val="0"/>
                      <w:color w:val="auto"/>
                      <w:spacing w:val="31"/>
                      <w:sz w:val="21"/>
                      <w:szCs w:val="21"/>
                    </w:rPr>
                    <w:t>.</w:t>
                  </w:r>
                  <w:r>
                    <w:rPr>
                      <w:rFonts w:hint="default" w:ascii="Times New Roman" w:hAnsi="Times New Roman" w:eastAsia="宋体" w:cs="Times New Roman"/>
                      <w:b w:val="0"/>
                      <w:bCs w:val="0"/>
                      <w:color w:val="auto"/>
                      <w:spacing w:val="30"/>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pct"/>
                  <w:gridSpan w:val="2"/>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jc w:val="left"/>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rPr>
                    <w:t>Li</w:t>
                  </w:r>
                  <w:r>
                    <w:rPr>
                      <w:rFonts w:hint="default" w:ascii="Times New Roman" w:hAnsi="Times New Roman" w:eastAsia="宋体" w:cs="Times New Roman"/>
                      <w:color w:val="auto"/>
                      <w:spacing w:val="6"/>
                      <w:sz w:val="21"/>
                      <w:szCs w:val="21"/>
                      <w:lang w:val="en-US" w:eastAsia="zh-CN"/>
                    </w:rPr>
                    <w:t>溶出（%）</w:t>
                  </w:r>
                </w:p>
              </w:tc>
              <w:tc>
                <w:tcPr>
                  <w:tcW w:w="3045" w:type="pct"/>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pacing w:val="12"/>
                      <w:sz w:val="21"/>
                      <w:szCs w:val="21"/>
                    </w:rPr>
                    <w:t>≤</w:t>
                  </w:r>
                  <w:r>
                    <w:rPr>
                      <w:rFonts w:hint="default" w:ascii="Times New Roman" w:hAnsi="Times New Roman" w:eastAsia="宋体" w:cs="Times New Roman"/>
                      <w:b w:val="0"/>
                      <w:bCs w:val="0"/>
                      <w:color w:val="auto"/>
                      <w:spacing w:val="17"/>
                      <w:sz w:val="21"/>
                      <w:szCs w:val="21"/>
                    </w:rPr>
                    <w:t>0.35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jc w:val="left"/>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外观</w:t>
                  </w:r>
                </w:p>
              </w:tc>
              <w:tc>
                <w:tcPr>
                  <w:tcW w:w="30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textAlignment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黑色固体粉末无杂质、无结块、无结团和无较大颗粒</w:t>
                  </w:r>
                </w:p>
              </w:tc>
            </w:tr>
          </w:tbl>
          <w:p>
            <w:pPr>
              <w:spacing w:line="360" w:lineRule="auto"/>
              <w:ind w:firstLine="482" w:firstLineChars="200"/>
              <w:rPr>
                <w:rFonts w:hint="default" w:ascii="Times New Roman" w:hAnsi="Times New Roman" w:eastAsia="宋体" w:cs="Times New Roman"/>
                <w:b/>
                <w:bCs/>
                <w:color w:val="auto"/>
                <w:sz w:val="24"/>
                <w:highlight w:val="none"/>
                <w:lang w:eastAsia="zh-CN"/>
              </w:rPr>
            </w:pPr>
            <w:r>
              <w:rPr>
                <w:rFonts w:hint="default" w:ascii="Times New Roman" w:hAnsi="Times New Roman" w:cs="Times New Roman"/>
                <w:b/>
                <w:bCs/>
                <w:color w:val="auto"/>
                <w:sz w:val="24"/>
                <w:highlight w:val="none"/>
                <w:lang w:bidi="ar"/>
              </w:rPr>
              <w:t>聚偏氟乙烯（PVDF）</w:t>
            </w:r>
            <w:r>
              <w:rPr>
                <w:rFonts w:hint="default" w:ascii="Times New Roman" w:hAnsi="Times New Roman" w:cs="Times New Roman"/>
                <w:b/>
                <w:bCs/>
                <w:color w:val="auto"/>
                <w:sz w:val="24"/>
                <w:highlight w:val="none"/>
                <w:lang w:eastAsia="zh-CN" w:bidi="ar"/>
              </w:rPr>
              <w:t>：</w:t>
            </w:r>
          </w:p>
          <w:p>
            <w:pPr>
              <w:pStyle w:val="48"/>
              <w:keepNext w:val="0"/>
              <w:keepLines w:val="0"/>
              <w:pageBreakBefore w:val="0"/>
              <w:widowControl w:val="0"/>
              <w:kinsoku/>
              <w:wordWrap/>
              <w:overflowPunct/>
              <w:topLinePunct w:val="0"/>
              <w:autoSpaceDE/>
              <w:autoSpaceDN/>
              <w:bidi w:val="0"/>
              <w:adjustRightInd w:val="0"/>
              <w:snapToGrid/>
              <w:spacing w:line="360" w:lineRule="auto"/>
              <w:ind w:firstLine="0"/>
              <w:textAlignment w:val="baseline"/>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表2-7 PVDF理化性质一览表</w:t>
            </w:r>
          </w:p>
          <w:tbl>
            <w:tblPr>
              <w:tblStyle w:val="32"/>
              <w:tblW w:w="82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1290"/>
              <w:gridCol w:w="2180"/>
              <w:gridCol w:w="131"/>
              <w:gridCol w:w="1319"/>
              <w:gridCol w:w="262"/>
              <w:gridCol w:w="1313"/>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2" w:type="dxa"/>
                  <w:vMerge w:val="restart"/>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标识</w:t>
                  </w:r>
                </w:p>
              </w:tc>
              <w:tc>
                <w:tcPr>
                  <w:tcW w:w="3470"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名称：聚偏氟乙烯</w:t>
                  </w:r>
                </w:p>
              </w:tc>
              <w:tc>
                <w:tcPr>
                  <w:tcW w:w="4095" w:type="dxa"/>
                  <w:gridSpan w:val="5"/>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英文名：Polyvinylidene flour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00"/>
                    <w:rPr>
                      <w:rFonts w:hint="default" w:ascii="Times New Roman" w:hAnsi="Times New Roman" w:cs="Times New Roman"/>
                      <w:color w:val="auto"/>
                      <w:szCs w:val="21"/>
                      <w:highlight w:val="none"/>
                    </w:rPr>
                  </w:pPr>
                </w:p>
              </w:tc>
              <w:tc>
                <w:tcPr>
                  <w:tcW w:w="3470"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化学分子式：-(C</w:t>
                  </w:r>
                  <w:r>
                    <w:rPr>
                      <w:rFonts w:hint="default" w:ascii="Times New Roman" w:hAnsi="Times New Roman" w:cs="Times New Roman"/>
                      <w:color w:val="auto"/>
                      <w:kern w:val="2"/>
                      <w:sz w:val="21"/>
                      <w:szCs w:val="21"/>
                      <w:highlight w:val="none"/>
                      <w:vertAlign w:val="subscript"/>
                      <w:lang w:bidi="ar"/>
                    </w:rPr>
                    <w:t>2</w:t>
                  </w:r>
                  <w:r>
                    <w:rPr>
                      <w:rFonts w:hint="default" w:ascii="Times New Roman" w:hAnsi="Times New Roman" w:cs="Times New Roman"/>
                      <w:color w:val="auto"/>
                      <w:kern w:val="2"/>
                      <w:sz w:val="21"/>
                      <w:szCs w:val="21"/>
                      <w:highlight w:val="none"/>
                      <w:lang w:bidi="ar"/>
                    </w:rPr>
                    <w:t>H</w:t>
                  </w:r>
                  <w:r>
                    <w:rPr>
                      <w:rFonts w:hint="default" w:ascii="Times New Roman" w:hAnsi="Times New Roman" w:cs="Times New Roman"/>
                      <w:color w:val="auto"/>
                      <w:kern w:val="2"/>
                      <w:sz w:val="21"/>
                      <w:szCs w:val="21"/>
                      <w:highlight w:val="none"/>
                      <w:vertAlign w:val="subscript"/>
                      <w:lang w:bidi="ar"/>
                    </w:rPr>
                    <w:t>2</w:t>
                  </w:r>
                  <w:r>
                    <w:rPr>
                      <w:rFonts w:hint="default" w:ascii="Times New Roman" w:hAnsi="Times New Roman" w:cs="Times New Roman"/>
                      <w:color w:val="auto"/>
                      <w:kern w:val="2"/>
                      <w:sz w:val="21"/>
                      <w:szCs w:val="21"/>
                      <w:highlight w:val="none"/>
                      <w:lang w:bidi="ar"/>
                    </w:rPr>
                    <w:t>F</w:t>
                  </w:r>
                  <w:r>
                    <w:rPr>
                      <w:rFonts w:hint="default" w:ascii="Times New Roman" w:hAnsi="Times New Roman" w:cs="Times New Roman"/>
                      <w:color w:val="auto"/>
                      <w:kern w:val="2"/>
                      <w:sz w:val="21"/>
                      <w:szCs w:val="21"/>
                      <w:highlight w:val="none"/>
                      <w:vertAlign w:val="subscript"/>
                      <w:lang w:bidi="ar"/>
                    </w:rPr>
                    <w:t>2</w:t>
                  </w:r>
                  <w:r>
                    <w:rPr>
                      <w:rFonts w:hint="default" w:ascii="Times New Roman" w:hAnsi="Times New Roman" w:cs="Times New Roman"/>
                      <w:color w:val="auto"/>
                      <w:kern w:val="2"/>
                      <w:sz w:val="21"/>
                      <w:szCs w:val="21"/>
                      <w:highlight w:val="none"/>
                      <w:lang w:bidi="ar"/>
                    </w:rPr>
                    <w:t>)n-</w:t>
                  </w:r>
                </w:p>
              </w:tc>
              <w:tc>
                <w:tcPr>
                  <w:tcW w:w="1712" w:type="dxa"/>
                  <w:gridSpan w:val="3"/>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分子量：64.032</w:t>
                  </w:r>
                </w:p>
              </w:tc>
              <w:tc>
                <w:tcPr>
                  <w:tcW w:w="2383"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CAS登录号：24937-79-9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2" w:type="dxa"/>
                  <w:vMerge w:val="restart"/>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理化性质</w:t>
                  </w:r>
                </w:p>
              </w:tc>
              <w:tc>
                <w:tcPr>
                  <w:tcW w:w="1290"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外观与</w:t>
                  </w:r>
                  <w:r>
                    <w:rPr>
                      <w:rFonts w:hint="default" w:ascii="Times New Roman" w:hAnsi="Times New Roman" w:cs="Times New Roman"/>
                      <w:color w:val="auto"/>
                      <w:kern w:val="2"/>
                      <w:sz w:val="21"/>
                      <w:szCs w:val="21"/>
                      <w:highlight w:val="none"/>
                      <w:lang w:eastAsia="zh-CN" w:bidi="ar"/>
                    </w:rPr>
                    <w:t>形状</w:t>
                  </w:r>
                </w:p>
              </w:tc>
              <w:tc>
                <w:tcPr>
                  <w:tcW w:w="6275" w:type="dxa"/>
                  <w:gridSpan w:val="6"/>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白色或者透明粉体，无味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00"/>
                    <w:rPr>
                      <w:rFonts w:hint="default" w:ascii="Times New Roman" w:hAnsi="Times New Roman" w:cs="Times New Roman"/>
                      <w:color w:val="auto"/>
                      <w:szCs w:val="21"/>
                      <w:highlight w:val="none"/>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用途</w:t>
                  </w:r>
                </w:p>
              </w:tc>
              <w:tc>
                <w:tcPr>
                  <w:tcW w:w="6275" w:type="dxa"/>
                  <w:gridSpan w:val="6"/>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PVDF应用主要集中在石油化工、电子电气和氟碳涂料三大领域，近年来采用PVDF树脂制作的多孔膜、凝胶、隔膜等，在锂二次电池中应用，目前该用途成为PVDF需求增长最快的市场之一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00"/>
                    <w:rPr>
                      <w:rFonts w:hint="default" w:ascii="Times New Roman" w:hAnsi="Times New Roman" w:cs="Times New Roman"/>
                      <w:color w:val="auto"/>
                      <w:szCs w:val="21"/>
                      <w:highlight w:val="none"/>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熔点(℃)</w:t>
                  </w:r>
                </w:p>
              </w:tc>
              <w:tc>
                <w:tcPr>
                  <w:tcW w:w="2311"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172</w:t>
                  </w:r>
                </w:p>
              </w:tc>
              <w:tc>
                <w:tcPr>
                  <w:tcW w:w="1319"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密度</w:t>
                  </w:r>
                </w:p>
              </w:tc>
              <w:tc>
                <w:tcPr>
                  <w:tcW w:w="2645" w:type="dxa"/>
                  <w:gridSpan w:val="3"/>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1.17~1.79 g/cm</w:t>
                  </w:r>
                  <w:r>
                    <w:rPr>
                      <w:rFonts w:hint="default" w:ascii="Times New Roman" w:hAnsi="Times New Roman" w:cs="Times New Roman"/>
                      <w:color w:val="auto"/>
                      <w:kern w:val="2"/>
                      <w:sz w:val="21"/>
                      <w:szCs w:val="21"/>
                      <w:highlight w:val="none"/>
                      <w:vertAlign w:val="superscript"/>
                      <w:lang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00"/>
                    <w:rPr>
                      <w:rFonts w:hint="default" w:ascii="Times New Roman" w:hAnsi="Times New Roman" w:cs="Times New Roman"/>
                      <w:color w:val="auto"/>
                      <w:szCs w:val="21"/>
                      <w:highlight w:val="none"/>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沸点(℃)</w:t>
                  </w:r>
                </w:p>
              </w:tc>
              <w:tc>
                <w:tcPr>
                  <w:tcW w:w="2311"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w:t>
                  </w:r>
                </w:p>
              </w:tc>
              <w:tc>
                <w:tcPr>
                  <w:tcW w:w="1319"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门尼粘度</w:t>
                  </w:r>
                </w:p>
              </w:tc>
              <w:tc>
                <w:tcPr>
                  <w:tcW w:w="2645" w:type="dxa"/>
                  <w:gridSpan w:val="3"/>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00"/>
                    <w:rPr>
                      <w:rFonts w:hint="default" w:ascii="Times New Roman" w:hAnsi="Times New Roman" w:cs="Times New Roman"/>
                      <w:color w:val="auto"/>
                      <w:szCs w:val="21"/>
                      <w:highlight w:val="none"/>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pH值</w:t>
                  </w:r>
                </w:p>
              </w:tc>
              <w:tc>
                <w:tcPr>
                  <w:tcW w:w="2311"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w:t>
                  </w:r>
                </w:p>
              </w:tc>
              <w:tc>
                <w:tcPr>
                  <w:tcW w:w="1319"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比表面积</w:t>
                  </w:r>
                </w:p>
              </w:tc>
              <w:tc>
                <w:tcPr>
                  <w:tcW w:w="2645" w:type="dxa"/>
                  <w:gridSpan w:val="3"/>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00"/>
                    <w:rPr>
                      <w:rFonts w:hint="default" w:ascii="Times New Roman" w:hAnsi="Times New Roman" w:cs="Times New Roman"/>
                      <w:color w:val="auto"/>
                      <w:szCs w:val="21"/>
                      <w:highlight w:val="none"/>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温度、压力</w:t>
                  </w:r>
                </w:p>
              </w:tc>
              <w:tc>
                <w:tcPr>
                  <w:tcW w:w="2311"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临界温度（℃）</w:t>
                  </w:r>
                </w:p>
              </w:tc>
              <w:tc>
                <w:tcPr>
                  <w:tcW w:w="1319"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w:t>
                  </w:r>
                </w:p>
              </w:tc>
              <w:tc>
                <w:tcPr>
                  <w:tcW w:w="1575"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临界压力（MPa）</w:t>
                  </w:r>
                </w:p>
              </w:tc>
              <w:tc>
                <w:tcPr>
                  <w:tcW w:w="1070"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ind w:firstLine="400"/>
                    <w:rPr>
                      <w:rFonts w:hint="default" w:ascii="Times New Roman" w:hAnsi="Times New Roman" w:cs="Times New Roman"/>
                      <w:color w:val="auto"/>
                      <w:szCs w:val="21"/>
                      <w:highlight w:val="none"/>
                    </w:rPr>
                  </w:pPr>
                </w:p>
              </w:tc>
              <w:tc>
                <w:tcPr>
                  <w:tcW w:w="1290" w:type="dxa"/>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溶解性</w:t>
                  </w:r>
                </w:p>
              </w:tc>
              <w:tc>
                <w:tcPr>
                  <w:tcW w:w="6275" w:type="dxa"/>
                  <w:gridSpan w:val="6"/>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不溶于水、易溶于有机溶剂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02"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毒性</w:t>
                  </w:r>
                </w:p>
              </w:tc>
              <w:tc>
                <w:tcPr>
                  <w:tcW w:w="6275" w:type="dxa"/>
                  <w:gridSpan w:val="6"/>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无毒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02" w:type="dxa"/>
                  <w:gridSpan w:val="2"/>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爆炸危险性</w:t>
                  </w:r>
                </w:p>
              </w:tc>
              <w:tc>
                <w:tcPr>
                  <w:tcW w:w="6275" w:type="dxa"/>
                  <w:gridSpan w:val="6"/>
                  <w:tcBorders>
                    <w:top w:val="single" w:color="auto" w:sz="4" w:space="0"/>
                    <w:left w:val="single" w:color="auto" w:sz="4" w:space="0"/>
                    <w:bottom w:val="single" w:color="auto" w:sz="4" w:space="0"/>
                    <w:right w:val="single" w:color="auto" w:sz="4" w:space="0"/>
                  </w:tcBorders>
                  <w:noWrap w:val="0"/>
                  <w:vAlign w:val="center"/>
                </w:tcPr>
                <w:p>
                  <w:pPr>
                    <w:pStyle w:val="27"/>
                    <w:widowControl w:val="0"/>
                    <w:spacing w:before="0" w:beforeAutospacing="0" w:after="0" w:afterAutospacing="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kern w:val="2"/>
                      <w:sz w:val="21"/>
                      <w:szCs w:val="21"/>
                      <w:highlight w:val="none"/>
                      <w:lang w:bidi="ar"/>
                    </w:rPr>
                    <w:t>不燃</w:t>
                  </w:r>
                </w:p>
              </w:tc>
            </w:tr>
          </w:tbl>
          <w:p>
            <w:pPr>
              <w:spacing w:line="360" w:lineRule="auto"/>
              <w:ind w:firstLine="482" w:firstLineChars="200"/>
              <w:rPr>
                <w:rFonts w:hint="default" w:ascii="Times New Roman" w:hAnsi="Times New Roman" w:eastAsia="宋体" w:cs="Times New Roman"/>
                <w:b/>
                <w:bCs/>
                <w:color w:val="auto"/>
                <w:sz w:val="24"/>
                <w:highlight w:val="none"/>
                <w:lang w:val="en-US" w:eastAsia="zh-CN" w:bidi="ar"/>
              </w:rPr>
            </w:pPr>
            <w:r>
              <w:rPr>
                <w:rFonts w:hint="default" w:ascii="Times New Roman" w:hAnsi="Times New Roman" w:cs="Times New Roman"/>
                <w:b/>
                <w:bCs/>
                <w:color w:val="auto"/>
                <w:sz w:val="24"/>
                <w:highlight w:val="none"/>
                <w:lang w:bidi="ar"/>
              </w:rPr>
              <w:t>丁苯橡胶（SBR）</w:t>
            </w:r>
            <w:r>
              <w:rPr>
                <w:rFonts w:hint="default" w:ascii="Times New Roman" w:hAnsi="Times New Roman" w:cs="Times New Roman"/>
                <w:b/>
                <w:bCs/>
                <w:color w:val="auto"/>
                <w:sz w:val="24"/>
                <w:highlight w:val="none"/>
                <w:lang w:eastAsia="zh-CN" w:bidi="ar"/>
              </w:rPr>
              <w:t>：</w:t>
            </w:r>
            <w:r>
              <w:rPr>
                <w:rFonts w:hint="eastAsia" w:ascii="Times New Roman" w:hAnsi="Times New Roman" w:cs="Times New Roman"/>
                <w:b w:val="0"/>
                <w:bCs w:val="0"/>
                <w:color w:val="auto"/>
                <w:sz w:val="24"/>
                <w:highlight w:val="none"/>
                <w:lang w:val="en-US" w:eastAsia="zh-CN" w:bidi="ar"/>
              </w:rPr>
              <w:t>乳白色液体，主要成分为水50~60%，共聚物40~50%。pH值为7.6，密度为1g/cm</w:t>
            </w:r>
            <w:r>
              <w:rPr>
                <w:rFonts w:hint="eastAsia" w:ascii="Times New Roman" w:hAnsi="Times New Roman" w:cs="Times New Roman"/>
                <w:b w:val="0"/>
                <w:bCs w:val="0"/>
                <w:color w:val="auto"/>
                <w:sz w:val="24"/>
                <w:highlight w:val="none"/>
                <w:vertAlign w:val="superscript"/>
                <w:lang w:val="en-US" w:eastAsia="zh-CN" w:bidi="ar"/>
              </w:rPr>
              <w:t>3</w:t>
            </w:r>
            <w:r>
              <w:rPr>
                <w:rFonts w:hint="eastAsia" w:ascii="Times New Roman" w:hAnsi="Times New Roman" w:cs="Times New Roman"/>
                <w:b w:val="0"/>
                <w:bCs w:val="0"/>
                <w:color w:val="auto"/>
                <w:sz w:val="24"/>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eastAsia="宋体" w:cs="Times New Roman"/>
                <w:i w:val="0"/>
                <w:iCs w:val="0"/>
                <w:caps w:val="0"/>
                <w:color w:val="auto"/>
                <w:spacing w:val="0"/>
                <w:sz w:val="21"/>
                <w:szCs w:val="21"/>
                <w:shd w:val="clear" w:color="auto" w:fill="FFFFFF"/>
              </w:rPr>
            </w:pPr>
            <w:r>
              <w:rPr>
                <w:rFonts w:hint="default" w:ascii="Times New Roman" w:hAnsi="Times New Roman" w:cs="Times New Roman"/>
                <w:b/>
                <w:bCs/>
                <w:color w:val="auto"/>
                <w:sz w:val="24"/>
                <w:szCs w:val="32"/>
                <w:lang w:val="en-US" w:eastAsia="zh-CN"/>
              </w:rPr>
              <w:t>锰酸锂：</w:t>
            </w:r>
            <w:r>
              <w:rPr>
                <w:rFonts w:hint="default" w:ascii="Times New Roman" w:hAnsi="Times New Roman" w:eastAsia="宋体" w:cs="Times New Roman"/>
                <w:i w:val="0"/>
                <w:iCs w:val="0"/>
                <w:caps w:val="0"/>
                <w:color w:val="auto"/>
                <w:spacing w:val="0"/>
                <w:sz w:val="24"/>
                <w:szCs w:val="24"/>
                <w:shd w:val="clear" w:color="auto" w:fill="FFFFFF"/>
              </w:rPr>
              <w:t>锰酸锂是一种</w:t>
            </w:r>
            <w:r>
              <w:rPr>
                <w:rFonts w:hint="default" w:ascii="Times New Roman" w:hAnsi="Times New Roman" w:eastAsia="宋体" w:cs="Times New Roman"/>
                <w:i w:val="0"/>
                <w:iCs w:val="0"/>
                <w:caps w:val="0"/>
                <w:color w:val="auto"/>
                <w:spacing w:val="0"/>
                <w:sz w:val="24"/>
                <w:szCs w:val="24"/>
                <w:u w:val="none"/>
                <w:shd w:val="clear" w:color="auto" w:fill="FFFFFF"/>
              </w:rPr>
              <w:fldChar w:fldCharType="begin"/>
            </w:r>
            <w:r>
              <w:rPr>
                <w:rFonts w:hint="default" w:ascii="Times New Roman" w:hAnsi="Times New Roman" w:eastAsia="宋体" w:cs="Times New Roman"/>
                <w:i w:val="0"/>
                <w:iCs w:val="0"/>
                <w:caps w:val="0"/>
                <w:color w:val="auto"/>
                <w:spacing w:val="0"/>
                <w:sz w:val="24"/>
                <w:szCs w:val="24"/>
                <w:u w:val="none"/>
                <w:shd w:val="clear" w:color="auto" w:fill="FFFFFF"/>
              </w:rPr>
              <w:instrText xml:space="preserve"> HYPERLINK "https://baike.so.com/doc/4688054-4901976.html" \t "https://baike.so.com/doc/_blank" </w:instrText>
            </w:r>
            <w:r>
              <w:rPr>
                <w:rFonts w:hint="default" w:ascii="Times New Roman" w:hAnsi="Times New Roman" w:eastAsia="宋体" w:cs="Times New Roman"/>
                <w:i w:val="0"/>
                <w:iCs w:val="0"/>
                <w:caps w:val="0"/>
                <w:color w:val="auto"/>
                <w:spacing w:val="0"/>
                <w:sz w:val="24"/>
                <w:szCs w:val="24"/>
                <w:u w:val="none"/>
                <w:shd w:val="clear" w:color="auto" w:fill="FFFFFF"/>
              </w:rPr>
              <w:fldChar w:fldCharType="separate"/>
            </w:r>
            <w:r>
              <w:rPr>
                <w:rStyle w:val="36"/>
                <w:rFonts w:hint="default" w:ascii="Times New Roman" w:hAnsi="Times New Roman" w:eastAsia="宋体" w:cs="Times New Roman"/>
                <w:i w:val="0"/>
                <w:iCs w:val="0"/>
                <w:caps w:val="0"/>
                <w:color w:val="auto"/>
                <w:spacing w:val="0"/>
                <w:sz w:val="24"/>
                <w:szCs w:val="24"/>
                <w:u w:val="none"/>
                <w:shd w:val="clear" w:color="auto" w:fill="FFFFFF"/>
              </w:rPr>
              <w:t>无机化合物</w:t>
            </w:r>
            <w:r>
              <w:rPr>
                <w:rFonts w:hint="default" w:ascii="Times New Roman" w:hAnsi="Times New Roman" w:eastAsia="宋体" w:cs="Times New Roman"/>
                <w:i w:val="0"/>
                <w:iCs w:val="0"/>
                <w:caps w:val="0"/>
                <w:color w:val="auto"/>
                <w:spacing w:val="0"/>
                <w:sz w:val="24"/>
                <w:szCs w:val="24"/>
                <w:u w:val="none"/>
                <w:shd w:val="clear" w:color="auto" w:fill="FFFFFF"/>
              </w:rPr>
              <w:fldChar w:fldCharType="end"/>
            </w:r>
            <w:r>
              <w:rPr>
                <w:rFonts w:hint="default" w:ascii="Times New Roman" w:hAnsi="Times New Roman" w:eastAsia="宋体" w:cs="Times New Roman"/>
                <w:i w:val="0"/>
                <w:iCs w:val="0"/>
                <w:caps w:val="0"/>
                <w:color w:val="auto"/>
                <w:spacing w:val="0"/>
                <w:sz w:val="24"/>
                <w:szCs w:val="24"/>
                <w:shd w:val="clear" w:color="auto" w:fill="FFFFFF"/>
              </w:rPr>
              <w:t>，化学式为LiMn</w:t>
            </w:r>
            <w:r>
              <w:rPr>
                <w:rFonts w:hint="default" w:ascii="Times New Roman" w:hAnsi="Times New Roman" w:eastAsia="宋体" w:cs="Times New Roman"/>
                <w:i w:val="0"/>
                <w:iCs w:val="0"/>
                <w:caps w:val="0"/>
                <w:color w:val="auto"/>
                <w:spacing w:val="0"/>
                <w:sz w:val="24"/>
                <w:szCs w:val="24"/>
                <w:shd w:val="clear" w:color="auto" w:fill="FFFFFF"/>
                <w:vertAlign w:val="subscript"/>
              </w:rPr>
              <w:t>2</w:t>
            </w:r>
            <w:r>
              <w:rPr>
                <w:rFonts w:hint="default" w:ascii="Times New Roman" w:hAnsi="Times New Roman" w:eastAsia="宋体" w:cs="Times New Roman"/>
                <w:i w:val="0"/>
                <w:iCs w:val="0"/>
                <w:caps w:val="0"/>
                <w:color w:val="auto"/>
                <w:spacing w:val="0"/>
                <w:sz w:val="24"/>
                <w:szCs w:val="24"/>
                <w:shd w:val="clear" w:color="auto" w:fill="FFFFFF"/>
              </w:rPr>
              <w:t>O</w:t>
            </w:r>
            <w:r>
              <w:rPr>
                <w:rFonts w:hint="default" w:ascii="Times New Roman" w:hAnsi="Times New Roman" w:eastAsia="宋体" w:cs="Times New Roman"/>
                <w:i w:val="0"/>
                <w:iCs w:val="0"/>
                <w:caps w:val="0"/>
                <w:color w:val="auto"/>
                <w:spacing w:val="0"/>
                <w:sz w:val="24"/>
                <w:szCs w:val="24"/>
                <w:shd w:val="clear" w:color="auto" w:fill="FFFFFF"/>
                <w:vertAlign w:val="subscript"/>
              </w:rPr>
              <w:t>4</w:t>
            </w:r>
            <w:r>
              <w:rPr>
                <w:rFonts w:hint="default" w:ascii="Times New Roman" w:hAnsi="Times New Roman" w:eastAsia="宋体" w:cs="Times New Roman"/>
                <w:i w:val="0"/>
                <w:iCs w:val="0"/>
                <w:caps w:val="0"/>
                <w:color w:val="auto"/>
                <w:spacing w:val="0"/>
                <w:sz w:val="24"/>
                <w:szCs w:val="24"/>
                <w:shd w:val="clear" w:color="auto" w:fill="FFFFFF"/>
                <w:lang w:eastAsia="zh-CN"/>
              </w:rPr>
              <w:t>，</w:t>
            </w:r>
            <w:r>
              <w:rPr>
                <w:rFonts w:hint="default" w:ascii="Times New Roman" w:hAnsi="Times New Roman" w:eastAsia="宋体" w:cs="Times New Roman"/>
                <w:i w:val="0"/>
                <w:iCs w:val="0"/>
                <w:caps w:val="0"/>
                <w:color w:val="auto"/>
                <w:spacing w:val="0"/>
                <w:sz w:val="24"/>
                <w:szCs w:val="24"/>
                <w:shd w:val="clear" w:color="auto" w:fill="FFFFFF"/>
              </w:rPr>
              <w:t>通常为尖晶石相，黑灰色粉末</w:t>
            </w:r>
            <w:r>
              <w:rPr>
                <w:rFonts w:hint="default" w:ascii="Times New Roman" w:hAnsi="Times New Roman" w:eastAsia="宋体" w:cs="Times New Roman"/>
                <w:i w:val="0"/>
                <w:iCs w:val="0"/>
                <w:caps w:val="0"/>
                <w:color w:val="auto"/>
                <w:spacing w:val="0"/>
                <w:sz w:val="24"/>
                <w:szCs w:val="24"/>
                <w:shd w:val="clear" w:color="auto" w:fill="FFFFFF"/>
                <w:lang w:eastAsia="zh-CN"/>
              </w:rPr>
              <w:t>，</w:t>
            </w:r>
            <w:r>
              <w:rPr>
                <w:rFonts w:hint="default" w:ascii="Times New Roman" w:hAnsi="Times New Roman" w:eastAsia="宋体" w:cs="Times New Roman"/>
                <w:i w:val="0"/>
                <w:iCs w:val="0"/>
                <w:caps w:val="0"/>
                <w:color w:val="auto"/>
                <w:spacing w:val="0"/>
                <w:sz w:val="24"/>
                <w:szCs w:val="24"/>
                <w:shd w:val="clear" w:color="auto" w:fill="FFFFFF"/>
              </w:rPr>
              <w:t>易溶于水。锰酸锂是较有前景的锂离子正极材料之一，相比钴酸锂等传统正极材料，锰酸锂具有资源丰富、成本低、无污染、安全性好、倍率性能好等优点，是理想的动力电池正极材料。锰酸锂结构稳定，主要用于制造手机和笔记本电脑及其它便携式电子设备的锂离子电池作正极材料。</w:t>
            </w:r>
          </w:p>
          <w:p>
            <w:pPr>
              <w:pStyle w:val="25"/>
              <w:ind w:firstLine="482" w:firstLineChars="200"/>
              <w:rPr>
                <w:rFonts w:hint="default" w:ascii="Times New Roman" w:hAnsi="Times New Roman" w:cs="Times New Roman"/>
                <w:bCs/>
                <w:snapToGrid w:val="0"/>
                <w:color w:val="auto"/>
                <w:sz w:val="24"/>
                <w:szCs w:val="24"/>
              </w:rPr>
            </w:pPr>
            <w:r>
              <w:rPr>
                <w:rFonts w:hint="default" w:ascii="Times New Roman" w:hAnsi="Times New Roman" w:cs="Times New Roman"/>
                <w:b/>
                <w:bCs w:val="0"/>
                <w:snapToGrid w:val="0"/>
                <w:color w:val="auto"/>
                <w:sz w:val="24"/>
                <w:szCs w:val="24"/>
              </w:rPr>
              <w:t>NMP：</w:t>
            </w:r>
            <w:r>
              <w:rPr>
                <w:rFonts w:hint="default" w:ascii="Times New Roman" w:hAnsi="Times New Roman" w:cs="Times New Roman"/>
                <w:bCs/>
                <w:snapToGrid w:val="0"/>
                <w:color w:val="auto"/>
                <w:sz w:val="24"/>
                <w:szCs w:val="24"/>
              </w:rPr>
              <w:t>N-甲基吡咯烷酮（1-Methyl-2-pyrrolidinone），分子式为C</w:t>
            </w:r>
            <w:r>
              <w:rPr>
                <w:rFonts w:hint="default" w:ascii="Times New Roman" w:hAnsi="Times New Roman" w:cs="Times New Roman"/>
                <w:bCs/>
                <w:snapToGrid w:val="0"/>
                <w:color w:val="auto"/>
                <w:sz w:val="24"/>
                <w:szCs w:val="24"/>
                <w:vertAlign w:val="subscript"/>
              </w:rPr>
              <w:t>5</w:t>
            </w:r>
            <w:r>
              <w:rPr>
                <w:rFonts w:hint="default" w:ascii="Times New Roman" w:hAnsi="Times New Roman" w:cs="Times New Roman"/>
                <w:bCs/>
                <w:snapToGrid w:val="0"/>
                <w:color w:val="auto"/>
                <w:sz w:val="24"/>
                <w:szCs w:val="24"/>
              </w:rPr>
              <w:t>H</w:t>
            </w:r>
            <w:r>
              <w:rPr>
                <w:rFonts w:hint="default" w:ascii="Times New Roman" w:hAnsi="Times New Roman" w:cs="Times New Roman"/>
                <w:bCs/>
                <w:snapToGrid w:val="0"/>
                <w:color w:val="auto"/>
                <w:sz w:val="24"/>
                <w:szCs w:val="24"/>
                <w:vertAlign w:val="subscript"/>
              </w:rPr>
              <w:t>9</w:t>
            </w:r>
            <w:r>
              <w:rPr>
                <w:rFonts w:hint="default" w:ascii="Times New Roman" w:hAnsi="Times New Roman" w:cs="Times New Roman"/>
                <w:bCs/>
                <w:snapToGrid w:val="0"/>
                <w:color w:val="auto"/>
                <w:sz w:val="24"/>
                <w:szCs w:val="24"/>
              </w:rPr>
              <w:t>NO，CAS 序号为872-50-4，中文别名为NMP、1-甲基-2-吡咯烷酮、N-甲基吡咯烷酮(工业级)、N-甲基吡咯烷酮(电子级)。性状为无色透明油状液体，挥发性低，化学稳定性好，低毒；熔点为-24℃；沸点为202℃；相对密度为1.0</w:t>
            </w:r>
            <w:r>
              <w:rPr>
                <w:rFonts w:hint="eastAsia" w:ascii="Times New Roman" w:hAnsi="Times New Roman" w:cs="Times New Roman"/>
                <w:bCs/>
                <w:snapToGrid w:val="0"/>
                <w:color w:val="auto"/>
                <w:sz w:val="24"/>
                <w:szCs w:val="24"/>
                <w:lang w:val="en-US" w:eastAsia="zh-CN"/>
              </w:rPr>
              <w:t>3</w:t>
            </w:r>
            <w:r>
              <w:rPr>
                <w:rFonts w:hint="default" w:ascii="Times New Roman" w:hAnsi="Times New Roman" w:cs="Times New Roman"/>
                <w:bCs/>
                <w:snapToGrid w:val="0"/>
                <w:color w:val="auto"/>
                <w:sz w:val="24"/>
                <w:szCs w:val="24"/>
              </w:rPr>
              <w:t>；闪点为</w:t>
            </w:r>
            <w:r>
              <w:rPr>
                <w:rFonts w:hint="eastAsia" w:ascii="Times New Roman" w:hAnsi="Times New Roman" w:cs="Times New Roman"/>
                <w:bCs/>
                <w:snapToGrid w:val="0"/>
                <w:color w:val="auto"/>
                <w:sz w:val="24"/>
                <w:szCs w:val="24"/>
                <w:lang w:val="en-US" w:eastAsia="zh-CN"/>
              </w:rPr>
              <w:t>86</w:t>
            </w:r>
            <w:r>
              <w:rPr>
                <w:rFonts w:hint="default" w:ascii="Times New Roman" w:hAnsi="Times New Roman" w:cs="Times New Roman"/>
                <w:bCs/>
                <w:snapToGrid w:val="0"/>
                <w:color w:val="auto"/>
                <w:sz w:val="24"/>
                <w:szCs w:val="24"/>
              </w:rPr>
              <w:t>℃；能与水、醇、醚、酯、酮、卤代烃、芳烃互溶。广泛用于高级润滑油精制、聚合物的合成、绝缘材料、农药、颜料及清洗剂等。贮存于阴凉、通风的库房内，防潮，远离火种、热源。</w:t>
            </w:r>
          </w:p>
          <w:p>
            <w:pPr>
              <w:numPr>
                <w:ilvl w:val="0"/>
                <w:numId w:val="0"/>
              </w:numPr>
              <w:autoSpaceDE w:val="0"/>
              <w:autoSpaceDN w:val="0"/>
              <w:spacing w:line="360" w:lineRule="auto"/>
              <w:ind w:firstLine="482" w:firstLineChars="200"/>
              <w:jc w:val="left"/>
              <w:rPr>
                <w:rFonts w:hint="default" w:ascii="Times New Roman" w:hAnsi="Times New Roman" w:cs="Times New Roman"/>
                <w:color w:val="auto"/>
                <w:spacing w:val="-6"/>
                <w:sz w:val="24"/>
                <w:szCs w:val="24"/>
              </w:rPr>
            </w:pPr>
            <w:r>
              <w:rPr>
                <w:rFonts w:hint="default" w:ascii="Times New Roman" w:hAnsi="Times New Roman" w:cs="Times New Roman"/>
                <w:b/>
                <w:bCs/>
                <w:color w:val="auto"/>
                <w:kern w:val="18"/>
                <w:sz w:val="24"/>
              </w:rPr>
              <w:t>负极石墨：</w:t>
            </w:r>
            <w:r>
              <w:rPr>
                <w:rFonts w:hint="default" w:ascii="Times New Roman" w:hAnsi="Times New Roman" w:cs="Times New Roman"/>
                <w:snapToGrid w:val="0"/>
                <w:color w:val="auto"/>
                <w:spacing w:val="6"/>
                <w:sz w:val="24"/>
              </w:rPr>
              <w:t>深灰色至黑色的有金属光泽而不透明的粉末状固体，晶状碳化物。触摸有油脂感，无臭，不溶于水。熔点3652～3697℃，沸点4830°C，密度2.2g/cm</w:t>
            </w:r>
            <w:r>
              <w:rPr>
                <w:rFonts w:hint="default" w:ascii="Times New Roman" w:hAnsi="Times New Roman" w:cs="Times New Roman"/>
                <w:snapToGrid w:val="0"/>
                <w:color w:val="auto"/>
                <w:spacing w:val="6"/>
                <w:sz w:val="24"/>
                <w:vertAlign w:val="superscript"/>
              </w:rPr>
              <w:t>3</w:t>
            </w:r>
            <w:r>
              <w:rPr>
                <w:rFonts w:hint="default" w:ascii="Times New Roman" w:hAnsi="Times New Roman" w:cs="Times New Roman"/>
                <w:snapToGrid w:val="0"/>
                <w:color w:val="auto"/>
                <w:spacing w:val="6"/>
                <w:sz w:val="24"/>
              </w:rPr>
              <w:t>，可燃固体。粉尘在特殊条件下会引起粉尘爆炸，遇强氧化剂(如氟、三氟化氯和过氧化钾)发生反应，禁忌物：强氧化剂，烧（分解）产物：CO、CO</w:t>
            </w:r>
            <w:r>
              <w:rPr>
                <w:rFonts w:hint="default" w:ascii="Times New Roman" w:hAnsi="Times New Roman" w:cs="Times New Roman"/>
                <w:snapToGrid w:val="0"/>
                <w:color w:val="auto"/>
                <w:spacing w:val="6"/>
                <w:sz w:val="24"/>
                <w:vertAlign w:val="subscript"/>
                <w:lang w:val="en-US" w:eastAsia="zh-CN"/>
              </w:rPr>
              <w:t>2</w:t>
            </w:r>
            <w:r>
              <w:rPr>
                <w:rFonts w:hint="default" w:ascii="Times New Roman" w:hAnsi="Times New Roman" w:cs="Times New Roman"/>
                <w:snapToGrid w:val="0"/>
                <w:color w:val="auto"/>
                <w:spacing w:val="6"/>
                <w:sz w:val="24"/>
              </w:rPr>
              <w:t>，LD：1250mg/m</w:t>
            </w:r>
            <w:r>
              <w:rPr>
                <w:rFonts w:hint="default" w:ascii="Times New Roman" w:hAnsi="Times New Roman" w:cs="Times New Roman"/>
                <w:snapToGrid w:val="0"/>
                <w:color w:val="auto"/>
                <w:spacing w:val="6"/>
                <w:sz w:val="24"/>
                <w:vertAlign w:val="superscript"/>
              </w:rPr>
              <w:t>3</w:t>
            </w:r>
            <w:r>
              <w:rPr>
                <w:rFonts w:hint="default" w:ascii="Times New Roman" w:hAnsi="Times New Roman" w:cs="Times New Roman"/>
                <w:snapToGrid w:val="0"/>
                <w:color w:val="auto"/>
                <w:spacing w:val="6"/>
                <w:sz w:val="24"/>
              </w:rPr>
              <w:t>。</w:t>
            </w:r>
          </w:p>
          <w:p>
            <w:pPr>
              <w:pStyle w:val="25"/>
              <w:adjustRightInd w:val="0"/>
              <w:snapToGrid w:val="0"/>
              <w:spacing w:after="0" w:line="360" w:lineRule="auto"/>
              <w:ind w:left="0" w:leftChars="0" w:firstLine="482" w:firstLineChars="200"/>
              <w:rPr>
                <w:rFonts w:hint="default" w:ascii="Times New Roman" w:hAnsi="Times New Roman" w:cs="Times New Roman"/>
                <w:bCs/>
                <w:snapToGrid w:val="0"/>
                <w:color w:val="auto"/>
                <w:sz w:val="24"/>
                <w:szCs w:val="24"/>
              </w:rPr>
            </w:pPr>
            <w:r>
              <w:rPr>
                <w:rFonts w:hint="default" w:ascii="Times New Roman" w:hAnsi="Times New Roman" w:cs="Times New Roman"/>
                <w:b/>
                <w:snapToGrid w:val="0"/>
                <w:color w:val="auto"/>
                <w:sz w:val="24"/>
                <w:szCs w:val="24"/>
              </w:rPr>
              <w:t>电解液：</w:t>
            </w:r>
            <w:r>
              <w:rPr>
                <w:rFonts w:hint="default" w:ascii="Times New Roman" w:hAnsi="Times New Roman" w:cs="Times New Roman"/>
                <w:bCs/>
                <w:snapToGrid w:val="0"/>
                <w:color w:val="auto"/>
                <w:sz w:val="24"/>
                <w:szCs w:val="24"/>
              </w:rPr>
              <w:t>电解液主要成分为六氟磷酸锂，碳酸乙烯酯、碳酸甲乙酯以及其他添加剂。状态：液体，颜色：色度≤50Hazen（比色法检测），气味：有刺激性气味，水分（ppm）：≤20ppm，游离酸（以HF计）：≤50ppm（酸碱滴定法检测），自行燃烧：该产品不自然，爆炸危险：产品为非爆物。</w:t>
            </w:r>
            <w:r>
              <w:rPr>
                <w:rFonts w:hint="default" w:ascii="Times New Roman" w:hAnsi="Times New Roman" w:cs="Times New Roman"/>
                <w:bCs/>
                <w:snapToGrid w:val="0"/>
                <w:color w:val="auto"/>
                <w:sz w:val="24"/>
                <w:szCs w:val="24"/>
              </w:rPr>
              <w:t>电解液属于危险化学品。</w:t>
            </w:r>
          </w:p>
          <w:p>
            <w:pPr>
              <w:pStyle w:val="102"/>
              <w:ind w:firstLine="420"/>
              <w:rPr>
                <w:rFonts w:hint="default" w:ascii="Times New Roman" w:hAnsi="Times New Roman" w:cs="Times New Roman"/>
                <w:color w:val="auto"/>
                <w:sz w:val="24"/>
                <w:szCs w:val="24"/>
              </w:rPr>
            </w:pPr>
            <w:r>
              <w:rPr>
                <w:rFonts w:hint="default" w:ascii="Times New Roman" w:hAnsi="Times New Roman" w:cs="Times New Roman"/>
                <w:b w:val="0"/>
                <w:bCs/>
                <w:color w:val="auto"/>
                <w:sz w:val="24"/>
                <w:szCs w:val="24"/>
              </w:rPr>
              <w:t>六氟磷酸锂</w:t>
            </w:r>
            <w:r>
              <w:rPr>
                <w:rFonts w:hint="default" w:ascii="Times New Roman" w:hAnsi="Times New Roman" w:cs="Times New Roman"/>
                <w:b w:val="0"/>
                <w:bCs/>
                <w:color w:val="auto"/>
                <w:sz w:val="24"/>
                <w:szCs w:val="24"/>
                <w:lang w:eastAsia="zh-CN"/>
              </w:rPr>
              <w:t>：</w:t>
            </w:r>
            <w:r>
              <w:rPr>
                <w:rFonts w:hint="default" w:ascii="Times New Roman" w:hAnsi="Times New Roman" w:cs="Times New Roman"/>
                <w:color w:val="auto"/>
                <w:sz w:val="24"/>
                <w:szCs w:val="24"/>
              </w:rPr>
              <w:t>白色结晶或粉末，相对密度1.50。潮解性强</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易溶于水、还溶于低浓度甲醇、乙醇、丙酮、碳酸酯类等有机溶剂。暴露空气中或加热时分解。暴露空气中或加热时六氟磷酸锂在空气中由于水蒸气的作用而迅速分解，放出PF</w:t>
            </w:r>
            <w:r>
              <w:rPr>
                <w:rFonts w:hint="default" w:ascii="Times New Roman" w:hAnsi="Times New Roman" w:cs="Times New Roman"/>
                <w:color w:val="auto"/>
                <w:sz w:val="24"/>
                <w:szCs w:val="24"/>
                <w:vertAlign w:val="subscript"/>
              </w:rPr>
              <w:t>5</w:t>
            </w:r>
            <w:r>
              <w:rPr>
                <w:rFonts w:hint="default" w:ascii="Times New Roman" w:hAnsi="Times New Roman" w:cs="Times New Roman"/>
                <w:color w:val="auto"/>
                <w:sz w:val="24"/>
                <w:szCs w:val="24"/>
              </w:rPr>
              <w:t>而产生白色烟雾。</w:t>
            </w:r>
          </w:p>
          <w:p>
            <w:pPr>
              <w:pStyle w:val="25"/>
              <w:adjustRightInd w:val="0"/>
              <w:snapToGrid w:val="0"/>
              <w:spacing w:after="0" w:line="360" w:lineRule="auto"/>
              <w:ind w:left="0" w:leftChars="0" w:firstLine="480" w:firstLineChars="200"/>
              <w:rPr>
                <w:rFonts w:hint="default" w:ascii="Times New Roman" w:hAnsi="Times New Roman" w:cs="Times New Roman"/>
                <w:bCs/>
                <w:snapToGrid w:val="0"/>
                <w:color w:val="auto"/>
                <w:sz w:val="24"/>
                <w:szCs w:val="24"/>
              </w:rPr>
            </w:pPr>
            <w:r>
              <w:rPr>
                <w:rFonts w:hint="default" w:ascii="Times New Roman" w:hAnsi="Times New Roman" w:cs="Times New Roman"/>
                <w:bCs/>
                <w:snapToGrid w:val="0"/>
                <w:color w:val="auto"/>
                <w:sz w:val="24"/>
                <w:szCs w:val="24"/>
              </w:rPr>
              <w:t>碳酸乙烯酯分子式：C</w:t>
            </w:r>
            <w:r>
              <w:rPr>
                <w:rFonts w:hint="default" w:ascii="Times New Roman" w:hAnsi="Times New Roman" w:cs="Times New Roman"/>
                <w:bCs/>
                <w:snapToGrid w:val="0"/>
                <w:color w:val="auto"/>
                <w:sz w:val="24"/>
                <w:szCs w:val="24"/>
                <w:vertAlign w:val="subscript"/>
              </w:rPr>
              <w:t>3</w:t>
            </w:r>
            <w:r>
              <w:rPr>
                <w:rFonts w:hint="default" w:ascii="Times New Roman" w:hAnsi="Times New Roman" w:cs="Times New Roman"/>
                <w:bCs/>
                <w:snapToGrid w:val="0"/>
                <w:color w:val="auto"/>
                <w:sz w:val="24"/>
                <w:szCs w:val="24"/>
              </w:rPr>
              <w:t>H</w:t>
            </w:r>
            <w:r>
              <w:rPr>
                <w:rFonts w:hint="default" w:ascii="Times New Roman" w:hAnsi="Times New Roman" w:cs="Times New Roman"/>
                <w:bCs/>
                <w:snapToGrid w:val="0"/>
                <w:color w:val="auto"/>
                <w:sz w:val="24"/>
                <w:szCs w:val="24"/>
                <w:vertAlign w:val="subscript"/>
              </w:rPr>
              <w:t>4</w:t>
            </w:r>
            <w:r>
              <w:rPr>
                <w:rFonts w:hint="default" w:ascii="Times New Roman" w:hAnsi="Times New Roman" w:cs="Times New Roman"/>
                <w:bCs/>
                <w:snapToGrid w:val="0"/>
                <w:color w:val="auto"/>
                <w:sz w:val="24"/>
                <w:szCs w:val="24"/>
              </w:rPr>
              <w:t>O</w:t>
            </w:r>
            <w:r>
              <w:rPr>
                <w:rFonts w:hint="default" w:ascii="Times New Roman" w:hAnsi="Times New Roman" w:cs="Times New Roman"/>
                <w:bCs/>
                <w:snapToGrid w:val="0"/>
                <w:color w:val="auto"/>
                <w:sz w:val="24"/>
                <w:szCs w:val="24"/>
                <w:vertAlign w:val="subscript"/>
              </w:rPr>
              <w:t>3</w:t>
            </w:r>
            <w:r>
              <w:rPr>
                <w:rFonts w:hint="default" w:ascii="Times New Roman" w:hAnsi="Times New Roman" w:cs="Times New Roman"/>
                <w:bCs/>
                <w:snapToGrid w:val="0"/>
                <w:color w:val="auto"/>
                <w:sz w:val="24"/>
                <w:szCs w:val="24"/>
              </w:rPr>
              <w:t>，透明无色液体（&gt;35℃），室温时为无色针状结晶。熔点38.5-39℃，沸点152℃（4.0kPa），100℃（0.7464kPa），相对度1.4259（20/4℃）。闪点152℃。易溶于水及有机溶剂，高纯度可用于充电锂离子电池电解液。</w:t>
            </w:r>
          </w:p>
          <w:p>
            <w:pPr>
              <w:pStyle w:val="102"/>
              <w:ind w:firstLine="420"/>
              <w:rPr>
                <w:rFonts w:hint="default" w:ascii="Times New Roman" w:hAnsi="Times New Roman" w:eastAsia="宋体" w:cs="Times New Roman"/>
                <w:bCs/>
                <w:snapToGrid w:val="0"/>
                <w:color w:val="auto"/>
                <w:sz w:val="24"/>
                <w:szCs w:val="24"/>
                <w:lang w:val="en-US" w:eastAsia="zh-CN"/>
              </w:rPr>
            </w:pPr>
            <w:r>
              <w:rPr>
                <w:rFonts w:hint="default" w:ascii="Times New Roman" w:hAnsi="Times New Roman" w:cs="Times New Roman"/>
                <w:bCs/>
                <w:snapToGrid w:val="0"/>
                <w:color w:val="auto"/>
                <w:sz w:val="24"/>
                <w:szCs w:val="24"/>
              </w:rPr>
              <w:t>碳酸甲乙酯（Ethyl Methyl Carbonate）</w:t>
            </w:r>
            <w:r>
              <w:rPr>
                <w:rFonts w:hint="default" w:ascii="Times New Roman" w:hAnsi="Times New Roman" w:cs="Times New Roman"/>
                <w:bCs/>
                <w:snapToGrid w:val="0"/>
                <w:color w:val="auto"/>
                <w:sz w:val="24"/>
                <w:szCs w:val="24"/>
                <w:lang w:eastAsia="zh-CN"/>
              </w:rPr>
              <w:t>：</w:t>
            </w:r>
            <w:r>
              <w:rPr>
                <w:rFonts w:hint="default" w:ascii="Times New Roman" w:hAnsi="Times New Roman" w:cs="Times New Roman"/>
                <w:bCs/>
                <w:snapToGrid w:val="0"/>
                <w:color w:val="auto"/>
                <w:sz w:val="24"/>
                <w:szCs w:val="24"/>
              </w:rPr>
              <w:t>别名碳酸乙基甲酯，为无色透明液体，不溶于水，可用于有机合成，是一种优良的锂离子电池电解液的溶剂。碳酸甲乙酯应储存于阴凉、通风、干燥处。</w:t>
            </w:r>
          </w:p>
          <w:p>
            <w:pPr>
              <w:pStyle w:val="102"/>
              <w:ind w:firstLine="420"/>
              <w:rPr>
                <w:rFonts w:hint="default" w:ascii="Times New Roman" w:hAnsi="Times New Roman" w:eastAsia="宋体" w:cs="Times New Roman"/>
                <w:bCs/>
                <w:snapToGrid w:val="0"/>
                <w:color w:val="auto"/>
                <w:sz w:val="24"/>
                <w:szCs w:val="24"/>
                <w:lang w:val="en-US" w:eastAsia="zh-CN"/>
              </w:rPr>
            </w:pPr>
            <w:r>
              <w:rPr>
                <w:rFonts w:hint="default" w:ascii="Times New Roman" w:hAnsi="Times New Roman" w:cs="Times New Roman"/>
                <w:bCs/>
                <w:snapToGrid w:val="0"/>
                <w:color w:val="auto"/>
                <w:sz w:val="24"/>
                <w:szCs w:val="24"/>
                <w:lang w:val="en-US" w:eastAsia="zh-CN"/>
              </w:rPr>
              <w:t>NMP平衡：</w:t>
            </w:r>
          </w:p>
          <w:p>
            <w:pPr>
              <w:pStyle w:val="102"/>
              <w:ind w:left="0" w:leftChars="0" w:firstLine="0" w:firstLineChars="0"/>
              <w:jc w:val="center"/>
              <w:rPr>
                <w:rFonts w:hint="default" w:ascii="Times New Roman" w:hAnsi="Times New Roman" w:cs="Times New Roman"/>
                <w:b/>
                <w:bCs w:val="0"/>
                <w:snapToGrid w:val="0"/>
                <w:color w:val="auto"/>
                <w:sz w:val="24"/>
                <w:szCs w:val="24"/>
                <w:lang w:val="en-US" w:eastAsia="zh-CN"/>
              </w:rPr>
            </w:pPr>
            <w:r>
              <w:rPr>
                <w:rFonts w:hint="default" w:ascii="Times New Roman" w:hAnsi="Times New Roman" w:cs="Times New Roman"/>
                <w:b/>
                <w:bCs w:val="0"/>
                <w:snapToGrid w:val="0"/>
                <w:color w:val="auto"/>
                <w:sz w:val="24"/>
                <w:szCs w:val="24"/>
                <w:lang w:val="en-US" w:eastAsia="zh-CN"/>
              </w:rPr>
              <w:object>
                <v:shape id="_x0000_i1026" o:spt="75" type="#_x0000_t75" style="height:176.15pt;width:406.45pt;" o:ole="t" filled="f" o:preferrelative="t" stroked="f" coordsize="21600,21600">
                  <v:path/>
                  <v:fill on="f" focussize="0,0"/>
                  <v:stroke on="f"/>
                  <v:imagedata r:id="rId14" o:title=""/>
                  <o:lock v:ext="edit" aspectratio="t"/>
                  <w10:wrap type="none"/>
                  <w10:anchorlock/>
                </v:shape>
                <o:OLEObject Type="Embed" ProgID="Visio.Drawing.15" ShapeID="_x0000_i1026" DrawAspect="Content" ObjectID="_1468075726" r:id="rId13">
                  <o:LockedField>false</o:LockedField>
                </o:OLEObject>
              </w:object>
            </w:r>
          </w:p>
          <w:p>
            <w:pPr>
              <w:pStyle w:val="102"/>
              <w:ind w:left="0" w:leftChars="0" w:firstLine="0" w:firstLineChars="0"/>
              <w:jc w:val="center"/>
              <w:rPr>
                <w:rFonts w:hint="default" w:ascii="Times New Roman" w:hAnsi="Times New Roman" w:eastAsia="宋体" w:cs="Times New Roman"/>
                <w:bCs/>
                <w:snapToGrid w:val="0"/>
                <w:color w:val="auto"/>
                <w:sz w:val="24"/>
                <w:szCs w:val="24"/>
                <w:lang w:val="en-US" w:eastAsia="zh-CN"/>
              </w:rPr>
            </w:pPr>
            <w:r>
              <w:rPr>
                <w:rFonts w:hint="default" w:ascii="Times New Roman" w:hAnsi="Times New Roman" w:cs="Times New Roman"/>
                <w:b/>
                <w:bCs w:val="0"/>
                <w:snapToGrid w:val="0"/>
                <w:color w:val="auto"/>
                <w:sz w:val="24"/>
                <w:szCs w:val="24"/>
                <w:lang w:val="en-US" w:eastAsia="zh-CN"/>
              </w:rPr>
              <w:t>图2-2 项目NMP平衡图</w:t>
            </w:r>
            <w:r>
              <w:rPr>
                <w:rFonts w:hint="eastAsia" w:ascii="Times New Roman" w:hAnsi="Times New Roman" w:cs="Times New Roman"/>
                <w:b/>
                <w:bCs w:val="0"/>
                <w:snapToGrid w:val="0"/>
                <w:color w:val="auto"/>
                <w:sz w:val="24"/>
                <w:szCs w:val="24"/>
                <w:lang w:val="en-US" w:eastAsia="zh-CN"/>
              </w:rPr>
              <w:t>（t/a）</w:t>
            </w:r>
          </w:p>
          <w:p>
            <w:pPr>
              <w:adjustRightInd w:val="0"/>
              <w:snapToGrid w:val="0"/>
              <w:spacing w:line="360" w:lineRule="auto"/>
              <w:ind w:firstLine="456" w:firstLineChars="200"/>
              <w:rPr>
                <w:rFonts w:hint="default" w:ascii="Times New Roman" w:hAnsi="Times New Roman" w:cs="Times New Roman"/>
                <w:color w:val="auto"/>
                <w:spacing w:val="-6"/>
                <w:sz w:val="24"/>
                <w:szCs w:val="24"/>
              </w:rPr>
            </w:pPr>
            <w:r>
              <w:rPr>
                <w:rFonts w:hint="default" w:ascii="Times New Roman" w:hAnsi="Times New Roman" w:cs="Times New Roman"/>
                <w:color w:val="auto"/>
                <w:spacing w:val="-6"/>
                <w:sz w:val="24"/>
                <w:szCs w:val="24"/>
              </w:rPr>
              <w:t>（2）能源用量情况</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szCs w:val="24"/>
              </w:rPr>
              <w:t>项目能源及资源消耗情况，详见下表。</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auto"/>
                <w:sz w:val="24"/>
                <w:szCs w:val="24"/>
              </w:rPr>
            </w:pPr>
            <w:r>
              <w:rPr>
                <w:rFonts w:hint="default" w:ascii="Times New Roman" w:hAnsi="Times New Roman" w:cs="Times New Roman"/>
                <w:b/>
                <w:color w:val="auto"/>
                <w:sz w:val="24"/>
                <w:szCs w:val="24"/>
              </w:rPr>
              <w:t>表</w:t>
            </w:r>
            <w:r>
              <w:rPr>
                <w:rFonts w:hint="default" w:ascii="Times New Roman" w:hAnsi="Times New Roman" w:cs="Times New Roman"/>
                <w:b/>
                <w:color w:val="auto"/>
                <w:sz w:val="24"/>
                <w:szCs w:val="24"/>
                <w:lang w:val="en-US" w:eastAsia="zh-CN"/>
              </w:rPr>
              <w:t>2-</w:t>
            </w:r>
            <w:r>
              <w:rPr>
                <w:rFonts w:hint="eastAsia" w:ascii="Times New Roman" w:hAnsi="Times New Roman" w:cs="Times New Roman"/>
                <w:b/>
                <w:color w:val="auto"/>
                <w:sz w:val="24"/>
                <w:szCs w:val="24"/>
                <w:lang w:val="en-US" w:eastAsia="zh-CN"/>
              </w:rPr>
              <w:t>8</w:t>
            </w:r>
            <w:r>
              <w:rPr>
                <w:rFonts w:hint="default" w:ascii="Times New Roman" w:hAnsi="Times New Roman" w:cs="Times New Roman"/>
                <w:b/>
                <w:color w:val="auto"/>
                <w:sz w:val="24"/>
                <w:szCs w:val="24"/>
              </w:rPr>
              <w:t xml:space="preserve"> </w:t>
            </w:r>
            <w:r>
              <w:rPr>
                <w:rFonts w:hint="default" w:ascii="Times New Roman" w:hAnsi="Times New Roman" w:cs="Times New Roman"/>
                <w:b/>
                <w:bCs/>
                <w:color w:val="auto"/>
                <w:sz w:val="24"/>
                <w:szCs w:val="24"/>
              </w:rPr>
              <w:t>项目</w:t>
            </w:r>
            <w:r>
              <w:rPr>
                <w:rFonts w:hint="default" w:ascii="Times New Roman" w:hAnsi="Times New Roman" w:cs="Times New Roman"/>
                <w:b/>
                <w:color w:val="auto"/>
                <w:sz w:val="24"/>
                <w:szCs w:val="24"/>
              </w:rPr>
              <w:t>主要能源消耗一览表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685"/>
              <w:gridCol w:w="2010"/>
              <w:gridCol w:w="1766"/>
              <w:gridCol w:w="20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874"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1700"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能源名称</w:t>
                  </w:r>
                </w:p>
              </w:tc>
              <w:tc>
                <w:tcPr>
                  <w:tcW w:w="2025"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年耗量</w:t>
                  </w:r>
                </w:p>
              </w:tc>
              <w:tc>
                <w:tcPr>
                  <w:tcW w:w="1782"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来源</w:t>
                  </w:r>
                </w:p>
              </w:tc>
              <w:tc>
                <w:tcPr>
                  <w:tcW w:w="2077"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4"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700"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电</w:t>
                  </w:r>
                </w:p>
              </w:tc>
              <w:tc>
                <w:tcPr>
                  <w:tcW w:w="2025"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lang w:val="en-US" w:eastAsia="zh-CN"/>
                    </w:rPr>
                    <w:t>80</w:t>
                  </w:r>
                  <w:r>
                    <w:rPr>
                      <w:rFonts w:hint="default" w:ascii="Times New Roman" w:hAnsi="Times New Roman" w:cs="Times New Roman"/>
                      <w:color w:val="auto"/>
                      <w:szCs w:val="21"/>
                    </w:rPr>
                    <w:t>万度/年</w:t>
                  </w:r>
                </w:p>
              </w:tc>
              <w:tc>
                <w:tcPr>
                  <w:tcW w:w="1782"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市政电网</w:t>
                  </w:r>
                </w:p>
              </w:tc>
              <w:tc>
                <w:tcPr>
                  <w:tcW w:w="2077"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生产和办公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4" w:type="dxa"/>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1700" w:type="dxa"/>
                  <w:vMerge w:val="restart"/>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水</w:t>
                  </w:r>
                </w:p>
              </w:tc>
              <w:tc>
                <w:tcPr>
                  <w:tcW w:w="2025"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snapToGrid w:val="0"/>
                      <w:color w:val="auto"/>
                      <w:szCs w:val="21"/>
                      <w:lang w:val="en-US" w:eastAsia="zh-CN"/>
                    </w:rPr>
                    <w:t>5027.6</w:t>
                  </w:r>
                  <w:r>
                    <w:rPr>
                      <w:rFonts w:hint="default" w:ascii="Times New Roman" w:hAnsi="Times New Roman" w:cs="Times New Roman"/>
                      <w:color w:val="auto"/>
                      <w:szCs w:val="21"/>
                    </w:rPr>
                    <w:t>吨/年</w:t>
                  </w:r>
                </w:p>
              </w:tc>
              <w:tc>
                <w:tcPr>
                  <w:tcW w:w="1782"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市政管网</w:t>
                  </w:r>
                </w:p>
              </w:tc>
              <w:tc>
                <w:tcPr>
                  <w:tcW w:w="2077"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生产用水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74" w:type="dxa"/>
                  <w:vMerge w:val="continue"/>
                  <w:noWrap w:val="0"/>
                  <w:vAlign w:val="center"/>
                </w:tcPr>
                <w:p>
                  <w:pPr>
                    <w:jc w:val="center"/>
                    <w:rPr>
                      <w:rFonts w:hint="default" w:ascii="Times New Roman" w:hAnsi="Times New Roman" w:cs="Times New Roman"/>
                      <w:color w:val="auto"/>
                      <w:szCs w:val="21"/>
                    </w:rPr>
                  </w:pPr>
                </w:p>
              </w:tc>
              <w:tc>
                <w:tcPr>
                  <w:tcW w:w="1700" w:type="dxa"/>
                  <w:vMerge w:val="continue"/>
                  <w:noWrap w:val="0"/>
                  <w:vAlign w:val="center"/>
                </w:tcPr>
                <w:p>
                  <w:pPr>
                    <w:jc w:val="center"/>
                    <w:rPr>
                      <w:rFonts w:hint="default" w:ascii="Times New Roman" w:hAnsi="Times New Roman" w:cs="Times New Roman"/>
                      <w:color w:val="auto"/>
                      <w:szCs w:val="21"/>
                    </w:rPr>
                  </w:pPr>
                </w:p>
              </w:tc>
              <w:tc>
                <w:tcPr>
                  <w:tcW w:w="2025" w:type="dxa"/>
                  <w:noWrap w:val="0"/>
                  <w:vAlign w:val="center"/>
                </w:tcPr>
                <w:p>
                  <w:pPr>
                    <w:jc w:val="center"/>
                    <w:rPr>
                      <w:rFonts w:hint="default" w:ascii="Times New Roman" w:hAnsi="Times New Roman"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480</w:t>
                  </w:r>
                  <w:r>
                    <w:rPr>
                      <w:rFonts w:hint="default" w:ascii="Times New Roman" w:hAnsi="Times New Roman" w:cs="Times New Roman"/>
                      <w:color w:val="auto"/>
                      <w:szCs w:val="21"/>
                    </w:rPr>
                    <w:t>吨/年</w:t>
                  </w:r>
                </w:p>
              </w:tc>
              <w:tc>
                <w:tcPr>
                  <w:tcW w:w="1782"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市政管网</w:t>
                  </w:r>
                </w:p>
              </w:tc>
              <w:tc>
                <w:tcPr>
                  <w:tcW w:w="2077"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生活用水</w:t>
                  </w:r>
                </w:p>
              </w:tc>
            </w:tr>
          </w:tbl>
          <w:p>
            <w:pPr>
              <w:adjustRightInd w:val="0"/>
              <w:snapToGrid w:val="0"/>
              <w:spacing w:before="120" w:beforeLines="50" w:line="360" w:lineRule="auto"/>
              <w:ind w:firstLine="458" w:firstLineChars="200"/>
              <w:rPr>
                <w:rFonts w:hint="default" w:ascii="Times New Roman" w:hAnsi="Times New Roman" w:cs="Times New Roman"/>
                <w:b/>
                <w:bCs/>
                <w:color w:val="auto"/>
                <w:spacing w:val="-6"/>
                <w:sz w:val="24"/>
                <w:szCs w:val="24"/>
              </w:rPr>
            </w:pPr>
            <w:r>
              <w:rPr>
                <w:rFonts w:hint="default" w:ascii="Times New Roman" w:hAnsi="Times New Roman" w:cs="Times New Roman"/>
                <w:b/>
                <w:bCs/>
                <w:color w:val="auto"/>
                <w:spacing w:val="-6"/>
                <w:sz w:val="24"/>
                <w:szCs w:val="24"/>
              </w:rPr>
              <w:t>2.1.5 生产设备</w:t>
            </w:r>
          </w:p>
          <w:p>
            <w:pPr>
              <w:spacing w:line="360" w:lineRule="auto"/>
              <w:ind w:firstLine="480" w:firstLineChars="200"/>
              <w:rPr>
                <w:rFonts w:hint="default" w:ascii="Times New Roman" w:hAnsi="Times New Roman" w:cs="Times New Roman"/>
                <w:b/>
                <w:color w:val="auto"/>
                <w:sz w:val="24"/>
                <w:szCs w:val="24"/>
              </w:rPr>
            </w:pPr>
            <w:r>
              <w:rPr>
                <w:rFonts w:hint="default" w:ascii="Times New Roman" w:hAnsi="Times New Roman" w:cs="Times New Roman"/>
                <w:bCs/>
                <w:color w:val="auto"/>
                <w:sz w:val="24"/>
                <w:szCs w:val="24"/>
              </w:rPr>
              <w:t>项目主要生产设备见详</w:t>
            </w:r>
            <w:r>
              <w:rPr>
                <w:rFonts w:hint="eastAsia" w:ascii="Times New Roman" w:hAnsi="Times New Roman" w:cs="Times New Roman"/>
                <w:bCs/>
                <w:color w:val="auto"/>
                <w:sz w:val="24"/>
                <w:szCs w:val="24"/>
                <w:lang w:val="en-US" w:eastAsia="zh-CN"/>
              </w:rPr>
              <w:t>下</w:t>
            </w:r>
            <w:r>
              <w:rPr>
                <w:rFonts w:hint="default" w:ascii="Times New Roman" w:hAnsi="Times New Roman" w:cs="Times New Roman"/>
                <w:bCs/>
                <w:color w:val="auto"/>
                <w:sz w:val="24"/>
                <w:szCs w:val="24"/>
              </w:rPr>
              <w:t>表。</w:t>
            </w:r>
          </w:p>
          <w:p>
            <w:pPr>
              <w:spacing w:line="360" w:lineRule="auto"/>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default" w:ascii="Times New Roman" w:hAnsi="Times New Roman" w:cs="Times New Roman"/>
                <w:b/>
                <w:color w:val="auto"/>
                <w:sz w:val="24"/>
                <w:szCs w:val="24"/>
                <w:lang w:val="en-US" w:eastAsia="zh-CN"/>
              </w:rPr>
              <w:t>2-</w:t>
            </w:r>
            <w:r>
              <w:rPr>
                <w:rFonts w:hint="eastAsia" w:ascii="Times New Roman" w:hAnsi="Times New Roman" w:cs="Times New Roman"/>
                <w:b/>
                <w:color w:val="auto"/>
                <w:sz w:val="24"/>
                <w:szCs w:val="24"/>
                <w:lang w:val="en-US" w:eastAsia="zh-CN"/>
              </w:rPr>
              <w:t>9</w:t>
            </w:r>
            <w:r>
              <w:rPr>
                <w:rFonts w:hint="default" w:ascii="Times New Roman" w:hAnsi="Times New Roman" w:cs="Times New Roman"/>
                <w:b/>
                <w:color w:val="auto"/>
                <w:sz w:val="24"/>
                <w:szCs w:val="24"/>
              </w:rPr>
              <w:t xml:space="preserve"> </w:t>
            </w:r>
            <w:r>
              <w:rPr>
                <w:rFonts w:hint="default" w:ascii="Times New Roman" w:hAnsi="Times New Roman" w:cs="Times New Roman"/>
                <w:b/>
                <w:bCs/>
                <w:color w:val="auto"/>
                <w:sz w:val="24"/>
                <w:szCs w:val="24"/>
              </w:rPr>
              <w:t>项目</w:t>
            </w:r>
            <w:r>
              <w:rPr>
                <w:rFonts w:hint="default" w:ascii="Times New Roman" w:hAnsi="Times New Roman" w:cs="Times New Roman"/>
                <w:b/>
                <w:color w:val="auto"/>
                <w:sz w:val="24"/>
                <w:szCs w:val="24"/>
              </w:rPr>
              <w:t>主要生产设备一览表</w:t>
            </w:r>
          </w:p>
          <w:tbl>
            <w:tblPr>
              <w:tblStyle w:val="32"/>
              <w:tblW w:w="49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4"/>
              <w:gridCol w:w="1153"/>
              <w:gridCol w:w="1721"/>
              <w:gridCol w:w="885"/>
              <w:gridCol w:w="1574"/>
              <w:gridCol w:w="1214"/>
              <w:gridCol w:w="12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6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主要生产单元</w:t>
                  </w:r>
                </w:p>
              </w:tc>
              <w:tc>
                <w:tcPr>
                  <w:tcW w:w="10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设备名称</w:t>
                  </w:r>
                </w:p>
              </w:tc>
              <w:tc>
                <w:tcPr>
                  <w:tcW w:w="5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数量</w:t>
                  </w:r>
                </w:p>
              </w:tc>
              <w:tc>
                <w:tcPr>
                  <w:tcW w:w="94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lang w:val="en-US" w:eastAsia="zh-CN"/>
                    </w:rPr>
                    <w:t>型号/规格</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bCs/>
                      <w:color w:val="auto"/>
                      <w:szCs w:val="21"/>
                      <w:lang w:val="en-US" w:eastAsia="zh-CN"/>
                    </w:rPr>
                  </w:pPr>
                  <w:r>
                    <w:rPr>
                      <w:rFonts w:hint="eastAsia" w:ascii="Times New Roman" w:hAnsi="Times New Roman" w:eastAsia="宋体" w:cs="Times New Roman"/>
                      <w:b/>
                      <w:bCs/>
                      <w:color w:val="auto"/>
                      <w:szCs w:val="21"/>
                      <w:lang w:val="en-US" w:eastAsia="zh-CN"/>
                    </w:rPr>
                    <w:t>参数</w:t>
                  </w:r>
                </w:p>
              </w:tc>
              <w:tc>
                <w:tcPr>
                  <w:tcW w:w="7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snapToGrid w:val="0"/>
                      <w:color w:val="auto"/>
                      <w:szCs w:val="21"/>
                    </w:rPr>
                    <w:t>使用工序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b w:val="0"/>
                      <w:bCs w:val="0"/>
                      <w:color w:val="auto"/>
                      <w:szCs w:val="21"/>
                      <w:lang w:val="en-US" w:eastAsia="zh-CN"/>
                    </w:rPr>
                    <w:t>1</w:t>
                  </w:r>
                </w:p>
              </w:tc>
              <w:tc>
                <w:tcPr>
                  <w:tcW w:w="68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b w:val="0"/>
                      <w:bCs w:val="0"/>
                      <w:color w:val="auto"/>
                      <w:szCs w:val="21"/>
                      <w:lang w:val="en-US" w:eastAsia="zh-CN"/>
                    </w:rPr>
                    <w:t>产品生产</w:t>
                  </w: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搅拌机</w:t>
                  </w:r>
                </w:p>
              </w:tc>
              <w:tc>
                <w:tcPr>
                  <w:tcW w:w="529" w:type="pct"/>
                  <w:noWrap w:val="0"/>
                  <w:vAlign w:val="center"/>
                </w:tcPr>
                <w:p>
                  <w:pPr>
                    <w:adjustRightInd w:val="0"/>
                    <w:snapToGrid w:val="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4</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color w:val="auto"/>
                      <w:szCs w:val="21"/>
                    </w:rPr>
                    <w:t>红运200L</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30KW</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配料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b w:val="0"/>
                      <w:bCs w:val="0"/>
                      <w:color w:val="auto"/>
                      <w:szCs w:val="21"/>
                      <w:lang w:val="en-US" w:eastAsia="zh-CN"/>
                    </w:rPr>
                    <w:t>2</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涂布机</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2</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lang w:val="en-US" w:eastAsia="zh-CN"/>
                    </w:rPr>
                    <w:t>速度</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color w:val="auto"/>
                      <w:szCs w:val="21"/>
                      <w:lang w:val="en-US" w:eastAsia="zh-CN"/>
                    </w:rPr>
                    <w:t>12</w:t>
                  </w:r>
                  <w:r>
                    <w:rPr>
                      <w:rFonts w:hint="eastAsia" w:ascii="Times New Roman" w:hAnsi="Times New Roman" w:eastAsia="宋体" w:cs="Times New Roman"/>
                      <w:color w:val="auto"/>
                      <w:szCs w:val="21"/>
                      <w:lang w:val="en-US" w:eastAsia="zh-CN"/>
                    </w:rPr>
                    <w:t>0</w:t>
                  </w:r>
                  <w:r>
                    <w:rPr>
                      <w:rFonts w:hint="default" w:ascii="Times New Roman" w:hAnsi="Times New Roman" w:eastAsia="宋体" w:cs="Times New Roman"/>
                      <w:color w:val="auto"/>
                      <w:szCs w:val="21"/>
                      <w:lang w:val="en-US" w:eastAsia="zh-CN"/>
                    </w:rPr>
                    <w:t>m/</w:t>
                  </w:r>
                  <w:r>
                    <w:rPr>
                      <w:rFonts w:hint="eastAsia" w:ascii="Times New Roman" w:hAnsi="Times New Roman" w:eastAsia="宋体" w:cs="Times New Roman"/>
                      <w:color w:val="auto"/>
                      <w:szCs w:val="21"/>
                      <w:lang w:val="en-US" w:eastAsia="zh-CN"/>
                    </w:rPr>
                    <w:t>h</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涂布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3</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烤炉</w:t>
                  </w:r>
                </w:p>
              </w:tc>
              <w:tc>
                <w:tcPr>
                  <w:tcW w:w="529"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2条</w:t>
                  </w:r>
                </w:p>
              </w:tc>
              <w:tc>
                <w:tcPr>
                  <w:tcW w:w="941" w:type="pct"/>
                  <w:noWrap w:val="0"/>
                  <w:vAlign w:val="center"/>
                </w:tcPr>
                <w:p>
                  <w:pPr>
                    <w:snapToGrid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长度、温度</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Cs w:val="21"/>
                      <w:lang w:val="en-US" w:eastAsia="zh-CN"/>
                    </w:rPr>
                    <w:t>18m、90~125℃</w:t>
                  </w:r>
                </w:p>
              </w:tc>
              <w:tc>
                <w:tcPr>
                  <w:tcW w:w="745" w:type="pct"/>
                  <w:noWrap w:val="0"/>
                  <w:vAlign w:val="center"/>
                </w:tcPr>
                <w:p>
                  <w:pPr>
                    <w:snapToGrid w:val="0"/>
                    <w:jc w:val="center"/>
                    <w:rPr>
                      <w:rFonts w:hint="default" w:ascii="Times New Roman" w:hAnsi="Times New Roman" w:cs="Times New Roman"/>
                      <w:b w:val="0"/>
                      <w:bCs w:val="0"/>
                      <w:snapToGrid w:val="0"/>
                      <w:color w:val="auto"/>
                      <w:kern w:val="2"/>
                      <w:sz w:val="21"/>
                      <w:szCs w:val="21"/>
                      <w:lang w:val="en-US" w:eastAsia="zh-CN" w:bidi="ar-SA"/>
                    </w:rPr>
                  </w:pPr>
                  <w:r>
                    <w:rPr>
                      <w:rFonts w:hint="default" w:ascii="Times New Roman" w:hAnsi="Times New Roman" w:cs="Times New Roman"/>
                      <w:color w:val="auto"/>
                      <w:szCs w:val="21"/>
                    </w:rPr>
                    <w:t>烘烤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4</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辊压机</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2</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color w:val="auto"/>
                      <w:szCs w:val="21"/>
                    </w:rPr>
                    <w:t>邢台朝阳700</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20KW</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辊压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5</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分条机</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2</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color w:val="auto"/>
                      <w:szCs w:val="21"/>
                    </w:rPr>
                    <w:t>诚恩750</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5KW</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分条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6</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制片机</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8</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color w:val="auto"/>
                      <w:szCs w:val="21"/>
                    </w:rPr>
                    <w:t>泽源</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2KW</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制片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7</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卷绕机</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5</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color w:val="auto"/>
                      <w:szCs w:val="21"/>
                    </w:rPr>
                    <w:t>泽源</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10KW</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卷绕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8</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冲壳机</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4</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color w:val="auto"/>
                      <w:szCs w:val="21"/>
                    </w:rPr>
                    <w:t>超顺</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1KW</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冲壳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9</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顶侧封机</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12</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color w:val="auto"/>
                      <w:szCs w:val="21"/>
                    </w:rPr>
                    <w:t>晟捷</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2KW</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顶侧封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10</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烤箱</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8</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b w:val="0"/>
                      <w:bCs w:val="0"/>
                      <w:color w:val="auto"/>
                      <w:szCs w:val="21"/>
                      <w:lang w:val="en-US" w:eastAsia="zh-CN"/>
                    </w:rPr>
                    <w:t>/</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b w:val="0"/>
                      <w:bCs w:val="0"/>
                      <w:color w:val="auto"/>
                      <w:szCs w:val="21"/>
                      <w:lang w:val="en-US" w:eastAsia="zh-CN"/>
                    </w:rPr>
                    <w:t>/</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烘烤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11</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注液机</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5</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lang w:val="en-US" w:eastAsia="zh-CN"/>
                    </w:rPr>
                    <w:t>速度</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eastAsia="宋体" w:cs="Times New Roman"/>
                      <w:color w:val="auto"/>
                      <w:szCs w:val="21"/>
                      <w:lang w:val="en-US" w:eastAsia="zh-CN"/>
                    </w:rPr>
                    <w:t>20个/min</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注液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12</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化成柜</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18</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color w:val="auto"/>
                      <w:szCs w:val="21"/>
                    </w:rPr>
                    <w:t>丰谷</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10KW</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化成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b w:val="0"/>
                      <w:bCs w:val="0"/>
                      <w:color w:val="auto"/>
                      <w:szCs w:val="21"/>
                      <w:lang w:val="en-US" w:eastAsia="zh-CN"/>
                    </w:rPr>
                    <w:t>13</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二封机</w:t>
                  </w:r>
                </w:p>
              </w:tc>
              <w:tc>
                <w:tcPr>
                  <w:tcW w:w="529" w:type="pct"/>
                  <w:noWrap w:val="0"/>
                  <w:vAlign w:val="center"/>
                </w:tcPr>
                <w:p>
                  <w:pPr>
                    <w:adjustRightInd w:val="0"/>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5</w:t>
                  </w:r>
                  <w:r>
                    <w:rPr>
                      <w:rFonts w:hint="default" w:ascii="Times New Roman" w:hAnsi="Times New Roman" w:cs="Times New Roman"/>
                      <w:color w:val="auto"/>
                      <w:szCs w:val="21"/>
                      <w:lang w:val="en-US" w:eastAsia="zh-CN"/>
                    </w:rPr>
                    <w:t>台</w:t>
                  </w:r>
                </w:p>
              </w:tc>
              <w:tc>
                <w:tcPr>
                  <w:tcW w:w="941" w:type="pct"/>
                  <w:noWrap w:val="0"/>
                  <w:vAlign w:val="center"/>
                </w:tcPr>
                <w:p>
                  <w:pPr>
                    <w:snapToGrid w:val="0"/>
                    <w:jc w:val="center"/>
                    <w:rPr>
                      <w:rFonts w:hint="default" w:ascii="Times New Roman" w:hAnsi="Times New Roman" w:cs="Times New Roman"/>
                      <w:b w:val="0"/>
                      <w:bCs w:val="0"/>
                      <w:color w:val="auto"/>
                      <w:szCs w:val="21"/>
                      <w:lang w:val="en-US" w:eastAsia="zh-CN"/>
                    </w:rPr>
                  </w:pPr>
                  <w:r>
                    <w:rPr>
                      <w:rFonts w:hint="default" w:ascii="Times New Roman" w:hAnsi="Times New Roman" w:cs="Times New Roman"/>
                      <w:color w:val="auto"/>
                      <w:szCs w:val="21"/>
                    </w:rPr>
                    <w:t>晟捷</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szCs w:val="21"/>
                      <w:lang w:val="en-US" w:eastAsia="zh-CN"/>
                    </w:rPr>
                  </w:pPr>
                  <w:r>
                    <w:rPr>
                      <w:rFonts w:hint="default" w:ascii="Times New Roman" w:hAnsi="Times New Roman" w:cs="Times New Roman"/>
                      <w:color w:val="auto"/>
                      <w:szCs w:val="21"/>
                    </w:rPr>
                    <w:t>3KW</w:t>
                  </w:r>
                </w:p>
              </w:tc>
              <w:tc>
                <w:tcPr>
                  <w:tcW w:w="745" w:type="pct"/>
                  <w:noWrap w:val="0"/>
                  <w:vAlign w:val="center"/>
                </w:tcPr>
                <w:p>
                  <w:pPr>
                    <w:snapToGrid w:val="0"/>
                    <w:jc w:val="center"/>
                    <w:rPr>
                      <w:rFonts w:hint="default" w:ascii="Times New Roman" w:hAnsi="Times New Roman" w:cs="Times New Roman"/>
                      <w:b w:val="0"/>
                      <w:bCs w:val="0"/>
                      <w:snapToGrid w:val="0"/>
                      <w:color w:val="auto"/>
                      <w:szCs w:val="21"/>
                    </w:rPr>
                  </w:pPr>
                  <w:r>
                    <w:rPr>
                      <w:rFonts w:hint="default" w:ascii="Times New Roman" w:hAnsi="Times New Roman" w:cs="Times New Roman"/>
                      <w:color w:val="auto"/>
                      <w:szCs w:val="21"/>
                    </w:rPr>
                    <w:t>二封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2"/>
                      <w:sz w:val="21"/>
                      <w:szCs w:val="21"/>
                      <w:lang w:val="en-US" w:eastAsia="zh-CN" w:bidi="ar-SA"/>
                    </w:rPr>
                  </w:pPr>
                  <w:r>
                    <w:rPr>
                      <w:rFonts w:hint="default" w:ascii="Times New Roman" w:hAnsi="Times New Roman" w:cs="Times New Roman"/>
                      <w:snapToGrid w:val="0"/>
                      <w:color w:val="auto"/>
                      <w:szCs w:val="21"/>
                      <w:lang w:val="en-US" w:eastAsia="zh-CN"/>
                    </w:rPr>
                    <w:t>14</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NMP回收系统</w:t>
                  </w:r>
                </w:p>
              </w:tc>
              <w:tc>
                <w:tcPr>
                  <w:tcW w:w="529"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1套</w:t>
                  </w:r>
                </w:p>
              </w:tc>
              <w:tc>
                <w:tcPr>
                  <w:tcW w:w="941"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745"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涂布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snapToGrid w:val="0"/>
                      <w:color w:val="auto"/>
                      <w:szCs w:val="21"/>
                      <w:lang w:val="en-US" w:eastAsia="zh-CN"/>
                    </w:rPr>
                    <w:t>15</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Cs w:val="21"/>
                    </w:rPr>
                  </w:pPr>
                </w:p>
              </w:tc>
              <w:tc>
                <w:tcPr>
                  <w:tcW w:w="1029"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纯水机</w:t>
                  </w:r>
                </w:p>
              </w:tc>
              <w:tc>
                <w:tcPr>
                  <w:tcW w:w="529"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1台</w:t>
                  </w:r>
                </w:p>
              </w:tc>
              <w:tc>
                <w:tcPr>
                  <w:tcW w:w="941"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制水速率</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cs="Times New Roman"/>
                      <w:color w:val="auto"/>
                      <w:szCs w:val="21"/>
                      <w:lang w:val="en-US" w:eastAsia="zh-CN"/>
                    </w:rPr>
                    <w:t>500L/h</w:t>
                  </w:r>
                </w:p>
              </w:tc>
              <w:tc>
                <w:tcPr>
                  <w:tcW w:w="745" w:type="pct"/>
                  <w:noWrap w:val="0"/>
                  <w:vAlign w:val="center"/>
                </w:tcPr>
                <w:p>
                  <w:pPr>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制备纯水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kern w:val="2"/>
                      <w:sz w:val="21"/>
                      <w:szCs w:val="21"/>
                      <w:lang w:val="en-US" w:eastAsia="zh-CN" w:bidi="ar-SA"/>
                    </w:rPr>
                  </w:pPr>
                  <w:r>
                    <w:rPr>
                      <w:rFonts w:hint="default" w:ascii="Times New Roman" w:hAnsi="Times New Roman" w:cs="Times New Roman"/>
                      <w:color w:val="auto"/>
                      <w:szCs w:val="21"/>
                      <w:lang w:val="en-US" w:eastAsia="zh-CN"/>
                    </w:rPr>
                    <w:t>16</w:t>
                  </w:r>
                </w:p>
              </w:tc>
              <w:tc>
                <w:tcPr>
                  <w:tcW w:w="68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公用单元</w:t>
                  </w:r>
                </w:p>
              </w:tc>
              <w:tc>
                <w:tcPr>
                  <w:tcW w:w="10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冷却水塔</w:t>
                  </w:r>
                </w:p>
              </w:tc>
              <w:tc>
                <w:tcPr>
                  <w:tcW w:w="5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2</w:t>
                  </w:r>
                  <w:r>
                    <w:rPr>
                      <w:rFonts w:hint="default" w:ascii="Times New Roman" w:hAnsi="Times New Roman" w:cs="Times New Roman"/>
                      <w:color w:val="auto"/>
                      <w:szCs w:val="21"/>
                      <w:lang w:val="en-US" w:eastAsia="zh-CN"/>
                    </w:rPr>
                    <w:t>台</w:t>
                  </w:r>
                </w:p>
              </w:tc>
              <w:tc>
                <w:tcPr>
                  <w:tcW w:w="94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1t</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5KW</w:t>
                  </w:r>
                </w:p>
              </w:tc>
              <w:tc>
                <w:tcPr>
                  <w:tcW w:w="7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lang w:val="en-US" w:eastAsia="zh-CN"/>
                    </w:rPr>
                  </w:pPr>
                  <w:r>
                    <w:rPr>
                      <w:rFonts w:hint="default" w:ascii="Times New Roman" w:hAnsi="Times New Roman" w:eastAsia="宋体" w:cs="Times New Roman"/>
                      <w:snapToGrid w:val="0"/>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kern w:val="2"/>
                      <w:sz w:val="21"/>
                      <w:szCs w:val="21"/>
                      <w:lang w:val="en-US" w:eastAsia="zh-CN" w:bidi="ar-SA"/>
                    </w:rPr>
                  </w:pPr>
                  <w:r>
                    <w:rPr>
                      <w:rFonts w:hint="default" w:ascii="Times New Roman" w:hAnsi="Times New Roman" w:cs="Times New Roman"/>
                      <w:color w:val="auto"/>
                      <w:szCs w:val="21"/>
                      <w:lang w:val="en-US" w:eastAsia="zh-CN"/>
                    </w:rPr>
                    <w:t>17</w:t>
                  </w:r>
                </w:p>
              </w:tc>
              <w:tc>
                <w:tcPr>
                  <w:tcW w:w="68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Cs w:val="21"/>
                      <w:lang w:val="en-US" w:eastAsia="zh-CN"/>
                    </w:rPr>
                  </w:pPr>
                </w:p>
              </w:tc>
              <w:tc>
                <w:tcPr>
                  <w:tcW w:w="10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空压机</w:t>
                  </w:r>
                </w:p>
              </w:tc>
              <w:tc>
                <w:tcPr>
                  <w:tcW w:w="5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2台</w:t>
                  </w:r>
                </w:p>
              </w:tc>
              <w:tc>
                <w:tcPr>
                  <w:tcW w:w="94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30KW</w:t>
                  </w:r>
                </w:p>
              </w:tc>
              <w:tc>
                <w:tcPr>
                  <w:tcW w:w="7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lang w:val="en-US" w:eastAsia="zh-CN"/>
                    </w:rPr>
                  </w:pPr>
                  <w:r>
                    <w:rPr>
                      <w:rFonts w:hint="default" w:ascii="Times New Roman" w:hAnsi="Times New Roman" w:eastAsia="宋体" w:cs="Times New Roman"/>
                      <w:snapToGrid w:val="0"/>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37"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18</w:t>
                  </w:r>
                </w:p>
              </w:tc>
              <w:tc>
                <w:tcPr>
                  <w:tcW w:w="6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Cs w:val="21"/>
                    </w:rPr>
                  </w:pPr>
                  <w:r>
                    <w:rPr>
                      <w:rFonts w:hint="default" w:ascii="Times New Roman" w:hAnsi="Times New Roman" w:cs="Times New Roman"/>
                      <w:color w:val="auto"/>
                      <w:lang w:val="en-US" w:eastAsia="zh-CN"/>
                    </w:rPr>
                    <w:t>废气处理系统</w:t>
                  </w:r>
                </w:p>
              </w:tc>
              <w:tc>
                <w:tcPr>
                  <w:tcW w:w="10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Cs w:val="21"/>
                    </w:rPr>
                  </w:pPr>
                  <w:r>
                    <w:rPr>
                      <w:rFonts w:hint="default" w:ascii="Times New Roman" w:hAnsi="Times New Roman" w:cs="Times New Roman"/>
                      <w:color w:val="auto"/>
                      <w:lang w:val="en-US" w:eastAsia="zh-CN"/>
                    </w:rPr>
                    <w:t>布袋除尘器+二级活性炭吸附</w:t>
                  </w:r>
                </w:p>
              </w:tc>
              <w:tc>
                <w:tcPr>
                  <w:tcW w:w="52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Cs w:val="21"/>
                    </w:rPr>
                  </w:pPr>
                  <w:r>
                    <w:rPr>
                      <w:rFonts w:hint="default" w:ascii="Times New Roman" w:hAnsi="Times New Roman" w:cs="Times New Roman"/>
                      <w:color w:val="auto"/>
                      <w:lang w:val="en-US" w:eastAsia="zh-CN"/>
                    </w:rPr>
                    <w:t>1套</w:t>
                  </w:r>
                </w:p>
              </w:tc>
              <w:tc>
                <w:tcPr>
                  <w:tcW w:w="94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Cs w:val="21"/>
                      <w:lang w:val="en-US" w:eastAsia="zh-CN"/>
                    </w:rPr>
                  </w:pPr>
                  <w:r>
                    <w:rPr>
                      <w:rFonts w:hint="default" w:ascii="Times New Roman" w:hAnsi="Times New Roman" w:cs="Times New Roman"/>
                      <w:color w:val="auto"/>
                      <w:lang w:val="en-US" w:eastAsia="zh-CN"/>
                    </w:rPr>
                    <w:t>风量</w:t>
                  </w:r>
                </w:p>
              </w:tc>
              <w:tc>
                <w:tcPr>
                  <w:tcW w:w="72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18000m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lang w:val="en-US" w:eastAsia="zh-CN"/>
                    </w:rPr>
                    <w:t>/h</w:t>
                  </w:r>
                </w:p>
              </w:tc>
              <w:tc>
                <w:tcPr>
                  <w:tcW w:w="7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szCs w:val="21"/>
                      <w:lang w:val="en-US" w:eastAsia="zh-CN"/>
                    </w:rPr>
                  </w:pPr>
                  <w:r>
                    <w:rPr>
                      <w:rFonts w:hint="default" w:ascii="Times New Roman" w:hAnsi="Times New Roman" w:eastAsia="宋体" w:cs="Times New Roman"/>
                      <w:snapToGrid w:val="0"/>
                      <w:color w:val="auto"/>
                      <w:szCs w:val="21"/>
                      <w:lang w:val="en-US" w:eastAsia="zh-CN"/>
                    </w:rPr>
                    <w:t>废气处理</w:t>
                  </w:r>
                </w:p>
              </w:tc>
            </w:tr>
          </w:tbl>
          <w:p>
            <w:pPr>
              <w:adjustRightInd w:val="0"/>
              <w:snapToGrid w:val="0"/>
              <w:spacing w:before="120" w:beforeLines="50" w:line="360" w:lineRule="auto"/>
              <w:ind w:firstLine="458" w:firstLineChars="200"/>
              <w:jc w:val="left"/>
              <w:rPr>
                <w:rFonts w:hint="default" w:ascii="Times New Roman" w:hAnsi="Times New Roman" w:cs="Times New Roman"/>
                <w:b/>
                <w:bCs/>
                <w:color w:val="auto"/>
                <w:spacing w:val="-6"/>
                <w:sz w:val="24"/>
                <w:szCs w:val="24"/>
                <w:lang w:val="en-US" w:eastAsia="zh-CN"/>
              </w:rPr>
            </w:pPr>
            <w:r>
              <w:rPr>
                <w:rFonts w:hint="default" w:ascii="Times New Roman" w:hAnsi="Times New Roman" w:cs="Times New Roman"/>
                <w:b/>
                <w:bCs/>
                <w:color w:val="auto"/>
                <w:spacing w:val="-6"/>
                <w:sz w:val="24"/>
                <w:szCs w:val="24"/>
                <w:lang w:val="en-US" w:eastAsia="zh-CN"/>
              </w:rPr>
              <w:t>产能匹配性分析：</w:t>
            </w:r>
          </w:p>
          <w:p>
            <w:pPr>
              <w:pStyle w:val="31"/>
              <w:keepNext w:val="0"/>
              <w:keepLines w:val="0"/>
              <w:pageBreakBefore w:val="0"/>
              <w:widowControl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spacing w:val="-6"/>
                <w:sz w:val="24"/>
                <w:szCs w:val="24"/>
                <w:highlight w:val="none"/>
                <w:lang w:val="en-US" w:eastAsia="zh-CN"/>
              </w:rPr>
              <w:t>表2-1</w:t>
            </w:r>
            <w:r>
              <w:rPr>
                <w:rFonts w:hint="eastAsia" w:ascii="Times New Roman" w:hAnsi="Times New Roman" w:cs="Times New Roman"/>
                <w:b/>
                <w:bCs/>
                <w:color w:val="auto"/>
                <w:spacing w:val="-6"/>
                <w:sz w:val="24"/>
                <w:szCs w:val="24"/>
                <w:highlight w:val="none"/>
                <w:lang w:val="en-US" w:eastAsia="zh-CN"/>
              </w:rPr>
              <w:t>0</w:t>
            </w:r>
            <w:r>
              <w:rPr>
                <w:rFonts w:hint="default" w:ascii="Times New Roman" w:hAnsi="Times New Roman" w:cs="Times New Roman"/>
                <w:b/>
                <w:bCs/>
                <w:color w:val="auto"/>
                <w:spacing w:val="-6"/>
                <w:sz w:val="24"/>
                <w:szCs w:val="24"/>
                <w:highlight w:val="none"/>
                <w:lang w:val="en-US" w:eastAsia="zh-CN"/>
              </w:rPr>
              <w:t xml:space="preserve"> 涂布机产能核算</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5"/>
              <w:gridCol w:w="1217"/>
              <w:gridCol w:w="1572"/>
              <w:gridCol w:w="1395"/>
              <w:gridCol w:w="1395"/>
              <w:gridCol w:w="1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设备名称</w:t>
                  </w:r>
                </w:p>
              </w:tc>
              <w:tc>
                <w:tcPr>
                  <w:tcW w:w="726"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台数</w:t>
                  </w:r>
                </w:p>
              </w:tc>
              <w:tc>
                <w:tcPr>
                  <w:tcW w:w="938"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设备生产能力（米/小时）</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年工作时间（小时）</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涂布段宽度（毫米）</w:t>
                  </w:r>
                </w:p>
              </w:tc>
              <w:tc>
                <w:tcPr>
                  <w:tcW w:w="837"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设计生产能力（平方米）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正极涂布</w:t>
                  </w:r>
                </w:p>
              </w:tc>
              <w:tc>
                <w:tcPr>
                  <w:tcW w:w="726"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1</w:t>
                  </w:r>
                </w:p>
              </w:tc>
              <w:tc>
                <w:tcPr>
                  <w:tcW w:w="938"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12</w:t>
                  </w:r>
                  <w:r>
                    <w:rPr>
                      <w:rFonts w:hint="eastAsia" w:ascii="Times New Roman" w:hAnsi="Times New Roman" w:cs="Times New Roman"/>
                      <w:b w:val="0"/>
                      <w:bCs w:val="0"/>
                      <w:color w:val="auto"/>
                      <w:spacing w:val="-6"/>
                      <w:sz w:val="21"/>
                      <w:szCs w:val="21"/>
                      <w:highlight w:val="none"/>
                      <w:vertAlign w:val="baseline"/>
                      <w:lang w:val="en-US" w:eastAsia="zh-CN"/>
                    </w:rPr>
                    <w:t>0</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2</w:t>
                  </w:r>
                  <w:r>
                    <w:rPr>
                      <w:rFonts w:hint="default" w:ascii="Times New Roman" w:hAnsi="Times New Roman" w:cs="Times New Roman"/>
                      <w:b w:val="0"/>
                      <w:bCs w:val="0"/>
                      <w:color w:val="auto"/>
                      <w:spacing w:val="-6"/>
                      <w:sz w:val="21"/>
                      <w:szCs w:val="21"/>
                      <w:highlight w:val="none"/>
                      <w:vertAlign w:val="baseline"/>
                      <w:lang w:val="en-US" w:eastAsia="zh-CN"/>
                    </w:rPr>
                    <w:t>8</w:t>
                  </w:r>
                  <w:r>
                    <w:rPr>
                      <w:rFonts w:hint="eastAsia" w:ascii="Times New Roman" w:hAnsi="Times New Roman" w:cs="Times New Roman"/>
                      <w:b w:val="0"/>
                      <w:bCs w:val="0"/>
                      <w:color w:val="auto"/>
                      <w:spacing w:val="-6"/>
                      <w:sz w:val="21"/>
                      <w:szCs w:val="21"/>
                      <w:highlight w:val="none"/>
                      <w:vertAlign w:val="baseline"/>
                      <w:lang w:val="en-US" w:eastAsia="zh-CN"/>
                    </w:rPr>
                    <w:t>0</w:t>
                  </w:r>
                  <w:r>
                    <w:rPr>
                      <w:rFonts w:hint="default" w:ascii="Times New Roman" w:hAnsi="Times New Roman" w:cs="Times New Roman"/>
                      <w:b w:val="0"/>
                      <w:bCs w:val="0"/>
                      <w:color w:val="auto"/>
                      <w:spacing w:val="-6"/>
                      <w:sz w:val="21"/>
                      <w:szCs w:val="21"/>
                      <w:highlight w:val="none"/>
                      <w:vertAlign w:val="baseline"/>
                      <w:lang w:val="en-US" w:eastAsia="zh-CN"/>
                    </w:rPr>
                    <w:t>0</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560</w:t>
                  </w:r>
                </w:p>
              </w:tc>
              <w:tc>
                <w:tcPr>
                  <w:tcW w:w="837"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188160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负极涂布</w:t>
                  </w:r>
                </w:p>
              </w:tc>
              <w:tc>
                <w:tcPr>
                  <w:tcW w:w="726"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1</w:t>
                  </w:r>
                </w:p>
              </w:tc>
              <w:tc>
                <w:tcPr>
                  <w:tcW w:w="938"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12</w:t>
                  </w:r>
                  <w:r>
                    <w:rPr>
                      <w:rFonts w:hint="eastAsia" w:ascii="Times New Roman" w:hAnsi="Times New Roman" w:cs="Times New Roman"/>
                      <w:b w:val="0"/>
                      <w:bCs w:val="0"/>
                      <w:color w:val="auto"/>
                      <w:spacing w:val="-6"/>
                      <w:sz w:val="21"/>
                      <w:szCs w:val="21"/>
                      <w:highlight w:val="none"/>
                      <w:vertAlign w:val="baseline"/>
                      <w:lang w:val="en-US" w:eastAsia="zh-CN"/>
                    </w:rPr>
                    <w:t>0</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280</w:t>
                  </w:r>
                  <w:r>
                    <w:rPr>
                      <w:rFonts w:hint="default" w:ascii="Times New Roman" w:hAnsi="Times New Roman" w:cs="Times New Roman"/>
                      <w:b w:val="0"/>
                      <w:bCs w:val="0"/>
                      <w:color w:val="auto"/>
                      <w:spacing w:val="-6"/>
                      <w:sz w:val="21"/>
                      <w:szCs w:val="21"/>
                      <w:highlight w:val="none"/>
                      <w:vertAlign w:val="baseline"/>
                      <w:lang w:val="en-US" w:eastAsia="zh-CN"/>
                    </w:rPr>
                    <w:t>0</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460</w:t>
                  </w:r>
                </w:p>
              </w:tc>
              <w:tc>
                <w:tcPr>
                  <w:tcW w:w="837"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154560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注：</w:t>
                  </w:r>
                  <w:r>
                    <w:rPr>
                      <w:rFonts w:hint="default" w:ascii="Times New Roman" w:hAnsi="Times New Roman" w:eastAsia="宋体" w:cs="Times New Roman"/>
                      <w:b w:val="0"/>
                      <w:bCs w:val="0"/>
                      <w:color w:val="auto"/>
                      <w:spacing w:val="-6"/>
                      <w:sz w:val="21"/>
                      <w:szCs w:val="21"/>
                      <w:highlight w:val="none"/>
                      <w:vertAlign w:val="baseline"/>
                      <w:lang w:val="en-US" w:eastAsia="zh-CN"/>
                    </w:rPr>
                    <w:t>①项目涂布每天工作</w:t>
                  </w:r>
                  <w:r>
                    <w:rPr>
                      <w:rFonts w:hint="eastAsia" w:ascii="Times New Roman" w:hAnsi="Times New Roman" w:eastAsia="宋体" w:cs="Times New Roman"/>
                      <w:b w:val="0"/>
                      <w:bCs w:val="0"/>
                      <w:color w:val="auto"/>
                      <w:spacing w:val="-6"/>
                      <w:sz w:val="21"/>
                      <w:szCs w:val="21"/>
                      <w:highlight w:val="none"/>
                      <w:vertAlign w:val="baseline"/>
                      <w:lang w:val="en-US" w:eastAsia="zh-CN"/>
                    </w:rPr>
                    <w:t>10</w:t>
                  </w:r>
                  <w:r>
                    <w:rPr>
                      <w:rFonts w:hint="default" w:ascii="Times New Roman" w:hAnsi="Times New Roman" w:eastAsia="宋体" w:cs="Times New Roman"/>
                      <w:b w:val="0"/>
                      <w:bCs w:val="0"/>
                      <w:color w:val="auto"/>
                      <w:spacing w:val="-6"/>
                      <w:sz w:val="21"/>
                      <w:szCs w:val="21"/>
                      <w:highlight w:val="none"/>
                      <w:vertAlign w:val="baseline"/>
                      <w:lang w:val="en-US" w:eastAsia="zh-CN"/>
                    </w:rPr>
                    <w:t>小时，每年工作</w:t>
                  </w:r>
                  <w:r>
                    <w:rPr>
                      <w:rFonts w:hint="eastAsia" w:ascii="Times New Roman" w:hAnsi="Times New Roman" w:eastAsia="宋体" w:cs="Times New Roman"/>
                      <w:b w:val="0"/>
                      <w:bCs w:val="0"/>
                      <w:color w:val="auto"/>
                      <w:spacing w:val="-6"/>
                      <w:sz w:val="21"/>
                      <w:szCs w:val="21"/>
                      <w:highlight w:val="none"/>
                      <w:vertAlign w:val="baseline"/>
                      <w:lang w:val="en-US" w:eastAsia="zh-CN"/>
                    </w:rPr>
                    <w:t>28</w:t>
                  </w:r>
                  <w:r>
                    <w:rPr>
                      <w:rFonts w:hint="default" w:ascii="Times New Roman" w:hAnsi="Times New Roman" w:eastAsia="宋体" w:cs="Times New Roman"/>
                      <w:b w:val="0"/>
                      <w:bCs w:val="0"/>
                      <w:color w:val="auto"/>
                      <w:spacing w:val="-6"/>
                      <w:sz w:val="21"/>
                      <w:szCs w:val="21"/>
                      <w:highlight w:val="none"/>
                      <w:vertAlign w:val="baseline"/>
                      <w:lang w:val="en-US" w:eastAsia="zh-CN"/>
                    </w:rPr>
                    <w:t>00小时。</w:t>
                  </w: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420" w:firstLineChars="200"/>
                    <w:jc w:val="both"/>
                    <w:textAlignment w:val="auto"/>
                    <w:rPr>
                      <w:rFonts w:hint="default" w:ascii="Times New Roman" w:hAnsi="Times New Roman" w:cs="Times New Roman"/>
                      <w:b w:val="0"/>
                      <w:bCs w:val="0"/>
                      <w:color w:val="auto"/>
                      <w:spacing w:val="-6"/>
                      <w:sz w:val="21"/>
                      <w:szCs w:val="21"/>
                      <w:highlight w:val="none"/>
                      <w:vertAlign w:val="baseline"/>
                      <w:lang w:val="en-US" w:eastAsia="zh-CN"/>
                    </w:rPr>
                  </w:pPr>
                  <w:r>
                    <w:rPr>
                      <w:rFonts w:hint="default" w:ascii="Times New Roman" w:hAnsi="Times New Roman" w:eastAsia="宋体" w:cs="Times New Roman"/>
                      <w:b w:val="0"/>
                      <w:bCs w:val="0"/>
                      <w:color w:val="auto"/>
                      <w:highlight w:val="none"/>
                      <w:lang w:val="en-US" w:eastAsia="zh-CN"/>
                    </w:rPr>
                    <w:t>②</w:t>
                  </w:r>
                  <w:r>
                    <w:rPr>
                      <w:rFonts w:hint="default" w:ascii="Times New Roman" w:hAnsi="Times New Roman" w:cs="Times New Roman"/>
                      <w:b w:val="0"/>
                      <w:bCs w:val="0"/>
                      <w:color w:val="auto"/>
                      <w:spacing w:val="-6"/>
                      <w:sz w:val="21"/>
                      <w:szCs w:val="21"/>
                      <w:highlight w:val="none"/>
                      <w:vertAlign w:val="baseline"/>
                      <w:lang w:val="en-US" w:eastAsia="zh-CN"/>
                    </w:rPr>
                    <w:t>单台设计生产能力=设备生产能力×年工作时间×涂布段宽度。</w:t>
                  </w:r>
                </w:p>
                <w:p>
                  <w:pPr>
                    <w:pStyle w:val="31"/>
                    <w:keepNext w:val="0"/>
                    <w:keepLines w:val="0"/>
                    <w:pageBreakBefore w:val="0"/>
                    <w:widowControl w:val="0"/>
                    <w:kinsoku/>
                    <w:wordWrap/>
                    <w:overflowPunct/>
                    <w:topLinePunct w:val="0"/>
                    <w:autoSpaceDE/>
                    <w:autoSpaceDN/>
                    <w:bidi w:val="0"/>
                    <w:spacing w:after="0" w:line="240" w:lineRule="auto"/>
                    <w:ind w:left="0" w:leftChars="0" w:firstLine="396" w:firstLineChars="200"/>
                    <w:jc w:val="both"/>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eastAsia="宋体" w:cs="Times New Roman"/>
                      <w:b w:val="0"/>
                      <w:bCs w:val="0"/>
                      <w:color w:val="auto"/>
                      <w:spacing w:val="-6"/>
                      <w:sz w:val="21"/>
                      <w:szCs w:val="21"/>
                      <w:highlight w:val="none"/>
                      <w:vertAlign w:val="baseline"/>
                      <w:lang w:val="en-US" w:eastAsia="zh-CN"/>
                    </w:rPr>
                    <w:t>③</w:t>
                  </w:r>
                  <w:r>
                    <w:rPr>
                      <w:rFonts w:hint="default" w:ascii="Times New Roman" w:hAnsi="Times New Roman" w:cs="Times New Roman"/>
                      <w:b w:val="0"/>
                      <w:bCs w:val="0"/>
                      <w:color w:val="auto"/>
                      <w:spacing w:val="-6"/>
                      <w:sz w:val="21"/>
                      <w:szCs w:val="21"/>
                      <w:highlight w:val="none"/>
                      <w:vertAlign w:val="baseline"/>
                      <w:lang w:val="en-US" w:eastAsia="zh-CN"/>
                    </w:rPr>
                    <w:t>项目设备设计生产能力为</w:t>
                  </w:r>
                  <w:r>
                    <w:rPr>
                      <w:rFonts w:hint="eastAsia" w:ascii="Times New Roman" w:hAnsi="Times New Roman" w:cs="Times New Roman"/>
                      <w:b w:val="0"/>
                      <w:bCs w:val="0"/>
                      <w:color w:val="auto"/>
                      <w:spacing w:val="-6"/>
                      <w:sz w:val="21"/>
                      <w:szCs w:val="21"/>
                      <w:highlight w:val="none"/>
                      <w:vertAlign w:val="baseline"/>
                      <w:lang w:val="en-US" w:eastAsia="zh-CN"/>
                    </w:rPr>
                    <w:t>342720</w:t>
                  </w:r>
                  <w:r>
                    <w:rPr>
                      <w:rFonts w:hint="default" w:ascii="Times New Roman" w:hAnsi="Times New Roman" w:cs="Times New Roman"/>
                      <w:b w:val="0"/>
                      <w:bCs w:val="0"/>
                      <w:color w:val="auto"/>
                      <w:spacing w:val="-6"/>
                      <w:sz w:val="21"/>
                      <w:szCs w:val="21"/>
                      <w:highlight w:val="none"/>
                      <w:vertAlign w:val="baseline"/>
                      <w:lang w:val="en-US" w:eastAsia="zh-CN"/>
                    </w:rPr>
                    <w:t>m</w:t>
                  </w:r>
                  <w:r>
                    <w:rPr>
                      <w:rFonts w:hint="default" w:ascii="Times New Roman" w:hAnsi="Times New Roman" w:cs="Times New Roman"/>
                      <w:b w:val="0"/>
                      <w:bCs w:val="0"/>
                      <w:color w:val="auto"/>
                      <w:spacing w:val="-6"/>
                      <w:sz w:val="21"/>
                      <w:szCs w:val="21"/>
                      <w:highlight w:val="none"/>
                      <w:vertAlign w:val="superscript"/>
                      <w:lang w:val="en-US" w:eastAsia="zh-CN"/>
                    </w:rPr>
                    <w:t>2</w:t>
                  </w:r>
                  <w:r>
                    <w:rPr>
                      <w:rFonts w:hint="default" w:ascii="Times New Roman" w:hAnsi="Times New Roman" w:cs="Times New Roman"/>
                      <w:b w:val="0"/>
                      <w:bCs w:val="0"/>
                      <w:color w:val="auto"/>
                      <w:spacing w:val="-6"/>
                      <w:sz w:val="21"/>
                      <w:szCs w:val="21"/>
                      <w:highlight w:val="none"/>
                      <w:vertAlign w:val="baseline"/>
                      <w:lang w:val="en-US" w:eastAsia="zh-CN"/>
                    </w:rPr>
                    <w:t>，项目单只产品总涂布面积（含正极、负极）为0.0</w:t>
                  </w:r>
                  <w:r>
                    <w:rPr>
                      <w:rFonts w:hint="eastAsia" w:ascii="Times New Roman" w:hAnsi="Times New Roman" w:cs="Times New Roman"/>
                      <w:b w:val="0"/>
                      <w:bCs w:val="0"/>
                      <w:color w:val="auto"/>
                      <w:spacing w:val="-6"/>
                      <w:sz w:val="21"/>
                      <w:szCs w:val="21"/>
                      <w:highlight w:val="none"/>
                      <w:vertAlign w:val="baseline"/>
                      <w:lang w:val="en-US" w:eastAsia="zh-CN"/>
                    </w:rPr>
                    <w:t>3</w:t>
                  </w:r>
                  <w:r>
                    <w:rPr>
                      <w:rFonts w:hint="default" w:ascii="Times New Roman" w:hAnsi="Times New Roman" w:cs="Times New Roman"/>
                      <w:b w:val="0"/>
                      <w:bCs w:val="0"/>
                      <w:color w:val="auto"/>
                      <w:spacing w:val="-6"/>
                      <w:sz w:val="21"/>
                      <w:szCs w:val="21"/>
                      <w:highlight w:val="none"/>
                      <w:vertAlign w:val="baseline"/>
                      <w:lang w:val="en-US" w:eastAsia="zh-CN"/>
                    </w:rPr>
                    <w:t>m</w:t>
                  </w:r>
                  <w:r>
                    <w:rPr>
                      <w:rFonts w:hint="default" w:ascii="Times New Roman" w:hAnsi="Times New Roman" w:cs="Times New Roman"/>
                      <w:b w:val="0"/>
                      <w:bCs w:val="0"/>
                      <w:color w:val="auto"/>
                      <w:spacing w:val="-6"/>
                      <w:sz w:val="21"/>
                      <w:szCs w:val="21"/>
                      <w:highlight w:val="none"/>
                      <w:vertAlign w:val="superscript"/>
                      <w:lang w:val="en-US" w:eastAsia="zh-CN"/>
                    </w:rPr>
                    <w:t>2</w:t>
                  </w:r>
                  <w:r>
                    <w:rPr>
                      <w:rFonts w:hint="default" w:ascii="Times New Roman" w:hAnsi="Times New Roman" w:cs="Times New Roman"/>
                      <w:b w:val="0"/>
                      <w:bCs w:val="0"/>
                      <w:color w:val="auto"/>
                      <w:spacing w:val="-6"/>
                      <w:sz w:val="21"/>
                      <w:szCs w:val="21"/>
                      <w:highlight w:val="none"/>
                      <w:vertAlign w:val="baseline"/>
                      <w:lang w:val="en-US" w:eastAsia="zh-CN"/>
                    </w:rPr>
                    <w:t>，项目的设计生产能力为1000万个/年，则总涂布面积为</w:t>
                  </w:r>
                  <w:r>
                    <w:rPr>
                      <w:rFonts w:hint="eastAsia" w:ascii="Times New Roman" w:hAnsi="Times New Roman" w:cs="Times New Roman"/>
                      <w:b w:val="0"/>
                      <w:bCs w:val="0"/>
                      <w:color w:val="auto"/>
                      <w:spacing w:val="-6"/>
                      <w:sz w:val="21"/>
                      <w:szCs w:val="21"/>
                      <w:highlight w:val="none"/>
                      <w:vertAlign w:val="baseline"/>
                      <w:lang w:val="en-US" w:eastAsia="zh-CN"/>
                    </w:rPr>
                    <w:t>300</w:t>
                  </w:r>
                  <w:r>
                    <w:rPr>
                      <w:rFonts w:hint="default" w:ascii="Times New Roman" w:hAnsi="Times New Roman" w:cs="Times New Roman"/>
                      <w:b w:val="0"/>
                      <w:bCs w:val="0"/>
                      <w:color w:val="auto"/>
                      <w:spacing w:val="-6"/>
                      <w:sz w:val="21"/>
                      <w:szCs w:val="21"/>
                      <w:highlight w:val="none"/>
                      <w:vertAlign w:val="baseline"/>
                      <w:lang w:val="en-US" w:eastAsia="zh-CN"/>
                    </w:rPr>
                    <w:t>000m</w:t>
                  </w:r>
                  <w:r>
                    <w:rPr>
                      <w:rFonts w:hint="default" w:ascii="Times New Roman" w:hAnsi="Times New Roman" w:cs="Times New Roman"/>
                      <w:b w:val="0"/>
                      <w:bCs w:val="0"/>
                      <w:color w:val="auto"/>
                      <w:spacing w:val="-6"/>
                      <w:sz w:val="21"/>
                      <w:szCs w:val="21"/>
                      <w:highlight w:val="none"/>
                      <w:vertAlign w:val="superscript"/>
                      <w:lang w:val="en-US" w:eastAsia="zh-CN"/>
                    </w:rPr>
                    <w:t>2</w:t>
                  </w:r>
                  <w:r>
                    <w:rPr>
                      <w:rFonts w:hint="default" w:ascii="Times New Roman" w:hAnsi="Times New Roman" w:cs="Times New Roman"/>
                      <w:b w:val="0"/>
                      <w:bCs w:val="0"/>
                      <w:color w:val="auto"/>
                      <w:spacing w:val="-6"/>
                      <w:sz w:val="21"/>
                      <w:szCs w:val="21"/>
                      <w:highlight w:val="none"/>
                      <w:vertAlign w:val="baseline"/>
                      <w:lang w:val="en-US" w:eastAsia="zh-CN"/>
                    </w:rPr>
                    <w:t>。设备涂布机总涂布设计生产能力满足产品总涂布面积需求。</w:t>
                  </w:r>
                </w:p>
              </w:tc>
            </w:tr>
          </w:tbl>
          <w:p>
            <w:pPr>
              <w:pStyle w:val="31"/>
              <w:keepNext w:val="0"/>
              <w:keepLines w:val="0"/>
              <w:pageBreakBefore w:val="0"/>
              <w:widowControl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spacing w:val="-6"/>
                <w:sz w:val="24"/>
                <w:szCs w:val="24"/>
                <w:highlight w:val="none"/>
                <w:lang w:val="en-US" w:eastAsia="zh-CN"/>
              </w:rPr>
              <w:t xml:space="preserve">表2-11 </w:t>
            </w:r>
            <w:r>
              <w:rPr>
                <w:rFonts w:hint="eastAsia" w:ascii="Times New Roman" w:hAnsi="Times New Roman" w:cs="Times New Roman"/>
                <w:b/>
                <w:bCs/>
                <w:color w:val="auto"/>
                <w:spacing w:val="-6"/>
                <w:sz w:val="24"/>
                <w:szCs w:val="24"/>
                <w:highlight w:val="none"/>
                <w:lang w:val="en-US" w:eastAsia="zh-CN"/>
              </w:rPr>
              <w:t>注液</w:t>
            </w:r>
            <w:r>
              <w:rPr>
                <w:rFonts w:hint="default" w:ascii="Times New Roman" w:hAnsi="Times New Roman" w:cs="Times New Roman"/>
                <w:b/>
                <w:bCs/>
                <w:color w:val="auto"/>
                <w:spacing w:val="-6"/>
                <w:sz w:val="24"/>
                <w:szCs w:val="24"/>
                <w:highlight w:val="none"/>
                <w:lang w:val="en-US" w:eastAsia="zh-CN"/>
              </w:rPr>
              <w:t>机产能核算</w:t>
            </w:r>
          </w:p>
          <w:tbl>
            <w:tblPr>
              <w:tblStyle w:val="3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0"/>
              <w:gridCol w:w="1204"/>
              <w:gridCol w:w="1583"/>
              <w:gridCol w:w="1395"/>
              <w:gridCol w:w="1395"/>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30"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设备名称</w:t>
                  </w:r>
                </w:p>
              </w:tc>
              <w:tc>
                <w:tcPr>
                  <w:tcW w:w="718"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台数</w:t>
                  </w:r>
                </w:p>
              </w:tc>
              <w:tc>
                <w:tcPr>
                  <w:tcW w:w="944"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每台</w:t>
                  </w:r>
                  <w:r>
                    <w:rPr>
                      <w:rFonts w:hint="default" w:ascii="Times New Roman" w:hAnsi="Times New Roman" w:cs="Times New Roman"/>
                      <w:b w:val="0"/>
                      <w:bCs w:val="0"/>
                      <w:color w:val="auto"/>
                      <w:spacing w:val="-6"/>
                      <w:sz w:val="21"/>
                      <w:szCs w:val="21"/>
                      <w:highlight w:val="none"/>
                      <w:vertAlign w:val="baseline"/>
                      <w:lang w:val="en-US" w:eastAsia="zh-CN"/>
                    </w:rPr>
                    <w:t>设备生产能力（</w:t>
                  </w:r>
                  <w:r>
                    <w:rPr>
                      <w:rFonts w:hint="eastAsia" w:ascii="Times New Roman" w:hAnsi="Times New Roman" w:cs="Times New Roman"/>
                      <w:b w:val="0"/>
                      <w:bCs w:val="0"/>
                      <w:color w:val="auto"/>
                      <w:spacing w:val="-6"/>
                      <w:sz w:val="21"/>
                      <w:szCs w:val="21"/>
                      <w:highlight w:val="none"/>
                      <w:vertAlign w:val="baseline"/>
                      <w:lang w:val="en-US" w:eastAsia="zh-CN"/>
                    </w:rPr>
                    <w:t>个</w:t>
                  </w:r>
                  <w:r>
                    <w:rPr>
                      <w:rFonts w:hint="default" w:ascii="Times New Roman" w:hAnsi="Times New Roman" w:cs="Times New Roman"/>
                      <w:b w:val="0"/>
                      <w:bCs w:val="0"/>
                      <w:color w:val="auto"/>
                      <w:spacing w:val="-6"/>
                      <w:sz w:val="21"/>
                      <w:szCs w:val="21"/>
                      <w:highlight w:val="none"/>
                      <w:vertAlign w:val="baseline"/>
                      <w:lang w:val="en-US" w:eastAsia="zh-CN"/>
                    </w:rPr>
                    <w:t>/</w:t>
                  </w:r>
                  <w:r>
                    <w:rPr>
                      <w:rFonts w:hint="eastAsia" w:ascii="Times New Roman" w:hAnsi="Times New Roman" w:cs="Times New Roman"/>
                      <w:b w:val="0"/>
                      <w:bCs w:val="0"/>
                      <w:color w:val="auto"/>
                      <w:spacing w:val="-6"/>
                      <w:sz w:val="21"/>
                      <w:szCs w:val="21"/>
                      <w:highlight w:val="none"/>
                      <w:vertAlign w:val="baseline"/>
                      <w:lang w:val="en-US" w:eastAsia="zh-CN"/>
                    </w:rPr>
                    <w:t>分钟</w:t>
                  </w:r>
                  <w:r>
                    <w:rPr>
                      <w:rFonts w:hint="default" w:ascii="Times New Roman" w:hAnsi="Times New Roman" w:cs="Times New Roman"/>
                      <w:b w:val="0"/>
                      <w:bCs w:val="0"/>
                      <w:color w:val="auto"/>
                      <w:spacing w:val="-6"/>
                      <w:sz w:val="21"/>
                      <w:szCs w:val="21"/>
                      <w:highlight w:val="none"/>
                      <w:vertAlign w:val="baseline"/>
                      <w:lang w:val="en-US" w:eastAsia="zh-CN"/>
                    </w:rPr>
                    <w:t>）</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年工作时间（小时）</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每台生产能力</w:t>
                  </w:r>
                  <w:r>
                    <w:rPr>
                      <w:rFonts w:hint="default" w:ascii="Times New Roman" w:hAnsi="Times New Roman" w:cs="Times New Roman"/>
                      <w:b w:val="0"/>
                      <w:bCs w:val="0"/>
                      <w:color w:val="auto"/>
                      <w:spacing w:val="-6"/>
                      <w:sz w:val="21"/>
                      <w:szCs w:val="21"/>
                      <w:highlight w:val="none"/>
                      <w:vertAlign w:val="baseline"/>
                      <w:lang w:val="en-US" w:eastAsia="zh-CN"/>
                    </w:rPr>
                    <w:t>（</w:t>
                  </w:r>
                  <w:r>
                    <w:rPr>
                      <w:rFonts w:hint="eastAsia" w:ascii="Times New Roman" w:hAnsi="Times New Roman" w:cs="Times New Roman"/>
                      <w:b w:val="0"/>
                      <w:bCs w:val="0"/>
                      <w:color w:val="auto"/>
                      <w:spacing w:val="-6"/>
                      <w:sz w:val="21"/>
                      <w:szCs w:val="21"/>
                      <w:highlight w:val="none"/>
                      <w:vertAlign w:val="baseline"/>
                      <w:lang w:val="en-US" w:eastAsia="zh-CN"/>
                    </w:rPr>
                    <w:t>个/年</w:t>
                  </w:r>
                  <w:r>
                    <w:rPr>
                      <w:rFonts w:hint="default" w:ascii="Times New Roman" w:hAnsi="Times New Roman" w:cs="Times New Roman"/>
                      <w:b w:val="0"/>
                      <w:bCs w:val="0"/>
                      <w:color w:val="auto"/>
                      <w:spacing w:val="-6"/>
                      <w:sz w:val="21"/>
                      <w:szCs w:val="21"/>
                      <w:highlight w:val="none"/>
                      <w:vertAlign w:val="baseline"/>
                      <w:lang w:val="en-US" w:eastAsia="zh-CN"/>
                    </w:rPr>
                    <w:t>）</w:t>
                  </w:r>
                </w:p>
              </w:tc>
              <w:tc>
                <w:tcPr>
                  <w:tcW w:w="84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设计生产能力（</w:t>
                  </w:r>
                  <w:r>
                    <w:rPr>
                      <w:rFonts w:hint="eastAsia" w:ascii="Times New Roman" w:hAnsi="Times New Roman" w:cs="Times New Roman"/>
                      <w:b w:val="0"/>
                      <w:bCs w:val="0"/>
                      <w:color w:val="auto"/>
                      <w:spacing w:val="-6"/>
                      <w:sz w:val="21"/>
                      <w:szCs w:val="21"/>
                      <w:highlight w:val="none"/>
                      <w:vertAlign w:val="baseline"/>
                      <w:lang w:val="en-US" w:eastAsia="zh-CN"/>
                    </w:rPr>
                    <w:t>个/年</w:t>
                  </w:r>
                  <w:r>
                    <w:rPr>
                      <w:rFonts w:hint="default" w:ascii="Times New Roman" w:hAnsi="Times New Roman" w:cs="Times New Roman"/>
                      <w:b w:val="0"/>
                      <w:bCs w:val="0"/>
                      <w:color w:val="auto"/>
                      <w:spacing w:val="-6"/>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0"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注液机</w:t>
                  </w:r>
                </w:p>
              </w:tc>
              <w:tc>
                <w:tcPr>
                  <w:tcW w:w="718"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5</w:t>
                  </w:r>
                </w:p>
              </w:tc>
              <w:tc>
                <w:tcPr>
                  <w:tcW w:w="944"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2</w:t>
                  </w:r>
                  <w:r>
                    <w:rPr>
                      <w:rFonts w:hint="eastAsia" w:ascii="Times New Roman" w:hAnsi="Times New Roman" w:cs="Times New Roman"/>
                      <w:b w:val="0"/>
                      <w:bCs w:val="0"/>
                      <w:color w:val="auto"/>
                      <w:spacing w:val="-6"/>
                      <w:sz w:val="21"/>
                      <w:szCs w:val="21"/>
                      <w:highlight w:val="none"/>
                      <w:vertAlign w:val="baseline"/>
                      <w:lang w:val="en-US" w:eastAsia="zh-CN"/>
                    </w:rPr>
                    <w:t>0</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2</w:t>
                  </w:r>
                  <w:r>
                    <w:rPr>
                      <w:rFonts w:hint="default" w:ascii="Times New Roman" w:hAnsi="Times New Roman" w:cs="Times New Roman"/>
                      <w:b w:val="0"/>
                      <w:bCs w:val="0"/>
                      <w:color w:val="auto"/>
                      <w:spacing w:val="-6"/>
                      <w:sz w:val="21"/>
                      <w:szCs w:val="21"/>
                      <w:highlight w:val="none"/>
                      <w:vertAlign w:val="baseline"/>
                      <w:lang w:val="en-US" w:eastAsia="zh-CN"/>
                    </w:rPr>
                    <w:t>8</w:t>
                  </w:r>
                  <w:r>
                    <w:rPr>
                      <w:rFonts w:hint="eastAsia" w:ascii="Times New Roman" w:hAnsi="Times New Roman" w:cs="Times New Roman"/>
                      <w:b w:val="0"/>
                      <w:bCs w:val="0"/>
                      <w:color w:val="auto"/>
                      <w:spacing w:val="-6"/>
                      <w:sz w:val="21"/>
                      <w:szCs w:val="21"/>
                      <w:highlight w:val="none"/>
                      <w:vertAlign w:val="baseline"/>
                      <w:lang w:val="en-US" w:eastAsia="zh-CN"/>
                    </w:rPr>
                    <w:t>0</w:t>
                  </w:r>
                  <w:r>
                    <w:rPr>
                      <w:rFonts w:hint="default" w:ascii="Times New Roman" w:hAnsi="Times New Roman" w:cs="Times New Roman"/>
                      <w:b w:val="0"/>
                      <w:bCs w:val="0"/>
                      <w:color w:val="auto"/>
                      <w:spacing w:val="-6"/>
                      <w:sz w:val="21"/>
                      <w:szCs w:val="21"/>
                      <w:highlight w:val="none"/>
                      <w:vertAlign w:val="baseline"/>
                      <w:lang w:val="en-US" w:eastAsia="zh-CN"/>
                    </w:rPr>
                    <w:t>0</w:t>
                  </w:r>
                </w:p>
              </w:tc>
              <w:tc>
                <w:tcPr>
                  <w:tcW w:w="83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336万</w:t>
                  </w:r>
                </w:p>
              </w:tc>
              <w:tc>
                <w:tcPr>
                  <w:tcW w:w="842"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1680万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6"/>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注：</w:t>
                  </w:r>
                  <w:r>
                    <w:rPr>
                      <w:rFonts w:hint="default" w:ascii="Times New Roman" w:hAnsi="Times New Roman" w:eastAsia="宋体" w:cs="Times New Roman"/>
                      <w:b w:val="0"/>
                      <w:bCs w:val="0"/>
                      <w:color w:val="auto"/>
                      <w:spacing w:val="-6"/>
                      <w:sz w:val="21"/>
                      <w:szCs w:val="21"/>
                      <w:highlight w:val="none"/>
                      <w:vertAlign w:val="baseline"/>
                      <w:lang w:val="en-US" w:eastAsia="zh-CN"/>
                    </w:rPr>
                    <w:t>①项目</w:t>
                  </w:r>
                  <w:r>
                    <w:rPr>
                      <w:rFonts w:hint="eastAsia" w:ascii="Times New Roman" w:hAnsi="Times New Roman" w:eastAsia="宋体" w:cs="Times New Roman"/>
                      <w:b w:val="0"/>
                      <w:bCs w:val="0"/>
                      <w:color w:val="auto"/>
                      <w:spacing w:val="-6"/>
                      <w:sz w:val="21"/>
                      <w:szCs w:val="21"/>
                      <w:highlight w:val="none"/>
                      <w:vertAlign w:val="baseline"/>
                      <w:lang w:val="en-US" w:eastAsia="zh-CN"/>
                    </w:rPr>
                    <w:t>注液</w:t>
                  </w:r>
                  <w:r>
                    <w:rPr>
                      <w:rFonts w:hint="default" w:ascii="Times New Roman" w:hAnsi="Times New Roman" w:eastAsia="宋体" w:cs="Times New Roman"/>
                      <w:b w:val="0"/>
                      <w:bCs w:val="0"/>
                      <w:color w:val="auto"/>
                      <w:spacing w:val="-6"/>
                      <w:sz w:val="21"/>
                      <w:szCs w:val="21"/>
                      <w:highlight w:val="none"/>
                      <w:vertAlign w:val="baseline"/>
                      <w:lang w:val="en-US" w:eastAsia="zh-CN"/>
                    </w:rPr>
                    <w:t>每天工作</w:t>
                  </w:r>
                  <w:r>
                    <w:rPr>
                      <w:rFonts w:hint="eastAsia" w:ascii="Times New Roman" w:hAnsi="Times New Roman" w:eastAsia="宋体" w:cs="Times New Roman"/>
                      <w:b w:val="0"/>
                      <w:bCs w:val="0"/>
                      <w:color w:val="auto"/>
                      <w:spacing w:val="-6"/>
                      <w:sz w:val="21"/>
                      <w:szCs w:val="21"/>
                      <w:highlight w:val="none"/>
                      <w:vertAlign w:val="baseline"/>
                      <w:lang w:val="en-US" w:eastAsia="zh-CN"/>
                    </w:rPr>
                    <w:t>10</w:t>
                  </w:r>
                  <w:r>
                    <w:rPr>
                      <w:rFonts w:hint="default" w:ascii="Times New Roman" w:hAnsi="Times New Roman" w:eastAsia="宋体" w:cs="Times New Roman"/>
                      <w:b w:val="0"/>
                      <w:bCs w:val="0"/>
                      <w:color w:val="auto"/>
                      <w:spacing w:val="-6"/>
                      <w:sz w:val="21"/>
                      <w:szCs w:val="21"/>
                      <w:highlight w:val="none"/>
                      <w:vertAlign w:val="baseline"/>
                      <w:lang w:val="en-US" w:eastAsia="zh-CN"/>
                    </w:rPr>
                    <w:t>小时，每年工作</w:t>
                  </w:r>
                  <w:r>
                    <w:rPr>
                      <w:rFonts w:hint="eastAsia" w:ascii="Times New Roman" w:hAnsi="Times New Roman" w:eastAsia="宋体" w:cs="Times New Roman"/>
                      <w:b w:val="0"/>
                      <w:bCs w:val="0"/>
                      <w:color w:val="auto"/>
                      <w:spacing w:val="-6"/>
                      <w:sz w:val="21"/>
                      <w:szCs w:val="21"/>
                      <w:highlight w:val="none"/>
                      <w:vertAlign w:val="baseline"/>
                      <w:lang w:val="en-US" w:eastAsia="zh-CN"/>
                    </w:rPr>
                    <w:t>28</w:t>
                  </w:r>
                  <w:r>
                    <w:rPr>
                      <w:rFonts w:hint="default" w:ascii="Times New Roman" w:hAnsi="Times New Roman" w:eastAsia="宋体" w:cs="Times New Roman"/>
                      <w:b w:val="0"/>
                      <w:bCs w:val="0"/>
                      <w:color w:val="auto"/>
                      <w:spacing w:val="-6"/>
                      <w:sz w:val="21"/>
                      <w:szCs w:val="21"/>
                      <w:highlight w:val="none"/>
                      <w:vertAlign w:val="baseline"/>
                      <w:lang w:val="en-US" w:eastAsia="zh-CN"/>
                    </w:rPr>
                    <w:t>00小时。</w:t>
                  </w:r>
                </w:p>
                <w:p>
                  <w:pPr>
                    <w:pStyle w:val="31"/>
                    <w:keepNext w:val="0"/>
                    <w:keepLines w:val="0"/>
                    <w:pageBreakBefore w:val="0"/>
                    <w:widowControl w:val="0"/>
                    <w:kinsoku/>
                    <w:wordWrap/>
                    <w:overflowPunct/>
                    <w:topLinePunct w:val="0"/>
                    <w:autoSpaceDE/>
                    <w:autoSpaceDN/>
                    <w:bidi w:val="0"/>
                    <w:spacing w:after="0" w:line="240" w:lineRule="auto"/>
                    <w:ind w:left="0" w:leftChars="0" w:firstLine="396" w:firstLineChars="200"/>
                    <w:jc w:val="both"/>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eastAsia="宋体" w:cs="Times New Roman"/>
                      <w:b w:val="0"/>
                      <w:bCs w:val="0"/>
                      <w:color w:val="auto"/>
                      <w:spacing w:val="-6"/>
                      <w:kern w:val="2"/>
                      <w:sz w:val="21"/>
                      <w:szCs w:val="21"/>
                      <w:highlight w:val="none"/>
                      <w:vertAlign w:val="baseline"/>
                      <w:lang w:val="en-US" w:eastAsia="zh-CN" w:bidi="ar-SA"/>
                    </w:rPr>
                    <w:t>②项</w:t>
                  </w:r>
                  <w:r>
                    <w:rPr>
                      <w:rFonts w:hint="default" w:ascii="Times New Roman" w:hAnsi="Times New Roman" w:cs="Times New Roman"/>
                      <w:b w:val="0"/>
                      <w:bCs w:val="0"/>
                      <w:color w:val="auto"/>
                      <w:spacing w:val="-6"/>
                      <w:sz w:val="21"/>
                      <w:szCs w:val="21"/>
                      <w:highlight w:val="none"/>
                      <w:vertAlign w:val="baseline"/>
                      <w:lang w:val="en-US" w:eastAsia="zh-CN"/>
                    </w:rPr>
                    <w:t>目设备设计生产能力为</w:t>
                  </w:r>
                  <w:r>
                    <w:rPr>
                      <w:rFonts w:hint="eastAsia" w:ascii="Times New Roman" w:hAnsi="Times New Roman" w:cs="Times New Roman"/>
                      <w:b w:val="0"/>
                      <w:bCs w:val="0"/>
                      <w:color w:val="auto"/>
                      <w:spacing w:val="-6"/>
                      <w:sz w:val="21"/>
                      <w:szCs w:val="21"/>
                      <w:highlight w:val="none"/>
                      <w:vertAlign w:val="baseline"/>
                      <w:lang w:val="en-US" w:eastAsia="zh-CN"/>
                    </w:rPr>
                    <w:t>1680万个/年</w:t>
                  </w:r>
                  <w:r>
                    <w:rPr>
                      <w:rFonts w:hint="default" w:ascii="Times New Roman" w:hAnsi="Times New Roman" w:cs="Times New Roman"/>
                      <w:b w:val="0"/>
                      <w:bCs w:val="0"/>
                      <w:color w:val="auto"/>
                      <w:spacing w:val="-6"/>
                      <w:sz w:val="21"/>
                      <w:szCs w:val="21"/>
                      <w:highlight w:val="none"/>
                      <w:vertAlign w:val="baseline"/>
                      <w:lang w:val="en-US" w:eastAsia="zh-CN"/>
                    </w:rPr>
                    <w:t>，</w:t>
                  </w:r>
                  <w:r>
                    <w:rPr>
                      <w:rFonts w:hint="eastAsia" w:ascii="Times New Roman" w:hAnsi="Times New Roman" w:cs="Times New Roman"/>
                      <w:b w:val="0"/>
                      <w:bCs w:val="0"/>
                      <w:color w:val="auto"/>
                      <w:spacing w:val="-6"/>
                      <w:sz w:val="21"/>
                      <w:szCs w:val="21"/>
                      <w:highlight w:val="none"/>
                      <w:vertAlign w:val="baseline"/>
                      <w:lang w:val="en-US" w:eastAsia="zh-CN"/>
                    </w:rPr>
                    <w:t>项目年产1000万个电池</w:t>
                  </w:r>
                  <w:r>
                    <w:rPr>
                      <w:rFonts w:hint="default" w:ascii="Times New Roman" w:hAnsi="Times New Roman" w:cs="Times New Roman"/>
                      <w:b w:val="0"/>
                      <w:bCs w:val="0"/>
                      <w:color w:val="auto"/>
                      <w:spacing w:val="-6"/>
                      <w:sz w:val="21"/>
                      <w:szCs w:val="21"/>
                      <w:highlight w:val="none"/>
                      <w:vertAlign w:val="baseline"/>
                      <w:lang w:val="en-US" w:eastAsia="zh-CN"/>
                    </w:rPr>
                    <w:t>。设备</w:t>
                  </w:r>
                  <w:r>
                    <w:rPr>
                      <w:rFonts w:hint="eastAsia" w:ascii="Times New Roman" w:hAnsi="Times New Roman" w:cs="Times New Roman"/>
                      <w:b w:val="0"/>
                      <w:bCs w:val="0"/>
                      <w:color w:val="auto"/>
                      <w:spacing w:val="-6"/>
                      <w:sz w:val="21"/>
                      <w:szCs w:val="21"/>
                      <w:highlight w:val="none"/>
                      <w:vertAlign w:val="baseline"/>
                      <w:lang w:val="en-US" w:eastAsia="zh-CN"/>
                    </w:rPr>
                    <w:t>注液</w:t>
                  </w:r>
                  <w:r>
                    <w:rPr>
                      <w:rFonts w:hint="default" w:ascii="Times New Roman" w:hAnsi="Times New Roman" w:cs="Times New Roman"/>
                      <w:b w:val="0"/>
                      <w:bCs w:val="0"/>
                      <w:color w:val="auto"/>
                      <w:spacing w:val="-6"/>
                      <w:sz w:val="21"/>
                      <w:szCs w:val="21"/>
                      <w:highlight w:val="none"/>
                      <w:vertAlign w:val="baseline"/>
                      <w:lang w:val="en-US" w:eastAsia="zh-CN"/>
                    </w:rPr>
                    <w:t>机设计生产能力满足产品需求。</w:t>
                  </w:r>
                </w:p>
              </w:tc>
            </w:tr>
          </w:tbl>
          <w:p>
            <w:pPr>
              <w:pStyle w:val="31"/>
              <w:keepNext w:val="0"/>
              <w:keepLines w:val="0"/>
              <w:pageBreakBefore w:val="0"/>
              <w:widowControl w:val="0"/>
              <w:kinsoku/>
              <w:wordWrap/>
              <w:overflowPunct/>
              <w:topLinePunct w:val="0"/>
              <w:autoSpaceDE/>
              <w:autoSpaceDN/>
              <w:bidi w:val="0"/>
              <w:spacing w:line="240" w:lineRule="auto"/>
              <w:ind w:left="0" w:leftChars="0" w:firstLine="0" w:firstLineChars="0"/>
              <w:jc w:val="center"/>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spacing w:val="-6"/>
                <w:sz w:val="24"/>
                <w:szCs w:val="24"/>
                <w:highlight w:val="none"/>
                <w:lang w:val="en-US" w:eastAsia="zh-CN"/>
              </w:rPr>
              <w:t>表2-1</w:t>
            </w:r>
            <w:r>
              <w:rPr>
                <w:rFonts w:hint="eastAsia" w:ascii="Times New Roman" w:hAnsi="Times New Roman" w:cs="Times New Roman"/>
                <w:b/>
                <w:bCs/>
                <w:color w:val="auto"/>
                <w:spacing w:val="-6"/>
                <w:sz w:val="24"/>
                <w:szCs w:val="24"/>
                <w:highlight w:val="none"/>
                <w:lang w:val="en-US" w:eastAsia="zh-CN"/>
              </w:rPr>
              <w:t>2</w:t>
            </w:r>
            <w:r>
              <w:rPr>
                <w:rFonts w:hint="default" w:ascii="Times New Roman" w:hAnsi="Times New Roman" w:cs="Times New Roman"/>
                <w:b/>
                <w:bCs/>
                <w:color w:val="auto"/>
                <w:spacing w:val="-6"/>
                <w:sz w:val="24"/>
                <w:szCs w:val="24"/>
                <w:highlight w:val="none"/>
                <w:lang w:val="en-US" w:eastAsia="zh-CN"/>
              </w:rPr>
              <w:t xml:space="preserve"> </w:t>
            </w:r>
            <w:r>
              <w:rPr>
                <w:rFonts w:hint="eastAsia" w:ascii="Times New Roman" w:hAnsi="Times New Roman" w:cs="Times New Roman"/>
                <w:b/>
                <w:bCs/>
                <w:color w:val="auto"/>
                <w:spacing w:val="-6"/>
                <w:sz w:val="24"/>
                <w:szCs w:val="24"/>
                <w:highlight w:val="none"/>
                <w:lang w:val="en-US" w:eastAsia="zh-CN"/>
              </w:rPr>
              <w:t>搅拌</w:t>
            </w:r>
            <w:r>
              <w:rPr>
                <w:rFonts w:hint="default" w:ascii="Times New Roman" w:hAnsi="Times New Roman" w:cs="Times New Roman"/>
                <w:b/>
                <w:bCs/>
                <w:color w:val="auto"/>
                <w:spacing w:val="-6"/>
                <w:sz w:val="24"/>
                <w:szCs w:val="24"/>
                <w:highlight w:val="none"/>
                <w:lang w:val="en-US" w:eastAsia="zh-CN"/>
              </w:rPr>
              <w:t>机产能核算</w:t>
            </w:r>
          </w:p>
          <w:tbl>
            <w:tblPr>
              <w:tblStyle w:val="3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4"/>
              <w:gridCol w:w="986"/>
              <w:gridCol w:w="1352"/>
              <w:gridCol w:w="1352"/>
              <w:gridCol w:w="1169"/>
              <w:gridCol w:w="1169"/>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设备名称</w:t>
                  </w:r>
                </w:p>
              </w:tc>
              <w:tc>
                <w:tcPr>
                  <w:tcW w:w="588"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台数</w:t>
                  </w:r>
                </w:p>
              </w:tc>
              <w:tc>
                <w:tcPr>
                  <w:tcW w:w="806"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每台</w:t>
                  </w:r>
                  <w:r>
                    <w:rPr>
                      <w:rFonts w:hint="default" w:ascii="Times New Roman" w:hAnsi="Times New Roman" w:cs="Times New Roman"/>
                      <w:b w:val="0"/>
                      <w:bCs w:val="0"/>
                      <w:color w:val="auto"/>
                      <w:spacing w:val="-6"/>
                      <w:sz w:val="21"/>
                      <w:szCs w:val="21"/>
                      <w:highlight w:val="none"/>
                      <w:vertAlign w:val="baseline"/>
                      <w:lang w:val="en-US" w:eastAsia="zh-CN"/>
                    </w:rPr>
                    <w:t>设备生产能力（</w:t>
                  </w:r>
                  <w:r>
                    <w:rPr>
                      <w:rFonts w:hint="eastAsia" w:ascii="Times New Roman" w:hAnsi="Times New Roman" w:cs="Times New Roman"/>
                      <w:b w:val="0"/>
                      <w:bCs w:val="0"/>
                      <w:color w:val="auto"/>
                      <w:spacing w:val="-6"/>
                      <w:sz w:val="21"/>
                      <w:szCs w:val="21"/>
                      <w:highlight w:val="none"/>
                      <w:vertAlign w:val="baseline"/>
                      <w:lang w:val="en-US" w:eastAsia="zh-CN"/>
                    </w:rPr>
                    <w:t>吨</w:t>
                  </w:r>
                  <w:r>
                    <w:rPr>
                      <w:rFonts w:hint="default" w:ascii="Times New Roman" w:hAnsi="Times New Roman" w:cs="Times New Roman"/>
                      <w:b w:val="0"/>
                      <w:bCs w:val="0"/>
                      <w:color w:val="auto"/>
                      <w:spacing w:val="-6"/>
                      <w:sz w:val="21"/>
                      <w:szCs w:val="21"/>
                      <w:highlight w:val="none"/>
                      <w:vertAlign w:val="baseline"/>
                      <w:lang w:val="en-US" w:eastAsia="zh-CN"/>
                    </w:rPr>
                    <w:t>/</w:t>
                  </w:r>
                  <w:r>
                    <w:rPr>
                      <w:rFonts w:hint="eastAsia" w:ascii="Times New Roman" w:hAnsi="Times New Roman" w:cs="Times New Roman"/>
                      <w:b w:val="0"/>
                      <w:bCs w:val="0"/>
                      <w:color w:val="auto"/>
                      <w:spacing w:val="-6"/>
                      <w:sz w:val="21"/>
                      <w:szCs w:val="21"/>
                      <w:highlight w:val="none"/>
                      <w:vertAlign w:val="baseline"/>
                      <w:lang w:val="en-US" w:eastAsia="zh-CN"/>
                    </w:rPr>
                    <w:t>批次</w:t>
                  </w:r>
                  <w:r>
                    <w:rPr>
                      <w:rFonts w:hint="default" w:ascii="Times New Roman" w:hAnsi="Times New Roman" w:cs="Times New Roman"/>
                      <w:b w:val="0"/>
                      <w:bCs w:val="0"/>
                      <w:color w:val="auto"/>
                      <w:spacing w:val="-6"/>
                      <w:sz w:val="21"/>
                      <w:szCs w:val="21"/>
                      <w:highlight w:val="none"/>
                      <w:vertAlign w:val="baseline"/>
                      <w:lang w:val="en-US" w:eastAsia="zh-CN"/>
                    </w:rPr>
                    <w:t>）</w:t>
                  </w:r>
                </w:p>
              </w:tc>
              <w:tc>
                <w:tcPr>
                  <w:tcW w:w="806"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每台</w:t>
                  </w:r>
                  <w:r>
                    <w:rPr>
                      <w:rFonts w:hint="default" w:ascii="Times New Roman" w:hAnsi="Times New Roman" w:cs="Times New Roman"/>
                      <w:b w:val="0"/>
                      <w:bCs w:val="0"/>
                      <w:color w:val="auto"/>
                      <w:spacing w:val="-6"/>
                      <w:sz w:val="21"/>
                      <w:szCs w:val="21"/>
                      <w:highlight w:val="none"/>
                      <w:vertAlign w:val="baseline"/>
                      <w:lang w:val="en-US" w:eastAsia="zh-CN"/>
                    </w:rPr>
                    <w:t>设备生产能力（</w:t>
                  </w:r>
                  <w:r>
                    <w:rPr>
                      <w:rFonts w:hint="eastAsia" w:ascii="Times New Roman" w:hAnsi="Times New Roman" w:cs="Times New Roman"/>
                      <w:b w:val="0"/>
                      <w:bCs w:val="0"/>
                      <w:color w:val="auto"/>
                      <w:spacing w:val="-6"/>
                      <w:sz w:val="21"/>
                      <w:szCs w:val="21"/>
                      <w:highlight w:val="none"/>
                      <w:vertAlign w:val="baseline"/>
                      <w:lang w:val="en-US" w:eastAsia="zh-CN"/>
                    </w:rPr>
                    <w:t>批次</w:t>
                  </w:r>
                  <w:r>
                    <w:rPr>
                      <w:rFonts w:hint="default" w:ascii="Times New Roman" w:hAnsi="Times New Roman" w:cs="Times New Roman"/>
                      <w:b w:val="0"/>
                      <w:bCs w:val="0"/>
                      <w:color w:val="auto"/>
                      <w:spacing w:val="-6"/>
                      <w:sz w:val="21"/>
                      <w:szCs w:val="21"/>
                      <w:highlight w:val="none"/>
                      <w:vertAlign w:val="baseline"/>
                      <w:lang w:val="en-US" w:eastAsia="zh-CN"/>
                    </w:rPr>
                    <w:t>/</w:t>
                  </w:r>
                  <w:r>
                    <w:rPr>
                      <w:rFonts w:hint="eastAsia" w:ascii="Times New Roman" w:hAnsi="Times New Roman" w:cs="Times New Roman"/>
                      <w:b w:val="0"/>
                      <w:bCs w:val="0"/>
                      <w:color w:val="auto"/>
                      <w:spacing w:val="-6"/>
                      <w:sz w:val="21"/>
                      <w:szCs w:val="21"/>
                      <w:highlight w:val="none"/>
                      <w:vertAlign w:val="baseline"/>
                      <w:lang w:val="en-US" w:eastAsia="zh-CN"/>
                    </w:rPr>
                    <w:t>天</w:t>
                  </w:r>
                  <w:r>
                    <w:rPr>
                      <w:rFonts w:hint="default" w:ascii="Times New Roman" w:hAnsi="Times New Roman" w:cs="Times New Roman"/>
                      <w:b w:val="0"/>
                      <w:bCs w:val="0"/>
                      <w:color w:val="auto"/>
                      <w:spacing w:val="-6"/>
                      <w:sz w:val="21"/>
                      <w:szCs w:val="21"/>
                      <w:highlight w:val="none"/>
                      <w:vertAlign w:val="baseline"/>
                      <w:lang w:val="en-US" w:eastAsia="zh-CN"/>
                    </w:rPr>
                    <w:t>）</w:t>
                  </w:r>
                </w:p>
              </w:tc>
              <w:tc>
                <w:tcPr>
                  <w:tcW w:w="697"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年工作时间（</w:t>
                  </w:r>
                  <w:r>
                    <w:rPr>
                      <w:rFonts w:hint="eastAsia" w:ascii="Times New Roman" w:hAnsi="Times New Roman" w:cs="Times New Roman"/>
                      <w:b w:val="0"/>
                      <w:bCs w:val="0"/>
                      <w:color w:val="auto"/>
                      <w:spacing w:val="-6"/>
                      <w:sz w:val="21"/>
                      <w:szCs w:val="21"/>
                      <w:highlight w:val="none"/>
                      <w:vertAlign w:val="baseline"/>
                      <w:lang w:val="en-US" w:eastAsia="zh-CN"/>
                    </w:rPr>
                    <w:t>天</w:t>
                  </w:r>
                  <w:r>
                    <w:rPr>
                      <w:rFonts w:hint="default" w:ascii="Times New Roman" w:hAnsi="Times New Roman" w:cs="Times New Roman"/>
                      <w:b w:val="0"/>
                      <w:bCs w:val="0"/>
                      <w:color w:val="auto"/>
                      <w:spacing w:val="-6"/>
                      <w:sz w:val="21"/>
                      <w:szCs w:val="21"/>
                      <w:highlight w:val="none"/>
                      <w:vertAlign w:val="baseline"/>
                      <w:lang w:val="en-US" w:eastAsia="zh-CN"/>
                    </w:rPr>
                    <w:t>）</w:t>
                  </w:r>
                </w:p>
              </w:tc>
              <w:tc>
                <w:tcPr>
                  <w:tcW w:w="697"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每台生产能力</w:t>
                  </w:r>
                  <w:r>
                    <w:rPr>
                      <w:rFonts w:hint="default" w:ascii="Times New Roman" w:hAnsi="Times New Roman" w:cs="Times New Roman"/>
                      <w:b w:val="0"/>
                      <w:bCs w:val="0"/>
                      <w:color w:val="auto"/>
                      <w:spacing w:val="-6"/>
                      <w:sz w:val="21"/>
                      <w:szCs w:val="21"/>
                      <w:highlight w:val="none"/>
                      <w:vertAlign w:val="baseline"/>
                      <w:lang w:val="en-US" w:eastAsia="zh-CN"/>
                    </w:rPr>
                    <w:t>（</w:t>
                  </w:r>
                  <w:r>
                    <w:rPr>
                      <w:rFonts w:hint="eastAsia" w:ascii="Times New Roman" w:hAnsi="Times New Roman" w:cs="Times New Roman"/>
                      <w:b w:val="0"/>
                      <w:bCs w:val="0"/>
                      <w:color w:val="auto"/>
                      <w:spacing w:val="-6"/>
                      <w:sz w:val="21"/>
                      <w:szCs w:val="21"/>
                      <w:highlight w:val="none"/>
                      <w:vertAlign w:val="baseline"/>
                      <w:lang w:val="en-US" w:eastAsia="zh-CN"/>
                    </w:rPr>
                    <w:t>吨/年</w:t>
                  </w:r>
                  <w:r>
                    <w:rPr>
                      <w:rFonts w:hint="default" w:ascii="Times New Roman" w:hAnsi="Times New Roman" w:cs="Times New Roman"/>
                      <w:b w:val="0"/>
                      <w:bCs w:val="0"/>
                      <w:color w:val="auto"/>
                      <w:spacing w:val="-6"/>
                      <w:sz w:val="21"/>
                      <w:szCs w:val="21"/>
                      <w:highlight w:val="none"/>
                      <w:vertAlign w:val="baseline"/>
                      <w:lang w:val="en-US" w:eastAsia="zh-CN"/>
                    </w:rPr>
                    <w:t>）</w:t>
                  </w:r>
                </w:p>
              </w:tc>
              <w:tc>
                <w:tcPr>
                  <w:tcW w:w="709"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设计生产能力（</w:t>
                  </w:r>
                  <w:r>
                    <w:rPr>
                      <w:rFonts w:hint="eastAsia" w:ascii="Times New Roman" w:hAnsi="Times New Roman" w:cs="Times New Roman"/>
                      <w:b w:val="0"/>
                      <w:bCs w:val="0"/>
                      <w:color w:val="auto"/>
                      <w:spacing w:val="-6"/>
                      <w:sz w:val="21"/>
                      <w:szCs w:val="21"/>
                      <w:highlight w:val="none"/>
                      <w:vertAlign w:val="baseline"/>
                      <w:lang w:val="en-US" w:eastAsia="zh-CN"/>
                    </w:rPr>
                    <w:t>吨/年</w:t>
                  </w:r>
                  <w:r>
                    <w:rPr>
                      <w:rFonts w:hint="default" w:ascii="Times New Roman" w:hAnsi="Times New Roman" w:cs="Times New Roman"/>
                      <w:b w:val="0"/>
                      <w:bCs w:val="0"/>
                      <w:color w:val="auto"/>
                      <w:spacing w:val="-6"/>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5"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搅拌机</w:t>
                  </w:r>
                </w:p>
              </w:tc>
              <w:tc>
                <w:tcPr>
                  <w:tcW w:w="588"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4</w:t>
                  </w:r>
                </w:p>
              </w:tc>
              <w:tc>
                <w:tcPr>
                  <w:tcW w:w="806"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0.1</w:t>
                  </w:r>
                </w:p>
              </w:tc>
              <w:tc>
                <w:tcPr>
                  <w:tcW w:w="806"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2</w:t>
                  </w:r>
                </w:p>
              </w:tc>
              <w:tc>
                <w:tcPr>
                  <w:tcW w:w="697"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2</w:t>
                  </w:r>
                  <w:r>
                    <w:rPr>
                      <w:rFonts w:hint="default" w:ascii="Times New Roman" w:hAnsi="Times New Roman" w:cs="Times New Roman"/>
                      <w:b w:val="0"/>
                      <w:bCs w:val="0"/>
                      <w:color w:val="auto"/>
                      <w:spacing w:val="-6"/>
                      <w:sz w:val="21"/>
                      <w:szCs w:val="21"/>
                      <w:highlight w:val="none"/>
                      <w:vertAlign w:val="baseline"/>
                      <w:lang w:val="en-US" w:eastAsia="zh-CN"/>
                    </w:rPr>
                    <w:t>8</w:t>
                  </w:r>
                  <w:r>
                    <w:rPr>
                      <w:rFonts w:hint="eastAsia" w:ascii="Times New Roman" w:hAnsi="Times New Roman" w:cs="Times New Roman"/>
                      <w:b w:val="0"/>
                      <w:bCs w:val="0"/>
                      <w:color w:val="auto"/>
                      <w:spacing w:val="-6"/>
                      <w:sz w:val="21"/>
                      <w:szCs w:val="21"/>
                      <w:highlight w:val="none"/>
                      <w:vertAlign w:val="baseline"/>
                      <w:lang w:val="en-US" w:eastAsia="zh-CN"/>
                    </w:rPr>
                    <w:t>0</w:t>
                  </w:r>
                </w:p>
              </w:tc>
              <w:tc>
                <w:tcPr>
                  <w:tcW w:w="697"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56</w:t>
                  </w:r>
                </w:p>
              </w:tc>
              <w:tc>
                <w:tcPr>
                  <w:tcW w:w="709" w:type="pct"/>
                  <w:noWrap w:val="0"/>
                  <w:vAlign w:val="top"/>
                </w:tcPr>
                <w:p>
                  <w:pPr>
                    <w:keepNext w:val="0"/>
                    <w:keepLines w:val="0"/>
                    <w:pageBreakBefore w:val="0"/>
                    <w:widowControl w:val="0"/>
                    <w:kinsoku/>
                    <w:wordWrap/>
                    <w:overflowPunct/>
                    <w:topLinePunct w:val="0"/>
                    <w:autoSpaceDE/>
                    <w:autoSpaceDN/>
                    <w:bidi w:val="0"/>
                    <w:adjustRightInd w:val="0"/>
                    <w:snapToGrid w:val="0"/>
                    <w:spacing w:before="120" w:beforeLines="50" w:line="240" w:lineRule="auto"/>
                    <w:ind w:firstLine="0" w:firstLineChars="0"/>
                    <w:jc w:val="center"/>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eastAsia" w:ascii="Times New Roman" w:hAnsi="Times New Roman" w:cs="Times New Roman"/>
                      <w:b w:val="0"/>
                      <w:bCs w:val="0"/>
                      <w:color w:val="auto"/>
                      <w:spacing w:val="-6"/>
                      <w:sz w:val="21"/>
                      <w:szCs w:val="21"/>
                      <w:highlight w:val="none"/>
                      <w:vertAlign w:val="baseline"/>
                      <w:lang w:val="en-US" w:eastAsia="zh-CN"/>
                    </w:rPr>
                    <w:t>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noWrap w:val="0"/>
                  <w:vAlign w:val="top"/>
                </w:tcPr>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ascii="Times New Roman" w:hAnsi="Times New Roman" w:eastAsia="宋体" w:cs="Times New Roman"/>
                      <w:b w:val="0"/>
                      <w:bCs w:val="0"/>
                      <w:color w:val="auto"/>
                      <w:spacing w:val="-6"/>
                      <w:sz w:val="21"/>
                      <w:szCs w:val="21"/>
                      <w:highlight w:val="none"/>
                      <w:vertAlign w:val="baseline"/>
                      <w:lang w:val="en-US" w:eastAsia="zh-CN"/>
                    </w:rPr>
                  </w:pPr>
                  <w:r>
                    <w:rPr>
                      <w:rFonts w:hint="default" w:ascii="Times New Roman" w:hAnsi="Times New Roman" w:cs="Times New Roman"/>
                      <w:b w:val="0"/>
                      <w:bCs w:val="0"/>
                      <w:color w:val="auto"/>
                      <w:spacing w:val="-6"/>
                      <w:sz w:val="21"/>
                      <w:szCs w:val="21"/>
                      <w:highlight w:val="none"/>
                      <w:vertAlign w:val="baseline"/>
                      <w:lang w:val="en-US" w:eastAsia="zh-CN"/>
                    </w:rPr>
                    <w:t>注：</w:t>
                  </w:r>
                  <w:r>
                    <w:rPr>
                      <w:rFonts w:hint="default" w:ascii="Times New Roman" w:hAnsi="Times New Roman" w:eastAsia="宋体" w:cs="Times New Roman"/>
                      <w:b w:val="0"/>
                      <w:bCs w:val="0"/>
                      <w:color w:val="auto"/>
                      <w:spacing w:val="-6"/>
                      <w:sz w:val="21"/>
                      <w:szCs w:val="21"/>
                      <w:highlight w:val="none"/>
                      <w:vertAlign w:val="baseline"/>
                      <w:lang w:val="en-US" w:eastAsia="zh-CN"/>
                    </w:rPr>
                    <w:t>①项目</w:t>
                  </w:r>
                  <w:r>
                    <w:rPr>
                      <w:rFonts w:hint="eastAsia" w:ascii="Times New Roman" w:hAnsi="Times New Roman" w:eastAsia="宋体" w:cs="Times New Roman"/>
                      <w:b w:val="0"/>
                      <w:bCs w:val="0"/>
                      <w:color w:val="auto"/>
                      <w:spacing w:val="-6"/>
                      <w:sz w:val="21"/>
                      <w:szCs w:val="21"/>
                      <w:highlight w:val="none"/>
                      <w:vertAlign w:val="baseline"/>
                      <w:lang w:val="en-US" w:eastAsia="zh-CN"/>
                    </w:rPr>
                    <w:t>搅拌</w:t>
                  </w:r>
                  <w:r>
                    <w:rPr>
                      <w:rFonts w:hint="default" w:ascii="Times New Roman" w:hAnsi="Times New Roman" w:eastAsia="宋体" w:cs="Times New Roman"/>
                      <w:b w:val="0"/>
                      <w:bCs w:val="0"/>
                      <w:color w:val="auto"/>
                      <w:spacing w:val="-6"/>
                      <w:sz w:val="21"/>
                      <w:szCs w:val="21"/>
                      <w:highlight w:val="none"/>
                      <w:vertAlign w:val="baseline"/>
                      <w:lang w:val="en-US" w:eastAsia="zh-CN"/>
                    </w:rPr>
                    <w:t>每</w:t>
                  </w:r>
                  <w:r>
                    <w:rPr>
                      <w:rFonts w:hint="eastAsia" w:ascii="Times New Roman" w:hAnsi="Times New Roman" w:eastAsia="宋体" w:cs="Times New Roman"/>
                      <w:b w:val="0"/>
                      <w:bCs w:val="0"/>
                      <w:color w:val="auto"/>
                      <w:spacing w:val="-6"/>
                      <w:sz w:val="21"/>
                      <w:szCs w:val="21"/>
                      <w:highlight w:val="none"/>
                      <w:vertAlign w:val="baseline"/>
                      <w:lang w:val="en-US" w:eastAsia="zh-CN"/>
                    </w:rPr>
                    <w:t>年</w:t>
                  </w:r>
                  <w:r>
                    <w:rPr>
                      <w:rFonts w:hint="default" w:ascii="Times New Roman" w:hAnsi="Times New Roman" w:eastAsia="宋体" w:cs="Times New Roman"/>
                      <w:b w:val="0"/>
                      <w:bCs w:val="0"/>
                      <w:color w:val="auto"/>
                      <w:spacing w:val="-6"/>
                      <w:sz w:val="21"/>
                      <w:szCs w:val="21"/>
                      <w:highlight w:val="none"/>
                      <w:vertAlign w:val="baseline"/>
                      <w:lang w:val="en-US" w:eastAsia="zh-CN"/>
                    </w:rPr>
                    <w:t>工作</w:t>
                  </w:r>
                  <w:r>
                    <w:rPr>
                      <w:rFonts w:hint="eastAsia" w:ascii="Times New Roman" w:hAnsi="Times New Roman" w:eastAsia="宋体" w:cs="Times New Roman"/>
                      <w:b w:val="0"/>
                      <w:bCs w:val="0"/>
                      <w:color w:val="auto"/>
                      <w:spacing w:val="-6"/>
                      <w:sz w:val="21"/>
                      <w:szCs w:val="21"/>
                      <w:highlight w:val="none"/>
                      <w:vertAlign w:val="baseline"/>
                      <w:lang w:val="en-US" w:eastAsia="zh-CN"/>
                    </w:rPr>
                    <w:t>28</w:t>
                  </w:r>
                  <w:r>
                    <w:rPr>
                      <w:rFonts w:hint="default" w:ascii="Times New Roman" w:hAnsi="Times New Roman" w:eastAsia="宋体" w:cs="Times New Roman"/>
                      <w:b w:val="0"/>
                      <w:bCs w:val="0"/>
                      <w:color w:val="auto"/>
                      <w:spacing w:val="-6"/>
                      <w:sz w:val="21"/>
                      <w:szCs w:val="21"/>
                      <w:highlight w:val="none"/>
                      <w:vertAlign w:val="baseline"/>
                      <w:lang w:val="en-US" w:eastAsia="zh-CN"/>
                    </w:rPr>
                    <w:t>0</w:t>
                  </w:r>
                  <w:r>
                    <w:rPr>
                      <w:rFonts w:hint="eastAsia" w:ascii="Times New Roman" w:hAnsi="Times New Roman" w:eastAsia="宋体" w:cs="Times New Roman"/>
                      <w:b w:val="0"/>
                      <w:bCs w:val="0"/>
                      <w:color w:val="auto"/>
                      <w:spacing w:val="-6"/>
                      <w:sz w:val="21"/>
                      <w:szCs w:val="21"/>
                      <w:highlight w:val="none"/>
                      <w:vertAlign w:val="baseline"/>
                      <w:lang w:val="en-US" w:eastAsia="zh-CN"/>
                    </w:rPr>
                    <w:t>天</w:t>
                  </w:r>
                  <w:r>
                    <w:rPr>
                      <w:rFonts w:hint="default" w:ascii="Times New Roman" w:hAnsi="Times New Roman" w:eastAsia="宋体" w:cs="Times New Roman"/>
                      <w:b w:val="0"/>
                      <w:bCs w:val="0"/>
                      <w:color w:val="auto"/>
                      <w:spacing w:val="-6"/>
                      <w:sz w:val="21"/>
                      <w:szCs w:val="21"/>
                      <w:highlight w:val="none"/>
                      <w:vertAlign w:val="baseline"/>
                      <w:lang w:val="en-US" w:eastAsia="zh-CN"/>
                    </w:rPr>
                    <w:t>。</w:t>
                  </w:r>
                </w:p>
                <w:p>
                  <w:pPr>
                    <w:pStyle w:val="31"/>
                    <w:keepNext w:val="0"/>
                    <w:keepLines w:val="0"/>
                    <w:pageBreakBefore w:val="0"/>
                    <w:widowControl w:val="0"/>
                    <w:kinsoku/>
                    <w:wordWrap/>
                    <w:overflowPunct/>
                    <w:topLinePunct w:val="0"/>
                    <w:autoSpaceDE/>
                    <w:autoSpaceDN/>
                    <w:bidi w:val="0"/>
                    <w:spacing w:after="0" w:line="240" w:lineRule="auto"/>
                    <w:ind w:left="0" w:leftChars="0" w:firstLine="396" w:firstLineChars="200"/>
                    <w:jc w:val="both"/>
                    <w:textAlignment w:val="auto"/>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spacing w:val="-6"/>
                      <w:kern w:val="2"/>
                      <w:sz w:val="21"/>
                      <w:szCs w:val="21"/>
                      <w:highlight w:val="none"/>
                      <w:vertAlign w:val="baseline"/>
                      <w:lang w:val="en-US" w:eastAsia="zh-CN" w:bidi="ar-SA"/>
                    </w:rPr>
                    <w:t>②</w:t>
                  </w:r>
                  <w:r>
                    <w:rPr>
                      <w:rFonts w:hint="default" w:ascii="Times New Roman" w:hAnsi="Times New Roman" w:cs="Times New Roman"/>
                      <w:b w:val="0"/>
                      <w:bCs w:val="0"/>
                      <w:color w:val="auto"/>
                      <w:spacing w:val="-6"/>
                      <w:sz w:val="21"/>
                      <w:szCs w:val="21"/>
                      <w:highlight w:val="none"/>
                      <w:vertAlign w:val="baseline"/>
                      <w:lang w:val="en-US" w:eastAsia="zh-CN"/>
                    </w:rPr>
                    <w:t>项目设备设计生产能力为</w:t>
                  </w:r>
                  <w:r>
                    <w:rPr>
                      <w:rFonts w:hint="eastAsia" w:ascii="Times New Roman" w:hAnsi="Times New Roman" w:cs="Times New Roman"/>
                      <w:b w:val="0"/>
                      <w:bCs w:val="0"/>
                      <w:color w:val="auto"/>
                      <w:spacing w:val="-6"/>
                      <w:sz w:val="21"/>
                      <w:szCs w:val="21"/>
                      <w:highlight w:val="none"/>
                      <w:vertAlign w:val="baseline"/>
                      <w:lang w:val="en-US" w:eastAsia="zh-CN"/>
                    </w:rPr>
                    <w:t>224吨/年</w:t>
                  </w:r>
                  <w:r>
                    <w:rPr>
                      <w:rFonts w:hint="default" w:ascii="Times New Roman" w:hAnsi="Times New Roman" w:cs="Times New Roman"/>
                      <w:b w:val="0"/>
                      <w:bCs w:val="0"/>
                      <w:color w:val="auto"/>
                      <w:spacing w:val="-6"/>
                      <w:sz w:val="21"/>
                      <w:szCs w:val="21"/>
                      <w:highlight w:val="none"/>
                      <w:vertAlign w:val="baseline"/>
                      <w:lang w:val="en-US" w:eastAsia="zh-CN"/>
                    </w:rPr>
                    <w:t>，</w:t>
                  </w:r>
                  <w:r>
                    <w:rPr>
                      <w:rFonts w:hint="eastAsia" w:ascii="Times New Roman" w:hAnsi="Times New Roman" w:cs="Times New Roman"/>
                      <w:b w:val="0"/>
                      <w:bCs w:val="0"/>
                      <w:color w:val="auto"/>
                      <w:spacing w:val="-6"/>
                      <w:sz w:val="21"/>
                      <w:szCs w:val="21"/>
                      <w:highlight w:val="none"/>
                      <w:vertAlign w:val="baseline"/>
                      <w:lang w:val="en-US" w:eastAsia="zh-CN"/>
                    </w:rPr>
                    <w:t>项目需搅拌的原辅料共174.924吨/年</w:t>
                  </w:r>
                  <w:r>
                    <w:rPr>
                      <w:rFonts w:hint="default" w:ascii="Times New Roman" w:hAnsi="Times New Roman" w:cs="Times New Roman"/>
                      <w:b w:val="0"/>
                      <w:bCs w:val="0"/>
                      <w:color w:val="auto"/>
                      <w:spacing w:val="-6"/>
                      <w:sz w:val="21"/>
                      <w:szCs w:val="21"/>
                      <w:highlight w:val="none"/>
                      <w:vertAlign w:val="baseline"/>
                      <w:lang w:val="en-US" w:eastAsia="zh-CN"/>
                    </w:rPr>
                    <w:t>。设备</w:t>
                  </w:r>
                  <w:r>
                    <w:rPr>
                      <w:rFonts w:hint="eastAsia" w:ascii="Times New Roman" w:hAnsi="Times New Roman" w:cs="Times New Roman"/>
                      <w:b w:val="0"/>
                      <w:bCs w:val="0"/>
                      <w:color w:val="auto"/>
                      <w:spacing w:val="-6"/>
                      <w:sz w:val="21"/>
                      <w:szCs w:val="21"/>
                      <w:highlight w:val="none"/>
                      <w:vertAlign w:val="baseline"/>
                      <w:lang w:val="en-US" w:eastAsia="zh-CN"/>
                    </w:rPr>
                    <w:t>搅拌</w:t>
                  </w:r>
                  <w:r>
                    <w:rPr>
                      <w:rFonts w:hint="default" w:ascii="Times New Roman" w:hAnsi="Times New Roman" w:cs="Times New Roman"/>
                      <w:b w:val="0"/>
                      <w:bCs w:val="0"/>
                      <w:color w:val="auto"/>
                      <w:spacing w:val="-6"/>
                      <w:sz w:val="21"/>
                      <w:szCs w:val="21"/>
                      <w:highlight w:val="none"/>
                      <w:vertAlign w:val="baseline"/>
                      <w:lang w:val="en-US" w:eastAsia="zh-CN"/>
                    </w:rPr>
                    <w:t>机设计生产能力满足产品需求。</w:t>
                  </w:r>
                </w:p>
              </w:tc>
            </w:tr>
          </w:tbl>
          <w:p>
            <w:pPr>
              <w:adjustRightInd w:val="0"/>
              <w:snapToGrid w:val="0"/>
              <w:spacing w:before="120" w:beforeLines="50" w:line="360" w:lineRule="auto"/>
              <w:ind w:firstLine="458" w:firstLineChars="200"/>
              <w:jc w:val="left"/>
              <w:rPr>
                <w:rFonts w:hint="default" w:ascii="Times New Roman" w:hAnsi="Times New Roman" w:cs="Times New Roman"/>
                <w:b/>
                <w:bCs/>
                <w:color w:val="auto"/>
                <w:spacing w:val="-6"/>
                <w:sz w:val="24"/>
                <w:szCs w:val="24"/>
              </w:rPr>
            </w:pPr>
            <w:r>
              <w:rPr>
                <w:rFonts w:hint="default" w:ascii="Times New Roman" w:hAnsi="Times New Roman" w:cs="Times New Roman"/>
                <w:b/>
                <w:bCs/>
                <w:color w:val="auto"/>
                <w:spacing w:val="-6"/>
                <w:sz w:val="24"/>
                <w:szCs w:val="24"/>
              </w:rPr>
              <w:t>2.1.6 公用工程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32"/>
                <w:lang w:val="en-US" w:eastAsia="zh-CN"/>
              </w:rPr>
            </w:pPr>
            <w:r>
              <w:rPr>
                <w:rFonts w:hint="default" w:ascii="Times New Roman" w:hAnsi="Times New Roman" w:cs="Times New Roman"/>
                <w:b w:val="0"/>
                <w:bCs w:val="0"/>
                <w:color w:val="auto"/>
                <w:sz w:val="24"/>
                <w:szCs w:val="32"/>
                <w:lang w:val="en-US" w:eastAsia="zh-CN"/>
              </w:rPr>
              <w:t>1、给水工程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32"/>
                <w:lang w:val="en-US" w:eastAsia="zh-CN"/>
              </w:rPr>
            </w:pPr>
            <w:r>
              <w:rPr>
                <w:rFonts w:hint="default" w:ascii="Times New Roman" w:hAnsi="Times New Roman" w:cs="Times New Roman"/>
                <w:b w:val="0"/>
                <w:bCs w:val="0"/>
                <w:color w:val="auto"/>
                <w:sz w:val="24"/>
                <w:szCs w:val="32"/>
                <w:lang w:val="en-US" w:eastAsia="zh-CN"/>
              </w:rPr>
              <w:t>项目用水为生产用水和员工生活用水，均由市政供水管网供给。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32"/>
                <w:lang w:val="en-US" w:eastAsia="zh-CN"/>
              </w:rPr>
            </w:pPr>
            <w:r>
              <w:rPr>
                <w:rFonts w:hint="default" w:ascii="Times New Roman" w:hAnsi="Times New Roman" w:cs="Times New Roman"/>
                <w:b/>
                <w:bCs/>
                <w:color w:val="auto"/>
                <w:sz w:val="24"/>
                <w:szCs w:val="32"/>
                <w:lang w:eastAsia="zh-CN"/>
              </w:rPr>
              <w:t>（</w:t>
            </w:r>
            <w:r>
              <w:rPr>
                <w:rFonts w:hint="default" w:ascii="Times New Roman" w:hAnsi="Times New Roman" w:cs="Times New Roman"/>
                <w:b/>
                <w:bCs/>
                <w:color w:val="auto"/>
                <w:sz w:val="24"/>
                <w:szCs w:val="32"/>
                <w:lang w:val="en-US" w:eastAsia="zh-CN"/>
              </w:rPr>
              <w:t>1</w:t>
            </w:r>
            <w:r>
              <w:rPr>
                <w:rFonts w:hint="default" w:ascii="Times New Roman" w:hAnsi="Times New Roman" w:cs="Times New Roman"/>
                <w:b/>
                <w:bCs/>
                <w:color w:val="auto"/>
                <w:sz w:val="24"/>
                <w:szCs w:val="32"/>
                <w:lang w:eastAsia="zh-CN"/>
              </w:rPr>
              <w:t>）</w:t>
            </w:r>
            <w:r>
              <w:rPr>
                <w:rFonts w:hint="default" w:ascii="Times New Roman" w:hAnsi="Times New Roman" w:cs="Times New Roman"/>
                <w:b/>
                <w:bCs/>
                <w:color w:val="auto"/>
                <w:sz w:val="24"/>
                <w:szCs w:val="32"/>
                <w:lang w:val="en-US" w:eastAsia="zh-CN"/>
              </w:rPr>
              <w:t>生产用水</w:t>
            </w:r>
          </w:p>
          <w:p>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①纯水制备</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lang w:val="en-US" w:eastAsia="zh-CN"/>
              </w:rPr>
              <w:t>项目负极生产需使用纯水，年用量为10吨，使用纯水机自行制备，</w:t>
            </w:r>
            <w:r>
              <w:rPr>
                <w:rFonts w:hint="default" w:ascii="Times New Roman" w:hAnsi="Times New Roman" w:cs="Times New Roman"/>
                <w:color w:val="auto"/>
                <w:kern w:val="0"/>
                <w:sz w:val="24"/>
                <w:szCs w:val="24"/>
                <w:highlight w:val="none"/>
                <w:lang w:val="en-US" w:eastAsia="zh-CN" w:bidi="ar"/>
              </w:rPr>
              <w:t>根据建设单位提供资料可知，项目纯水机</w:t>
            </w:r>
            <w:r>
              <w:rPr>
                <w:rFonts w:hint="default" w:ascii="Times New Roman" w:hAnsi="Times New Roman" w:eastAsia="宋体" w:cs="Times New Roman"/>
                <w:color w:val="auto"/>
                <w:kern w:val="0"/>
                <w:sz w:val="24"/>
                <w:szCs w:val="24"/>
                <w:highlight w:val="none"/>
                <w:lang w:val="en-US" w:eastAsia="zh-CN" w:bidi="ar"/>
              </w:rPr>
              <w:t>制备</w:t>
            </w:r>
            <w:r>
              <w:rPr>
                <w:rFonts w:hint="default" w:ascii="Times New Roman" w:hAnsi="Times New Roman" w:cs="Times New Roman"/>
                <w:color w:val="auto"/>
                <w:kern w:val="0"/>
                <w:sz w:val="24"/>
                <w:szCs w:val="24"/>
                <w:highlight w:val="none"/>
                <w:lang w:val="en-US" w:eastAsia="zh-CN" w:bidi="ar"/>
              </w:rPr>
              <w:t>效率约7</w:t>
            </w:r>
            <w:r>
              <w:rPr>
                <w:rFonts w:hint="default" w:ascii="Times New Roman" w:hAnsi="Times New Roman" w:eastAsia="宋体" w:cs="Times New Roman"/>
                <w:color w:val="auto"/>
                <w:kern w:val="0"/>
                <w:sz w:val="24"/>
                <w:szCs w:val="24"/>
                <w:highlight w:val="none"/>
                <w:lang w:val="en-US" w:eastAsia="zh-CN" w:bidi="ar"/>
              </w:rPr>
              <w:t>0%</w:t>
            </w:r>
            <w:r>
              <w:rPr>
                <w:rFonts w:hint="default" w:ascii="Times New Roman" w:hAnsi="Times New Roman" w:cs="Times New Roman"/>
                <w:color w:val="auto"/>
                <w:kern w:val="0"/>
                <w:sz w:val="24"/>
                <w:szCs w:val="24"/>
                <w:highlight w:val="none"/>
                <w:lang w:val="en-US" w:eastAsia="zh-CN" w:bidi="ar"/>
              </w:rPr>
              <w:t>，则制备纯水量10t/a需用自来水14.286t/a，纯水机制备浓水量为4.286t/a。</w:t>
            </w:r>
            <w:r>
              <w:rPr>
                <w:rFonts w:hint="default" w:ascii="Times New Roman" w:hAnsi="Times New Roman" w:eastAsia="宋体" w:cs="Times New Roman"/>
                <w:color w:val="auto"/>
                <w:kern w:val="0"/>
                <w:sz w:val="24"/>
                <w:szCs w:val="24"/>
                <w:highlight w:val="none"/>
                <w:lang w:val="en-US" w:eastAsia="zh-CN" w:bidi="ar"/>
              </w:rPr>
              <w:t>产生的浓水作为清净下水排入污水管网。</w:t>
            </w:r>
          </w:p>
          <w:p>
            <w:pPr>
              <w:pStyle w:val="12"/>
              <w:widowControl w:val="0"/>
              <w:adjustRightInd w:val="0"/>
              <w:snapToGrid/>
              <w:spacing w:before="0" w:after="0" w:line="360" w:lineRule="auto"/>
              <w:ind w:right="0"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②冷却塔用水</w:t>
            </w:r>
          </w:p>
          <w:p>
            <w:pPr>
              <w:pStyle w:val="12"/>
              <w:widowControl w:val="0"/>
              <w:adjustRightInd w:val="0"/>
              <w:snapToGrid/>
              <w:spacing w:before="0" w:after="0" w:line="360" w:lineRule="auto"/>
              <w:ind w:right="0" w:firstLine="480" w:firstLineChars="200"/>
              <w:rPr>
                <w:rFonts w:hint="default" w:ascii="Times New Roman" w:hAnsi="Times New Roman" w:eastAsia="宋体" w:cs="Times New Roman"/>
                <w:color w:val="auto"/>
                <w:sz w:val="24"/>
                <w:szCs w:val="24"/>
                <w:vertAlign w:val="baseline"/>
                <w:lang w:val="en-US" w:eastAsia="zh-CN"/>
              </w:rPr>
            </w:pPr>
            <w:r>
              <w:rPr>
                <w:rFonts w:hint="default" w:ascii="Times New Roman" w:hAnsi="Times New Roman" w:cs="Times New Roman"/>
                <w:color w:val="auto"/>
                <w:sz w:val="24"/>
                <w:szCs w:val="24"/>
                <w:lang w:val="en-US" w:eastAsia="zh-CN"/>
              </w:rPr>
              <w:t>项目配备两台冷却塔，1台用于冷却搅拌机，1台用于冷却NMP回收系统，冷却方式均为间接冷却，不与原辅材料、产品直接接触，</w:t>
            </w:r>
            <w:r>
              <w:rPr>
                <w:rFonts w:hint="default" w:ascii="Times New Roman" w:hAnsi="Times New Roman" w:eastAsia="宋体" w:cs="Times New Roman"/>
                <w:color w:val="auto"/>
                <w:sz w:val="24"/>
                <w:szCs w:val="24"/>
                <w:vertAlign w:val="baseline"/>
                <w:lang w:val="en-US" w:eastAsia="zh-CN"/>
              </w:rPr>
              <w:t>冷却用水为普通的自来水，其中无需添加阻垢剂、矿物油、乳化液等冷却剂。</w:t>
            </w:r>
          </w:p>
          <w:p>
            <w:pPr>
              <w:pStyle w:val="12"/>
              <w:widowControl w:val="0"/>
              <w:adjustRightInd w:val="0"/>
              <w:snapToGrid/>
              <w:spacing w:before="0" w:after="0" w:line="360" w:lineRule="auto"/>
              <w:ind w:right="0" w:firstLine="480" w:firstLineChars="200"/>
              <w:rPr>
                <w:rFonts w:hint="default" w:ascii="Times New Roman" w:hAnsi="Times New Roman" w:cs="Times New Roman"/>
                <w:color w:val="auto"/>
                <w:sz w:val="24"/>
                <w:szCs w:val="24"/>
                <w:vertAlign w:val="baseline"/>
                <w:lang w:val="en-US" w:eastAsia="zh-CN"/>
              </w:rPr>
            </w:pPr>
            <w:r>
              <w:rPr>
                <w:rFonts w:hint="default" w:ascii="Times New Roman" w:hAnsi="Times New Roman" w:eastAsia="宋体" w:cs="Times New Roman"/>
                <w:color w:val="auto"/>
                <w:sz w:val="24"/>
                <w:szCs w:val="24"/>
                <w:vertAlign w:val="baseline"/>
                <w:lang w:val="en-US" w:eastAsia="zh-CN"/>
              </w:rPr>
              <w:t>两台</w:t>
            </w:r>
            <w:r>
              <w:rPr>
                <w:rFonts w:hint="default" w:ascii="Times New Roman" w:hAnsi="Times New Roman" w:cs="Times New Roman"/>
                <w:color w:val="auto"/>
                <w:sz w:val="24"/>
                <w:szCs w:val="24"/>
                <w:lang w:val="en-US" w:eastAsia="zh-CN"/>
              </w:rPr>
              <w:t>冷却塔工作循环水量均为31.2m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vertAlign w:val="baseline"/>
                <w:lang w:val="en-US" w:eastAsia="zh-CN"/>
              </w:rPr>
              <w:t>/h，项目每天工作时间为20h，则冷却塔循环水量为624</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vertAlign w:val="baseline"/>
                <w:lang w:val="en-US" w:eastAsia="zh-CN"/>
              </w:rPr>
              <w:t>/d（174720</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vertAlign w:val="baseline"/>
                <w:lang w:val="en-US" w:eastAsia="zh-CN"/>
              </w:rPr>
              <w:t>/a），因冷却过程中少量水分因吸收热量而蒸发损失，需定期补充损耗量。</w:t>
            </w:r>
          </w:p>
          <w:p>
            <w:pPr>
              <w:pStyle w:val="12"/>
              <w:widowControl w:val="0"/>
              <w:adjustRightInd w:val="0"/>
              <w:snapToGrid/>
              <w:spacing w:before="0" w:after="0" w:line="360" w:lineRule="auto"/>
              <w:ind w:right="0" w:firstLine="480" w:firstLineChars="200"/>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根据《工业循环冷却水处理设计规范》（GB/T50050-2017），补量计算公式：</w:t>
            </w:r>
          </w:p>
          <w:p>
            <w:pPr>
              <w:pStyle w:val="12"/>
              <w:widowControl w:val="0"/>
              <w:adjustRightInd w:val="0"/>
              <w:snapToGrid/>
              <w:spacing w:before="0" w:after="0" w:line="360" w:lineRule="auto"/>
              <w:ind w:right="0" w:firstLine="480" w:firstLineChars="200"/>
              <w:jc w:val="center"/>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rPr>
              <w:drawing>
                <wp:inline distT="0" distB="0" distL="114300" distR="114300">
                  <wp:extent cx="1028700" cy="371475"/>
                  <wp:effectExtent l="0" t="0" r="0" b="9525"/>
                  <wp:docPr id="60" name="图片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5"/>
                          <pic:cNvPicPr>
                            <a:picLocks noChangeAspect="1"/>
                          </pic:cNvPicPr>
                        </pic:nvPicPr>
                        <pic:blipFill>
                          <a:blip r:embed="rId15"/>
                          <a:srcRect l="58139" t="19298" b="12280"/>
                          <a:stretch>
                            <a:fillRect/>
                          </a:stretch>
                        </pic:blipFill>
                        <pic:spPr>
                          <a:xfrm>
                            <a:off x="0" y="0"/>
                            <a:ext cx="1028700" cy="371475"/>
                          </a:xfrm>
                          <a:prstGeom prst="rect">
                            <a:avLst/>
                          </a:prstGeom>
                          <a:noFill/>
                          <a:ln>
                            <a:noFill/>
                          </a:ln>
                        </pic:spPr>
                      </pic:pic>
                    </a:graphicData>
                  </a:graphic>
                </wp:inline>
              </w:drawing>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式中：</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Qe—蒸发损失量（</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eastAsia="宋体" w:cs="Times New Roman"/>
                <w:color w:val="auto"/>
                <w:kern w:val="0"/>
                <w:sz w:val="24"/>
                <w:szCs w:val="24"/>
                <w:lang w:val="en-US" w:eastAsia="zh-CN" w:bidi="ar"/>
              </w:rPr>
              <w:t>/h）；</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k—蒸发损失系数（1/℃），取值0.0014；</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t—循环冷却水进、出冷却塔温差（℃），取值8℃；</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Qr—循环冷却水量（</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eastAsia="宋体" w:cs="Times New Roman"/>
                <w:color w:val="auto"/>
                <w:kern w:val="0"/>
                <w:sz w:val="24"/>
                <w:szCs w:val="24"/>
                <w:lang w:val="en-US" w:eastAsia="zh-CN" w:bidi="ar"/>
              </w:rPr>
              <w:t>/h），31.2</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eastAsia="宋体" w:cs="Times New Roman"/>
                <w:color w:val="auto"/>
                <w:kern w:val="0"/>
                <w:sz w:val="24"/>
                <w:szCs w:val="24"/>
                <w:lang w:val="en-US" w:eastAsia="zh-CN" w:bidi="ar"/>
              </w:rPr>
              <w:t>/h；</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eastAsia="宋体" w:cs="Times New Roman"/>
                <w:color w:val="auto"/>
                <w:kern w:val="0"/>
                <w:sz w:val="24"/>
                <w:szCs w:val="24"/>
                <w:lang w:val="en-US" w:eastAsia="zh-CN" w:bidi="ar"/>
              </w:rPr>
              <w:t>经计算循环冷却系统蒸发损失量0.34944</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eastAsia="宋体" w:cs="Times New Roman"/>
                <w:color w:val="auto"/>
                <w:kern w:val="0"/>
                <w:sz w:val="24"/>
                <w:szCs w:val="24"/>
                <w:lang w:val="en-US" w:eastAsia="zh-CN" w:bidi="ar"/>
              </w:rPr>
              <w:t>/h（6.9888</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vertAlign w:val="baseline"/>
                <w:lang w:val="en-US" w:eastAsia="zh-CN"/>
              </w:rPr>
              <w:t>/d</w:t>
            </w:r>
            <w:r>
              <w:rPr>
                <w:rFonts w:hint="default" w:ascii="Times New Roman" w:hAnsi="Times New Roman" w:eastAsia="宋体" w:cs="Times New Roman"/>
                <w:color w:val="auto"/>
                <w:kern w:val="0"/>
                <w:sz w:val="24"/>
                <w:szCs w:val="24"/>
                <w:lang w:val="en-US" w:eastAsia="zh-CN" w:bidi="ar"/>
              </w:rPr>
              <w:t>），定期进行补充。</w:t>
            </w:r>
            <w:r>
              <w:rPr>
                <w:rFonts w:hint="default" w:ascii="Times New Roman" w:hAnsi="Times New Roman" w:cs="Times New Roman"/>
                <w:color w:val="auto"/>
                <w:sz w:val="24"/>
                <w:szCs w:val="24"/>
                <w:vertAlign w:val="baseline"/>
                <w:lang w:val="en-US" w:eastAsia="zh-CN"/>
              </w:rPr>
              <w:t>该部分冷却水循环使用，定期加入除臭剂，不外排。故两台冷却塔补充用水量为13.9776</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vertAlign w:val="baseline"/>
                <w:lang w:val="en-US" w:eastAsia="zh-CN"/>
              </w:rPr>
              <w:t>/d（4193.28</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vertAlign w:val="baseline"/>
                <w:lang w:val="en-US" w:eastAsia="zh-CN"/>
              </w:rPr>
              <w:t>/a）。</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cs="Times New Roman"/>
                <w:b/>
                <w:bCs/>
                <w:color w:val="auto"/>
                <w:sz w:val="24"/>
                <w:szCs w:val="24"/>
                <w:highlight w:val="none"/>
                <w:vertAlign w:val="baseline"/>
                <w:lang w:val="en-US" w:eastAsia="zh-CN"/>
              </w:rPr>
            </w:pPr>
            <w:r>
              <w:rPr>
                <w:rFonts w:hint="default" w:ascii="Times New Roman" w:hAnsi="Times New Roman" w:eastAsia="宋体" w:cs="Times New Roman"/>
                <w:b/>
                <w:bCs/>
                <w:color w:val="auto"/>
                <w:sz w:val="24"/>
                <w:szCs w:val="24"/>
                <w:highlight w:val="none"/>
                <w:vertAlign w:val="baseline"/>
                <w:lang w:val="en-US" w:eastAsia="zh-CN"/>
              </w:rPr>
              <w:t>③</w:t>
            </w:r>
            <w:r>
              <w:rPr>
                <w:rFonts w:hint="default" w:ascii="Times New Roman" w:hAnsi="Times New Roman" w:cs="Times New Roman"/>
                <w:b/>
                <w:bCs/>
                <w:color w:val="auto"/>
                <w:sz w:val="24"/>
                <w:szCs w:val="24"/>
                <w:highlight w:val="none"/>
                <w:vertAlign w:val="baseline"/>
                <w:lang w:val="en-US" w:eastAsia="zh-CN"/>
              </w:rPr>
              <w:t>设备清洗用水</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本项目正负极搅拌机需定期进行清洗，项目共设4台搅拌机，每个搅拌机的</w:t>
            </w:r>
            <w:r>
              <w:rPr>
                <w:rFonts w:hint="eastAsia" w:ascii="Times New Roman" w:hAnsi="Times New Roman" w:eastAsia="宋体" w:cs="Times New Roman"/>
                <w:color w:val="auto"/>
                <w:kern w:val="0"/>
                <w:sz w:val="24"/>
                <w:szCs w:val="24"/>
                <w:highlight w:val="none"/>
                <w:lang w:val="en-US" w:eastAsia="zh-CN" w:bidi="ar"/>
              </w:rPr>
              <w:t>容积</w:t>
            </w:r>
            <w:r>
              <w:rPr>
                <w:rFonts w:hint="default" w:ascii="Times New Roman" w:hAnsi="Times New Roman" w:eastAsia="宋体" w:cs="Times New Roman"/>
                <w:color w:val="auto"/>
                <w:kern w:val="0"/>
                <w:sz w:val="24"/>
                <w:szCs w:val="24"/>
                <w:highlight w:val="none"/>
                <w:lang w:val="en-US" w:eastAsia="zh-CN" w:bidi="ar"/>
              </w:rPr>
              <w:t>均为200L，清洗方式采用喷射清洗，清洗用水量按容积的50%计算，则每台搅拌机每次清洗用水量为0.1t，清洗频次为每个月清洗一次，则设备清洗用水量约为4.8m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/a。</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sz w:val="24"/>
                <w:szCs w:val="24"/>
                <w:highlight w:val="none"/>
                <w:vertAlign w:val="baseline"/>
                <w:lang w:val="en-US" w:eastAsia="zh-CN"/>
              </w:rPr>
            </w:pPr>
            <w:r>
              <w:rPr>
                <w:rFonts w:hint="default" w:ascii="Times New Roman" w:hAnsi="Times New Roman" w:eastAsia="宋体" w:cs="Times New Roman"/>
                <w:b/>
                <w:bCs/>
                <w:color w:val="auto"/>
                <w:sz w:val="24"/>
                <w:szCs w:val="24"/>
                <w:highlight w:val="none"/>
                <w:vertAlign w:val="baseline"/>
                <w:lang w:val="en-US" w:eastAsia="zh-CN"/>
              </w:rPr>
              <w:t>④配料车间地面清洗用水</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eastAsia="宋体" w:cs="Times New Roman"/>
                <w:color w:val="auto"/>
                <w:kern w:val="0"/>
                <w:sz w:val="24"/>
                <w:szCs w:val="24"/>
                <w:highlight w:val="none"/>
                <w:lang w:val="en-US" w:eastAsia="zh-CN" w:bidi="ar"/>
              </w:rPr>
              <w:t>为保证配料车间内地面洁净，企业会定期进行拖地清洁，根据建设单位提供资料，正极配料车间的占地面积为40m</w:t>
            </w:r>
            <w:r>
              <w:rPr>
                <w:rFonts w:hint="default" w:ascii="Times New Roman" w:hAnsi="Times New Roman" w:eastAsia="宋体" w:cs="Times New Roman"/>
                <w:color w:val="auto"/>
                <w:kern w:val="0"/>
                <w:sz w:val="24"/>
                <w:szCs w:val="24"/>
                <w:highlight w:val="none"/>
                <w:vertAlign w:val="superscript"/>
                <w:lang w:val="en-US" w:eastAsia="zh-CN" w:bidi="ar"/>
              </w:rPr>
              <w:t>2</w:t>
            </w:r>
            <w:r>
              <w:rPr>
                <w:rFonts w:hint="default" w:ascii="Times New Roman" w:hAnsi="Times New Roman" w:eastAsia="宋体" w:cs="Times New Roman"/>
                <w:color w:val="auto"/>
                <w:kern w:val="0"/>
                <w:sz w:val="24"/>
                <w:szCs w:val="24"/>
                <w:highlight w:val="none"/>
                <w:lang w:val="en-US" w:eastAsia="zh-CN" w:bidi="ar"/>
              </w:rPr>
              <w:t>，负极配料车间的占地面积为40m</w:t>
            </w:r>
            <w:r>
              <w:rPr>
                <w:rFonts w:hint="default" w:ascii="Times New Roman" w:hAnsi="Times New Roman" w:eastAsia="宋体" w:cs="Times New Roman"/>
                <w:color w:val="auto"/>
                <w:kern w:val="0"/>
                <w:sz w:val="24"/>
                <w:szCs w:val="24"/>
                <w:highlight w:val="none"/>
                <w:vertAlign w:val="superscript"/>
                <w:lang w:val="en-US" w:eastAsia="zh-CN" w:bidi="ar"/>
              </w:rPr>
              <w:t>2</w:t>
            </w:r>
            <w:r>
              <w:rPr>
                <w:rFonts w:hint="default" w:ascii="Times New Roman" w:hAnsi="Times New Roman" w:eastAsia="宋体" w:cs="Times New Roman"/>
                <w:color w:val="auto"/>
                <w:kern w:val="0"/>
                <w:sz w:val="24"/>
                <w:szCs w:val="24"/>
                <w:highlight w:val="none"/>
                <w:lang w:val="en-US" w:eastAsia="zh-CN" w:bidi="ar"/>
              </w:rPr>
              <w:t>。地面清洗频率为每周清洁一次，即全</w:t>
            </w:r>
            <w:r>
              <w:rPr>
                <w:rFonts w:hint="eastAsia" w:ascii="Times New Roman" w:hAnsi="Times New Roman" w:eastAsia="宋体" w:cs="Times New Roman"/>
                <w:color w:val="auto"/>
                <w:kern w:val="0"/>
                <w:sz w:val="24"/>
                <w:szCs w:val="24"/>
                <w:highlight w:val="none"/>
                <w:lang w:val="en-US" w:eastAsia="zh-CN" w:bidi="ar"/>
              </w:rPr>
              <w:t>年</w:t>
            </w:r>
            <w:r>
              <w:rPr>
                <w:rFonts w:hint="default" w:ascii="Times New Roman" w:hAnsi="Times New Roman" w:eastAsia="宋体" w:cs="Times New Roman"/>
                <w:color w:val="auto"/>
                <w:kern w:val="0"/>
                <w:sz w:val="24"/>
                <w:szCs w:val="24"/>
                <w:highlight w:val="none"/>
                <w:lang w:val="en-US" w:eastAsia="zh-CN" w:bidi="ar"/>
              </w:rPr>
              <w:t>清洁48次。参考</w:t>
            </w:r>
            <w:r>
              <w:rPr>
                <w:rFonts w:hint="default" w:ascii="Times New Roman" w:hAnsi="Times New Roman" w:eastAsia="宋体" w:cs="Times New Roman"/>
                <w:color w:val="auto"/>
                <w:sz w:val="24"/>
                <w:highlight w:val="none"/>
              </w:rPr>
              <w:t>《建筑给水排水设计手册》（中国建筑工业出版社），场地冲洗用水量为1.0～1.5L/m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•次，本报告取最大值1.5L/m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•次</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则单次清洗用水量为0.12m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w:t>
            </w:r>
            <w:r>
              <w:rPr>
                <w:rFonts w:hint="default" w:ascii="Times New Roman" w:hAnsi="Times New Roman" w:eastAsia="宋体" w:cs="Times New Roman"/>
                <w:color w:val="auto"/>
                <w:kern w:val="0"/>
                <w:sz w:val="24"/>
                <w:szCs w:val="24"/>
                <w:highlight w:val="none"/>
                <w:lang w:val="en-US" w:eastAsia="zh-CN" w:bidi="ar"/>
              </w:rPr>
              <w:t>则车间地面保洁用水量为5.76m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/a。</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auto"/>
                <w:sz w:val="24"/>
                <w:szCs w:val="32"/>
                <w:highlight w:val="none"/>
                <w:lang w:val="en-US" w:eastAsia="zh-CN"/>
              </w:rPr>
            </w:pPr>
            <w:r>
              <w:rPr>
                <w:rFonts w:hint="default" w:ascii="Times New Roman" w:hAnsi="Times New Roman" w:eastAsia="宋体" w:cs="Times New Roman"/>
                <w:b/>
                <w:bCs/>
                <w:color w:val="auto"/>
                <w:sz w:val="24"/>
                <w:szCs w:val="32"/>
                <w:highlight w:val="none"/>
                <w:lang w:eastAsia="zh-CN"/>
              </w:rPr>
              <w:t>⑤</w:t>
            </w:r>
            <w:r>
              <w:rPr>
                <w:rFonts w:hint="default" w:ascii="Times New Roman" w:hAnsi="Times New Roman" w:cs="Times New Roman"/>
                <w:b/>
                <w:bCs/>
                <w:color w:val="auto"/>
                <w:sz w:val="24"/>
                <w:szCs w:val="32"/>
                <w:highlight w:val="none"/>
                <w:lang w:val="en-US" w:eastAsia="zh-CN"/>
              </w:rPr>
              <w:t>初期雨水</w:t>
            </w:r>
          </w:p>
          <w:p>
            <w:pPr>
              <w:adjustRightInd w:val="0"/>
              <w:snapToGri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a.初期雨水量</w:t>
            </w:r>
          </w:p>
          <w:p>
            <w:pPr>
              <w:autoSpaceDE w:val="0"/>
              <w:autoSpaceDN w:val="0"/>
              <w:adjustRightInd w:val="0"/>
              <w:spacing w:line="360" w:lineRule="auto"/>
              <w:ind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雨水径流有明显的初期冲刷作用，即在多数情况下污染物是集中在初期的数毫米雨量中。当遇到降雨时，初期雨水中含有大量的SS，厂区内修建雨水收集管渠，降雨时，15min前产生的雨污水（初期雨水），排入沉淀池，减少对周围地表水的不利影响，15min后产生的雨水属于清洁雨水，可调节转换阀排放流入雨水管网。</w:t>
            </w:r>
          </w:p>
          <w:p>
            <w:pPr>
              <w:adjustRightInd w:val="0"/>
              <w:snapToGrid w:val="0"/>
              <w:spacing w:line="360" w:lineRule="auto"/>
              <w:ind w:firstLine="480" w:firstLineChars="200"/>
              <w:rPr>
                <w:rFonts w:hint="default" w:ascii="Times New Roman" w:hAnsi="Times New Roman" w:cs="Times New Roman"/>
                <w:b/>
                <w:bCs/>
                <w:color w:val="auto"/>
                <w:sz w:val="24"/>
                <w:highlight w:val="none"/>
              </w:rPr>
            </w:pPr>
            <w:r>
              <w:rPr>
                <w:rFonts w:hint="default" w:ascii="Times New Roman" w:hAnsi="Times New Roman" w:cs="Times New Roman"/>
                <w:color w:val="auto"/>
                <w:kern w:val="0"/>
                <w:sz w:val="24"/>
                <w:highlight w:val="none"/>
              </w:rPr>
              <w:t>根据《室外排水设计标准》（GB50014-2021），雨水流量公式为：</w:t>
            </w:r>
          </w:p>
          <w:p>
            <w:pPr>
              <w:adjustRightInd w:val="0"/>
              <w:snapToGrid w:val="0"/>
              <w:spacing w:line="360" w:lineRule="auto"/>
              <w:ind w:firstLine="482" w:firstLineChars="200"/>
              <w:jc w:val="center"/>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Q=q×φ×F</w:t>
            </w:r>
          </w:p>
          <w:p>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式中：Q——降雨量（L/s）；</w:t>
            </w:r>
          </w:p>
          <w:p>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q——设计暴雨强度（L/s·hm</w:t>
            </w:r>
            <w:r>
              <w:rPr>
                <w:rFonts w:hint="default" w:ascii="Times New Roman" w:hAnsi="Times New Roman" w:cs="Times New Roman"/>
                <w:color w:val="auto"/>
                <w:sz w:val="24"/>
                <w:highlight w:val="none"/>
                <w:vertAlign w:val="superscript"/>
              </w:rPr>
              <w:t>2</w:t>
            </w:r>
            <w:r>
              <w:rPr>
                <w:rFonts w:hint="default" w:ascii="Times New Roman" w:hAnsi="Times New Roman" w:cs="Times New Roman"/>
                <w:color w:val="auto"/>
                <w:sz w:val="24"/>
                <w:highlight w:val="none"/>
              </w:rPr>
              <w:t>）；</w:t>
            </w:r>
          </w:p>
          <w:p>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φ——径流系数，</w:t>
            </w:r>
            <w:r>
              <w:rPr>
                <w:rFonts w:hint="default" w:ascii="Times New Roman" w:hAnsi="Times New Roman" w:cs="Times New Roman"/>
                <w:color w:val="auto"/>
                <w:kern w:val="0"/>
                <w:sz w:val="24"/>
                <w:highlight w:val="none"/>
              </w:rPr>
              <w:t>根据《室外排水设计标准》（GB50014-2021）表4.1.8-1可知</w:t>
            </w:r>
            <w:r>
              <w:rPr>
                <w:rFonts w:hint="default" w:ascii="Times New Roman" w:hAnsi="Times New Roman" w:cs="Times New Roman"/>
                <w:color w:val="auto"/>
                <w:sz w:val="24"/>
                <w:highlight w:val="none"/>
              </w:rPr>
              <w:t>地面种类为混凝土路面，径流系数为0.85~0.95。本项目成品区的地面硬底化，为混凝土路面，取0.9；</w:t>
            </w:r>
          </w:p>
          <w:p>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F——汇水面积，项目汇水面积取0.</w:t>
            </w:r>
            <w:r>
              <w:rPr>
                <w:rFonts w:hint="default" w:ascii="Times New Roman" w:hAnsi="Times New Roman" w:cs="Times New Roman"/>
                <w:color w:val="auto"/>
                <w:sz w:val="24"/>
                <w:highlight w:val="none"/>
                <w:lang w:val="en-US" w:eastAsia="zh-CN"/>
              </w:rPr>
              <w:t>25</w:t>
            </w:r>
            <w:r>
              <w:rPr>
                <w:rFonts w:hint="default" w:ascii="Times New Roman" w:hAnsi="Times New Roman" w:cs="Times New Roman"/>
                <w:color w:val="auto"/>
                <w:sz w:val="24"/>
                <w:highlight w:val="none"/>
              </w:rPr>
              <w:t>公顷。</w:t>
            </w:r>
          </w:p>
          <w:p>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暴雨强度计算公式：根据《惠州市城乡规划管理技术规定》（2020年）（惠府函〔2020〕329号），惠州市暴雨强度（q）计算公式：</w:t>
            </w:r>
          </w:p>
          <w:p>
            <w:pPr>
              <w:adjustRightInd w:val="0"/>
              <w:snapToGrid w:val="0"/>
              <w:spacing w:line="360" w:lineRule="auto"/>
              <w:ind w:firstLine="480" w:firstLineChars="200"/>
              <w:jc w:val="center"/>
              <w:rPr>
                <w:rFonts w:hint="default" w:ascii="Times New Roman" w:hAnsi="Times New Roman" w:cs="Times New Roman"/>
                <w:color w:val="auto"/>
                <w:sz w:val="24"/>
                <w:highlight w:val="none"/>
              </w:rPr>
            </w:pPr>
            <m:oMathPara>
              <m:oMath>
                <m:r>
                  <m:rPr/>
                  <w:rPr>
                    <w:rFonts w:hint="default" w:ascii="Cambria Math" w:hAnsi="Cambria Math"/>
                    <w:color w:val="auto"/>
                    <w:sz w:val="24"/>
                  </w:rPr>
                  <m:t>q=</m:t>
                </m:r>
                <m:f>
                  <m:fPr>
                    <m:ctrlPr>
                      <w:rPr>
                        <w:rFonts w:hint="default" w:ascii="Cambria Math" w:hAnsi="Cambria Math"/>
                        <w:i/>
                        <w:color w:val="auto"/>
                        <w:sz w:val="24"/>
                      </w:rPr>
                    </m:ctrlPr>
                  </m:fPr>
                  <m:num>
                    <m:r>
                      <m:rPr/>
                      <w:rPr>
                        <w:rFonts w:hint="default" w:ascii="Cambria Math" w:hAnsi="Cambria Math"/>
                        <w:color w:val="auto"/>
                        <w:sz w:val="24"/>
                      </w:rPr>
                      <m:t>1877.373</m:t>
                    </m:r>
                    <m:d>
                      <m:dPr>
                        <m:begChr m:val="（"/>
                        <m:endChr m:val="）"/>
                        <m:ctrlPr>
                          <w:rPr>
                            <w:rFonts w:hint="default" w:ascii="Cambria Math" w:hAnsi="Cambria Math"/>
                            <w:i/>
                            <w:color w:val="auto"/>
                            <w:sz w:val="24"/>
                          </w:rPr>
                        </m:ctrlPr>
                      </m:dPr>
                      <m:e>
                        <m:r>
                          <m:rPr/>
                          <w:rPr>
                            <w:rFonts w:hint="default" w:ascii="Cambria Math" w:hAnsi="Cambria Math"/>
                            <w:color w:val="auto"/>
                            <w:sz w:val="24"/>
                          </w:rPr>
                          <m:t>1+0.438Lgp</m:t>
                        </m:r>
                        <m:ctrlPr>
                          <w:rPr>
                            <w:rFonts w:hint="default" w:ascii="Cambria Math" w:hAnsi="Cambria Math"/>
                            <w:i/>
                            <w:color w:val="auto"/>
                            <w:sz w:val="24"/>
                          </w:rPr>
                        </m:ctrlPr>
                      </m:e>
                    </m:d>
                    <m:ctrlPr>
                      <w:rPr>
                        <w:rFonts w:hint="default" w:ascii="Cambria Math" w:hAnsi="Cambria Math"/>
                        <w:i/>
                        <w:color w:val="auto"/>
                        <w:sz w:val="24"/>
                      </w:rPr>
                    </m:ctrlPr>
                  </m:num>
                  <m:den>
                    <m:sSup>
                      <m:sSupPr>
                        <m:ctrlPr>
                          <w:rPr>
                            <w:rFonts w:hint="default" w:ascii="Cambria Math" w:hAnsi="Cambria Math"/>
                            <w:i/>
                            <w:color w:val="auto"/>
                            <w:sz w:val="24"/>
                          </w:rPr>
                        </m:ctrlPr>
                      </m:sSupPr>
                      <m:e>
                        <m:d>
                          <m:dPr>
                            <m:begChr m:val="（"/>
                            <m:endChr m:val="）"/>
                            <m:ctrlPr>
                              <w:rPr>
                                <w:rFonts w:hint="default" w:ascii="Cambria Math" w:hAnsi="Cambria Math"/>
                                <w:i/>
                                <w:color w:val="auto"/>
                                <w:sz w:val="24"/>
                              </w:rPr>
                            </m:ctrlPr>
                          </m:dPr>
                          <m:e>
                            <m:r>
                              <m:rPr/>
                              <w:rPr>
                                <w:rFonts w:hint="default" w:ascii="Cambria Math" w:hAnsi="Cambria Math"/>
                                <w:color w:val="auto"/>
                                <w:sz w:val="24"/>
                              </w:rPr>
                              <m:t>t+8.131</m:t>
                            </m:r>
                            <m:ctrlPr>
                              <w:rPr>
                                <w:rFonts w:hint="default" w:ascii="Cambria Math" w:hAnsi="Cambria Math"/>
                                <w:i/>
                                <w:color w:val="auto"/>
                                <w:sz w:val="24"/>
                              </w:rPr>
                            </m:ctrlPr>
                          </m:e>
                        </m:d>
                        <m:ctrlPr>
                          <w:rPr>
                            <w:rFonts w:hint="default" w:ascii="Cambria Math" w:hAnsi="Cambria Math"/>
                            <w:i/>
                            <w:color w:val="auto"/>
                            <w:sz w:val="24"/>
                          </w:rPr>
                        </m:ctrlPr>
                      </m:e>
                      <m:sup>
                        <m:r>
                          <m:rPr/>
                          <w:rPr>
                            <w:rFonts w:hint="default" w:ascii="Cambria Math" w:hAnsi="Cambria Math"/>
                            <w:color w:val="auto"/>
                            <w:sz w:val="24"/>
                          </w:rPr>
                          <m:t>0.598</m:t>
                        </m:r>
                        <m:ctrlPr>
                          <w:rPr>
                            <w:rFonts w:hint="default" w:ascii="Cambria Math" w:hAnsi="Cambria Math"/>
                            <w:i/>
                            <w:color w:val="auto"/>
                            <w:sz w:val="24"/>
                          </w:rPr>
                        </m:ctrlPr>
                      </m:sup>
                    </m:sSup>
                    <m:ctrlPr>
                      <w:rPr>
                        <w:rFonts w:hint="default" w:ascii="Cambria Math" w:hAnsi="Cambria Math"/>
                        <w:i/>
                        <w:color w:val="auto"/>
                        <w:sz w:val="24"/>
                      </w:rPr>
                    </m:ctrlPr>
                  </m:den>
                </m:f>
                <m:r>
                  <m:rPr/>
                  <w:rPr>
                    <w:rFonts w:hint="default" w:ascii="Cambria Math" w:hAnsi="Cambria Math"/>
                    <w:color w:val="auto"/>
                    <w:sz w:val="24"/>
                  </w:rPr>
                  <m:t>（升/秒·公顷）</m:t>
                </m:r>
              </m:oMath>
            </m:oMathPara>
          </w:p>
          <w:p>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式中：P——设计重新期，单位：年；取1年</w:t>
            </w:r>
          </w:p>
          <w:p>
            <w:pPr>
              <w:adjustRightInd w:val="0"/>
              <w:snapToGrid w:val="0"/>
              <w:spacing w:line="360" w:lineRule="auto"/>
              <w:ind w:firstLine="1200" w:firstLineChars="5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t——降雨历时，单位：分钟；取120min</w:t>
            </w:r>
          </w:p>
          <w:p>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计算得到暴雨强度为：103.1升/秒·公顷。</w:t>
            </w:r>
          </w:p>
          <w:p>
            <w:pPr>
              <w:autoSpaceDE w:val="0"/>
              <w:autoSpaceDN w:val="0"/>
              <w:adjustRightInd w:val="0"/>
              <w:spacing w:line="360" w:lineRule="auto"/>
              <w:ind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根据上述计算公式计算，降雨量Q=27.8L/s，厂区每次需收集前15min的最大初期雨水量约为2</w:t>
            </w:r>
            <w:r>
              <w:rPr>
                <w:rFonts w:hint="default" w:ascii="Times New Roman" w:hAnsi="Times New Roman" w:cs="Times New Roman"/>
                <w:color w:val="auto"/>
                <w:kern w:val="0"/>
                <w:sz w:val="24"/>
                <w:highlight w:val="none"/>
                <w:lang w:val="en-US" w:eastAsia="zh-CN"/>
              </w:rPr>
              <w:t>3.1975</w:t>
            </w:r>
            <w:r>
              <w:rPr>
                <w:rFonts w:hint="default" w:ascii="Times New Roman" w:hAnsi="Times New Roman" w:cs="Times New Roman"/>
                <w:color w:val="auto"/>
                <w:kern w:val="0"/>
                <w:sz w:val="24"/>
                <w:highlight w:val="none"/>
              </w:rPr>
              <w:t>m</w:t>
            </w:r>
            <w:r>
              <w:rPr>
                <w:rFonts w:hint="default" w:ascii="Times New Roman" w:hAnsi="Times New Roman" w:cs="Times New Roman"/>
                <w:color w:val="auto"/>
                <w:kern w:val="0"/>
                <w:sz w:val="24"/>
                <w:highlight w:val="none"/>
                <w:vertAlign w:val="superscript"/>
              </w:rPr>
              <w:t>3</w:t>
            </w:r>
            <w:r>
              <w:rPr>
                <w:rFonts w:hint="default" w:ascii="Times New Roman" w:hAnsi="Times New Roman" w:cs="Times New Roman"/>
                <w:color w:val="auto"/>
                <w:kern w:val="0"/>
                <w:sz w:val="24"/>
                <w:highlight w:val="none"/>
              </w:rPr>
              <w:t>/次。</w:t>
            </w:r>
          </w:p>
          <w:p>
            <w:pPr>
              <w:autoSpaceDE w:val="0"/>
              <w:autoSpaceDN w:val="0"/>
              <w:adjustRightInd w:val="0"/>
              <w:spacing w:line="360" w:lineRule="auto"/>
              <w:ind w:firstLine="482" w:firstLineChars="200"/>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b.全年平均初期雨水量</w:t>
            </w:r>
          </w:p>
          <w:p>
            <w:pPr>
              <w:autoSpaceDE w:val="0"/>
              <w:autoSpaceDN w:val="0"/>
              <w:adjustRightInd w:val="0"/>
              <w:spacing w:line="360" w:lineRule="auto"/>
              <w:ind w:firstLine="480" w:firstLineChars="200"/>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由于每次降雨量不均匀，全年初期雨水量的统计不宜采用最大初期雨水进行计算。目前，我国对初期雨水还没有较为统一准确的计算方法。根据设计经验，一般按降雨初期前15min的时间来计算初期雨水量。</w:t>
            </w:r>
          </w:p>
          <w:p>
            <w:pPr>
              <w:autoSpaceDE w:val="0"/>
              <w:autoSpaceDN w:val="0"/>
              <w:adjustRightInd w:val="0"/>
              <w:spacing w:line="360" w:lineRule="auto"/>
              <w:ind w:firstLine="480" w:firstLineChars="200"/>
              <w:rPr>
                <w:rFonts w:hint="default" w:ascii="Times New Roman" w:hAnsi="Times New Roman" w:cs="Times New Roman"/>
                <w:color w:val="auto"/>
                <w:kern w:val="0"/>
                <w:sz w:val="24"/>
                <w:highlight w:val="none"/>
              </w:rPr>
            </w:pPr>
            <w:r>
              <w:rPr>
                <w:rFonts w:hint="default" w:ascii="Times New Roman" w:hAnsi="Times New Roman" w:eastAsia="宋体" w:cs="Times New Roman"/>
                <w:color w:val="auto"/>
                <w:sz w:val="24"/>
                <w:szCs w:val="24"/>
              </w:rPr>
              <w:t>根据《惠州地区50年来雨日的气候统计和变化特征》（李明华等，广东气象，2008年第30卷第2期）的统计结果，区域多年平均日降雨量12.3mm，</w:t>
            </w:r>
            <w:r>
              <w:rPr>
                <w:rFonts w:hint="default" w:ascii="Times New Roman" w:hAnsi="Times New Roman" w:cs="Times New Roman"/>
                <w:color w:val="auto"/>
                <w:sz w:val="24"/>
                <w:highlight w:val="none"/>
              </w:rPr>
              <w:t>年平均降雨日数为14</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天；</w:t>
            </w:r>
            <w:r>
              <w:rPr>
                <w:rFonts w:hint="default" w:ascii="Times New Roman" w:hAnsi="Times New Roman" w:cs="Times New Roman"/>
                <w:color w:val="auto"/>
                <w:kern w:val="0"/>
                <w:sz w:val="24"/>
                <w:highlight w:val="none"/>
              </w:rPr>
              <w:t>平均每次降雨时间取90min，因此取下雨历程前1/6的降雨量作为初期雨水量，径流系数取0.9初期雨水量见下表。项目初期雨水经过沉淀池</w:t>
            </w:r>
            <w:r>
              <w:rPr>
                <w:rFonts w:hint="default" w:ascii="Times New Roman" w:hAnsi="Times New Roman" w:cs="Times New Roman"/>
                <w:color w:val="auto"/>
                <w:kern w:val="0"/>
                <w:sz w:val="24"/>
                <w:highlight w:val="none"/>
                <w:lang w:val="en-US" w:eastAsia="zh-CN"/>
              </w:rPr>
              <w:t>混凝沉淀</w:t>
            </w:r>
            <w:r>
              <w:rPr>
                <w:rFonts w:hint="default" w:ascii="Times New Roman" w:hAnsi="Times New Roman" w:cs="Times New Roman"/>
                <w:color w:val="auto"/>
                <w:kern w:val="0"/>
                <w:sz w:val="24"/>
                <w:highlight w:val="none"/>
              </w:rPr>
              <w:t>，</w:t>
            </w:r>
            <w:r>
              <w:rPr>
                <w:rFonts w:hint="default" w:ascii="Times New Roman" w:hAnsi="Times New Roman" w:cs="Times New Roman"/>
                <w:color w:val="auto"/>
                <w:kern w:val="0"/>
                <w:sz w:val="24"/>
                <w:highlight w:val="none"/>
                <w:lang w:val="en-US" w:eastAsia="zh-CN"/>
              </w:rPr>
              <w:t>直接排入雨水管网</w:t>
            </w:r>
            <w:r>
              <w:rPr>
                <w:rFonts w:hint="default" w:ascii="Times New Roman" w:hAnsi="Times New Roman" w:cs="Times New Roman"/>
                <w:color w:val="auto"/>
                <w:kern w:val="0"/>
                <w:sz w:val="24"/>
                <w:highlight w:val="none"/>
              </w:rPr>
              <w:t>。</w:t>
            </w:r>
          </w:p>
          <w:p>
            <w:pPr>
              <w:autoSpaceDE w:val="0"/>
              <w:autoSpaceDN w:val="0"/>
              <w:adjustRightInd w:val="0"/>
              <w:spacing w:line="360" w:lineRule="auto"/>
              <w:jc w:val="center"/>
              <w:rPr>
                <w:rFonts w:hint="default" w:ascii="Times New Roman" w:hAnsi="Times New Roman" w:cs="Times New Roman"/>
                <w:b/>
                <w:bCs/>
                <w:color w:val="auto"/>
                <w:kern w:val="0"/>
                <w:sz w:val="24"/>
                <w:szCs w:val="24"/>
                <w:highlight w:val="none"/>
              </w:rPr>
            </w:pPr>
            <w:r>
              <w:rPr>
                <w:rFonts w:hint="default" w:ascii="Times New Roman" w:hAnsi="Times New Roman" w:cs="Times New Roman"/>
                <w:b/>
                <w:bCs/>
                <w:color w:val="auto"/>
                <w:kern w:val="0"/>
                <w:sz w:val="24"/>
                <w:szCs w:val="24"/>
                <w:highlight w:val="none"/>
              </w:rPr>
              <w:t>表2-</w:t>
            </w:r>
            <w:r>
              <w:rPr>
                <w:rFonts w:hint="default"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b/>
                <w:bCs/>
                <w:color w:val="auto"/>
                <w:kern w:val="0"/>
                <w:sz w:val="24"/>
                <w:szCs w:val="24"/>
                <w:highlight w:val="none"/>
                <w:lang w:val="en-US" w:eastAsia="zh-CN"/>
              </w:rPr>
              <w:t>3</w:t>
            </w:r>
            <w:r>
              <w:rPr>
                <w:rFonts w:hint="default" w:ascii="Times New Roman" w:hAnsi="Times New Roman" w:cs="Times New Roman"/>
                <w:b/>
                <w:bCs/>
                <w:color w:val="auto"/>
                <w:kern w:val="0"/>
                <w:sz w:val="24"/>
                <w:szCs w:val="24"/>
                <w:highlight w:val="none"/>
              </w:rPr>
              <w:t xml:space="preserve"> 平均初期雨水收集量</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54"/>
              <w:gridCol w:w="1594"/>
              <w:gridCol w:w="2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计算分项</w:t>
                  </w:r>
                </w:p>
              </w:tc>
              <w:tc>
                <w:tcPr>
                  <w:tcW w:w="159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单位</w:t>
                  </w:r>
                </w:p>
              </w:tc>
              <w:tc>
                <w:tcPr>
                  <w:tcW w:w="272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数值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初期雨水收集面积约</w:t>
                  </w:r>
                </w:p>
              </w:tc>
              <w:tc>
                <w:tcPr>
                  <w:tcW w:w="159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m</w:t>
                  </w:r>
                  <w:r>
                    <w:rPr>
                      <w:rFonts w:hint="default" w:ascii="Times New Roman" w:hAnsi="Times New Roman" w:cs="Times New Roman"/>
                      <w:color w:val="auto"/>
                      <w:kern w:val="0"/>
                      <w:szCs w:val="21"/>
                      <w:highlight w:val="none"/>
                      <w:vertAlign w:val="superscript"/>
                    </w:rPr>
                    <w:t>2</w:t>
                  </w:r>
                </w:p>
              </w:tc>
              <w:tc>
                <w:tcPr>
                  <w:tcW w:w="272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lang w:val="en-US" w:eastAsia="zh-CN"/>
                    </w:rPr>
                    <w:t>25</w:t>
                  </w:r>
                  <w:r>
                    <w:rPr>
                      <w:rFonts w:hint="default" w:ascii="Times New Roman" w:hAnsi="Times New Roman" w:cs="Times New Roman"/>
                      <w:color w:val="auto"/>
                      <w:kern w:val="0"/>
                      <w:szCs w:val="21"/>
                      <w:highlight w:val="none"/>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多年平均</w:t>
                  </w:r>
                  <w:r>
                    <w:rPr>
                      <w:rFonts w:hint="default" w:ascii="Times New Roman" w:hAnsi="Times New Roman" w:cs="Times New Roman"/>
                      <w:color w:val="auto"/>
                      <w:kern w:val="0"/>
                      <w:szCs w:val="21"/>
                      <w:highlight w:val="none"/>
                      <w:lang w:val="en-US" w:eastAsia="zh-CN"/>
                    </w:rPr>
                    <w:t>日</w:t>
                  </w:r>
                  <w:r>
                    <w:rPr>
                      <w:rFonts w:hint="default" w:ascii="Times New Roman" w:hAnsi="Times New Roman" w:cs="Times New Roman"/>
                      <w:color w:val="auto"/>
                      <w:kern w:val="0"/>
                      <w:szCs w:val="21"/>
                      <w:highlight w:val="none"/>
                    </w:rPr>
                    <w:t>降雨量</w:t>
                  </w:r>
                </w:p>
              </w:tc>
              <w:tc>
                <w:tcPr>
                  <w:tcW w:w="159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mm/a</w:t>
                  </w:r>
                </w:p>
              </w:tc>
              <w:tc>
                <w:tcPr>
                  <w:tcW w:w="2724" w:type="dxa"/>
                  <w:noWrap w:val="0"/>
                  <w:vAlign w:val="center"/>
                </w:tcPr>
                <w:p>
                  <w:pPr>
                    <w:autoSpaceDE w:val="0"/>
                    <w:autoSpaceDN w:val="0"/>
                    <w:adjustRightInd w:val="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平均每次降雨时间</w:t>
                  </w:r>
                </w:p>
              </w:tc>
              <w:tc>
                <w:tcPr>
                  <w:tcW w:w="159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min</w:t>
                  </w:r>
                </w:p>
              </w:tc>
              <w:tc>
                <w:tcPr>
                  <w:tcW w:w="272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初期雨水收集时间</w:t>
                  </w:r>
                </w:p>
              </w:tc>
              <w:tc>
                <w:tcPr>
                  <w:tcW w:w="159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min</w:t>
                  </w:r>
                </w:p>
              </w:tc>
              <w:tc>
                <w:tcPr>
                  <w:tcW w:w="272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5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径流系数</w:t>
                  </w:r>
                </w:p>
              </w:tc>
              <w:tc>
                <w:tcPr>
                  <w:tcW w:w="159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w:t>
                  </w:r>
                </w:p>
              </w:tc>
              <w:tc>
                <w:tcPr>
                  <w:tcW w:w="272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385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需输送进入沉淀池的初期雨水量</w:t>
                  </w:r>
                </w:p>
              </w:tc>
              <w:tc>
                <w:tcPr>
                  <w:tcW w:w="1594" w:type="dxa"/>
                  <w:noWrap w:val="0"/>
                  <w:vAlign w:val="center"/>
                </w:tcPr>
                <w:p>
                  <w:pPr>
                    <w:autoSpaceDE w:val="0"/>
                    <w:autoSpaceDN w:val="0"/>
                    <w:adjustRightInd w:val="0"/>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m</w:t>
                  </w:r>
                  <w:r>
                    <w:rPr>
                      <w:rFonts w:hint="default" w:ascii="Times New Roman" w:hAnsi="Times New Roman" w:cs="Times New Roman"/>
                      <w:color w:val="auto"/>
                      <w:kern w:val="0"/>
                      <w:szCs w:val="21"/>
                      <w:highlight w:val="none"/>
                      <w:vertAlign w:val="superscript"/>
                    </w:rPr>
                    <w:t>3</w:t>
                  </w:r>
                  <w:r>
                    <w:rPr>
                      <w:rFonts w:hint="default" w:ascii="Times New Roman" w:hAnsi="Times New Roman" w:cs="Times New Roman"/>
                      <w:color w:val="auto"/>
                      <w:kern w:val="0"/>
                      <w:szCs w:val="21"/>
                      <w:highlight w:val="none"/>
                    </w:rPr>
                    <w:t>/a</w:t>
                  </w:r>
                </w:p>
              </w:tc>
              <w:tc>
                <w:tcPr>
                  <w:tcW w:w="2724" w:type="dxa"/>
                  <w:noWrap w:val="0"/>
                  <w:vAlign w:val="center"/>
                </w:tcPr>
                <w:p>
                  <w:pPr>
                    <w:autoSpaceDE w:val="0"/>
                    <w:autoSpaceDN w:val="0"/>
                    <w:adjustRightInd w:val="0"/>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655</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32"/>
                <w:lang w:val="en-US" w:eastAsia="zh-CN"/>
              </w:rPr>
            </w:pPr>
            <w:r>
              <w:rPr>
                <w:rFonts w:hint="default" w:ascii="Times New Roman" w:hAnsi="Times New Roman" w:cs="Times New Roman"/>
                <w:b/>
                <w:bCs/>
                <w:color w:val="auto"/>
                <w:sz w:val="24"/>
                <w:szCs w:val="32"/>
                <w:lang w:eastAsia="zh-CN"/>
              </w:rPr>
              <w:t>（</w:t>
            </w:r>
            <w:r>
              <w:rPr>
                <w:rFonts w:hint="default" w:ascii="Times New Roman" w:hAnsi="Times New Roman" w:cs="Times New Roman"/>
                <w:b/>
                <w:bCs/>
                <w:color w:val="auto"/>
                <w:sz w:val="24"/>
                <w:szCs w:val="32"/>
                <w:lang w:val="en-US" w:eastAsia="zh-CN"/>
              </w:rPr>
              <w:t>2</w:t>
            </w:r>
            <w:r>
              <w:rPr>
                <w:rFonts w:hint="default" w:ascii="Times New Roman" w:hAnsi="Times New Roman" w:cs="Times New Roman"/>
                <w:b/>
                <w:bCs/>
                <w:color w:val="auto"/>
                <w:sz w:val="24"/>
                <w:szCs w:val="32"/>
                <w:lang w:eastAsia="zh-CN"/>
              </w:rPr>
              <w:t>）</w:t>
            </w:r>
            <w:r>
              <w:rPr>
                <w:rFonts w:hint="default" w:ascii="Times New Roman" w:hAnsi="Times New Roman" w:cs="Times New Roman"/>
                <w:b/>
                <w:bCs/>
                <w:color w:val="auto"/>
                <w:sz w:val="24"/>
                <w:szCs w:val="32"/>
                <w:lang w:val="en-US" w:eastAsia="zh-CN"/>
              </w:rPr>
              <w:t>生活用水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sz w:val="24"/>
                <w:szCs w:val="32"/>
                <w:lang w:val="en-US" w:eastAsia="zh-CN"/>
              </w:rPr>
              <w:t>项目拟招员工48人，均不在厂区内食宿。</w:t>
            </w:r>
            <w:r>
              <w:rPr>
                <w:rFonts w:hint="default" w:ascii="Times New Roman" w:hAnsi="Times New Roman" w:cs="Times New Roman"/>
                <w:color w:val="auto"/>
                <w:sz w:val="24"/>
                <w:szCs w:val="24"/>
                <w:lang w:val="en-US" w:eastAsia="zh-CN"/>
              </w:rPr>
              <w:t>根据《广东省用水定额－生活》（DB44/T 1461.3-2021）中的国家行政机构无食堂和浴室计算，选取先进值，即10t/a•人，</w:t>
            </w:r>
            <w:r>
              <w:rPr>
                <w:rFonts w:hint="default" w:ascii="Times New Roman" w:hAnsi="Times New Roman" w:cs="Times New Roman"/>
                <w:color w:val="auto"/>
                <w:sz w:val="24"/>
                <w:szCs w:val="32"/>
              </w:rPr>
              <w:t>项目</w:t>
            </w:r>
            <w:r>
              <w:rPr>
                <w:rFonts w:hint="default" w:ascii="Times New Roman" w:hAnsi="Times New Roman" w:cs="Times New Roman"/>
                <w:color w:val="auto"/>
                <w:sz w:val="24"/>
                <w:szCs w:val="32"/>
                <w:lang w:val="en-US" w:eastAsia="zh-CN"/>
              </w:rPr>
              <w:t>员工</w:t>
            </w:r>
            <w:r>
              <w:rPr>
                <w:rFonts w:hint="default" w:ascii="Times New Roman" w:hAnsi="Times New Roman" w:cs="Times New Roman"/>
                <w:color w:val="auto"/>
                <w:sz w:val="24"/>
                <w:szCs w:val="32"/>
              </w:rPr>
              <w:t>生活用水量为</w:t>
            </w:r>
            <w:r>
              <w:rPr>
                <w:rFonts w:hint="default" w:ascii="Times New Roman" w:hAnsi="Times New Roman" w:cs="Times New Roman"/>
                <w:color w:val="auto"/>
                <w:sz w:val="24"/>
                <w:szCs w:val="32"/>
                <w:lang w:val="en-US" w:eastAsia="zh-CN"/>
              </w:rPr>
              <w:t>1.71</w:t>
            </w:r>
            <w:r>
              <w:rPr>
                <w:rFonts w:hint="default" w:ascii="Times New Roman" w:hAnsi="Times New Roman" w:eastAsia="宋体" w:cs="Times New Roman"/>
                <w:color w:val="auto"/>
                <w:sz w:val="24"/>
                <w:szCs w:val="32"/>
                <w:lang w:val="en-US" w:eastAsia="zh-CN"/>
              </w:rPr>
              <w:t>m</w:t>
            </w:r>
            <w:r>
              <w:rPr>
                <w:rFonts w:hint="default" w:ascii="Times New Roman" w:hAnsi="Times New Roman" w:eastAsia="宋体" w:cs="Times New Roman"/>
                <w:color w:val="auto"/>
                <w:sz w:val="24"/>
                <w:szCs w:val="32"/>
                <w:vertAlign w:val="superscript"/>
                <w:lang w:val="en-US" w:eastAsia="zh-CN"/>
              </w:rPr>
              <w:t>3</w:t>
            </w:r>
            <w:r>
              <w:rPr>
                <w:rFonts w:hint="default" w:ascii="Times New Roman" w:hAnsi="Times New Roman" w:eastAsia="宋体" w:cs="Times New Roman"/>
                <w:color w:val="auto"/>
                <w:sz w:val="24"/>
                <w:szCs w:val="32"/>
                <w:lang w:val="en-US" w:eastAsia="zh-CN"/>
              </w:rPr>
              <w:t>/d</w:t>
            </w:r>
            <w:r>
              <w:rPr>
                <w:rFonts w:hint="default" w:ascii="Times New Roman" w:hAnsi="Times New Roman" w:cs="Times New Roman"/>
                <w:color w:val="auto"/>
                <w:sz w:val="24"/>
                <w:szCs w:val="32"/>
                <w:lang w:eastAsia="zh-CN"/>
              </w:rPr>
              <w:t>（</w:t>
            </w:r>
            <w:r>
              <w:rPr>
                <w:rFonts w:hint="default" w:ascii="Times New Roman" w:hAnsi="Times New Roman" w:cs="Times New Roman"/>
                <w:color w:val="auto"/>
                <w:sz w:val="24"/>
                <w:szCs w:val="32"/>
                <w:lang w:val="en-US" w:eastAsia="zh-CN"/>
              </w:rPr>
              <w:t>480</w:t>
            </w:r>
            <w:r>
              <w:rPr>
                <w:rFonts w:hint="default" w:ascii="Times New Roman" w:hAnsi="Times New Roman" w:cs="Times New Roman"/>
                <w:color w:val="auto"/>
                <w:sz w:val="24"/>
                <w:szCs w:val="32"/>
              </w:rPr>
              <w:t>t/a</w:t>
            </w:r>
            <w:r>
              <w:rPr>
                <w:rFonts w:hint="default" w:ascii="Times New Roman" w:hAnsi="Times New Roman" w:cs="Times New Roman"/>
                <w:color w:val="auto"/>
                <w:sz w:val="24"/>
                <w:szCs w:val="32"/>
                <w:lang w:eastAsia="zh-CN"/>
              </w:rPr>
              <w:t>）</w:t>
            </w:r>
            <w:r>
              <w:rPr>
                <w:rFonts w:hint="default" w:ascii="Times New Roman" w:hAnsi="Times New Roman" w:cs="Times New Roman"/>
                <w:color w:val="auto"/>
                <w:sz w:val="24"/>
                <w:szCs w:val="24"/>
                <w:lang w:val="en-US" w:eastAsia="zh-CN"/>
              </w:rPr>
              <w:t>（一年按280天计）</w:t>
            </w:r>
            <w:r>
              <w:rPr>
                <w:rFonts w:hint="default" w:ascii="Times New Roman" w:hAnsi="Times New Roman" w:cs="Times New Roman"/>
                <w:color w:val="auto"/>
                <w:sz w:val="24"/>
                <w:szCs w:val="32"/>
              </w:rPr>
              <w:t>。</w:t>
            </w:r>
          </w:p>
          <w:p>
            <w:pPr>
              <w:keepNext w:val="0"/>
              <w:keepLines w:val="0"/>
              <w:pageBreakBefore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2、排水工程</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本项目采取雨污分流方式，雨水经厂内雨水管道汇集至雨水接驳口汇入市政雨水管网。</w:t>
            </w:r>
            <w:r>
              <w:rPr>
                <w:rFonts w:hint="default" w:ascii="Times New Roman" w:hAnsi="Times New Roman" w:cs="Times New Roman"/>
                <w:color w:val="auto"/>
                <w:sz w:val="24"/>
                <w:szCs w:val="24"/>
              </w:rPr>
              <w:t>项目主要排水为生活污水，根据《排放源统计调查产排污核算方法和系数手册》（2021年6月11日，生态环境部印发）中“生活源产排污核算方法和系数手册</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第一部分</w:t>
            </w:r>
            <w:r>
              <w:rPr>
                <w:rFonts w:hint="default" w:ascii="Times New Roman" w:hAnsi="Times New Roman" w:cs="Times New Roman"/>
                <w:color w:val="auto"/>
                <w:sz w:val="24"/>
                <w:szCs w:val="24"/>
                <w:lang w:val="en-US" w:eastAsia="zh-CN"/>
              </w:rPr>
              <w:t xml:space="preserve"> </w:t>
            </w:r>
            <w:r>
              <w:rPr>
                <w:rFonts w:hint="default" w:ascii="Times New Roman" w:hAnsi="Times New Roman" w:cs="Times New Roman"/>
                <w:color w:val="auto"/>
                <w:sz w:val="24"/>
                <w:szCs w:val="24"/>
              </w:rPr>
              <w:t>城镇生活源水污染物产生系数”：人均日生活用水量≤150升/人·天时，折污系数取0.8，则本项目员工办公生活污水量为</w:t>
            </w:r>
            <w:r>
              <w:rPr>
                <w:rFonts w:hint="default" w:ascii="Times New Roman" w:hAnsi="Times New Roman" w:cs="Times New Roman"/>
                <w:color w:val="auto"/>
                <w:sz w:val="24"/>
                <w:szCs w:val="24"/>
                <w:lang w:val="en-US" w:eastAsia="zh-CN"/>
              </w:rPr>
              <w:t>1.37m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d</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384m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rPr>
              <w:t>/a</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w:t>
            </w:r>
            <w:r>
              <w:rPr>
                <w:rFonts w:hint="default" w:ascii="Times New Roman" w:hAnsi="Times New Roman" w:eastAsia="宋体" w:cs="Times New Roman"/>
                <w:color w:val="auto"/>
                <w:kern w:val="0"/>
                <w:sz w:val="24"/>
                <w:szCs w:val="24"/>
                <w:lang w:val="en-US" w:eastAsia="zh-CN" w:bidi="ar"/>
              </w:rPr>
              <w:t>项目生活污水</w:t>
            </w:r>
            <w:r>
              <w:rPr>
                <w:rFonts w:hint="default" w:ascii="Times New Roman" w:hAnsi="Times New Roman" w:cs="Times New Roman"/>
                <w:color w:val="auto"/>
                <w:sz w:val="24"/>
              </w:rPr>
              <w:t>经</w:t>
            </w:r>
            <w:r>
              <w:rPr>
                <w:rFonts w:hint="default" w:ascii="Times New Roman" w:hAnsi="Times New Roman" w:cs="Times New Roman"/>
                <w:color w:val="auto"/>
                <w:sz w:val="24"/>
                <w:szCs w:val="24"/>
              </w:rPr>
              <w:t>三级化粪池</w:t>
            </w:r>
            <w:r>
              <w:rPr>
                <w:rFonts w:hint="eastAsia" w:cs="Times New Roman"/>
                <w:color w:val="auto"/>
                <w:sz w:val="24"/>
                <w:szCs w:val="24"/>
                <w:lang w:val="en-US" w:eastAsia="zh-CN"/>
              </w:rPr>
              <w:t>+接触氧化池</w:t>
            </w:r>
            <w:r>
              <w:rPr>
                <w:rFonts w:hint="default" w:ascii="Times New Roman" w:hAnsi="Times New Roman" w:cs="Times New Roman"/>
                <w:color w:val="auto"/>
                <w:sz w:val="24"/>
              </w:rPr>
              <w:t>预处理后排入市政管网纳入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sz w:val="24"/>
              </w:rPr>
              <w:t>处理后达标排放</w:t>
            </w:r>
            <w:r>
              <w:rPr>
                <w:rFonts w:hint="default" w:ascii="Times New Roman" w:hAnsi="Times New Roman" w:cs="Times New Roman"/>
                <w:color w:val="auto"/>
                <w:sz w:val="24"/>
                <w:lang w:val="en-US" w:eastAsia="zh-CN"/>
              </w:rPr>
              <w:t>到中心排渠</w:t>
            </w:r>
            <w:r>
              <w:rPr>
                <w:rFonts w:hint="default" w:ascii="Times New Roman" w:hAnsi="Times New Roman" w:eastAsia="宋体" w:cs="Times New Roman"/>
                <w:color w:val="auto"/>
                <w:kern w:val="0"/>
                <w:sz w:val="24"/>
                <w:szCs w:val="24"/>
                <w:lang w:val="en-US" w:eastAsia="zh-CN" w:bidi="ar"/>
              </w:rPr>
              <w:t>。</w:t>
            </w:r>
          </w:p>
          <w:p>
            <w:pPr>
              <w:adjustRightInd w:val="0"/>
              <w:snapToGrid w:val="0"/>
              <w:spacing w:line="360" w:lineRule="auto"/>
              <w:ind w:firstLine="456" w:firstLineChars="200"/>
              <w:rPr>
                <w:rFonts w:hint="default" w:ascii="Times New Roman" w:hAnsi="Times New Roman" w:cs="Times New Roman"/>
                <w:color w:val="auto"/>
                <w:spacing w:val="-6"/>
                <w:sz w:val="24"/>
                <w:szCs w:val="24"/>
              </w:rPr>
            </w:pPr>
            <w:r>
              <w:rPr>
                <w:rFonts w:hint="default" w:ascii="Times New Roman" w:hAnsi="Times New Roman" w:cs="Times New Roman"/>
                <w:color w:val="auto"/>
                <w:spacing w:val="-6"/>
                <w:sz w:val="24"/>
                <w:szCs w:val="24"/>
              </w:rPr>
              <w:t>项目水平衡图如下：</w:t>
            </w:r>
          </w:p>
          <w:p>
            <w:pPr>
              <w:pStyle w:val="5"/>
              <w:ind w:left="0" w:leftChars="0" w:firstLine="0" w:firstLineChars="0"/>
              <w:rPr>
                <w:rFonts w:hint="default" w:ascii="Times New Roman" w:hAnsi="Times New Roman" w:cs="Times New Roman"/>
                <w:color w:val="auto"/>
                <w:spacing w:val="-6"/>
                <w:szCs w:val="21"/>
              </w:rPr>
            </w:pPr>
            <w:r>
              <w:rPr>
                <w:rFonts w:hint="default" w:ascii="Times New Roman" w:hAnsi="Times New Roman" w:cs="Times New Roman"/>
                <w:color w:val="auto"/>
                <w:spacing w:val="-6"/>
                <w:szCs w:val="21"/>
              </w:rPr>
              <w:object>
                <v:shape id="_x0000_i1027" o:spt="75" type="#_x0000_t75" style="height:266.15pt;width:383pt;" o:ole="t" filled="f" o:preferrelative="t" stroked="f" coordsize="21600,21600">
                  <v:path/>
                  <v:fill on="f" focussize="0,0"/>
                  <v:stroke on="f"/>
                  <v:imagedata r:id="rId17" o:title=""/>
                  <o:lock v:ext="edit" aspectratio="t"/>
                  <w10:wrap type="none"/>
                  <w10:anchorlock/>
                </v:shape>
                <o:OLEObject Type="Embed" ProgID="Visio.Drawing.15" ShapeID="_x0000_i1027" DrawAspect="Content" ObjectID="_1468075727" r:id="rId16">
                  <o:LockedField>false</o:LockedField>
                </o:OLEObject>
              </w:object>
            </w:r>
          </w:p>
          <w:p>
            <w:pPr>
              <w:adjustRightInd w:val="0"/>
              <w:snapToGrid w:val="0"/>
              <w:spacing w:before="120" w:beforeLines="50" w:line="360" w:lineRule="auto"/>
              <w:jc w:val="center"/>
              <w:rPr>
                <w:rFonts w:hint="default" w:ascii="Times New Roman" w:hAnsi="Times New Roman" w:cs="Times New Roman"/>
                <w:b/>
                <w:bCs/>
                <w:color w:val="auto"/>
                <w:spacing w:val="-6"/>
                <w:szCs w:val="21"/>
              </w:rPr>
            </w:pPr>
            <w:r>
              <w:rPr>
                <w:rFonts w:hint="default" w:ascii="Times New Roman" w:hAnsi="Times New Roman" w:cs="Times New Roman"/>
                <w:b/>
                <w:bCs/>
                <w:color w:val="auto"/>
                <w:spacing w:val="-6"/>
                <w:sz w:val="24"/>
                <w:szCs w:val="24"/>
              </w:rPr>
              <w:t>图2</w:t>
            </w:r>
            <w:r>
              <w:rPr>
                <w:rFonts w:hint="default" w:ascii="Times New Roman" w:hAnsi="Times New Roman" w:cs="Times New Roman"/>
                <w:b/>
                <w:bCs/>
                <w:color w:val="auto"/>
                <w:spacing w:val="-6"/>
                <w:sz w:val="24"/>
                <w:szCs w:val="24"/>
                <w:lang w:val="en-US" w:eastAsia="zh-CN"/>
              </w:rPr>
              <w:t xml:space="preserve">-3 </w:t>
            </w:r>
            <w:r>
              <w:rPr>
                <w:rFonts w:hint="default" w:ascii="Times New Roman" w:hAnsi="Times New Roman" w:cs="Times New Roman"/>
                <w:b/>
                <w:bCs/>
                <w:color w:val="auto"/>
                <w:spacing w:val="-6"/>
                <w:sz w:val="24"/>
                <w:szCs w:val="24"/>
              </w:rPr>
              <w:t>项目水平衡图 （单位：</w:t>
            </w:r>
            <w:r>
              <w:rPr>
                <w:rFonts w:hint="default" w:ascii="Times New Roman" w:hAnsi="Times New Roman" w:cs="Times New Roman"/>
                <w:b/>
                <w:bCs/>
                <w:color w:val="auto"/>
                <w:sz w:val="24"/>
                <w:szCs w:val="24"/>
                <w:lang w:val="en-US" w:eastAsia="zh-CN"/>
              </w:rPr>
              <w:t>m</w:t>
            </w:r>
            <w:r>
              <w:rPr>
                <w:rFonts w:hint="default" w:ascii="Times New Roman" w:hAnsi="Times New Roman" w:cs="Times New Roman"/>
                <w:b/>
                <w:bCs/>
                <w:color w:val="auto"/>
                <w:sz w:val="24"/>
                <w:szCs w:val="24"/>
                <w:vertAlign w:val="superscript"/>
                <w:lang w:val="en-US" w:eastAsia="zh-CN"/>
              </w:rPr>
              <w:t>3</w:t>
            </w:r>
            <w:r>
              <w:rPr>
                <w:rFonts w:hint="default" w:ascii="Times New Roman" w:hAnsi="Times New Roman" w:cs="Times New Roman"/>
                <w:b/>
                <w:bCs/>
                <w:color w:val="auto"/>
                <w:spacing w:val="-6"/>
                <w:sz w:val="24"/>
                <w:szCs w:val="24"/>
              </w:rPr>
              <w:t>/</w:t>
            </w:r>
            <w:r>
              <w:rPr>
                <w:rFonts w:hint="eastAsia" w:ascii="Times New Roman" w:hAnsi="Times New Roman" w:cs="Times New Roman"/>
                <w:b/>
                <w:bCs/>
                <w:color w:val="auto"/>
                <w:spacing w:val="-6"/>
                <w:sz w:val="24"/>
                <w:szCs w:val="24"/>
                <w:lang w:val="en-US" w:eastAsia="zh-CN"/>
              </w:rPr>
              <w:t>a</w:t>
            </w:r>
            <w:r>
              <w:rPr>
                <w:rFonts w:hint="default" w:ascii="Times New Roman" w:hAnsi="Times New Roman" w:cs="Times New Roman"/>
                <w:b/>
                <w:bCs/>
                <w:color w:val="auto"/>
                <w:spacing w:val="-6"/>
                <w:sz w:val="24"/>
                <w:szCs w:val="24"/>
              </w:rPr>
              <w:t>）</w:t>
            </w:r>
          </w:p>
          <w:p>
            <w:pPr>
              <w:adjustRightInd w:val="0"/>
              <w:snapToGrid w:val="0"/>
              <w:spacing w:line="360" w:lineRule="auto"/>
              <w:rPr>
                <w:rFonts w:hint="default" w:ascii="Times New Roman" w:hAnsi="Times New Roman" w:cs="Times New Roman"/>
                <w:b/>
                <w:bCs/>
                <w:color w:val="auto"/>
                <w:spacing w:val="-6"/>
                <w:sz w:val="24"/>
                <w:szCs w:val="24"/>
              </w:rPr>
            </w:pPr>
            <w:r>
              <w:rPr>
                <w:rFonts w:hint="default" w:ascii="Times New Roman" w:hAnsi="Times New Roman" w:cs="Times New Roman"/>
                <w:color w:val="auto"/>
                <w:spacing w:val="-6"/>
                <w:szCs w:val="21"/>
              </w:rPr>
              <w:object>
                <v:shape id="_x0000_i1028" o:spt="75" type="#_x0000_t75" style="height:267.5pt;width:384.8pt;" o:ole="t" filled="f" o:preferrelative="t" stroked="f" coordsize="21600,21600">
                  <v:path/>
                  <v:fill on="f" focussize="0,0"/>
                  <v:stroke on="f"/>
                  <v:imagedata r:id="rId19" o:title=""/>
                  <o:lock v:ext="edit" aspectratio="t"/>
                  <w10:wrap type="none"/>
                  <w10:anchorlock/>
                </v:shape>
                <o:OLEObject Type="Embed" ProgID="Visio.Drawing.15" ShapeID="_x0000_i1028" DrawAspect="Content" ObjectID="_1468075728" r:id="rId18">
                  <o:LockedField>false</o:LockedField>
                </o:OLEObject>
              </w:object>
            </w:r>
          </w:p>
          <w:p>
            <w:pPr>
              <w:adjustRightInd w:val="0"/>
              <w:snapToGrid w:val="0"/>
              <w:spacing w:line="360" w:lineRule="auto"/>
              <w:jc w:val="center"/>
              <w:rPr>
                <w:rFonts w:hint="default" w:ascii="Times New Roman" w:hAnsi="Times New Roman" w:cs="Times New Roman"/>
                <w:b/>
                <w:bCs/>
                <w:color w:val="auto"/>
                <w:spacing w:val="-6"/>
                <w:sz w:val="24"/>
                <w:szCs w:val="24"/>
              </w:rPr>
            </w:pPr>
            <w:r>
              <w:rPr>
                <w:rFonts w:hint="default" w:ascii="Times New Roman" w:hAnsi="Times New Roman" w:cs="Times New Roman"/>
                <w:b/>
                <w:bCs/>
                <w:color w:val="auto"/>
                <w:spacing w:val="-6"/>
                <w:sz w:val="24"/>
                <w:szCs w:val="24"/>
              </w:rPr>
              <w:t>图2</w:t>
            </w:r>
            <w:r>
              <w:rPr>
                <w:rFonts w:hint="default" w:ascii="Times New Roman" w:hAnsi="Times New Roman" w:cs="Times New Roman"/>
                <w:b/>
                <w:bCs/>
                <w:color w:val="auto"/>
                <w:spacing w:val="-6"/>
                <w:sz w:val="24"/>
                <w:szCs w:val="24"/>
                <w:lang w:val="en-US" w:eastAsia="zh-CN"/>
              </w:rPr>
              <w:t>-</w:t>
            </w:r>
            <w:r>
              <w:rPr>
                <w:rFonts w:hint="eastAsia" w:ascii="Times New Roman" w:hAnsi="Times New Roman" w:cs="Times New Roman"/>
                <w:b/>
                <w:bCs/>
                <w:color w:val="auto"/>
                <w:spacing w:val="-6"/>
                <w:sz w:val="24"/>
                <w:szCs w:val="24"/>
                <w:lang w:val="en-US" w:eastAsia="zh-CN"/>
              </w:rPr>
              <w:t>4</w:t>
            </w:r>
            <w:r>
              <w:rPr>
                <w:rFonts w:hint="default" w:ascii="Times New Roman" w:hAnsi="Times New Roman" w:cs="Times New Roman"/>
                <w:b/>
                <w:bCs/>
                <w:color w:val="auto"/>
                <w:spacing w:val="-6"/>
                <w:sz w:val="24"/>
                <w:szCs w:val="24"/>
                <w:lang w:val="en-US" w:eastAsia="zh-CN"/>
              </w:rPr>
              <w:t xml:space="preserve"> </w:t>
            </w:r>
            <w:r>
              <w:rPr>
                <w:rFonts w:hint="default" w:ascii="Times New Roman" w:hAnsi="Times New Roman" w:cs="Times New Roman"/>
                <w:b/>
                <w:bCs/>
                <w:color w:val="auto"/>
                <w:spacing w:val="-6"/>
                <w:sz w:val="24"/>
                <w:szCs w:val="24"/>
              </w:rPr>
              <w:t>项目水平衡图 （单位：</w:t>
            </w:r>
            <w:r>
              <w:rPr>
                <w:rFonts w:hint="default" w:ascii="Times New Roman" w:hAnsi="Times New Roman" w:cs="Times New Roman"/>
                <w:b/>
                <w:bCs/>
                <w:color w:val="auto"/>
                <w:sz w:val="24"/>
                <w:szCs w:val="24"/>
                <w:lang w:val="en-US" w:eastAsia="zh-CN"/>
              </w:rPr>
              <w:t>m</w:t>
            </w:r>
            <w:r>
              <w:rPr>
                <w:rFonts w:hint="default" w:ascii="Times New Roman" w:hAnsi="Times New Roman" w:cs="Times New Roman"/>
                <w:b/>
                <w:bCs/>
                <w:color w:val="auto"/>
                <w:sz w:val="24"/>
                <w:szCs w:val="24"/>
                <w:vertAlign w:val="superscript"/>
                <w:lang w:val="en-US" w:eastAsia="zh-CN"/>
              </w:rPr>
              <w:t>3</w:t>
            </w:r>
            <w:r>
              <w:rPr>
                <w:rFonts w:hint="default" w:ascii="Times New Roman" w:hAnsi="Times New Roman" w:cs="Times New Roman"/>
                <w:b/>
                <w:bCs/>
                <w:color w:val="auto"/>
                <w:spacing w:val="-6"/>
                <w:sz w:val="24"/>
                <w:szCs w:val="24"/>
              </w:rPr>
              <w:t>/</w:t>
            </w:r>
            <w:r>
              <w:rPr>
                <w:rFonts w:hint="eastAsia" w:ascii="Times New Roman" w:hAnsi="Times New Roman" w:cs="Times New Roman"/>
                <w:b/>
                <w:bCs/>
                <w:color w:val="auto"/>
                <w:spacing w:val="-6"/>
                <w:sz w:val="24"/>
                <w:szCs w:val="24"/>
                <w:lang w:val="en-US" w:eastAsia="zh-CN"/>
              </w:rPr>
              <w:t>d）</w:t>
            </w:r>
          </w:p>
          <w:p>
            <w:pPr>
              <w:adjustRightInd w:val="0"/>
              <w:snapToGrid w:val="0"/>
              <w:spacing w:line="360" w:lineRule="auto"/>
              <w:ind w:firstLine="458" w:firstLineChars="200"/>
              <w:rPr>
                <w:rFonts w:hint="default" w:ascii="Times New Roman" w:hAnsi="Times New Roman" w:cs="Times New Roman"/>
                <w:color w:val="auto"/>
                <w:sz w:val="24"/>
                <w:szCs w:val="24"/>
              </w:rPr>
            </w:pPr>
            <w:r>
              <w:rPr>
                <w:rFonts w:hint="default" w:ascii="Times New Roman" w:hAnsi="Times New Roman" w:cs="Times New Roman"/>
                <w:b/>
                <w:bCs/>
                <w:color w:val="auto"/>
                <w:spacing w:val="-6"/>
                <w:sz w:val="24"/>
                <w:szCs w:val="24"/>
              </w:rPr>
              <w:t xml:space="preserve">2.1.7 </w:t>
            </w:r>
            <w:r>
              <w:rPr>
                <w:rFonts w:hint="default" w:ascii="Times New Roman" w:hAnsi="Times New Roman" w:cs="Times New Roman"/>
                <w:b/>
                <w:bCs/>
                <w:color w:val="auto"/>
                <w:sz w:val="24"/>
                <w:szCs w:val="24"/>
              </w:rPr>
              <w:t>劳动定员及工作制度</w:t>
            </w:r>
          </w:p>
          <w:p>
            <w:pPr>
              <w:spacing w:line="360" w:lineRule="auto"/>
              <w:jc w:val="center"/>
              <w:rPr>
                <w:rFonts w:hint="default" w:ascii="Times New Roman" w:hAnsi="Times New Roman" w:cs="Times New Roman"/>
                <w:b/>
                <w:bCs/>
                <w:color w:val="auto"/>
                <w:spacing w:val="6"/>
                <w:sz w:val="24"/>
                <w:szCs w:val="24"/>
              </w:rPr>
            </w:pPr>
            <w:r>
              <w:rPr>
                <w:rFonts w:hint="default" w:ascii="Times New Roman" w:hAnsi="Times New Roman" w:cs="Times New Roman"/>
                <w:b/>
                <w:bCs/>
                <w:color w:val="auto"/>
                <w:spacing w:val="6"/>
                <w:sz w:val="24"/>
                <w:szCs w:val="24"/>
              </w:rPr>
              <w:t>表2</w:t>
            </w:r>
            <w:r>
              <w:rPr>
                <w:rFonts w:hint="default" w:ascii="Times New Roman" w:hAnsi="Times New Roman" w:cs="Times New Roman"/>
                <w:b/>
                <w:bCs/>
                <w:color w:val="auto"/>
                <w:spacing w:val="6"/>
                <w:sz w:val="24"/>
                <w:szCs w:val="24"/>
                <w:lang w:val="en-US" w:eastAsia="zh-CN"/>
              </w:rPr>
              <w:t>-1</w:t>
            </w:r>
            <w:r>
              <w:rPr>
                <w:rFonts w:hint="eastAsia" w:ascii="Times New Roman" w:hAnsi="Times New Roman" w:cs="Times New Roman"/>
                <w:b/>
                <w:bCs/>
                <w:color w:val="auto"/>
                <w:spacing w:val="6"/>
                <w:sz w:val="24"/>
                <w:szCs w:val="24"/>
                <w:lang w:val="en-US" w:eastAsia="zh-CN"/>
              </w:rPr>
              <w:t xml:space="preserve">4 </w:t>
            </w:r>
            <w:r>
              <w:rPr>
                <w:rFonts w:hint="default" w:ascii="Times New Roman" w:hAnsi="Times New Roman" w:cs="Times New Roman"/>
                <w:b/>
                <w:color w:val="auto"/>
                <w:sz w:val="24"/>
                <w:szCs w:val="24"/>
              </w:rPr>
              <w:t>项目劳动定员及工作制度</w:t>
            </w:r>
          </w:p>
          <w:tbl>
            <w:tblPr>
              <w:tblStyle w:val="32"/>
              <w:tblW w:w="8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4"/>
              <w:gridCol w:w="1245"/>
              <w:gridCol w:w="1410"/>
              <w:gridCol w:w="1697"/>
              <w:gridCol w:w="1431"/>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4"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劳动定员</w:t>
                  </w:r>
                </w:p>
              </w:tc>
              <w:tc>
                <w:tcPr>
                  <w:tcW w:w="1245"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厂内食宿</w:t>
                  </w:r>
                </w:p>
              </w:tc>
              <w:tc>
                <w:tcPr>
                  <w:tcW w:w="1410"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工作班次</w:t>
                  </w:r>
                </w:p>
              </w:tc>
              <w:tc>
                <w:tcPr>
                  <w:tcW w:w="1697"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每班工作时间</w:t>
                  </w:r>
                </w:p>
              </w:tc>
              <w:tc>
                <w:tcPr>
                  <w:tcW w:w="1431" w:type="dxa"/>
                  <w:noWrap w:val="0"/>
                  <w:vAlign w:val="center"/>
                </w:tcPr>
                <w:p>
                  <w:pPr>
                    <w:jc w:val="center"/>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rPr>
                    <w:t>年工作</w:t>
                  </w:r>
                  <w:r>
                    <w:rPr>
                      <w:rFonts w:hint="default" w:ascii="Times New Roman" w:hAnsi="Times New Roman" w:cs="Times New Roman"/>
                      <w:b/>
                      <w:bCs/>
                      <w:color w:val="auto"/>
                      <w:szCs w:val="21"/>
                      <w:lang w:val="en-US" w:eastAsia="zh-CN"/>
                    </w:rPr>
                    <w:t>天数</w:t>
                  </w:r>
                </w:p>
              </w:tc>
              <w:tc>
                <w:tcPr>
                  <w:tcW w:w="1493"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年工作时数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4"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48</w:t>
                  </w:r>
                  <w:r>
                    <w:rPr>
                      <w:rFonts w:hint="default" w:ascii="Times New Roman" w:hAnsi="Times New Roman" w:cs="Times New Roman"/>
                      <w:color w:val="auto"/>
                      <w:szCs w:val="21"/>
                    </w:rPr>
                    <w:t>人</w:t>
                  </w:r>
                </w:p>
              </w:tc>
              <w:tc>
                <w:tcPr>
                  <w:tcW w:w="1245"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1410"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班制</w:t>
                  </w:r>
                </w:p>
              </w:tc>
              <w:tc>
                <w:tcPr>
                  <w:tcW w:w="1697" w:type="dxa"/>
                  <w:noWrap w:val="0"/>
                  <w:vAlign w:val="center"/>
                </w:tcPr>
                <w:p>
                  <w:pPr>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10</w:t>
                  </w:r>
                  <w:r>
                    <w:rPr>
                      <w:rFonts w:hint="default" w:ascii="Times New Roman" w:hAnsi="Times New Roman" w:cs="Times New Roman"/>
                      <w:color w:val="auto"/>
                      <w:szCs w:val="21"/>
                    </w:rPr>
                    <w:t>小时/班</w:t>
                  </w:r>
                </w:p>
              </w:tc>
              <w:tc>
                <w:tcPr>
                  <w:tcW w:w="1431" w:type="dxa"/>
                  <w:noWrap w:val="0"/>
                  <w:vAlign w:val="center"/>
                </w:tcPr>
                <w:p>
                  <w:pPr>
                    <w:jc w:val="center"/>
                    <w:rPr>
                      <w:rFonts w:hint="default" w:ascii="Times New Roman" w:hAnsi="Times New Roman" w:cs="Times New Roman"/>
                      <w:color w:val="auto"/>
                      <w:szCs w:val="21"/>
                      <w:lang w:val="en-US"/>
                    </w:rPr>
                  </w:pPr>
                  <w:r>
                    <w:rPr>
                      <w:rFonts w:hint="default" w:ascii="Times New Roman" w:hAnsi="Times New Roman" w:cs="Times New Roman"/>
                      <w:color w:val="auto"/>
                      <w:szCs w:val="21"/>
                      <w:lang w:val="en-US" w:eastAsia="zh-CN"/>
                    </w:rPr>
                    <w:t>280天</w:t>
                  </w:r>
                </w:p>
              </w:tc>
              <w:tc>
                <w:tcPr>
                  <w:tcW w:w="1493" w:type="dxa"/>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56</w:t>
                  </w:r>
                  <w:r>
                    <w:rPr>
                      <w:rFonts w:hint="default" w:ascii="Times New Roman" w:hAnsi="Times New Roman" w:cs="Times New Roman"/>
                      <w:color w:val="auto"/>
                      <w:szCs w:val="21"/>
                    </w:rPr>
                    <w:t>00小时</w:t>
                  </w:r>
                </w:p>
              </w:tc>
            </w:tr>
          </w:tbl>
          <w:p>
            <w:pPr>
              <w:adjustRightInd w:val="0"/>
              <w:snapToGrid w:val="0"/>
              <w:spacing w:before="120" w:beforeLines="50"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2.1.8 项目总体平面布置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bCs/>
                <w:color w:val="auto"/>
                <w:sz w:val="24"/>
                <w:szCs w:val="24"/>
              </w:rPr>
              <w:t>根据现场勘察</w:t>
            </w:r>
            <w:r>
              <w:rPr>
                <w:rFonts w:hint="default" w:ascii="Times New Roman" w:hAnsi="Times New Roman" w:cs="Times New Roman"/>
                <w:bCs/>
                <w:iCs/>
                <w:color w:val="auto"/>
                <w:kern w:val="0"/>
                <w:sz w:val="24"/>
                <w:szCs w:val="24"/>
              </w:rPr>
              <w:t>，项目</w:t>
            </w:r>
            <w:r>
              <w:rPr>
                <w:rFonts w:hint="default" w:ascii="Times New Roman" w:hAnsi="Times New Roman" w:cs="Times New Roman"/>
                <w:bCs/>
                <w:iCs/>
                <w:color w:val="auto"/>
                <w:kern w:val="0"/>
                <w:sz w:val="24"/>
                <w:szCs w:val="24"/>
                <w:lang w:val="en-US" w:eastAsia="zh-CN"/>
              </w:rPr>
              <w:t>生产车间所在厂房共三层，本项目位于其中第一、二层，一层主要为</w:t>
            </w:r>
            <w:r>
              <w:rPr>
                <w:rFonts w:hint="default" w:ascii="Times New Roman" w:hAnsi="Times New Roman" w:cs="Times New Roman"/>
                <w:color w:val="auto"/>
                <w:sz w:val="24"/>
                <w:szCs w:val="24"/>
                <w:lang w:val="en-US" w:eastAsia="zh-CN"/>
              </w:rPr>
              <w:t>配料间、涂布车间、辊压车间、卷绕车间、制片车间等</w:t>
            </w:r>
            <w:r>
              <w:rPr>
                <w:rFonts w:hint="default" w:ascii="Times New Roman" w:hAnsi="Times New Roman" w:cs="Times New Roman"/>
                <w:bCs/>
                <w:iCs/>
                <w:color w:val="auto"/>
                <w:kern w:val="0"/>
                <w:sz w:val="24"/>
                <w:szCs w:val="24"/>
                <w:lang w:val="en-US" w:eastAsia="zh-CN"/>
              </w:rPr>
              <w:t>，二层分布了</w:t>
            </w:r>
            <w:r>
              <w:rPr>
                <w:rFonts w:hint="default" w:ascii="Times New Roman" w:hAnsi="Times New Roman" w:cs="Times New Roman"/>
                <w:color w:val="auto"/>
                <w:sz w:val="24"/>
                <w:szCs w:val="24"/>
                <w:lang w:val="en-US" w:eastAsia="zh-CN"/>
              </w:rPr>
              <w:t>化成车间、烘烤车间、组装车间、注液车间、冲壳车间、二封车间、分容车间等</w:t>
            </w:r>
            <w:r>
              <w:rPr>
                <w:rFonts w:hint="default" w:ascii="Times New Roman" w:hAnsi="Times New Roman" w:cs="Times New Roman"/>
                <w:bCs/>
                <w:iCs/>
                <w:color w:val="auto"/>
                <w:kern w:val="0"/>
                <w:sz w:val="24"/>
                <w:szCs w:val="24"/>
                <w:lang w:val="en-US" w:eastAsia="zh-CN"/>
              </w:rPr>
              <w:t>。项目厂区东南侧设有</w:t>
            </w:r>
            <w:r>
              <w:rPr>
                <w:rFonts w:hint="default" w:ascii="Times New Roman" w:hAnsi="Times New Roman" w:cs="Times New Roman"/>
                <w:bCs/>
                <w:iCs/>
                <w:color w:val="auto"/>
                <w:kern w:val="0"/>
                <w:sz w:val="24"/>
                <w:szCs w:val="24"/>
                <w:lang w:val="en-US" w:eastAsia="zh-CN"/>
              </w:rPr>
              <w:t>原料间、辅料间</w:t>
            </w:r>
            <w:r>
              <w:rPr>
                <w:rFonts w:hint="default" w:ascii="Times New Roman" w:hAnsi="Times New Roman" w:cs="Times New Roman"/>
                <w:bCs/>
                <w:iCs/>
                <w:color w:val="auto"/>
                <w:kern w:val="0"/>
                <w:sz w:val="24"/>
                <w:szCs w:val="24"/>
                <w:lang w:val="en-US" w:eastAsia="zh-CN"/>
              </w:rPr>
              <w:t>，厂区西南侧为办公室，固废间和危废暂存间位于厂区东北侧。</w:t>
            </w:r>
          </w:p>
          <w:p>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bCs/>
                <w:iCs/>
                <w:color w:val="auto"/>
                <w:kern w:val="0"/>
                <w:sz w:val="24"/>
                <w:szCs w:val="24"/>
              </w:rPr>
              <w:t>项目生产功能分区明确，布局合理，总平面布置做到了人流、物流分流，方便生产和办公，同时生产对外环境造成的影响也降至最低。综上所述，本项目平面布置合理。项目厂区平面布局见附图4。</w:t>
            </w:r>
          </w:p>
          <w:p>
            <w:pPr>
              <w:adjustRightInd w:val="0"/>
              <w:snapToGrid w:val="0"/>
              <w:spacing w:line="360" w:lineRule="auto"/>
              <w:ind w:firstLine="482" w:firstLineChars="200"/>
              <w:jc w:val="left"/>
              <w:rPr>
                <w:rFonts w:hint="default" w:ascii="Times New Roman" w:hAnsi="Times New Roman" w:cs="Times New Roman"/>
                <w:b/>
                <w:bCs/>
                <w:color w:val="auto"/>
                <w:spacing w:val="-6"/>
                <w:sz w:val="24"/>
                <w:szCs w:val="24"/>
              </w:rPr>
            </w:pPr>
            <w:r>
              <w:rPr>
                <w:rFonts w:hint="default" w:ascii="Times New Roman" w:hAnsi="Times New Roman" w:cs="Times New Roman"/>
                <w:b/>
                <w:bCs/>
                <w:color w:val="auto"/>
                <w:sz w:val="24"/>
                <w:szCs w:val="24"/>
              </w:rPr>
              <w:t xml:space="preserve">2.1.9 </w:t>
            </w:r>
            <w:r>
              <w:rPr>
                <w:rFonts w:hint="default" w:ascii="Times New Roman" w:hAnsi="Times New Roman" w:cs="Times New Roman"/>
                <w:b/>
                <w:bCs/>
                <w:color w:val="auto"/>
                <w:spacing w:val="-6"/>
                <w:sz w:val="24"/>
                <w:szCs w:val="24"/>
              </w:rPr>
              <w:t>项目四邻关系</w:t>
            </w:r>
          </w:p>
          <w:p>
            <w:pPr>
              <w:adjustRightInd w:val="0"/>
              <w:snapToGrid w:val="0"/>
              <w:spacing w:line="360" w:lineRule="auto"/>
              <w:ind w:firstLine="480" w:firstLineChars="200"/>
              <w:rPr>
                <w:rFonts w:hint="default" w:ascii="Times New Roman" w:hAnsi="Times New Roman" w:cs="Times New Roman"/>
                <w:b/>
                <w:bCs/>
                <w:color w:val="auto"/>
                <w:szCs w:val="21"/>
              </w:rPr>
            </w:pPr>
            <w:r>
              <w:rPr>
                <w:rFonts w:hint="default" w:ascii="Times New Roman" w:hAnsi="Times New Roman" w:cs="Times New Roman"/>
                <w:color w:val="auto"/>
                <w:sz w:val="24"/>
                <w:szCs w:val="24"/>
              </w:rPr>
              <w:t>本项目位于</w:t>
            </w:r>
            <w:r>
              <w:rPr>
                <w:rFonts w:hint="default" w:ascii="Times New Roman" w:hAnsi="Times New Roman" w:cs="Times New Roman"/>
                <w:color w:val="auto"/>
                <w:sz w:val="24"/>
                <w:lang w:val="en-US" w:eastAsia="zh-CN"/>
              </w:rPr>
              <w:t>惠州市</w:t>
            </w:r>
            <w:r>
              <w:rPr>
                <w:rFonts w:hint="default" w:ascii="Times New Roman" w:hAnsi="Times New Roman" w:cs="Times New Roman"/>
                <w:color w:val="auto"/>
                <w:sz w:val="24"/>
              </w:rPr>
              <w:t>博罗县园洲镇上南村市场中路</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租用现有厂房进行生产，</w:t>
            </w:r>
            <w:r>
              <w:rPr>
                <w:rFonts w:hint="default" w:ascii="Times New Roman" w:hAnsi="Times New Roman" w:cs="Times New Roman"/>
                <w:color w:val="auto"/>
                <w:sz w:val="24"/>
                <w:szCs w:val="24"/>
              </w:rPr>
              <w:t>根据现场勘察，</w:t>
            </w:r>
            <w:r>
              <w:rPr>
                <w:rFonts w:hint="default" w:ascii="Times New Roman" w:hAnsi="Times New Roman" w:cs="Times New Roman"/>
                <w:color w:val="auto"/>
                <w:sz w:val="24"/>
                <w:szCs w:val="24"/>
                <w:lang w:val="en-US" w:eastAsia="zh-CN"/>
              </w:rPr>
              <w:t>项目所在厂房第三层为惠州市兆坤锂能科技有限公司，项目区东侧</w:t>
            </w:r>
            <w:r>
              <w:rPr>
                <w:rFonts w:hint="default" w:ascii="Times New Roman" w:hAnsi="Times New Roman" w:eastAsia="宋体" w:cs="Times New Roman"/>
                <w:color w:val="auto"/>
                <w:sz w:val="24"/>
                <w:szCs w:val="24"/>
                <w:lang w:val="en-US" w:eastAsia="zh-CN"/>
              </w:rPr>
              <w:t>为惠州市云业塑胶制品有限公司，南侧为惠州市雄鑫注塑工艺品有限公司，西侧为无人居住居民楼，北侧为富丽布料废品收站。</w:t>
            </w:r>
            <w:r>
              <w:rPr>
                <w:rFonts w:hint="default" w:ascii="Times New Roman" w:hAnsi="Times New Roman" w:cs="Times New Roman"/>
                <w:color w:val="auto"/>
                <w:sz w:val="24"/>
                <w:szCs w:val="24"/>
              </w:rPr>
              <w:t>项目厂区四至关系见附图2，</w:t>
            </w:r>
            <w:r>
              <w:rPr>
                <w:rFonts w:hint="default" w:ascii="Times New Roman" w:hAnsi="Times New Roman" w:cs="Times New Roman"/>
                <w:color w:val="auto"/>
                <w:sz w:val="24"/>
                <w:szCs w:val="24"/>
                <w:lang w:eastAsia="zh-CN"/>
              </w:rPr>
              <w:t>现场勘查</w:t>
            </w:r>
            <w:r>
              <w:rPr>
                <w:rFonts w:hint="default" w:ascii="Times New Roman" w:hAnsi="Times New Roman" w:cs="Times New Roman"/>
                <w:color w:val="auto"/>
                <w:sz w:val="24"/>
                <w:szCs w:val="24"/>
              </w:rPr>
              <w:t>照片见附图5。</w:t>
            </w:r>
          </w:p>
          <w:p>
            <w:pPr>
              <w:tabs>
                <w:tab w:val="left" w:pos="8505"/>
              </w:tabs>
              <w:spacing w:line="360" w:lineRule="auto"/>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color w:val="auto"/>
                <w:sz w:val="24"/>
                <w:szCs w:val="24"/>
                <w:lang w:bidi="ar"/>
              </w:rPr>
              <w:t>2</w:t>
            </w:r>
            <w:r>
              <w:rPr>
                <w:rFonts w:hint="default" w:ascii="Times New Roman" w:hAnsi="Times New Roman" w:cs="Times New Roman"/>
                <w:b/>
                <w:color w:val="auto"/>
                <w:sz w:val="24"/>
                <w:szCs w:val="24"/>
                <w:lang w:val="en-US" w:eastAsia="zh-CN" w:bidi="ar"/>
              </w:rPr>
              <w:t>-1</w:t>
            </w:r>
            <w:r>
              <w:rPr>
                <w:rFonts w:hint="eastAsia" w:ascii="Times New Roman" w:hAnsi="Times New Roman" w:cs="Times New Roman"/>
                <w:b/>
                <w:color w:val="auto"/>
                <w:sz w:val="24"/>
                <w:szCs w:val="24"/>
                <w:lang w:val="en-US" w:eastAsia="zh-CN" w:bidi="ar"/>
              </w:rPr>
              <w:t>5</w:t>
            </w:r>
            <w:r>
              <w:rPr>
                <w:rFonts w:hint="default" w:ascii="Times New Roman" w:hAnsi="Times New Roman" w:cs="Times New Roman"/>
                <w:b/>
                <w:color w:val="auto"/>
                <w:sz w:val="24"/>
                <w:szCs w:val="24"/>
                <w:lang w:val="en-US" w:eastAsia="zh-CN" w:bidi="ar"/>
              </w:rPr>
              <w:t xml:space="preserve"> </w:t>
            </w:r>
            <w:r>
              <w:rPr>
                <w:rFonts w:hint="default" w:ascii="Times New Roman" w:hAnsi="Times New Roman" w:cs="Times New Roman"/>
                <w:b/>
                <w:color w:val="auto"/>
                <w:kern w:val="0"/>
                <w:sz w:val="24"/>
                <w:szCs w:val="24"/>
                <w:lang w:bidi="ar"/>
              </w:rPr>
              <w:t>项目四至情况</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0"/>
              <w:gridCol w:w="3860"/>
              <w:gridCol w:w="1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0"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方位</w:t>
                  </w:r>
                </w:p>
              </w:tc>
              <w:tc>
                <w:tcPr>
                  <w:tcW w:w="3860"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名称</w:t>
                  </w:r>
                </w:p>
              </w:tc>
              <w:tc>
                <w:tcPr>
                  <w:tcW w:w="1987" w:type="dxa"/>
                  <w:noWrap w:val="0"/>
                  <w:vAlign w:val="center"/>
                </w:tcPr>
                <w:p>
                  <w:pPr>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0" w:type="dxa"/>
                  <w:noWrap w:val="0"/>
                  <w:vAlign w:val="center"/>
                </w:tcPr>
                <w:p>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东侧</w:t>
                  </w:r>
                </w:p>
              </w:tc>
              <w:tc>
                <w:tcPr>
                  <w:tcW w:w="3860" w:type="dxa"/>
                  <w:noWrap w:val="0"/>
                  <w:vAlign w:val="center"/>
                </w:tcPr>
                <w:p>
                  <w:pPr>
                    <w:adjustRightInd w:val="0"/>
                    <w:jc w:val="center"/>
                    <w:textAlignment w:val="baseline"/>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惠州市云业塑胶制品有限公司</w:t>
                  </w:r>
                </w:p>
              </w:tc>
              <w:tc>
                <w:tcPr>
                  <w:tcW w:w="1987" w:type="dxa"/>
                  <w:noWrap w:val="0"/>
                  <w:vAlign w:val="center"/>
                </w:tcPr>
                <w:p>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w:t>
                  </w:r>
                  <w:r>
                    <w:rPr>
                      <w:rFonts w:hint="default" w:ascii="Times New Roman" w:hAnsi="Times New Roman" w:cs="Times New Roman"/>
                      <w:color w:val="auto"/>
                      <w:szCs w:val="21"/>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0" w:type="dxa"/>
                  <w:noWrap w:val="0"/>
                  <w:vAlign w:val="center"/>
                </w:tcPr>
                <w:p>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南侧</w:t>
                  </w:r>
                </w:p>
              </w:tc>
              <w:tc>
                <w:tcPr>
                  <w:tcW w:w="3860" w:type="dxa"/>
                  <w:noWrap w:val="0"/>
                  <w:vAlign w:val="center"/>
                </w:tcPr>
                <w:p>
                  <w:pPr>
                    <w:adjustRightInd w:val="0"/>
                    <w:jc w:val="center"/>
                    <w:textAlignment w:val="baseline"/>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惠州市雄鑫注塑工艺品有限公司</w:t>
                  </w:r>
                </w:p>
              </w:tc>
              <w:tc>
                <w:tcPr>
                  <w:tcW w:w="1987" w:type="dxa"/>
                  <w:noWrap w:val="0"/>
                  <w:vAlign w:val="center"/>
                </w:tcPr>
                <w:p>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w:t>
                  </w:r>
                  <w:r>
                    <w:rPr>
                      <w:rFonts w:hint="default" w:ascii="Times New Roman" w:hAnsi="Times New Roman" w:cs="Times New Roman"/>
                      <w:color w:val="auto"/>
                      <w:szCs w:val="21"/>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0" w:type="dxa"/>
                  <w:noWrap w:val="0"/>
                  <w:vAlign w:val="center"/>
                </w:tcPr>
                <w:p>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西侧</w:t>
                  </w:r>
                </w:p>
              </w:tc>
              <w:tc>
                <w:tcPr>
                  <w:tcW w:w="3860" w:type="dxa"/>
                  <w:noWrap w:val="0"/>
                  <w:vAlign w:val="center"/>
                </w:tcPr>
                <w:p>
                  <w:pPr>
                    <w:adjustRightInd w:val="0"/>
                    <w:jc w:val="center"/>
                    <w:textAlignment w:val="baseline"/>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无人居住居民楼</w:t>
                  </w:r>
                </w:p>
              </w:tc>
              <w:tc>
                <w:tcPr>
                  <w:tcW w:w="1987" w:type="dxa"/>
                  <w:noWrap w:val="0"/>
                  <w:vAlign w:val="center"/>
                </w:tcPr>
                <w:p>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w:t>
                  </w:r>
                  <w:r>
                    <w:rPr>
                      <w:rFonts w:hint="eastAsia" w:ascii="Times New Roman" w:hAnsi="Times New Roman" w:cs="Times New Roman"/>
                      <w:color w:val="auto"/>
                      <w:szCs w:val="21"/>
                      <w:lang w:val="en-US" w:eastAsia="zh-CN"/>
                    </w:rPr>
                    <w:t>4</w:t>
                  </w:r>
                  <w:r>
                    <w:rPr>
                      <w:rFonts w:hint="default" w:ascii="Times New Roman" w:hAnsi="Times New Roman" w:cs="Times New Roman"/>
                      <w:color w:val="auto"/>
                      <w:szCs w:val="21"/>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0" w:type="dxa"/>
                  <w:noWrap w:val="0"/>
                  <w:vAlign w:val="center"/>
                </w:tcPr>
                <w:p>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rPr>
                    <w:t>北侧</w:t>
                  </w:r>
                </w:p>
              </w:tc>
              <w:tc>
                <w:tcPr>
                  <w:tcW w:w="3860" w:type="dxa"/>
                  <w:noWrap w:val="0"/>
                  <w:vAlign w:val="center"/>
                </w:tcPr>
                <w:p>
                  <w:pPr>
                    <w:adjustRightInd w:val="0"/>
                    <w:jc w:val="center"/>
                    <w:textAlignment w:val="baseline"/>
                    <w:rPr>
                      <w:rFonts w:hint="default" w:ascii="Times New Roman" w:hAnsi="Times New Roman" w:cs="Times New Roman"/>
                      <w:color w:val="auto"/>
                      <w:sz w:val="21"/>
                      <w:szCs w:val="21"/>
                      <w:lang w:val="en-US"/>
                    </w:rPr>
                  </w:pPr>
                  <w:r>
                    <w:rPr>
                      <w:rFonts w:hint="default" w:ascii="Times New Roman" w:hAnsi="Times New Roman" w:cs="Times New Roman"/>
                      <w:color w:val="auto"/>
                      <w:sz w:val="21"/>
                      <w:szCs w:val="21"/>
                      <w:lang w:val="en-US" w:eastAsia="zh-CN"/>
                    </w:rPr>
                    <w:t>富丽布料废品收站</w:t>
                  </w:r>
                </w:p>
              </w:tc>
              <w:tc>
                <w:tcPr>
                  <w:tcW w:w="1987" w:type="dxa"/>
                  <w:noWrap w:val="0"/>
                  <w:vAlign w:val="center"/>
                </w:tcPr>
                <w:p>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w:t>
                  </w:r>
                  <w:r>
                    <w:rPr>
                      <w:rFonts w:hint="default" w:ascii="Times New Roman" w:hAnsi="Times New Roman" w:cs="Times New Roman"/>
                      <w:color w:val="auto"/>
                      <w:szCs w:val="21"/>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540" w:type="dxa"/>
                  <w:noWrap w:val="0"/>
                  <w:vAlign w:val="center"/>
                </w:tcPr>
                <w:p>
                  <w:pPr>
                    <w:adjustRightInd w:val="0"/>
                    <w:jc w:val="center"/>
                    <w:textAlignment w:val="baseline"/>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生产车间第三层</w:t>
                  </w:r>
                </w:p>
              </w:tc>
              <w:tc>
                <w:tcPr>
                  <w:tcW w:w="3860" w:type="dxa"/>
                  <w:noWrap w:val="0"/>
                  <w:vAlign w:val="center"/>
                </w:tcPr>
                <w:p>
                  <w:pPr>
                    <w:adjustRightInd w:val="0"/>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惠州市兆坤锂能科技有限公司</w:t>
                  </w:r>
                </w:p>
              </w:tc>
              <w:tc>
                <w:tcPr>
                  <w:tcW w:w="1987" w:type="dxa"/>
                  <w:noWrap w:val="0"/>
                  <w:vAlign w:val="center"/>
                </w:tcPr>
                <w:p>
                  <w:pPr>
                    <w:adjustRightInd w:val="0"/>
                    <w:jc w:val="center"/>
                    <w:textAlignment w:val="baseline"/>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r>
          </w:tbl>
          <w:p>
            <w:pPr>
              <w:adjustRightInd w:val="0"/>
              <w:snapToGrid w:val="0"/>
              <w:spacing w:line="360" w:lineRule="auto"/>
              <w:ind w:firstLine="420" w:firstLineChars="200"/>
              <w:rPr>
                <w:rFonts w:hint="default" w:ascii="Times New Roman" w:hAnsi="Times New Roman" w:cs="Times New Roman"/>
                <w:bCs/>
                <w:color w:val="auto"/>
                <w:szCs w:val="21"/>
              </w:rPr>
            </w:pPr>
          </w:p>
          <w:p>
            <w:pPr>
              <w:pStyle w:val="18"/>
              <w:rPr>
                <w:rFonts w:hint="default" w:ascii="Times New Roman" w:hAnsi="Times New Roman" w:cs="Times New Roman"/>
                <w:bCs/>
                <w:color w:val="auto"/>
                <w:szCs w:val="21"/>
              </w:rPr>
            </w:pPr>
          </w:p>
          <w:p>
            <w:pPr>
              <w:rPr>
                <w:rFonts w:hint="default" w:ascii="Times New Roman" w:hAnsi="Times New Roman" w:cs="Times New Roman"/>
                <w:color w:val="auto"/>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418" w:type="dxa"/>
            <w:noWrap w:val="0"/>
            <w:vAlign w:val="center"/>
          </w:tcPr>
          <w:p>
            <w:pPr>
              <w:pStyle w:val="27"/>
              <w:adjustRightInd w:val="0"/>
              <w:snapToGrid w:val="0"/>
              <w:spacing w:before="0" w:beforeAutospacing="0" w:after="0" w:afterAutospacing="0"/>
              <w:jc w:val="center"/>
              <w:outlineLvl w:val="1"/>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4"/>
                <w:szCs w:val="24"/>
                <w:lang w:val="en-US" w:eastAsia="zh-CN"/>
              </w:rPr>
              <w:t>工艺流程和产排污环节</w:t>
            </w:r>
          </w:p>
        </w:tc>
        <w:tc>
          <w:tcPr>
            <w:tcW w:w="8642" w:type="dxa"/>
            <w:noWrap w:val="0"/>
            <w:vAlign w:val="top"/>
          </w:tcPr>
          <w:p>
            <w:pPr>
              <w:pStyle w:val="12"/>
              <w:spacing w:before="120" w:beforeLines="50" w:after="0" w:line="360" w:lineRule="auto"/>
              <w:ind w:right="0"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2.2.1 工艺流程</w:t>
            </w:r>
          </w:p>
          <w:p>
            <w:pPr>
              <w:pStyle w:val="12"/>
              <w:spacing w:before="0" w:after="0" w:line="360" w:lineRule="auto"/>
              <w:ind w:right="0"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根据建设单位提供的资料，项目运营期工艺流程具体如下：</w:t>
            </w:r>
          </w:p>
          <w:p>
            <w:pPr>
              <w:jc w:val="center"/>
              <w:rPr>
                <w:rFonts w:hint="default" w:ascii="Times New Roman" w:hAnsi="Times New Roman" w:cs="Times New Roman"/>
                <w:color w:val="auto"/>
                <w:sz w:val="24"/>
                <w:szCs w:val="32"/>
                <w:lang w:val="en-US" w:eastAsia="zh-CN"/>
              </w:rPr>
            </w:pPr>
            <w:r>
              <w:rPr>
                <w:rFonts w:hint="default" w:ascii="Times New Roman" w:hAnsi="Times New Roman" w:cs="Times New Roman"/>
                <w:color w:val="auto"/>
                <w:lang w:val="en-US" w:eastAsia="zh-CN"/>
              </w:rPr>
              <w:object>
                <v:shape id="_x0000_i1029" o:spt="75" type="#_x0000_t75" style="height:576.15pt;width:436.85pt;" o:ole="t" filled="f" o:preferrelative="t" stroked="f" coordsize="21600,21600">
                  <v:path/>
                  <v:fill on="f" focussize="0,0"/>
                  <v:stroke on="f"/>
                  <v:imagedata r:id="rId21" o:title=""/>
                  <o:lock v:ext="edit" aspectratio="f"/>
                  <w10:wrap type="none"/>
                  <w10:anchorlock/>
                </v:shape>
                <o:OLEObject Type="Embed" ProgID="Visio.Drawing.15" ShapeID="_x0000_i1029" DrawAspect="Content" ObjectID="_1468075729" r:id="rId20">
                  <o:LockedField>false</o:LockedField>
                </o:OLEObject>
              </w:object>
            </w:r>
          </w:p>
          <w:p>
            <w:pPr>
              <w:jc w:val="center"/>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图2</w:t>
            </w:r>
            <w:r>
              <w:rPr>
                <w:rFonts w:hint="default" w:ascii="Times New Roman" w:hAnsi="Times New Roman" w:cs="Times New Roman"/>
                <w:b/>
                <w:bCs/>
                <w:color w:val="auto"/>
                <w:sz w:val="24"/>
                <w:szCs w:val="32"/>
                <w:lang w:val="en-US" w:eastAsia="zh-CN"/>
              </w:rPr>
              <w:t>-</w:t>
            </w:r>
            <w:r>
              <w:rPr>
                <w:rFonts w:hint="eastAsia" w:ascii="Times New Roman" w:hAnsi="Times New Roman" w:cs="Times New Roman"/>
                <w:b/>
                <w:bCs/>
                <w:color w:val="auto"/>
                <w:sz w:val="24"/>
                <w:szCs w:val="32"/>
                <w:lang w:val="en-US" w:eastAsia="zh-CN"/>
              </w:rPr>
              <w:t>5</w:t>
            </w:r>
            <w:r>
              <w:rPr>
                <w:rFonts w:hint="default" w:ascii="Times New Roman" w:hAnsi="Times New Roman" w:cs="Times New Roman"/>
                <w:b/>
                <w:bCs/>
                <w:color w:val="auto"/>
                <w:sz w:val="24"/>
                <w:szCs w:val="32"/>
              </w:rPr>
              <w:t xml:space="preserve"> 项目生产工艺流程图</w:t>
            </w:r>
          </w:p>
          <w:p>
            <w:pPr>
              <w:widowControl/>
              <w:spacing w:line="360" w:lineRule="auto"/>
              <w:ind w:firstLine="482" w:firstLineChars="200"/>
              <w:rPr>
                <w:rFonts w:hint="default" w:ascii="Times New Roman" w:hAnsi="Times New Roman" w:eastAsia="宋体" w:cs="Times New Roman"/>
                <w:b/>
                <w:bCs/>
                <w:color w:val="auto"/>
                <w:sz w:val="24"/>
                <w:szCs w:val="32"/>
                <w:lang w:eastAsia="zh-CN"/>
              </w:rPr>
            </w:pPr>
            <w:r>
              <w:rPr>
                <w:rFonts w:hint="default" w:ascii="Times New Roman" w:hAnsi="Times New Roman" w:cs="Times New Roman"/>
                <w:b/>
                <w:bCs/>
                <w:color w:val="auto"/>
                <w:sz w:val="24"/>
                <w:szCs w:val="32"/>
              </w:rPr>
              <w:t>生产工艺流程及产污环节简介</w:t>
            </w:r>
            <w:r>
              <w:rPr>
                <w:rFonts w:hint="default" w:ascii="Times New Roman" w:hAnsi="Times New Roman" w:cs="Times New Roman"/>
                <w:b/>
                <w:bCs/>
                <w:color w:val="auto"/>
                <w:sz w:val="24"/>
                <w:szCs w:val="32"/>
                <w:lang w:eastAsia="zh-CN"/>
              </w:rPr>
              <w:t>：</w:t>
            </w:r>
          </w:p>
          <w:p>
            <w:pPr>
              <w:pStyle w:val="9"/>
              <w:adjustRightInd w:val="0"/>
              <w:snapToGrid w:val="0"/>
              <w:spacing w:line="360" w:lineRule="auto"/>
              <w:ind w:firstLine="482"/>
              <w:textAlignment w:val="baseline"/>
              <w:rPr>
                <w:rFonts w:hint="default" w:ascii="Times New Roman" w:hAnsi="Times New Roman" w:cs="Times New Roman"/>
                <w:b w:val="0"/>
                <w:bCs w:val="0"/>
                <w:color w:val="auto"/>
                <w:sz w:val="24"/>
              </w:rPr>
            </w:pPr>
            <w:r>
              <w:rPr>
                <w:rFonts w:hint="default" w:ascii="Times New Roman" w:hAnsi="Times New Roman" w:cs="Times New Roman"/>
                <w:b/>
                <w:bCs/>
                <w:color w:val="auto"/>
                <w:sz w:val="24"/>
              </w:rPr>
              <w:t>配料：</w:t>
            </w:r>
            <w:r>
              <w:rPr>
                <w:rFonts w:hint="default" w:ascii="Times New Roman" w:hAnsi="Times New Roman" w:cs="Times New Roman"/>
                <w:b w:val="0"/>
                <w:bCs w:val="0"/>
                <w:color w:val="auto"/>
                <w:sz w:val="24"/>
              </w:rPr>
              <w:t>将正极材料和负极材料分别按比例计量后由</w:t>
            </w:r>
            <w:r>
              <w:rPr>
                <w:rFonts w:hint="default" w:ascii="Times New Roman" w:hAnsi="Times New Roman" w:cs="Times New Roman"/>
                <w:b w:val="0"/>
                <w:bCs w:val="0"/>
                <w:color w:val="auto"/>
                <w:sz w:val="24"/>
                <w:lang w:val="en-US" w:eastAsia="zh-CN"/>
              </w:rPr>
              <w:t>人工</w:t>
            </w:r>
            <w:r>
              <w:rPr>
                <w:rFonts w:hint="default" w:ascii="Times New Roman" w:hAnsi="Times New Roman" w:cs="Times New Roman"/>
                <w:b w:val="0"/>
                <w:bCs w:val="0"/>
                <w:color w:val="auto"/>
                <w:sz w:val="24"/>
              </w:rPr>
              <w:t>投入到各自搅拌机内常温常压下进行充分搅拌，制成一定粘度的混合浆料，搅拌过程为物理机械过程，不改变原有物质化学物质结构，不发生化学反应。其中，</w:t>
            </w:r>
            <w:r>
              <w:rPr>
                <w:rFonts w:hint="default" w:ascii="Times New Roman" w:hAnsi="Times New Roman" w:cs="Times New Roman"/>
                <w:b w:val="0"/>
                <w:bCs w:val="0"/>
                <w:color w:val="auto"/>
                <w:sz w:val="24"/>
                <w:lang w:val="en-US" w:eastAsia="zh-CN"/>
              </w:rPr>
              <w:t>锰酸锂</w:t>
            </w:r>
            <w:r>
              <w:rPr>
                <w:rFonts w:hint="default" w:ascii="Times New Roman" w:hAnsi="Times New Roman" w:cs="Times New Roman"/>
                <w:b w:val="0"/>
                <w:bCs w:val="0"/>
                <w:color w:val="auto"/>
                <w:sz w:val="24"/>
              </w:rPr>
              <w:t>、三元材料、</w:t>
            </w:r>
            <w:r>
              <w:rPr>
                <w:rFonts w:hint="default" w:ascii="Times New Roman" w:hAnsi="Times New Roman" w:cs="Times New Roman"/>
                <w:b w:val="0"/>
                <w:bCs w:val="0"/>
                <w:color w:val="auto"/>
                <w:sz w:val="24"/>
                <w:lang w:val="en-US" w:eastAsia="zh-CN"/>
              </w:rPr>
              <w:t>SP碳黑</w:t>
            </w:r>
            <w:r>
              <w:rPr>
                <w:rFonts w:hint="default" w:ascii="Times New Roman" w:hAnsi="Times New Roman" w:cs="Times New Roman"/>
                <w:b w:val="0"/>
                <w:bCs w:val="0"/>
                <w:color w:val="auto"/>
                <w:sz w:val="24"/>
              </w:rPr>
              <w:t>、石墨</w:t>
            </w:r>
            <w:r>
              <w:rPr>
                <w:rFonts w:hint="default" w:ascii="Times New Roman" w:hAnsi="Times New Roman" w:cs="Times New Roman"/>
                <w:b w:val="0"/>
                <w:bCs w:val="0"/>
                <w:color w:val="auto"/>
                <w:sz w:val="24"/>
                <w:lang w:eastAsia="zh-CN"/>
              </w:rPr>
              <w:t>、</w:t>
            </w:r>
            <w:r>
              <w:rPr>
                <w:rFonts w:hint="default" w:ascii="Times New Roman" w:hAnsi="Times New Roman" w:cs="Times New Roman"/>
                <w:b w:val="0"/>
                <w:bCs w:val="0"/>
                <w:color w:val="auto"/>
                <w:sz w:val="24"/>
                <w:lang w:val="en-US" w:eastAsia="zh-CN"/>
              </w:rPr>
              <w:t>PVDF</w:t>
            </w:r>
            <w:r>
              <w:rPr>
                <w:rFonts w:hint="default" w:ascii="Times New Roman" w:hAnsi="Times New Roman" w:cs="Times New Roman"/>
                <w:b w:val="0"/>
                <w:bCs w:val="0"/>
                <w:color w:val="auto"/>
                <w:sz w:val="24"/>
              </w:rPr>
              <w:t>均为粉末状固体，</w:t>
            </w:r>
            <w:r>
              <w:rPr>
                <w:rFonts w:hint="default" w:ascii="Times New Roman" w:hAnsi="Times New Roman" w:cs="Times New Roman"/>
                <w:b w:val="0"/>
                <w:bCs w:val="0"/>
                <w:color w:val="auto"/>
                <w:sz w:val="24"/>
                <w:lang w:val="en-US" w:eastAsia="zh-CN"/>
              </w:rPr>
              <w:t>NMP、纯</w:t>
            </w:r>
            <w:r>
              <w:rPr>
                <w:rFonts w:hint="default" w:ascii="Times New Roman" w:hAnsi="Times New Roman" w:cs="Times New Roman"/>
                <w:b w:val="0"/>
                <w:bCs w:val="0"/>
                <w:color w:val="auto"/>
                <w:sz w:val="24"/>
              </w:rPr>
              <w:t>水</w:t>
            </w:r>
            <w:r>
              <w:rPr>
                <w:rFonts w:hint="default" w:ascii="Times New Roman" w:hAnsi="Times New Roman" w:cs="Times New Roman"/>
                <w:b w:val="0"/>
                <w:bCs w:val="0"/>
                <w:color w:val="auto"/>
                <w:sz w:val="24"/>
                <w:lang w:eastAsia="zh-CN"/>
              </w:rPr>
              <w:t>、</w:t>
            </w:r>
            <w:r>
              <w:rPr>
                <w:rFonts w:hint="default" w:ascii="Times New Roman" w:hAnsi="Times New Roman" w:cs="Times New Roman"/>
                <w:b w:val="0"/>
                <w:bCs w:val="0"/>
                <w:color w:val="auto"/>
                <w:sz w:val="24"/>
                <w:lang w:val="en-US" w:eastAsia="zh-CN"/>
              </w:rPr>
              <w:t>SBR</w:t>
            </w:r>
            <w:r>
              <w:rPr>
                <w:rFonts w:hint="default" w:ascii="Times New Roman" w:hAnsi="Times New Roman" w:cs="Times New Roman"/>
                <w:b w:val="0"/>
                <w:bCs w:val="0"/>
                <w:color w:val="auto"/>
                <w:sz w:val="24"/>
              </w:rPr>
              <w:t>为液体。NMP存放在密封铁桶中，加料时通过取料管定量取出，然后通过液体加料口加入配料桶内，NMP取料和投加过程都是在常温常压下进行的</w:t>
            </w:r>
            <w:r>
              <w:rPr>
                <w:rFonts w:hint="default" w:ascii="Times New Roman" w:hAnsi="Times New Roman" w:cs="Times New Roman"/>
                <w:b w:val="0"/>
                <w:bCs w:val="0"/>
                <w:color w:val="auto"/>
                <w:sz w:val="24"/>
                <w:lang w:eastAsia="zh-CN"/>
              </w:rPr>
              <w:t>，</w:t>
            </w:r>
            <w:r>
              <w:rPr>
                <w:rFonts w:hint="default" w:ascii="Times New Roman" w:hAnsi="Times New Roman" w:cs="Times New Roman"/>
                <w:b w:val="0"/>
                <w:bCs w:val="0"/>
                <w:color w:val="auto"/>
                <w:sz w:val="24"/>
              </w:rPr>
              <w:t>通过配套输送管定量加入配料桶内</w:t>
            </w:r>
            <w:r>
              <w:rPr>
                <w:rFonts w:hint="default" w:ascii="Times New Roman" w:hAnsi="Times New Roman" w:cs="Times New Roman"/>
                <w:b w:val="0"/>
                <w:bCs w:val="0"/>
                <w:color w:val="auto"/>
                <w:sz w:val="24"/>
                <w:lang w:eastAsia="zh-CN"/>
              </w:rPr>
              <w:t>，</w:t>
            </w:r>
            <w:r>
              <w:rPr>
                <w:rFonts w:hint="default" w:ascii="Times New Roman" w:hAnsi="Times New Roman" w:cs="Times New Roman"/>
                <w:b w:val="0"/>
                <w:bCs w:val="0"/>
                <w:color w:val="auto"/>
                <w:sz w:val="24"/>
              </w:rPr>
              <w:t>搅拌过程是在密封环境下进行的，所以配料过程中NMP</w:t>
            </w:r>
            <w:r>
              <w:rPr>
                <w:rFonts w:hint="default" w:ascii="Times New Roman" w:hAnsi="Times New Roman" w:cs="Times New Roman"/>
                <w:b w:val="0"/>
                <w:bCs w:val="0"/>
                <w:color w:val="auto"/>
                <w:sz w:val="24"/>
                <w:lang w:eastAsia="zh-CN"/>
              </w:rPr>
              <w:t>、</w:t>
            </w:r>
            <w:r>
              <w:rPr>
                <w:rFonts w:hint="default" w:ascii="Times New Roman" w:hAnsi="Times New Roman" w:cs="Times New Roman"/>
                <w:b w:val="0"/>
                <w:bCs w:val="0"/>
                <w:color w:val="auto"/>
                <w:sz w:val="24"/>
                <w:lang w:val="en-US" w:eastAsia="zh-CN"/>
              </w:rPr>
              <w:t>PVDF</w:t>
            </w:r>
            <w:r>
              <w:rPr>
                <w:rFonts w:hint="default" w:ascii="Times New Roman" w:hAnsi="Times New Roman" w:cs="Times New Roman"/>
                <w:b w:val="0"/>
                <w:bCs w:val="0"/>
                <w:color w:val="auto"/>
                <w:sz w:val="24"/>
              </w:rPr>
              <w:t>挥发量可忽略不计</w:t>
            </w:r>
            <w:r>
              <w:rPr>
                <w:rFonts w:hint="eastAsia" w:ascii="Times New Roman" w:hAnsi="Times New Roman" w:cs="Times New Roman"/>
                <w:b w:val="0"/>
                <w:bCs w:val="0"/>
                <w:color w:val="auto"/>
                <w:sz w:val="24"/>
                <w:lang w:eastAsia="zh-CN"/>
              </w:rPr>
              <w:t>，</w:t>
            </w:r>
            <w:r>
              <w:rPr>
                <w:rFonts w:hint="default" w:ascii="Times New Roman" w:hAnsi="Times New Roman" w:cs="Times New Roman"/>
                <w:b w:val="0"/>
                <w:bCs w:val="0"/>
                <w:color w:val="auto"/>
                <w:sz w:val="24"/>
                <w:lang w:val="en-US" w:eastAsia="zh-CN"/>
              </w:rPr>
              <w:t>SBR</w:t>
            </w:r>
            <w:r>
              <w:rPr>
                <w:rFonts w:hint="eastAsia" w:ascii="Times New Roman" w:hAnsi="Times New Roman" w:cs="Times New Roman"/>
                <w:b w:val="0"/>
                <w:bCs w:val="0"/>
                <w:color w:val="auto"/>
                <w:sz w:val="24"/>
                <w:lang w:val="en-US" w:eastAsia="zh-CN"/>
              </w:rPr>
              <w:t>不易挥发</w:t>
            </w:r>
            <w:r>
              <w:rPr>
                <w:rFonts w:hint="default" w:ascii="Times New Roman" w:hAnsi="Times New Roman" w:cs="Times New Roman"/>
                <w:b w:val="0"/>
                <w:bCs w:val="0"/>
                <w:color w:val="auto"/>
                <w:sz w:val="24"/>
              </w:rPr>
              <w:t>。粉料在投加过程中会产生少量粉尘及噪声。</w:t>
            </w:r>
            <w:r>
              <w:rPr>
                <w:rFonts w:hint="default" w:ascii="Times New Roman" w:hAnsi="Times New Roman" w:cs="Times New Roman"/>
                <w:b w:val="0"/>
                <w:bCs w:val="0"/>
                <w:color w:val="auto"/>
                <w:sz w:val="24"/>
              </w:rPr>
              <w:t>项目搅拌桶每</w:t>
            </w:r>
            <w:r>
              <w:rPr>
                <w:rFonts w:hint="default" w:ascii="Times New Roman" w:hAnsi="Times New Roman" w:cs="Times New Roman"/>
                <w:b w:val="0"/>
                <w:bCs w:val="0"/>
                <w:color w:val="auto"/>
                <w:sz w:val="24"/>
                <w:lang w:val="en-US" w:eastAsia="zh-CN"/>
              </w:rPr>
              <w:t>周</w:t>
            </w:r>
            <w:r>
              <w:rPr>
                <w:rFonts w:hint="default" w:ascii="Times New Roman" w:hAnsi="Times New Roman" w:cs="Times New Roman"/>
                <w:b w:val="0"/>
                <w:bCs w:val="0"/>
                <w:color w:val="auto"/>
                <w:sz w:val="24"/>
              </w:rPr>
              <w:t>清洗一次，</w:t>
            </w:r>
            <w:r>
              <w:rPr>
                <w:rFonts w:hint="default" w:ascii="Times New Roman" w:hAnsi="Times New Roman" w:cs="Times New Roman"/>
                <w:b w:val="0"/>
                <w:bCs w:val="0"/>
                <w:color w:val="auto"/>
                <w:sz w:val="24"/>
                <w:lang w:val="en-US" w:eastAsia="zh-CN"/>
              </w:rPr>
              <w:t>在需要更换电池配方时才需要清洗，</w:t>
            </w:r>
            <w:r>
              <w:rPr>
                <w:rFonts w:hint="default" w:ascii="Times New Roman" w:hAnsi="Times New Roman" w:cs="Times New Roman"/>
                <w:b w:val="0"/>
                <w:bCs w:val="0"/>
                <w:color w:val="auto"/>
                <w:sz w:val="24"/>
              </w:rPr>
              <w:t>清洗过程</w:t>
            </w:r>
            <w:r>
              <w:rPr>
                <w:rFonts w:hint="default" w:ascii="Times New Roman" w:hAnsi="Times New Roman" w:cs="Times New Roman"/>
                <w:b w:val="0"/>
                <w:bCs w:val="0"/>
                <w:color w:val="auto"/>
                <w:sz w:val="24"/>
                <w:lang w:eastAsia="zh-CN"/>
              </w:rPr>
              <w:t>无须</w:t>
            </w:r>
            <w:r>
              <w:rPr>
                <w:rFonts w:hint="default" w:ascii="Times New Roman" w:hAnsi="Times New Roman" w:cs="Times New Roman"/>
                <w:b w:val="0"/>
                <w:bCs w:val="0"/>
                <w:color w:val="auto"/>
                <w:sz w:val="24"/>
              </w:rPr>
              <w:t>添加清洗剂，只需用自来水清洗干净即可，清洗完后搅拌桶自然晾干。该过程会产生少量的清洗废水。</w:t>
            </w:r>
          </w:p>
          <w:p>
            <w:pPr>
              <w:pStyle w:val="9"/>
              <w:adjustRightInd w:val="0"/>
              <w:snapToGrid w:val="0"/>
              <w:spacing w:line="360" w:lineRule="auto"/>
              <w:ind w:firstLine="482"/>
              <w:textAlignment w:val="baseline"/>
              <w:rPr>
                <w:rFonts w:hint="default" w:ascii="Times New Roman" w:hAnsi="Times New Roman" w:cs="Times New Roman"/>
                <w:bCs/>
                <w:color w:val="auto"/>
                <w:sz w:val="24"/>
              </w:rPr>
            </w:pPr>
            <w:r>
              <w:rPr>
                <w:rFonts w:hint="default" w:ascii="Times New Roman" w:hAnsi="Times New Roman" w:cs="Times New Roman"/>
                <w:b/>
                <w:color w:val="auto"/>
                <w:sz w:val="24"/>
              </w:rPr>
              <w:t>涂布</w:t>
            </w:r>
            <w:r>
              <w:rPr>
                <w:rFonts w:hint="default" w:ascii="Times New Roman" w:hAnsi="Times New Roman" w:cs="Times New Roman"/>
                <w:bCs/>
                <w:color w:val="auto"/>
                <w:sz w:val="24"/>
              </w:rPr>
              <w:t>：将合适黏度的浆料，涂覆在铝箔或铜箔集流体上，涂布工序主要包括正极涂布、负极涂布。</w:t>
            </w:r>
            <w:r>
              <w:rPr>
                <w:rFonts w:hint="default" w:ascii="Times New Roman" w:hAnsi="Times New Roman" w:cs="Times New Roman"/>
                <w:bCs/>
                <w:color w:val="auto"/>
                <w:sz w:val="24"/>
                <w:lang w:val="en-US" w:eastAsia="zh-CN"/>
              </w:rPr>
              <w:t>该</w:t>
            </w:r>
            <w:r>
              <w:rPr>
                <w:rFonts w:hint="default" w:ascii="Times New Roman" w:hAnsi="Times New Roman" w:cs="Times New Roman"/>
                <w:bCs/>
                <w:color w:val="auto"/>
                <w:sz w:val="24"/>
              </w:rPr>
              <w:t>序主要是将搅拌工序来料浆均匀地涂覆在金属铝或铜箔并烘干，正负极涂布后便制成电池极片。将制备好的正、负极浆料分别存放在中转料罐（材质为不锈钢）里，使用时通过不锈钢罐取料并加入涂布机料斗中，涂布机涂浆轮通过调整刮刀间隙来调节浆料转移量，使浆料均匀</w:t>
            </w:r>
            <w:r>
              <w:rPr>
                <w:rFonts w:hint="default" w:ascii="Times New Roman" w:hAnsi="Times New Roman" w:cs="Times New Roman"/>
                <w:bCs/>
                <w:color w:val="auto"/>
                <w:sz w:val="24"/>
                <w:lang w:eastAsia="zh-CN"/>
              </w:rPr>
              <w:t>地</w:t>
            </w:r>
            <w:r>
              <w:rPr>
                <w:rFonts w:hint="default" w:ascii="Times New Roman" w:hAnsi="Times New Roman" w:cs="Times New Roman"/>
                <w:bCs/>
                <w:color w:val="auto"/>
                <w:sz w:val="24"/>
              </w:rPr>
              <w:t>分布在涂浆轮上，并利用背辊与涂辊的相对转动将浆料转移到传动轮的基料上，再将浆料按设定尺寸分别均匀</w:t>
            </w:r>
            <w:r>
              <w:rPr>
                <w:rFonts w:hint="default" w:ascii="Times New Roman" w:hAnsi="Times New Roman" w:cs="Times New Roman"/>
                <w:bCs/>
                <w:color w:val="auto"/>
                <w:sz w:val="24"/>
                <w:lang w:eastAsia="zh-CN"/>
              </w:rPr>
              <w:t>地</w:t>
            </w:r>
            <w:r>
              <w:rPr>
                <w:rFonts w:hint="default" w:ascii="Times New Roman" w:hAnsi="Times New Roman" w:cs="Times New Roman"/>
                <w:bCs/>
                <w:color w:val="auto"/>
                <w:sz w:val="24"/>
              </w:rPr>
              <w:t>涂在各自的集电体上（正极集电体为铝箔，负极集电体为铜箔），浆料涂覆后再进行电烘干。涂布机自身带有烘箱，利用电热循环热风烘干极片。负极烘干去除制浆过程中吸入的水分，这一过程主要是水蒸气挥发出来，通过抽风机抽气顶楼排放；在烘干过程中，正极片上涂覆NMP溶剂完全挥发出来，NMP废气由NMP回收系统回收。项目正极涂布机设有NMP回收系统，正极片干燥温度约为1</w:t>
            </w:r>
            <w:r>
              <w:rPr>
                <w:rFonts w:hint="default" w:ascii="Times New Roman" w:hAnsi="Times New Roman" w:cs="Times New Roman"/>
                <w:bCs/>
                <w:color w:val="auto"/>
                <w:sz w:val="24"/>
                <w:lang w:val="en-US" w:eastAsia="zh-CN"/>
              </w:rPr>
              <w:t>2</w:t>
            </w:r>
            <w:r>
              <w:rPr>
                <w:rFonts w:hint="default" w:ascii="Times New Roman" w:hAnsi="Times New Roman" w:cs="Times New Roman"/>
                <w:bCs/>
                <w:color w:val="auto"/>
                <w:sz w:val="24"/>
              </w:rPr>
              <w:t>0℃，此温度能够保证NMP和水分全部挥发，而其他物质不会分解或损失。</w:t>
            </w:r>
            <w:r>
              <w:rPr>
                <w:rFonts w:hint="default" w:ascii="Times New Roman" w:hAnsi="Times New Roman" w:cs="Times New Roman"/>
                <w:bCs/>
                <w:color w:val="auto"/>
                <w:sz w:val="24"/>
              </w:rPr>
              <w:t>使用</w:t>
            </w:r>
            <w:r>
              <w:rPr>
                <w:rFonts w:hint="eastAsia" w:ascii="Times New Roman" w:hAnsi="Times New Roman" w:cs="Times New Roman"/>
                <w:bCs/>
                <w:color w:val="auto"/>
                <w:sz w:val="24"/>
                <w:lang w:val="en-US" w:eastAsia="zh-CN"/>
              </w:rPr>
              <w:t>湿抹布</w:t>
            </w:r>
            <w:r>
              <w:rPr>
                <w:rFonts w:hint="default" w:ascii="Times New Roman" w:hAnsi="Times New Roman" w:cs="Times New Roman"/>
                <w:bCs/>
                <w:color w:val="auto"/>
                <w:sz w:val="24"/>
              </w:rPr>
              <w:t>对涂布机辊轴</w:t>
            </w:r>
            <w:r>
              <w:rPr>
                <w:rFonts w:hint="default" w:ascii="Times New Roman" w:hAnsi="Times New Roman" w:cs="Times New Roman"/>
                <w:bCs/>
                <w:color w:val="auto"/>
                <w:sz w:val="24"/>
                <w:lang w:val="en-US" w:eastAsia="zh-CN"/>
              </w:rPr>
              <w:t>进行擦拭清洁</w:t>
            </w:r>
            <w:r>
              <w:rPr>
                <w:rFonts w:hint="default" w:ascii="Times New Roman" w:hAnsi="Times New Roman" w:cs="Times New Roman"/>
                <w:bCs/>
                <w:color w:val="auto"/>
                <w:sz w:val="24"/>
              </w:rPr>
              <w:t>。</w:t>
            </w:r>
            <w:r>
              <w:rPr>
                <w:rFonts w:hint="default" w:ascii="Times New Roman" w:hAnsi="Times New Roman" w:cs="Times New Roman"/>
                <w:bCs/>
                <w:color w:val="auto"/>
                <w:sz w:val="24"/>
                <w:lang w:val="en-US" w:eastAsia="zh-CN"/>
              </w:rPr>
              <w:t>此</w:t>
            </w:r>
            <w:r>
              <w:rPr>
                <w:rFonts w:hint="default" w:ascii="Times New Roman" w:hAnsi="Times New Roman" w:cs="Times New Roman"/>
                <w:bCs/>
                <w:color w:val="auto"/>
                <w:sz w:val="24"/>
              </w:rPr>
              <w:t>工序主要有</w:t>
            </w:r>
            <w:r>
              <w:rPr>
                <w:rFonts w:hint="default" w:ascii="Times New Roman" w:hAnsi="Times New Roman" w:cs="Times New Roman"/>
                <w:bCs/>
                <w:color w:val="auto"/>
                <w:sz w:val="24"/>
                <w:lang w:val="en-US" w:eastAsia="zh-CN"/>
              </w:rPr>
              <w:t>有机</w:t>
            </w:r>
            <w:r>
              <w:rPr>
                <w:rFonts w:hint="default" w:ascii="Times New Roman" w:hAnsi="Times New Roman" w:cs="Times New Roman"/>
                <w:bCs/>
                <w:color w:val="auto"/>
                <w:sz w:val="24"/>
              </w:rPr>
              <w:t>废气</w:t>
            </w:r>
            <w:r>
              <w:rPr>
                <w:rFonts w:hint="default" w:ascii="Times New Roman" w:hAnsi="Times New Roman" w:cs="Times New Roman"/>
                <w:bCs/>
                <w:color w:val="auto"/>
                <w:sz w:val="24"/>
                <w:lang w:eastAsia="zh-CN"/>
              </w:rPr>
              <w:t>、</w:t>
            </w:r>
            <w:r>
              <w:rPr>
                <w:rFonts w:hint="default" w:ascii="Times New Roman" w:hAnsi="Times New Roman" w:cs="Times New Roman"/>
                <w:bCs/>
                <w:color w:val="auto"/>
                <w:sz w:val="24"/>
              </w:rPr>
              <w:t>机械噪声、废抹布污染物、铜箔边角料、铝箔边角料产生。</w:t>
            </w:r>
          </w:p>
          <w:p>
            <w:pPr>
              <w:pStyle w:val="9"/>
              <w:adjustRightInd w:val="0"/>
              <w:snapToGrid w:val="0"/>
              <w:spacing w:line="360" w:lineRule="auto"/>
              <w:ind w:firstLine="482"/>
              <w:textAlignment w:val="baseline"/>
              <w:rPr>
                <w:rFonts w:hint="default" w:ascii="Times New Roman" w:hAnsi="Times New Roman" w:cs="Times New Roman"/>
                <w:color w:val="auto"/>
                <w:sz w:val="24"/>
              </w:rPr>
            </w:pPr>
            <w:r>
              <w:rPr>
                <w:rFonts w:hint="default" w:ascii="Times New Roman" w:hAnsi="Times New Roman" w:cs="Times New Roman"/>
                <w:b/>
                <w:bCs/>
                <w:color w:val="auto"/>
                <w:sz w:val="24"/>
              </w:rPr>
              <w:t>辊压：</w:t>
            </w:r>
            <w:r>
              <w:rPr>
                <w:rFonts w:hint="default" w:ascii="Times New Roman" w:hAnsi="Times New Roman" w:cs="Times New Roman"/>
                <w:color w:val="auto"/>
                <w:sz w:val="24"/>
              </w:rPr>
              <w:t>将涂布后的正/负极片放入辊压机，经对转的滚轴将极片压实，以降低极片厚度，提高电池体积利用率</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此工序会产生噪声</w:t>
            </w:r>
            <w:r>
              <w:rPr>
                <w:rFonts w:hint="default" w:ascii="Times New Roman" w:hAnsi="Times New Roman" w:cs="Times New Roman"/>
                <w:color w:val="auto"/>
                <w:sz w:val="24"/>
              </w:rPr>
              <w:t>。</w:t>
            </w:r>
          </w:p>
          <w:p>
            <w:pPr>
              <w:pStyle w:val="9"/>
              <w:adjustRightInd w:val="0"/>
              <w:snapToGrid w:val="0"/>
              <w:spacing w:line="360" w:lineRule="auto"/>
              <w:ind w:firstLine="482"/>
              <w:textAlignment w:val="baseline"/>
              <w:rPr>
                <w:rFonts w:hint="default" w:ascii="Times New Roman" w:hAnsi="Times New Roman" w:eastAsia="仿宋体" w:cs="Times New Roman"/>
                <w:b/>
                <w:bCs/>
                <w:color w:val="auto"/>
                <w:sz w:val="24"/>
                <w:lang w:val="en-US" w:eastAsia="zh-CN"/>
              </w:rPr>
            </w:pPr>
            <w:r>
              <w:rPr>
                <w:rFonts w:hint="default" w:ascii="Times New Roman" w:hAnsi="Times New Roman" w:cs="Times New Roman"/>
                <w:b/>
                <w:bCs/>
                <w:color w:val="auto"/>
                <w:sz w:val="24"/>
              </w:rPr>
              <w:t>分条</w:t>
            </w:r>
            <w:r>
              <w:rPr>
                <w:rFonts w:hint="default" w:ascii="Times New Roman" w:hAnsi="Times New Roman" w:cs="Times New Roman"/>
                <w:b/>
                <w:bCs/>
                <w:color w:val="auto"/>
                <w:sz w:val="24"/>
                <w:lang w:eastAsia="zh-CN"/>
              </w:rPr>
              <w:t>：</w:t>
            </w:r>
            <w:r>
              <w:rPr>
                <w:rFonts w:hint="default" w:ascii="Times New Roman" w:hAnsi="Times New Roman" w:cs="Times New Roman"/>
                <w:color w:val="auto"/>
                <w:sz w:val="24"/>
              </w:rPr>
              <w:t>辊压后的极片</w:t>
            </w:r>
            <w:r>
              <w:rPr>
                <w:rFonts w:hint="default" w:ascii="Times New Roman" w:hAnsi="Times New Roman" w:cs="Times New Roman"/>
                <w:color w:val="auto"/>
                <w:sz w:val="24"/>
                <w:lang w:val="en-US" w:eastAsia="zh-CN"/>
              </w:rPr>
              <w:t>进入分条机，按产品要求分切成相同宽度的极片，</w:t>
            </w:r>
            <w:r>
              <w:rPr>
                <w:rFonts w:hint="default" w:ascii="Times New Roman" w:hAnsi="Times New Roman" w:cs="Times New Roman"/>
                <w:color w:val="auto"/>
                <w:sz w:val="24"/>
              </w:rPr>
              <w:t>此工序会产生正、负极片边角料</w:t>
            </w:r>
            <w:r>
              <w:rPr>
                <w:rFonts w:hint="default" w:ascii="Times New Roman" w:hAnsi="Times New Roman" w:cs="Times New Roman"/>
                <w:color w:val="auto"/>
                <w:sz w:val="24"/>
                <w:lang w:val="en-US" w:eastAsia="zh-CN"/>
              </w:rPr>
              <w:t>和噪声。</w:t>
            </w:r>
          </w:p>
          <w:p>
            <w:pPr>
              <w:pStyle w:val="9"/>
              <w:adjustRightInd w:val="0"/>
              <w:snapToGrid w:val="0"/>
              <w:spacing w:line="360" w:lineRule="auto"/>
              <w:ind w:firstLine="482"/>
              <w:textAlignment w:val="baseline"/>
              <w:rPr>
                <w:rFonts w:hint="default" w:ascii="Times New Roman" w:hAnsi="Times New Roman" w:cs="Times New Roman"/>
                <w:color w:val="auto"/>
                <w:sz w:val="24"/>
              </w:rPr>
            </w:pPr>
            <w:r>
              <w:rPr>
                <w:rFonts w:hint="default" w:ascii="Times New Roman" w:hAnsi="Times New Roman" w:cs="Times New Roman"/>
                <w:b/>
                <w:bCs/>
                <w:color w:val="auto"/>
                <w:sz w:val="24"/>
              </w:rPr>
              <w:t>制片：</w:t>
            </w:r>
            <w:r>
              <w:rPr>
                <w:rFonts w:hint="default" w:ascii="Times New Roman" w:hAnsi="Times New Roman" w:cs="Times New Roman"/>
                <w:color w:val="auto"/>
                <w:sz w:val="24"/>
              </w:rPr>
              <w:t>在制片一体机自带的焊机上将极耳焊接在正、负极片一端。正、负极耳均外购，正极耳是铝极耳，负极耳是镍极耳，</w:t>
            </w:r>
            <w:r>
              <w:rPr>
                <w:rFonts w:hint="default" w:ascii="Times New Roman" w:hAnsi="Times New Roman" w:cs="Times New Roman"/>
                <w:bCs/>
                <w:color w:val="auto"/>
                <w:sz w:val="24"/>
              </w:rPr>
              <w:t>此工序采用超声波焊接机，不使用任何助剂，超声波焊接原理为利用高频振动波传递到两个需焊接的物体表面，在加压的情况下，使两个物体表面相互摩擦产生高温而形成分子层之间的熔合，因该过程不使用焊料，因此不产生焊接废气。</w:t>
            </w:r>
            <w:r>
              <w:rPr>
                <w:rFonts w:hint="default" w:ascii="Times New Roman" w:hAnsi="Times New Roman" w:cs="Times New Roman"/>
                <w:color w:val="auto"/>
                <w:sz w:val="24"/>
              </w:rPr>
              <w:t>然后进行刷片，去除极片制备过程中残留的表面浮粉。</w:t>
            </w:r>
          </w:p>
          <w:p>
            <w:pPr>
              <w:pStyle w:val="9"/>
              <w:adjustRightInd w:val="0"/>
              <w:snapToGrid w:val="0"/>
              <w:spacing w:line="360" w:lineRule="auto"/>
              <w:ind w:firstLine="482"/>
              <w:textAlignment w:val="baseline"/>
              <w:rPr>
                <w:rFonts w:hint="default" w:ascii="Times New Roman" w:hAnsi="Times New Roman" w:cs="Times New Roman"/>
                <w:color w:val="auto"/>
                <w:sz w:val="24"/>
              </w:rPr>
            </w:pPr>
            <w:r>
              <w:rPr>
                <w:rFonts w:hint="default" w:ascii="Times New Roman" w:hAnsi="Times New Roman" w:cs="Times New Roman"/>
                <w:b/>
                <w:bCs/>
                <w:color w:val="auto"/>
                <w:sz w:val="24"/>
              </w:rPr>
              <w:t>卷绕：</w:t>
            </w:r>
            <w:r>
              <w:rPr>
                <w:rFonts w:hint="default" w:ascii="Times New Roman" w:hAnsi="Times New Roman" w:cs="Times New Roman"/>
                <w:color w:val="auto"/>
                <w:sz w:val="24"/>
              </w:rPr>
              <w:t>在正负极片中加入隔膜纸通过卷绕机卷绕，使极片间形成隔离空间，起到保证气体畅通和不产生短路的作用。</w:t>
            </w:r>
            <w:r>
              <w:rPr>
                <w:rFonts w:hint="default" w:ascii="Times New Roman" w:hAnsi="Times New Roman" w:cs="Times New Roman"/>
                <w:color w:val="auto"/>
                <w:sz w:val="24"/>
                <w:lang w:val="en-US" w:eastAsia="zh-CN"/>
              </w:rPr>
              <w:t>此</w:t>
            </w:r>
            <w:r>
              <w:rPr>
                <w:rFonts w:hint="default" w:ascii="Times New Roman" w:hAnsi="Times New Roman" w:cs="Times New Roman"/>
                <w:color w:val="auto"/>
                <w:sz w:val="24"/>
              </w:rPr>
              <w:t>工序产生废隔膜纸及噪声。</w:t>
            </w:r>
          </w:p>
          <w:p>
            <w:pPr>
              <w:pStyle w:val="9"/>
              <w:adjustRightInd w:val="0"/>
              <w:snapToGrid w:val="0"/>
              <w:spacing w:line="360" w:lineRule="auto"/>
              <w:ind w:firstLine="482"/>
              <w:textAlignment w:val="baseline"/>
              <w:rPr>
                <w:rFonts w:hint="default" w:ascii="Times New Roman" w:hAnsi="Times New Roman" w:cs="Times New Roman"/>
                <w:color w:val="auto"/>
                <w:sz w:val="24"/>
              </w:rPr>
            </w:pPr>
            <w:r>
              <w:rPr>
                <w:rFonts w:hint="default" w:ascii="Times New Roman" w:hAnsi="Times New Roman" w:cs="Times New Roman"/>
                <w:b/>
                <w:bCs/>
                <w:color w:val="auto"/>
                <w:sz w:val="24"/>
              </w:rPr>
              <w:t>冲壳、组装：</w:t>
            </w:r>
            <w:r>
              <w:rPr>
                <w:rFonts w:hint="default" w:ascii="Times New Roman" w:hAnsi="Times New Roman" w:cs="Times New Roman"/>
                <w:color w:val="auto"/>
                <w:sz w:val="24"/>
              </w:rPr>
              <w:t>使用按冲压工艺冲</w:t>
            </w:r>
            <w:r>
              <w:rPr>
                <w:rFonts w:hint="default" w:ascii="Times New Roman" w:hAnsi="Times New Roman" w:cs="Times New Roman"/>
                <w:color w:val="auto"/>
                <w:sz w:val="24"/>
                <w:lang w:eastAsia="zh-CN"/>
              </w:rPr>
              <w:t>好</w:t>
            </w:r>
            <w:r>
              <w:rPr>
                <w:rFonts w:hint="default" w:ascii="Times New Roman" w:hAnsi="Times New Roman" w:cs="Times New Roman"/>
                <w:color w:val="auto"/>
                <w:sz w:val="24"/>
              </w:rPr>
              <w:t>的铝塑膜将电芯包好，并进行封边，此工序会产生少量废铝塑膜</w:t>
            </w:r>
            <w:r>
              <w:rPr>
                <w:rFonts w:hint="default" w:ascii="Times New Roman" w:hAnsi="Times New Roman" w:cs="Times New Roman"/>
                <w:color w:val="auto"/>
                <w:sz w:val="24"/>
                <w:lang w:val="en-US" w:eastAsia="zh-CN"/>
              </w:rPr>
              <w:t>和噪声</w:t>
            </w:r>
            <w:r>
              <w:rPr>
                <w:rFonts w:hint="default" w:ascii="Times New Roman" w:hAnsi="Times New Roman" w:cs="Times New Roman"/>
                <w:color w:val="auto"/>
                <w:sz w:val="24"/>
              </w:rPr>
              <w:t>。</w:t>
            </w:r>
          </w:p>
          <w:p>
            <w:pPr>
              <w:pStyle w:val="9"/>
              <w:adjustRightInd w:val="0"/>
              <w:snapToGrid w:val="0"/>
              <w:spacing w:line="360" w:lineRule="auto"/>
              <w:ind w:firstLine="482"/>
              <w:textAlignment w:val="baseline"/>
              <w:rPr>
                <w:rFonts w:hint="default" w:ascii="Times New Roman" w:hAnsi="Times New Roman" w:cs="Times New Roman"/>
                <w:bCs/>
                <w:color w:val="auto"/>
                <w:sz w:val="24"/>
              </w:rPr>
            </w:pPr>
            <w:r>
              <w:rPr>
                <w:rFonts w:hint="default" w:ascii="Times New Roman" w:hAnsi="Times New Roman" w:cs="Times New Roman"/>
                <w:b/>
                <w:bCs/>
                <w:color w:val="auto"/>
                <w:sz w:val="24"/>
              </w:rPr>
              <w:t>烘烤：</w:t>
            </w:r>
            <w:r>
              <w:rPr>
                <w:rFonts w:hint="default" w:ascii="Times New Roman" w:hAnsi="Times New Roman" w:cs="Times New Roman"/>
                <w:bCs/>
                <w:color w:val="auto"/>
                <w:sz w:val="24"/>
              </w:rPr>
              <w:t>将包有铝塑膜的卷芯放入电真空烤箱内进行约</w:t>
            </w:r>
            <w:r>
              <w:rPr>
                <w:rFonts w:hint="default" w:ascii="Times New Roman" w:hAnsi="Times New Roman" w:cs="Times New Roman"/>
                <w:bCs/>
                <w:color w:val="auto"/>
                <w:sz w:val="24"/>
                <w:lang w:val="en-US" w:eastAsia="zh-CN"/>
              </w:rPr>
              <w:t>10</w:t>
            </w:r>
            <w:r>
              <w:rPr>
                <w:rFonts w:hint="default" w:ascii="Times New Roman" w:hAnsi="Times New Roman" w:cs="Times New Roman"/>
                <w:bCs/>
                <w:color w:val="auto"/>
                <w:sz w:val="24"/>
              </w:rPr>
              <w:t>小时的烘烤，去除卷芯在制作过程中吸入的微量水分，确保极片干燥，烘烤温度为8</w:t>
            </w:r>
            <w:r>
              <w:rPr>
                <w:rFonts w:hint="default" w:ascii="Times New Roman" w:hAnsi="Times New Roman" w:cs="Times New Roman"/>
                <w:bCs/>
                <w:color w:val="auto"/>
                <w:sz w:val="24"/>
                <w:lang w:val="en-US" w:eastAsia="zh-CN"/>
              </w:rPr>
              <w:t>5</w:t>
            </w:r>
            <w:r>
              <w:rPr>
                <w:rFonts w:hint="default" w:ascii="Times New Roman" w:hAnsi="Times New Roman" w:cs="Times New Roman"/>
                <w:bCs/>
                <w:color w:val="auto"/>
                <w:sz w:val="24"/>
              </w:rPr>
              <w:t>℃。本烘烤工序为开口式烘烤，仅烘干少量水分，由于尚未加入电解液等化学溶剂，因此无有机废气产生</w:t>
            </w:r>
            <w:r>
              <w:rPr>
                <w:rStyle w:val="37"/>
                <w:rFonts w:hint="default" w:ascii="Times New Roman" w:hAnsi="Times New Roman" w:cs="Times New Roman"/>
                <w:color w:val="auto"/>
                <w:sz w:val="24"/>
              </w:rPr>
              <w:t>，此工序会产生噪声</w:t>
            </w:r>
            <w:r>
              <w:rPr>
                <w:rFonts w:hint="default" w:ascii="Times New Roman" w:hAnsi="Times New Roman" w:cs="Times New Roman"/>
                <w:bCs/>
                <w:color w:val="auto"/>
                <w:sz w:val="24"/>
              </w:rPr>
              <w:t>。</w:t>
            </w:r>
          </w:p>
          <w:p>
            <w:pPr>
              <w:adjustRightInd w:val="0"/>
              <w:snapToGrid w:val="0"/>
              <w:spacing w:line="360" w:lineRule="auto"/>
              <w:ind w:firstLine="482" w:firstLineChars="200"/>
              <w:jc w:val="left"/>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注液、封口：</w:t>
            </w:r>
            <w:r>
              <w:rPr>
                <w:rFonts w:hint="default" w:ascii="Times New Roman" w:hAnsi="Times New Roman" w:cs="Times New Roman"/>
                <w:color w:val="auto"/>
                <w:sz w:val="24"/>
                <w:szCs w:val="24"/>
              </w:rPr>
              <w:t>将电解液注到电芯内部，为锂离子传输提供载体，其注液量会直接影响到电池的品质。注液材料为外购的成品电解液，</w:t>
            </w:r>
            <w:r>
              <w:rPr>
                <w:rFonts w:hint="default" w:ascii="Times New Roman" w:hAnsi="Times New Roman" w:cs="Times New Roman"/>
                <w:color w:val="auto"/>
                <w:sz w:val="24"/>
                <w:szCs w:val="24"/>
              </w:rPr>
              <w:t>注液是在密闭的</w:t>
            </w:r>
            <w:r>
              <w:rPr>
                <w:rFonts w:hint="eastAsia" w:ascii="Times New Roman" w:hAnsi="Times New Roman" w:cs="Times New Roman"/>
                <w:color w:val="auto"/>
                <w:sz w:val="24"/>
                <w:szCs w:val="24"/>
                <w:lang w:val="en-US" w:eastAsia="zh-CN"/>
              </w:rPr>
              <w:t>注液机</w:t>
            </w:r>
            <w:r>
              <w:rPr>
                <w:rFonts w:hint="default" w:ascii="Times New Roman" w:hAnsi="Times New Roman" w:cs="Times New Roman"/>
                <w:color w:val="auto"/>
                <w:sz w:val="24"/>
                <w:szCs w:val="24"/>
              </w:rPr>
              <w:t>内完成，通过注液机中的注液针定量注液到电芯内部。</w:t>
            </w:r>
            <w:r>
              <w:rPr>
                <w:rFonts w:hint="default" w:ascii="Times New Roman" w:hAnsi="Times New Roman" w:cs="Times New Roman"/>
                <w:bCs/>
                <w:color w:val="auto"/>
                <w:sz w:val="24"/>
              </w:rPr>
              <w:t>注液后将电芯封口</w:t>
            </w:r>
            <w:r>
              <w:rPr>
                <w:rFonts w:hint="default" w:ascii="Times New Roman" w:hAnsi="Times New Roman" w:cs="Times New Roman"/>
                <w:bCs/>
                <w:color w:val="auto"/>
                <w:sz w:val="24"/>
                <w:lang w:eastAsia="zh-CN"/>
              </w:rPr>
              <w:t>，</w:t>
            </w:r>
            <w:r>
              <w:rPr>
                <w:rFonts w:hint="default" w:ascii="Times New Roman" w:hAnsi="Times New Roman" w:cs="Times New Roman"/>
                <w:color w:val="auto"/>
                <w:sz w:val="24"/>
                <w:szCs w:val="22"/>
                <w:lang w:val="en-US" w:eastAsia="zh-CN"/>
              </w:rPr>
              <w:t>顶侧封机</w:t>
            </w:r>
            <w:r>
              <w:rPr>
                <w:rFonts w:hint="default" w:ascii="Times New Roman" w:hAnsi="Times New Roman" w:cs="Times New Roman"/>
                <w:color w:val="auto"/>
                <w:sz w:val="24"/>
                <w:szCs w:val="22"/>
              </w:rPr>
              <w:t>利用热压的方式对铝塑膜外壳进行封装</w:t>
            </w:r>
            <w:r>
              <w:rPr>
                <w:rFonts w:hint="default" w:ascii="Times New Roman" w:hAnsi="Times New Roman" w:cs="Times New Roman"/>
                <w:color w:val="auto"/>
                <w:sz w:val="24"/>
                <w:szCs w:val="22"/>
                <w:lang w:eastAsia="zh-CN"/>
              </w:rPr>
              <w:t>。</w:t>
            </w:r>
            <w:r>
              <w:rPr>
                <w:rFonts w:hint="default" w:ascii="Times New Roman" w:hAnsi="Times New Roman" w:eastAsia="宋体" w:cs="Times New Roman"/>
                <w:color w:val="auto"/>
                <w:sz w:val="24"/>
                <w:szCs w:val="24"/>
                <w:lang w:val="en-US" w:eastAsia="zh-CN"/>
              </w:rPr>
              <w:t>电池外壳为软包铝塑膜，无需进行清洗。</w:t>
            </w:r>
            <w:r>
              <w:rPr>
                <w:rFonts w:hint="default" w:ascii="Times New Roman" w:hAnsi="Times New Roman" w:eastAsia="宋体" w:cs="Times New Roman"/>
                <w:color w:val="auto"/>
                <w:sz w:val="24"/>
                <w:szCs w:val="24"/>
              </w:rPr>
              <w:t>注液工序会产生少量的</w:t>
            </w:r>
            <w:r>
              <w:rPr>
                <w:rFonts w:hint="default" w:ascii="Times New Roman" w:hAnsi="Times New Roman" w:eastAsia="宋体" w:cs="Times New Roman"/>
                <w:color w:val="auto"/>
                <w:sz w:val="24"/>
                <w:szCs w:val="24"/>
                <w:lang w:val="en-US" w:eastAsia="zh-CN"/>
              </w:rPr>
              <w:t>有机废气和噪声</w:t>
            </w:r>
            <w:r>
              <w:rPr>
                <w:rFonts w:hint="default" w:ascii="Times New Roman" w:hAnsi="Times New Roman" w:eastAsia="宋体" w:cs="Times New Roman"/>
                <w:color w:val="auto"/>
                <w:sz w:val="24"/>
                <w:szCs w:val="24"/>
              </w:rPr>
              <w:t>。</w:t>
            </w:r>
          </w:p>
          <w:p>
            <w:pPr>
              <w:pStyle w:val="9"/>
              <w:adjustRightInd w:val="0"/>
              <w:snapToGrid w:val="0"/>
              <w:spacing w:line="360" w:lineRule="auto"/>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注：由于本项目使用的电解液中含有LiPF</w:t>
            </w:r>
            <w:r>
              <w:rPr>
                <w:rFonts w:hint="default" w:ascii="Times New Roman" w:hAnsi="Times New Roman" w:cs="Times New Roman"/>
                <w:color w:val="auto"/>
                <w:sz w:val="24"/>
                <w:szCs w:val="24"/>
                <w:vertAlign w:val="subscript"/>
              </w:rPr>
              <w:t>6</w:t>
            </w:r>
            <w:r>
              <w:rPr>
                <w:rFonts w:hint="default" w:ascii="Times New Roman" w:hAnsi="Times New Roman" w:cs="Times New Roman"/>
                <w:color w:val="auto"/>
                <w:sz w:val="24"/>
                <w:szCs w:val="24"/>
              </w:rPr>
              <w:t>，该物质接触空气中的水汽会导致分解，影响锂</w:t>
            </w:r>
            <w:r>
              <w:rPr>
                <w:rFonts w:hint="default" w:ascii="Times New Roman" w:hAnsi="Times New Roman" w:cs="Times New Roman"/>
                <w:color w:val="auto"/>
                <w:sz w:val="24"/>
                <w:szCs w:val="24"/>
                <w:lang w:val="en-US" w:eastAsia="zh-CN"/>
              </w:rPr>
              <w:t>离子</w:t>
            </w:r>
            <w:r>
              <w:rPr>
                <w:rFonts w:hint="default" w:ascii="Times New Roman" w:hAnsi="Times New Roman" w:cs="Times New Roman"/>
                <w:color w:val="auto"/>
                <w:sz w:val="24"/>
                <w:szCs w:val="24"/>
              </w:rPr>
              <w:t>电池的性能，因此注液工序在密闭手套箱内进行并极干燥的环境下（密封的注液手套箱湿度在1%以下）进行。由于项目电解液注液过程均在密闭且控制湿度的条件下进行，工作温度设计为25℃，湿度≤1%，因此电解液中的LiPF</w:t>
            </w:r>
            <w:r>
              <w:rPr>
                <w:rFonts w:hint="default" w:ascii="Times New Roman" w:hAnsi="Times New Roman" w:cs="Times New Roman"/>
                <w:color w:val="auto"/>
                <w:sz w:val="24"/>
                <w:szCs w:val="24"/>
                <w:vertAlign w:val="subscript"/>
              </w:rPr>
              <w:t>6</w:t>
            </w:r>
            <w:r>
              <w:rPr>
                <w:rFonts w:hint="default" w:ascii="Times New Roman" w:hAnsi="Times New Roman" w:cs="Times New Roman"/>
                <w:color w:val="auto"/>
                <w:sz w:val="24"/>
                <w:szCs w:val="24"/>
              </w:rPr>
              <w:t>不会发生分解。</w:t>
            </w:r>
          </w:p>
          <w:p>
            <w:pPr>
              <w:pStyle w:val="9"/>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高温静置：</w:t>
            </w:r>
            <w:r>
              <w:rPr>
                <w:rFonts w:hint="default" w:ascii="Times New Roman" w:hAnsi="Times New Roman" w:cs="Times New Roman"/>
                <w:color w:val="auto"/>
                <w:sz w:val="24"/>
                <w:szCs w:val="24"/>
              </w:rPr>
              <w:t>将注液好的电池高温静置一定时间。</w:t>
            </w:r>
          </w:p>
          <w:p>
            <w:pPr>
              <w:pStyle w:val="9"/>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baseline"/>
              <w:rPr>
                <w:rFonts w:hint="default" w:ascii="Times New Roman" w:hAnsi="Times New Roman" w:cs="Times New Roman"/>
                <w:bCs/>
                <w:color w:val="auto"/>
                <w:sz w:val="24"/>
              </w:rPr>
            </w:pPr>
            <w:r>
              <w:rPr>
                <w:rFonts w:hint="default" w:ascii="Times New Roman" w:hAnsi="Times New Roman" w:cs="Times New Roman"/>
                <w:b/>
                <w:color w:val="auto"/>
                <w:sz w:val="24"/>
              </w:rPr>
              <w:t>化成：</w:t>
            </w:r>
            <w:r>
              <w:rPr>
                <w:rFonts w:hint="default" w:ascii="Times New Roman" w:hAnsi="Times New Roman" w:cs="Times New Roman"/>
                <w:bCs/>
                <w:color w:val="auto"/>
                <w:sz w:val="24"/>
              </w:rPr>
              <w:t>将电池放入锂电检测设备上进行活化等激活检测，将电极材料激活，使正、负极电极片上聚合物与电解液相互渗透，并进行检测。此过程在常温常压下使用闭口化成方式，因此化成工序没有电解液挥发废气产生。</w:t>
            </w:r>
          </w:p>
          <w:p>
            <w:pPr>
              <w:pStyle w:val="9"/>
              <w:adjustRightInd w:val="0"/>
              <w:snapToGrid w:val="0"/>
              <w:spacing w:line="360" w:lineRule="auto"/>
              <w:ind w:firstLine="482"/>
              <w:textAlignment w:val="baseline"/>
              <w:rPr>
                <w:rFonts w:hint="default" w:ascii="Times New Roman" w:hAnsi="Times New Roman" w:eastAsia="仿宋体" w:cs="Times New Roman"/>
                <w:color w:val="auto"/>
                <w:sz w:val="24"/>
                <w:lang w:eastAsia="zh-CN"/>
              </w:rPr>
            </w:pPr>
            <w:r>
              <w:rPr>
                <w:rFonts w:hint="default" w:ascii="Times New Roman" w:hAnsi="Times New Roman" w:cs="Times New Roman"/>
                <w:b/>
                <w:bCs/>
                <w:color w:val="auto"/>
                <w:sz w:val="24"/>
              </w:rPr>
              <w:t>二封：</w:t>
            </w:r>
            <w:r>
              <w:rPr>
                <w:rFonts w:hint="default" w:ascii="Times New Roman" w:hAnsi="Times New Roman" w:cs="Times New Roman"/>
                <w:color w:val="auto"/>
                <w:sz w:val="24"/>
                <w:szCs w:val="22"/>
              </w:rPr>
              <w:t>利用热压的方式对铝塑膜外壳进行</w:t>
            </w:r>
            <w:r>
              <w:rPr>
                <w:rFonts w:hint="default" w:ascii="Times New Roman" w:hAnsi="Times New Roman" w:cs="Times New Roman"/>
                <w:color w:val="auto"/>
                <w:sz w:val="24"/>
                <w:szCs w:val="22"/>
                <w:lang w:val="en-US" w:eastAsia="zh-CN"/>
              </w:rPr>
              <w:t>二封。</w:t>
            </w:r>
            <w:r>
              <w:rPr>
                <w:rFonts w:hint="default" w:ascii="Times New Roman" w:hAnsi="Times New Roman" w:cs="Times New Roman"/>
                <w:color w:val="auto"/>
                <w:sz w:val="24"/>
              </w:rPr>
              <w:t>二次封装形成半成品电池。</w:t>
            </w:r>
          </w:p>
          <w:p>
            <w:pPr>
              <w:pStyle w:val="9"/>
              <w:adjustRightInd w:val="0"/>
              <w:snapToGrid w:val="0"/>
              <w:spacing w:line="360" w:lineRule="auto"/>
              <w:ind w:firstLine="482"/>
              <w:textAlignment w:val="baseline"/>
              <w:rPr>
                <w:rFonts w:hint="default" w:ascii="Times New Roman" w:hAnsi="Times New Roman" w:cs="Times New Roman"/>
                <w:b/>
                <w:bCs/>
                <w:color w:val="auto"/>
                <w:sz w:val="24"/>
              </w:rPr>
            </w:pPr>
            <w:r>
              <w:rPr>
                <w:rFonts w:hint="default" w:ascii="Times New Roman" w:hAnsi="Times New Roman" w:cs="Times New Roman"/>
                <w:b/>
                <w:bCs/>
                <w:color w:val="auto"/>
                <w:sz w:val="24"/>
              </w:rPr>
              <w:t>老化测试：</w:t>
            </w:r>
            <w:r>
              <w:rPr>
                <w:rFonts w:hint="default" w:ascii="Times New Roman" w:hAnsi="Times New Roman" w:cs="Times New Roman"/>
                <w:color w:val="auto"/>
                <w:sz w:val="24"/>
              </w:rPr>
              <w:t>将成品电池置于老化室内搁置一定时间之后根据搁置后电池电压分布情况进行筛查，调处电池内部微短路、低电压电池，此工序会产生不合格品</w:t>
            </w:r>
            <w:r>
              <w:rPr>
                <w:rFonts w:hint="default" w:ascii="Times New Roman" w:hAnsi="Times New Roman" w:cs="Times New Roman"/>
                <w:color w:val="auto"/>
                <w:sz w:val="24"/>
                <w:lang w:val="en-US" w:eastAsia="zh-CN"/>
              </w:rPr>
              <w:t>和噪声</w:t>
            </w:r>
            <w:r>
              <w:rPr>
                <w:rFonts w:hint="default" w:ascii="Times New Roman" w:hAnsi="Times New Roman" w:cs="Times New Roman"/>
                <w:color w:val="auto"/>
                <w:sz w:val="24"/>
              </w:rPr>
              <w:t>。</w:t>
            </w:r>
          </w:p>
          <w:p>
            <w:pPr>
              <w:pStyle w:val="9"/>
              <w:adjustRightInd w:val="0"/>
              <w:snapToGrid w:val="0"/>
              <w:spacing w:line="360" w:lineRule="auto"/>
              <w:ind w:firstLine="482"/>
              <w:textAlignment w:val="baseline"/>
              <w:rPr>
                <w:rFonts w:hint="default" w:ascii="Times New Roman" w:hAnsi="Times New Roman" w:cs="Times New Roman"/>
                <w:color w:val="auto"/>
                <w:sz w:val="24"/>
              </w:rPr>
            </w:pPr>
            <w:r>
              <w:rPr>
                <w:rFonts w:hint="default" w:ascii="Times New Roman" w:hAnsi="Times New Roman" w:cs="Times New Roman"/>
                <w:b/>
                <w:color w:val="auto"/>
                <w:sz w:val="24"/>
              </w:rPr>
              <w:t>分容：</w:t>
            </w:r>
            <w:r>
              <w:rPr>
                <w:rFonts w:hint="default" w:ascii="Times New Roman" w:hAnsi="Times New Roman" w:cs="Times New Roman"/>
                <w:color w:val="auto"/>
                <w:sz w:val="24"/>
              </w:rPr>
              <w:t>将电池放入锂电检测设备上进行充电分容。电池在分容柜上经充、放电约6h。第一次充电是为了将化成时未充满电的电池充满电；放电是指充满电的电池自动放完电，分容柜根据放电量的多少自动记录下各电池的容量，然后根据容量大小的不同将电池区分开，从而达到分容的目的；最后一次充电是将各电池再充满电。</w:t>
            </w: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val="0"/>
                <w:bCs w:val="0"/>
                <w:color w:val="auto"/>
                <w:sz w:val="24"/>
                <w:lang w:val="en-US" w:eastAsia="zh-CN"/>
              </w:rPr>
            </w:pPr>
            <w:r>
              <w:rPr>
                <w:rFonts w:hint="default" w:ascii="Times New Roman" w:hAnsi="Times New Roman" w:cs="Times New Roman"/>
                <w:b/>
                <w:bCs/>
                <w:color w:val="auto"/>
                <w:sz w:val="24"/>
                <w:lang w:val="en-US" w:eastAsia="zh-CN"/>
              </w:rPr>
              <w:t>分选包装</w:t>
            </w:r>
            <w:r>
              <w:rPr>
                <w:rFonts w:hint="default" w:ascii="Times New Roman" w:hAnsi="Times New Roman" w:cs="Times New Roman"/>
                <w:b/>
                <w:bCs/>
                <w:color w:val="auto"/>
                <w:sz w:val="24"/>
              </w:rPr>
              <w:t>：</w:t>
            </w:r>
            <w:r>
              <w:rPr>
                <w:rFonts w:hint="default" w:ascii="Times New Roman" w:hAnsi="Times New Roman" w:cs="Times New Roman"/>
                <w:b w:val="0"/>
                <w:bCs w:val="0"/>
                <w:color w:val="auto"/>
                <w:sz w:val="24"/>
                <w:lang w:val="en-US" w:eastAsia="zh-CN"/>
              </w:rPr>
              <w:t>根据产品要求，由人工进行分选、包装，此工序会产生废包装材料。</w:t>
            </w:r>
          </w:p>
          <w:p>
            <w:pPr>
              <w:keepNext w:val="0"/>
              <w:keepLines w:val="0"/>
              <w:pageBreakBefore w:val="0"/>
              <w:widowControl/>
              <w:kinsoku/>
              <w:wordWrap/>
              <w:overflowPunct/>
              <w:topLinePunct w:val="0"/>
              <w:autoSpaceDE/>
              <w:autoSpaceDN/>
              <w:bidi w:val="0"/>
              <w:adjustRightInd w:val="0"/>
              <w:snapToGrid/>
              <w:spacing w:line="360" w:lineRule="auto"/>
              <w:ind w:firstLine="0" w:firstLineChars="0"/>
              <w:jc w:val="center"/>
              <w:textAlignment w:val="auto"/>
              <w:rPr>
                <w:rFonts w:hint="default" w:ascii="Times New Roman" w:hAnsi="Times New Roman" w:cs="Times New Roman"/>
                <w:b/>
                <w:bCs w:val="0"/>
                <w:color w:val="auto"/>
                <w:sz w:val="24"/>
                <w:szCs w:val="24"/>
              </w:rPr>
            </w:pPr>
            <w:r>
              <w:rPr>
                <w:rFonts w:hint="default" w:ascii="Times New Roman" w:hAnsi="Times New Roman" w:cs="Times New Roman"/>
                <w:b/>
                <w:bCs w:val="0"/>
                <w:color w:val="auto"/>
                <w:sz w:val="24"/>
                <w:szCs w:val="24"/>
              </w:rPr>
              <w:t>表</w:t>
            </w:r>
            <w:r>
              <w:rPr>
                <w:rFonts w:hint="default" w:ascii="Times New Roman" w:hAnsi="Times New Roman" w:cs="Times New Roman"/>
                <w:b/>
                <w:bCs w:val="0"/>
                <w:color w:val="auto"/>
                <w:sz w:val="24"/>
                <w:szCs w:val="24"/>
                <w:lang w:val="en-US" w:eastAsia="zh-CN"/>
              </w:rPr>
              <w:t>2-1</w:t>
            </w:r>
            <w:r>
              <w:rPr>
                <w:rFonts w:hint="eastAsia" w:ascii="Times New Roman" w:hAnsi="Times New Roman" w:cs="Times New Roman"/>
                <w:b/>
                <w:bCs w:val="0"/>
                <w:color w:val="auto"/>
                <w:sz w:val="24"/>
                <w:szCs w:val="24"/>
                <w:lang w:val="en-US" w:eastAsia="zh-CN"/>
              </w:rPr>
              <w:t>6</w:t>
            </w:r>
            <w:r>
              <w:rPr>
                <w:rFonts w:hint="default" w:ascii="Times New Roman" w:hAnsi="Times New Roman" w:cs="Times New Roman"/>
                <w:b/>
                <w:bCs w:val="0"/>
                <w:color w:val="auto"/>
                <w:sz w:val="24"/>
                <w:szCs w:val="24"/>
              </w:rPr>
              <w:t xml:space="preserve"> 产污环节分析</w:t>
            </w:r>
          </w:p>
          <w:tbl>
            <w:tblPr>
              <w:tblStyle w:val="32"/>
              <w:tblW w:w="4992" w:type="pct"/>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3"/>
              <w:gridCol w:w="1463"/>
              <w:gridCol w:w="2208"/>
              <w:gridCol w:w="3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bCs w:val="0"/>
                      <w:color w:val="auto"/>
                      <w:kern w:val="0"/>
                      <w:szCs w:val="21"/>
                      <w:lang w:eastAsia="zh-CN"/>
                    </w:rPr>
                  </w:pPr>
                  <w:r>
                    <w:rPr>
                      <w:rFonts w:hint="default" w:ascii="Times New Roman" w:hAnsi="Times New Roman" w:cs="Times New Roman"/>
                      <w:b/>
                      <w:bCs w:val="0"/>
                      <w:color w:val="auto"/>
                      <w:kern w:val="0"/>
                      <w:szCs w:val="21"/>
                      <w:lang w:val="en-US" w:eastAsia="zh-CN"/>
                    </w:rPr>
                    <w:t>类别</w:t>
                  </w:r>
                </w:p>
              </w:tc>
              <w:tc>
                <w:tcPr>
                  <w:tcW w:w="2191"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bCs w:val="0"/>
                      <w:color w:val="auto"/>
                      <w:kern w:val="0"/>
                      <w:szCs w:val="21"/>
                      <w:lang w:val="en-US" w:eastAsia="zh-CN"/>
                    </w:rPr>
                  </w:pPr>
                  <w:r>
                    <w:rPr>
                      <w:rFonts w:hint="default" w:ascii="Times New Roman" w:hAnsi="Times New Roman" w:cs="Times New Roman"/>
                      <w:b/>
                      <w:bCs w:val="0"/>
                      <w:color w:val="auto"/>
                      <w:kern w:val="0"/>
                      <w:szCs w:val="21"/>
                      <w:lang w:val="en-US" w:eastAsia="zh-CN"/>
                    </w:rPr>
                    <w:t>产污节点</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val="0"/>
                      <w:color w:val="auto"/>
                      <w:kern w:val="0"/>
                      <w:szCs w:val="21"/>
                    </w:rPr>
                  </w:pPr>
                  <w:r>
                    <w:rPr>
                      <w:rFonts w:hint="default" w:ascii="Times New Roman" w:hAnsi="Times New Roman" w:cs="Times New Roman"/>
                      <w:b/>
                      <w:bCs w:val="0"/>
                      <w:color w:val="auto"/>
                      <w:kern w:val="0"/>
                      <w:szCs w:val="21"/>
                    </w:rPr>
                    <w:t>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废气</w:t>
                  </w:r>
                </w:p>
              </w:tc>
              <w:tc>
                <w:tcPr>
                  <w:tcW w:w="2191"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配料</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2191"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rPr>
                    <w:t>涂布</w:t>
                  </w:r>
                  <w:r>
                    <w:rPr>
                      <w:rFonts w:hint="default" w:ascii="Times New Roman" w:hAnsi="Times New Roman" w:cs="Times New Roman"/>
                      <w:bCs/>
                      <w:color w:val="auto"/>
                      <w:kern w:val="0"/>
                      <w:szCs w:val="21"/>
                      <w:lang w:eastAsia="zh-CN"/>
                    </w:rPr>
                    <w:t>、</w:t>
                  </w:r>
                  <w:r>
                    <w:rPr>
                      <w:rFonts w:hint="default" w:ascii="Times New Roman" w:hAnsi="Times New Roman" w:cs="Times New Roman"/>
                      <w:bCs/>
                      <w:color w:val="auto"/>
                      <w:kern w:val="0"/>
                      <w:szCs w:val="21"/>
                      <w:lang w:val="en-US" w:eastAsia="zh-CN"/>
                    </w:rPr>
                    <w:t>注液</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有机废气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废水</w:t>
                  </w:r>
                </w:p>
              </w:tc>
              <w:tc>
                <w:tcPr>
                  <w:tcW w:w="2191"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清洗设备、地板</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清洗废液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2191"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制备纯水</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浓水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2191"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lang w:val="en-US" w:eastAsia="zh-CN"/>
                    </w:rPr>
                  </w:pPr>
                  <w:r>
                    <w:rPr>
                      <w:rFonts w:hint="default" w:ascii="Times New Roman" w:hAnsi="Times New Roman" w:cs="Times New Roman"/>
                      <w:bCs/>
                      <w:color w:val="auto"/>
                      <w:kern w:val="0"/>
                      <w:szCs w:val="21"/>
                      <w:lang w:val="en-US" w:eastAsia="zh-CN"/>
                    </w:rPr>
                    <w:t>下雨</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初期雨水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2191"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eastAsia="zh-CN"/>
                    </w:rPr>
                  </w:pPr>
                  <w:r>
                    <w:rPr>
                      <w:rFonts w:hint="default" w:ascii="Times New Roman" w:hAnsi="Times New Roman" w:cs="Times New Roman"/>
                      <w:bCs/>
                      <w:color w:val="auto"/>
                      <w:kern w:val="0"/>
                      <w:szCs w:val="21"/>
                      <w:lang w:val="en-US" w:eastAsia="zh-CN"/>
                    </w:rPr>
                    <w:t>生活</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生活污水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固废</w:t>
                  </w:r>
                </w:p>
              </w:tc>
              <w:tc>
                <w:tcPr>
                  <w:tcW w:w="873" w:type="pct"/>
                  <w:vMerge w:val="restart"/>
                  <w:noWrap w:val="0"/>
                  <w:vAlign w:val="center"/>
                </w:tcPr>
                <w:p>
                  <w:pPr>
                    <w:keepNext w:val="0"/>
                    <w:keepLines w:val="0"/>
                    <w:pageBreakBefore w:val="0"/>
                    <w:widowControl/>
                    <w:tabs>
                      <w:tab w:val="left" w:pos="223"/>
                      <w:tab w:val="center" w:pos="502"/>
                    </w:tabs>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一般固废</w:t>
                  </w: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snapToGrid w:val="0"/>
                      <w:color w:val="auto"/>
                      <w:sz w:val="21"/>
                      <w:szCs w:val="21"/>
                      <w:lang w:val="en-US" w:eastAsia="zh-CN"/>
                    </w:rPr>
                    <w:t>涂布</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color w:val="auto"/>
                      <w:sz w:val="21"/>
                      <w:szCs w:val="21"/>
                      <w:lang w:val="en-US" w:eastAsia="zh-CN"/>
                    </w:rPr>
                    <w:t>废铜铝箔边角料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bCs/>
                      <w:color w:val="auto"/>
                      <w:kern w:val="0"/>
                      <w:szCs w:val="21"/>
                    </w:rPr>
                  </w:pPr>
                  <w:r>
                    <w:rPr>
                      <w:rFonts w:hint="default" w:ascii="Times New Roman" w:hAnsi="Times New Roman" w:eastAsia="宋体" w:cs="Times New Roman"/>
                      <w:color w:val="auto"/>
                      <w:sz w:val="21"/>
                      <w:szCs w:val="21"/>
                      <w:vertAlign w:val="baseline"/>
                      <w:lang w:val="en-US" w:eastAsia="zh-CN"/>
                    </w:rPr>
                    <w:t>分条</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color w:val="auto"/>
                      <w:sz w:val="21"/>
                      <w:szCs w:val="21"/>
                      <w:lang w:val="en-US" w:eastAsia="zh-CN"/>
                    </w:rPr>
                    <w:t>分条边角料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bCs/>
                      <w:color w:val="auto"/>
                      <w:kern w:val="0"/>
                      <w:szCs w:val="21"/>
                    </w:rPr>
                  </w:pPr>
                  <w:r>
                    <w:rPr>
                      <w:rFonts w:hint="default" w:ascii="Times New Roman" w:hAnsi="Times New Roman" w:eastAsia="宋体" w:cs="Times New Roman"/>
                      <w:color w:val="auto"/>
                      <w:sz w:val="21"/>
                      <w:szCs w:val="21"/>
                      <w:vertAlign w:val="baseline"/>
                      <w:lang w:val="en-US" w:eastAsia="zh-CN"/>
                    </w:rPr>
                    <w:t>卷绕</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color w:val="auto"/>
                      <w:sz w:val="21"/>
                      <w:szCs w:val="21"/>
                      <w:lang w:val="en-US" w:eastAsia="zh-CN"/>
                    </w:rPr>
                    <w:t>废隔膜纸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bCs/>
                      <w:color w:val="auto"/>
                      <w:szCs w:val="21"/>
                    </w:rPr>
                  </w:pPr>
                  <w:r>
                    <w:rPr>
                      <w:rFonts w:hint="default" w:ascii="Times New Roman" w:hAnsi="Times New Roman" w:eastAsia="宋体" w:cs="Times New Roman"/>
                      <w:color w:val="auto"/>
                      <w:sz w:val="21"/>
                      <w:szCs w:val="21"/>
                      <w:vertAlign w:val="baseline"/>
                      <w:lang w:val="en-US" w:eastAsia="zh-CN"/>
                    </w:rPr>
                    <w:t>冲壳、组装</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color w:val="auto"/>
                      <w:sz w:val="21"/>
                      <w:szCs w:val="21"/>
                      <w:lang w:val="en-US" w:eastAsia="zh-CN"/>
                    </w:rPr>
                    <w:t>废铝塑膜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color w:val="auto"/>
                      <w:sz w:val="21"/>
                      <w:szCs w:val="21"/>
                      <w:lang w:val="en-US" w:eastAsia="zh-CN"/>
                    </w:rPr>
                    <w:t>产品包装</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 w:val="21"/>
                      <w:szCs w:val="21"/>
                      <w:lang w:val="en-US" w:eastAsia="zh-CN"/>
                    </w:rPr>
                    <w:t>废包装材料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szCs w:val="21"/>
                    </w:rPr>
                  </w:pP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color w:val="auto"/>
                      <w:sz w:val="21"/>
                      <w:szCs w:val="21"/>
                      <w:lang w:val="en-US" w:eastAsia="zh-CN"/>
                    </w:rPr>
                    <w:t>老化测试</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szCs w:val="21"/>
                    </w:rPr>
                  </w:pPr>
                  <w:r>
                    <w:rPr>
                      <w:rFonts w:hint="default" w:ascii="Times New Roman" w:hAnsi="Times New Roman" w:cs="Times New Roman"/>
                      <w:bCs/>
                      <w:color w:val="auto"/>
                      <w:kern w:val="0"/>
                      <w:sz w:val="21"/>
                      <w:szCs w:val="21"/>
                      <w:lang w:val="en-US" w:eastAsia="zh-CN"/>
                    </w:rPr>
                    <w:t>废电池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szCs w:val="21"/>
                    </w:rPr>
                  </w:pP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color w:val="auto"/>
                      <w:sz w:val="21"/>
                      <w:szCs w:val="21"/>
                      <w:lang w:val="en-US" w:eastAsia="zh-CN"/>
                    </w:rPr>
                    <w:t>废气处理</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szCs w:val="21"/>
                      <w:lang w:val="en-US"/>
                    </w:rPr>
                  </w:pPr>
                  <w:r>
                    <w:rPr>
                      <w:rFonts w:hint="default" w:ascii="Times New Roman" w:hAnsi="Times New Roman" w:cs="Times New Roman"/>
                      <w:color w:val="auto"/>
                      <w:sz w:val="21"/>
                      <w:szCs w:val="21"/>
                      <w:vertAlign w:val="baseline"/>
                      <w:lang w:val="en-US" w:eastAsia="zh-CN"/>
                    </w:rPr>
                    <w:t>NMP废液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lang w:val="en-US" w:eastAsia="zh-CN"/>
                    </w:rPr>
                    <w:t>危险废物</w:t>
                  </w: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color w:val="auto"/>
                      <w:sz w:val="21"/>
                      <w:szCs w:val="21"/>
                      <w:vertAlign w:val="baseline"/>
                      <w:lang w:val="en-US" w:eastAsia="zh-CN"/>
                    </w:rPr>
                    <w:t>原辅料包装</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szCs w:val="21"/>
                    </w:rPr>
                  </w:pPr>
                  <w:r>
                    <w:rPr>
                      <w:rFonts w:hint="default" w:ascii="Times New Roman" w:hAnsi="Times New Roman" w:cs="Times New Roman"/>
                      <w:b w:val="0"/>
                      <w:bCs w:val="0"/>
                      <w:color w:val="auto"/>
                      <w:sz w:val="21"/>
                      <w:szCs w:val="21"/>
                      <w:lang w:val="en-US" w:eastAsia="zh-CN"/>
                    </w:rPr>
                    <w:t>废包装桶/袋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szCs w:val="21"/>
                    </w:rPr>
                  </w:pP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bCs/>
                      <w:color w:val="auto"/>
                      <w:szCs w:val="21"/>
                    </w:rPr>
                  </w:pPr>
                  <w:r>
                    <w:rPr>
                      <w:rFonts w:hint="default" w:ascii="Times New Roman" w:hAnsi="Times New Roman" w:cs="Times New Roman"/>
                      <w:color w:val="auto"/>
                      <w:sz w:val="21"/>
                      <w:szCs w:val="21"/>
                      <w:lang w:bidi="ar"/>
                    </w:rPr>
                    <w:t>擦拭清洁设备</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szCs w:val="21"/>
                    </w:rPr>
                  </w:pPr>
                  <w:r>
                    <w:rPr>
                      <w:rFonts w:hint="default" w:ascii="Times New Roman" w:hAnsi="Times New Roman" w:cs="Times New Roman"/>
                      <w:color w:val="auto"/>
                      <w:sz w:val="21"/>
                      <w:szCs w:val="21"/>
                    </w:rPr>
                    <w:t>废抹布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szCs w:val="21"/>
                    </w:rPr>
                  </w:pP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清洗过程</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清洗废液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kern w:val="0"/>
                      <w:szCs w:val="21"/>
                    </w:rPr>
                  </w:pPr>
                </w:p>
              </w:tc>
              <w:tc>
                <w:tcPr>
                  <w:tcW w:w="87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szCs w:val="21"/>
                    </w:rPr>
                  </w:pPr>
                </w:p>
              </w:tc>
              <w:tc>
                <w:tcPr>
                  <w:tcW w:w="131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szCs w:val="21"/>
                    </w:rPr>
                  </w:pPr>
                  <w:r>
                    <w:rPr>
                      <w:rFonts w:hint="default" w:ascii="Times New Roman" w:hAnsi="Times New Roman" w:cs="Times New Roman"/>
                      <w:color w:val="auto"/>
                      <w:kern w:val="2"/>
                      <w:sz w:val="21"/>
                      <w:szCs w:val="21"/>
                      <w:vertAlign w:val="baseline"/>
                      <w:lang w:val="en-US" w:eastAsia="zh-CN" w:bidi="ar-SA"/>
                    </w:rPr>
                    <w:t>废气处理</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szCs w:val="21"/>
                    </w:rPr>
                  </w:pPr>
                  <w:r>
                    <w:rPr>
                      <w:rFonts w:hint="default" w:ascii="Times New Roman" w:hAnsi="Times New Roman" w:cs="Times New Roman"/>
                      <w:color w:val="auto"/>
                      <w:sz w:val="21"/>
                      <w:szCs w:val="21"/>
                    </w:rPr>
                    <w:t>废活性炭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9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噪声</w:t>
                  </w:r>
                </w:p>
              </w:tc>
              <w:tc>
                <w:tcPr>
                  <w:tcW w:w="2191"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各生产及辅助设备</w:t>
                  </w:r>
                </w:p>
              </w:tc>
              <w:tc>
                <w:tcPr>
                  <w:tcW w:w="23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Cs/>
                      <w:color w:val="auto"/>
                      <w:szCs w:val="21"/>
                      <w:lang w:val="en-US" w:eastAsia="zh-CN"/>
                    </w:rPr>
                  </w:pPr>
                  <w:r>
                    <w:rPr>
                      <w:rFonts w:hint="default" w:ascii="Times New Roman" w:hAnsi="Times New Roman" w:cs="Times New Roman"/>
                      <w:bCs/>
                      <w:color w:val="auto"/>
                      <w:szCs w:val="21"/>
                      <w:lang w:val="en-US" w:eastAsia="zh-CN"/>
                    </w:rPr>
                    <w:t>设备噪声</w:t>
                  </w:r>
                </w:p>
              </w:tc>
            </w:tr>
          </w:tbl>
          <w:p>
            <w:pPr>
              <w:pStyle w:val="9"/>
              <w:adjustRightInd w:val="0"/>
              <w:snapToGrid w:val="0"/>
              <w:spacing w:line="360" w:lineRule="auto"/>
              <w:ind w:firstLine="482"/>
              <w:textAlignment w:val="baseline"/>
              <w:rPr>
                <w:rFonts w:hint="default" w:ascii="Times New Roman" w:hAnsi="Times New Roman" w:eastAsia="宋体" w:cs="Times New Roman"/>
                <w:color w:val="auto"/>
                <w:sz w:val="24"/>
                <w:szCs w:val="24"/>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861" w:hRule="atLeast"/>
          <w:jc w:val="center"/>
        </w:trPr>
        <w:tc>
          <w:tcPr>
            <w:tcW w:w="418" w:type="dxa"/>
            <w:noWrap w:val="0"/>
            <w:vAlign w:val="center"/>
          </w:tcPr>
          <w:p>
            <w:pPr>
              <w:pStyle w:val="27"/>
              <w:adjustRightInd w:val="0"/>
              <w:snapToGrid w:val="0"/>
              <w:spacing w:before="0" w:beforeAutospacing="0" w:after="0" w:afterAutospacing="0"/>
              <w:jc w:val="center"/>
              <w:rPr>
                <w:rFonts w:hint="default" w:ascii="Times New Roman" w:hAnsi="Times New Roman" w:cs="Times New Roman"/>
                <w:color w:val="auto"/>
                <w:sz w:val="21"/>
                <w:szCs w:val="21"/>
                <w:lang w:val="en-US" w:eastAsia="zh-CN"/>
              </w:rPr>
            </w:pPr>
            <w:r>
              <w:rPr>
                <w:rFonts w:hint="default" w:ascii="Times New Roman" w:hAnsi="Times New Roman" w:cs="Times New Roman"/>
                <w:bCs/>
                <w:color w:val="auto"/>
                <w:kern w:val="2"/>
                <w:sz w:val="21"/>
                <w:szCs w:val="21"/>
                <w:lang w:val="en-US" w:eastAsia="zh-CN"/>
              </w:rPr>
              <w:t>与项目有关的原有环境污染问题</w:t>
            </w:r>
          </w:p>
        </w:tc>
        <w:tc>
          <w:tcPr>
            <w:tcW w:w="8642" w:type="dxa"/>
            <w:noWrap w:val="0"/>
            <w:vAlign w:val="center"/>
          </w:tcPr>
          <w:p>
            <w:pPr>
              <w:adjustRightInd w:val="0"/>
              <w:snapToGrid w:val="0"/>
              <w:spacing w:line="360" w:lineRule="auto"/>
              <w:ind w:firstLine="480" w:firstLineChars="200"/>
              <w:rPr>
                <w:rFonts w:hint="default" w:ascii="Times New Roman" w:hAnsi="Times New Roman" w:cs="Times New Roman"/>
                <w:bCs/>
                <w:color w:val="auto"/>
                <w:szCs w:val="21"/>
              </w:rPr>
            </w:pPr>
            <w:r>
              <w:rPr>
                <w:rFonts w:hint="default" w:ascii="Times New Roman" w:hAnsi="Times New Roman" w:cs="Times New Roman"/>
                <w:bCs/>
                <w:color w:val="auto"/>
                <w:sz w:val="24"/>
                <w:szCs w:val="24"/>
              </w:rPr>
              <w:t>本项目为新建项目，</w:t>
            </w:r>
            <w:r>
              <w:rPr>
                <w:rFonts w:hint="default" w:ascii="Times New Roman" w:hAnsi="Times New Roman" w:cs="Times New Roman"/>
                <w:bCs/>
                <w:color w:val="auto"/>
                <w:sz w:val="24"/>
                <w:szCs w:val="24"/>
                <w:lang w:val="en-US" w:eastAsia="zh-CN"/>
              </w:rPr>
              <w:t>租用现有厂房生产，</w:t>
            </w:r>
            <w:r>
              <w:rPr>
                <w:rFonts w:hint="default" w:ascii="Times New Roman" w:hAnsi="Times New Roman" w:cs="Times New Roman"/>
                <w:bCs/>
                <w:color w:val="auto"/>
                <w:sz w:val="24"/>
                <w:szCs w:val="24"/>
              </w:rPr>
              <w:t>不存在原有污染情况。</w:t>
            </w:r>
          </w:p>
        </w:tc>
      </w:tr>
    </w:tbl>
    <w:p>
      <w:pPr>
        <w:pStyle w:val="27"/>
        <w:jc w:val="center"/>
        <w:rPr>
          <w:rFonts w:hint="default" w:ascii="Times New Roman" w:hAnsi="Times New Roman" w:eastAsia="黑体" w:cs="Times New Roman"/>
          <w:snapToGrid w:val="0"/>
          <w:color w:val="auto"/>
          <w:sz w:val="36"/>
          <w:szCs w:val="36"/>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27"/>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三、区域环境质量现状、环境保护目标及评价标准</w:t>
      </w: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2"/>
        <w:gridCol w:w="860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52" w:type="dxa"/>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区域环境质量现状</w:t>
            </w:r>
          </w:p>
        </w:tc>
        <w:tc>
          <w:tcPr>
            <w:tcW w:w="8609" w:type="dxa"/>
            <w:noWrap w:val="0"/>
            <w:vAlign w:val="center"/>
          </w:tcPr>
          <w:p>
            <w:pPr>
              <w:adjustRightInd w:val="0"/>
              <w:snapToGrid w:val="0"/>
              <w:spacing w:before="120" w:beforeLines="50" w:line="360" w:lineRule="auto"/>
              <w:ind w:firstLine="482" w:firstLineChars="200"/>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3.1.1 大气环境</w:t>
            </w:r>
          </w:p>
          <w:p>
            <w:pPr>
              <w:pStyle w:val="49"/>
              <w:spacing w:line="360" w:lineRule="auto"/>
              <w:ind w:firstLine="480" w:firstLineChars="200"/>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惠州市环境空气质量功能区划（2021年修订）》，本项目所在地属环境空气质量功能区的二类区，周边无需要特别保护的风景名胜区和自然保护区等敏感点，环境空气质量应执行《环境空气质量标准》（GB3095-2012）及其2018年修改单的二级标准。</w:t>
            </w:r>
          </w:p>
          <w:p>
            <w:pPr>
              <w:pStyle w:val="49"/>
              <w:spacing w:line="360" w:lineRule="auto"/>
              <w:ind w:firstLine="480" w:firstLineChars="200"/>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（1）常规污染物</w:t>
            </w:r>
          </w:p>
          <w:p>
            <w:pPr>
              <w:snapToGrid w:val="0"/>
              <w:spacing w:line="360" w:lineRule="auto"/>
              <w:ind w:firstLine="480" w:firstLineChars="200"/>
              <w:rPr>
                <w:rFonts w:hint="default" w:ascii="Times New Roman" w:hAnsi="Times New Roman" w:eastAsia="宋体" w:cs="Times New Roman"/>
                <w:bCs/>
                <w:color w:val="auto"/>
                <w:spacing w:val="4"/>
                <w:sz w:val="24"/>
              </w:rPr>
            </w:pPr>
            <w:r>
              <w:rPr>
                <w:rFonts w:hint="default" w:ascii="Times New Roman" w:hAnsi="Times New Roman" w:cs="Times New Roman"/>
                <w:color w:val="auto"/>
                <w:kern w:val="2"/>
                <w:sz w:val="24"/>
                <w:szCs w:val="24"/>
                <w:lang w:val="en-US" w:eastAsia="zh-CN"/>
              </w:rPr>
              <w:t>根据</w:t>
            </w:r>
            <w:r>
              <w:rPr>
                <w:rFonts w:hint="default" w:ascii="Times New Roman" w:hAnsi="Times New Roman" w:cs="Times New Roman"/>
                <w:color w:val="auto"/>
                <w:kern w:val="2"/>
                <w:sz w:val="24"/>
                <w:szCs w:val="24"/>
              </w:rPr>
              <w:t>《202</w:t>
            </w:r>
            <w:r>
              <w:rPr>
                <w:rFonts w:hint="default" w:ascii="Times New Roman" w:hAnsi="Times New Roman" w:cs="Times New Roman"/>
                <w:color w:val="auto"/>
                <w:kern w:val="2"/>
                <w:sz w:val="24"/>
                <w:szCs w:val="24"/>
                <w:lang w:val="en-US" w:eastAsia="zh-CN"/>
              </w:rPr>
              <w:t>2</w:t>
            </w:r>
            <w:r>
              <w:rPr>
                <w:rFonts w:hint="default" w:ascii="Times New Roman" w:hAnsi="Times New Roman" w:cs="Times New Roman"/>
                <w:color w:val="auto"/>
                <w:kern w:val="2"/>
                <w:sz w:val="24"/>
                <w:szCs w:val="24"/>
              </w:rPr>
              <w:t>年</w:t>
            </w:r>
            <w:r>
              <w:rPr>
                <w:rFonts w:hint="default" w:ascii="Times New Roman" w:hAnsi="Times New Roman" w:cs="Times New Roman"/>
                <w:color w:val="auto"/>
                <w:kern w:val="2"/>
                <w:sz w:val="24"/>
                <w:szCs w:val="24"/>
                <w:lang w:val="en-US" w:eastAsia="zh-CN"/>
              </w:rPr>
              <w:t>惠州市生态</w:t>
            </w:r>
            <w:r>
              <w:rPr>
                <w:rFonts w:hint="default" w:ascii="Times New Roman" w:hAnsi="Times New Roman" w:cs="Times New Roman"/>
                <w:color w:val="auto"/>
                <w:kern w:val="2"/>
                <w:sz w:val="24"/>
                <w:szCs w:val="24"/>
              </w:rPr>
              <w:t>环境</w:t>
            </w:r>
            <w:r>
              <w:rPr>
                <w:rFonts w:hint="default" w:ascii="Times New Roman" w:hAnsi="Times New Roman" w:cs="Times New Roman"/>
                <w:color w:val="auto"/>
                <w:kern w:val="2"/>
                <w:sz w:val="24"/>
                <w:szCs w:val="24"/>
                <w:lang w:val="en-US" w:eastAsia="zh-CN"/>
              </w:rPr>
              <w:t>状况</w:t>
            </w:r>
            <w:r>
              <w:rPr>
                <w:rFonts w:hint="default" w:ascii="Times New Roman" w:hAnsi="Times New Roman" w:cs="Times New Roman"/>
                <w:color w:val="auto"/>
                <w:kern w:val="2"/>
                <w:sz w:val="24"/>
                <w:szCs w:val="24"/>
              </w:rPr>
              <w:t>公</w:t>
            </w:r>
            <w:r>
              <w:rPr>
                <w:rFonts w:hint="default" w:ascii="Times New Roman" w:hAnsi="Times New Roman" w:cs="Times New Roman"/>
                <w:color w:val="auto"/>
                <w:kern w:val="2"/>
                <w:sz w:val="24"/>
                <w:szCs w:val="24"/>
                <w:lang w:val="en-US" w:eastAsia="zh-CN"/>
              </w:rPr>
              <w:t>报</w:t>
            </w:r>
            <w:r>
              <w:rPr>
                <w:rFonts w:hint="default" w:ascii="Times New Roman" w:hAnsi="Times New Roman" w:cs="Times New Roman"/>
                <w:color w:val="auto"/>
                <w:kern w:val="2"/>
                <w:sz w:val="24"/>
                <w:szCs w:val="24"/>
              </w:rPr>
              <w:t>》</w:t>
            </w:r>
            <w:r>
              <w:rPr>
                <w:rFonts w:hint="default" w:ascii="Times New Roman" w:hAnsi="Times New Roman" w:cs="Times New Roman"/>
                <w:color w:val="auto"/>
                <w:kern w:val="2"/>
                <w:sz w:val="24"/>
                <w:szCs w:val="24"/>
                <w:lang w:eastAsia="zh-CN"/>
              </w:rPr>
              <w:t>，</w:t>
            </w:r>
            <w:r>
              <w:rPr>
                <w:rFonts w:hint="default" w:ascii="Times New Roman" w:hAnsi="Times New Roman" w:eastAsia="宋体" w:cs="Times New Roman"/>
                <w:bCs/>
                <w:color w:val="auto"/>
                <w:spacing w:val="4"/>
                <w:sz w:val="24"/>
              </w:rPr>
              <w:t>全市环境空气质量保持良好。六项污染物中，二氧化硫、二氧化氮、一氧化碳、可吸入颗粒物PM</w:t>
            </w:r>
            <w:r>
              <w:rPr>
                <w:rFonts w:hint="default" w:ascii="Times New Roman" w:hAnsi="Times New Roman" w:eastAsia="宋体" w:cs="Times New Roman"/>
                <w:bCs/>
                <w:color w:val="auto"/>
                <w:spacing w:val="4"/>
                <w:sz w:val="24"/>
                <w:vertAlign w:val="subscript"/>
              </w:rPr>
              <w:t>10</w:t>
            </w:r>
            <w:r>
              <w:rPr>
                <w:rFonts w:hint="default" w:ascii="Times New Roman" w:hAnsi="Times New Roman" w:eastAsia="宋体" w:cs="Times New Roman"/>
                <w:bCs/>
                <w:color w:val="auto"/>
                <w:spacing w:val="4"/>
                <w:sz w:val="24"/>
              </w:rPr>
              <w:t>年评价浓度达到国家一级标准，细颗粒物PM</w:t>
            </w:r>
            <w:r>
              <w:rPr>
                <w:rFonts w:hint="default" w:ascii="Times New Roman" w:hAnsi="Times New Roman" w:eastAsia="宋体" w:cs="Times New Roman"/>
                <w:bCs/>
                <w:color w:val="auto"/>
                <w:spacing w:val="4"/>
                <w:sz w:val="24"/>
                <w:vertAlign w:val="subscript"/>
              </w:rPr>
              <w:t>2.5</w:t>
            </w:r>
            <w:r>
              <w:rPr>
                <w:rFonts w:hint="default" w:ascii="Times New Roman" w:hAnsi="Times New Roman" w:eastAsia="宋体" w:cs="Times New Roman"/>
                <w:bCs/>
                <w:color w:val="auto"/>
                <w:spacing w:val="4"/>
                <w:sz w:val="24"/>
              </w:rPr>
              <w:t>和臭氧年评价浓度达到国家二级标准；综合指数为2.58，AQI达标率为93.7%，其中，优208天，良134天，轻度污染22天，中度污染1天，超标污染物均为臭氧。</w:t>
            </w:r>
          </w:p>
          <w:p>
            <w:pPr>
              <w:keepNext w:val="0"/>
              <w:keepLines w:val="0"/>
              <w:pageBreakBefore w:val="0"/>
              <w:widowControl w:val="0"/>
              <w:kinsoku/>
              <w:wordWrap/>
              <w:overflowPunct/>
              <w:topLinePunct w:val="0"/>
              <w:autoSpaceDE/>
              <w:autoSpaceDN/>
              <w:bidi w:val="0"/>
              <w:adjustRightInd/>
              <w:snapToGrid w:val="0"/>
              <w:spacing w:line="360" w:lineRule="auto"/>
              <w:ind w:firstLine="496" w:firstLineChars="200"/>
              <w:jc w:val="both"/>
              <w:textAlignment w:val="auto"/>
              <w:rPr>
                <w:rFonts w:hint="default" w:ascii="Times New Roman" w:hAnsi="Times New Roman" w:eastAsia="宋体" w:cs="Times New Roman"/>
                <w:bCs/>
                <w:color w:val="auto"/>
                <w:spacing w:val="4"/>
                <w:sz w:val="24"/>
              </w:rPr>
            </w:pPr>
            <w:r>
              <w:rPr>
                <w:rFonts w:hint="default" w:ascii="Times New Roman" w:hAnsi="Times New Roman" w:eastAsia="宋体" w:cs="Times New Roman"/>
                <w:bCs/>
                <w:color w:val="auto"/>
                <w:spacing w:val="4"/>
                <w:sz w:val="24"/>
              </w:rPr>
              <w:t>与2021年相比，AQI达标率下降0.8个百分点；二氧化硫、二氧化氮、可吸入颗粒物PM</w:t>
            </w:r>
            <w:r>
              <w:rPr>
                <w:rFonts w:hint="default" w:ascii="Times New Roman" w:hAnsi="Times New Roman" w:eastAsia="宋体" w:cs="Times New Roman"/>
                <w:bCs/>
                <w:color w:val="auto"/>
                <w:spacing w:val="4"/>
                <w:sz w:val="24"/>
                <w:vertAlign w:val="subscript"/>
              </w:rPr>
              <w:t>10</w:t>
            </w:r>
            <w:r>
              <w:rPr>
                <w:rFonts w:hint="default" w:ascii="Times New Roman" w:hAnsi="Times New Roman" w:eastAsia="宋体" w:cs="Times New Roman"/>
                <w:bCs/>
                <w:color w:val="auto"/>
                <w:spacing w:val="4"/>
                <w:sz w:val="24"/>
              </w:rPr>
              <w:t>、细颗粒物PM</w:t>
            </w:r>
            <w:r>
              <w:rPr>
                <w:rFonts w:hint="default" w:ascii="Times New Roman" w:hAnsi="Times New Roman" w:eastAsia="宋体" w:cs="Times New Roman"/>
                <w:bCs/>
                <w:color w:val="auto"/>
                <w:spacing w:val="4"/>
                <w:sz w:val="24"/>
                <w:vertAlign w:val="subscript"/>
              </w:rPr>
              <w:t>2.5</w:t>
            </w:r>
            <w:r>
              <w:rPr>
                <w:rFonts w:hint="default" w:ascii="Times New Roman" w:hAnsi="Times New Roman" w:eastAsia="宋体" w:cs="Times New Roman"/>
                <w:bCs/>
                <w:color w:val="auto"/>
                <w:spacing w:val="4"/>
                <w:sz w:val="24"/>
              </w:rPr>
              <w:t>浓度分别下降37.5%、20.0%、17.5%、10.5%，一氧化碳和臭氧浓度分别上升14.3%和4.1%。</w:t>
            </w:r>
          </w:p>
          <w:p>
            <w:pPr>
              <w:pStyle w:val="49"/>
              <w:rPr>
                <w:rFonts w:hint="default" w:ascii="Times New Roman" w:hAnsi="Times New Roman" w:cs="Times New Roman"/>
                <w:color w:val="auto"/>
              </w:rPr>
            </w:pPr>
            <w:r>
              <w:rPr>
                <w:rFonts w:hint="default" w:ascii="Times New Roman" w:hAnsi="Times New Roman" w:cs="Times New Roman"/>
                <w:color w:val="auto"/>
              </w:rPr>
              <w:drawing>
                <wp:inline distT="0" distB="0" distL="114300" distR="114300">
                  <wp:extent cx="5367020" cy="1619250"/>
                  <wp:effectExtent l="0" t="0" r="5080" b="0"/>
                  <wp:docPr id="6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4"/>
                          <pic:cNvPicPr>
                            <a:picLocks noChangeAspect="1"/>
                          </pic:cNvPicPr>
                        </pic:nvPicPr>
                        <pic:blipFill>
                          <a:blip r:embed="rId22"/>
                          <a:stretch>
                            <a:fillRect/>
                          </a:stretch>
                        </pic:blipFill>
                        <pic:spPr>
                          <a:xfrm>
                            <a:off x="0" y="0"/>
                            <a:ext cx="5367020" cy="1619250"/>
                          </a:xfrm>
                          <a:prstGeom prst="rect">
                            <a:avLst/>
                          </a:prstGeom>
                          <a:noFill/>
                          <a:ln>
                            <a:noFill/>
                          </a:ln>
                        </pic:spPr>
                      </pic:pic>
                    </a:graphicData>
                  </a:graphic>
                </wp:inline>
              </w:drawing>
            </w:r>
          </w:p>
          <w:p>
            <w:pPr>
              <w:snapToGrid w:val="0"/>
              <w:spacing w:line="360" w:lineRule="auto"/>
              <w:ind w:firstLine="482" w:firstLineChars="200"/>
              <w:jc w:val="center"/>
              <w:rPr>
                <w:rFonts w:hint="default" w:ascii="Times New Roman" w:hAnsi="Times New Roman" w:cs="Times New Roman"/>
                <w:b/>
                <w:color w:val="auto"/>
                <w:sz w:val="32"/>
                <w:szCs w:val="32"/>
              </w:rPr>
            </w:pPr>
            <w:r>
              <w:rPr>
                <w:rFonts w:hint="default" w:ascii="Times New Roman" w:hAnsi="Times New Roman" w:cs="Times New Roman"/>
                <w:b/>
                <w:color w:val="auto"/>
                <w:sz w:val="24"/>
              </w:rPr>
              <w:t>图3-1</w:t>
            </w:r>
            <w:r>
              <w:rPr>
                <w:rFonts w:hint="default" w:ascii="Times New Roman" w:hAnsi="Times New Roman" w:cs="Times New Roman"/>
                <w:b/>
                <w:color w:val="auto"/>
                <w:sz w:val="24"/>
                <w:lang w:val="en-US" w:eastAsia="zh-CN"/>
              </w:rPr>
              <w:t xml:space="preserve"> </w:t>
            </w:r>
            <w:r>
              <w:rPr>
                <w:rFonts w:hint="default" w:ascii="Times New Roman" w:hAnsi="Times New Roman" w:cs="Times New Roman"/>
                <w:b/>
                <w:color w:val="auto"/>
                <w:sz w:val="24"/>
              </w:rPr>
              <w:t>202</w:t>
            </w:r>
            <w:r>
              <w:rPr>
                <w:rFonts w:hint="default" w:ascii="Times New Roman" w:hAnsi="Times New Roman" w:cs="Times New Roman"/>
                <w:b/>
                <w:color w:val="auto"/>
                <w:sz w:val="24"/>
                <w:lang w:val="en-US" w:eastAsia="zh-CN"/>
              </w:rPr>
              <w:t>2</w:t>
            </w:r>
            <w:r>
              <w:rPr>
                <w:rFonts w:hint="default" w:ascii="Times New Roman" w:hAnsi="Times New Roman" w:cs="Times New Roman"/>
                <w:b/>
                <w:color w:val="auto"/>
                <w:sz w:val="24"/>
              </w:rPr>
              <w:t>年惠州市生态环境状况公报截图</w:t>
            </w:r>
          </w:p>
          <w:p>
            <w:pPr>
              <w:pStyle w:val="49"/>
              <w:spacing w:line="360" w:lineRule="auto"/>
              <w:ind w:firstLine="480" w:firstLineChars="200"/>
              <w:jc w:val="both"/>
              <w:rPr>
                <w:rFonts w:hint="default" w:ascii="Times New Roman" w:hAnsi="Times New Roman" w:cs="Times New Roman"/>
                <w:color w:val="auto"/>
                <w:kern w:val="2"/>
                <w:sz w:val="24"/>
                <w:szCs w:val="24"/>
                <w:lang w:eastAsia="zh-CN"/>
              </w:rPr>
            </w:pPr>
            <w:r>
              <w:rPr>
                <w:rFonts w:hint="default" w:ascii="Times New Roman" w:hAnsi="Times New Roman" w:cs="Times New Roman"/>
                <w:color w:val="auto"/>
                <w:sz w:val="24"/>
              </w:rPr>
              <w:t>202</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年惠州市生态环境状况公报表明，项目所在区域环境质量现状良好，各因子均可达到《环境空气质量标准》（GB3095-2012）及其2018年修改单中的二级标准浓度限值，项目所在区域属于环境空气质量达标区。</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（2）特征污染物</w:t>
            </w:r>
          </w:p>
          <w:p>
            <w:pPr>
              <w:pStyle w:val="49"/>
              <w:spacing w:line="360" w:lineRule="auto"/>
              <w:ind w:firstLine="480" w:firstLineChars="200"/>
              <w:jc w:val="both"/>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本项目位于惠州市</w:t>
            </w:r>
            <w:r>
              <w:rPr>
                <w:rFonts w:hint="default" w:ascii="Times New Roman" w:hAnsi="Times New Roman" w:eastAsia="宋体" w:cs="Times New Roman"/>
                <w:color w:val="auto"/>
                <w:sz w:val="24"/>
              </w:rPr>
              <w:t>博罗县园洲镇上南村市场中路</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rPr>
              <w:t>为进一步了解项目所在地环境空气质量现状情况，</w:t>
            </w:r>
            <w:r>
              <w:rPr>
                <w:rFonts w:hint="default" w:ascii="Times New Roman" w:hAnsi="Times New Roman" w:eastAsia="宋体" w:cs="Times New Roman"/>
                <w:color w:val="auto"/>
                <w:sz w:val="24"/>
              </w:rPr>
              <w:t>本</w:t>
            </w:r>
            <w:r>
              <w:rPr>
                <w:rFonts w:hint="default" w:ascii="Times New Roman" w:hAnsi="Times New Roman" w:eastAsia="宋体" w:cs="Times New Roman"/>
                <w:color w:val="auto"/>
                <w:sz w:val="24"/>
                <w:lang w:val="en-US" w:eastAsia="zh-CN"/>
              </w:rPr>
              <w:t>报告引用</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广东江丰精密制造有限公司显示面板及半导体设备高端金属材料和部件项目环境影响报告书</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惠市环建</w:t>
            </w:r>
            <w:r>
              <w:rPr>
                <w:rFonts w:hint="eastAsia" w:ascii="宋体" w:hAnsi="宋体" w:eastAsia="宋体" w:cs="宋体"/>
                <w:color w:val="auto"/>
                <w:sz w:val="24"/>
                <w:lang w:val="en-US" w:eastAsia="zh-CN"/>
              </w:rPr>
              <w:t>〔</w:t>
            </w:r>
            <w:r>
              <w:rPr>
                <w:rFonts w:hint="eastAsia" w:hAnsi="宋体" w:eastAsia="宋体" w:cs="宋体"/>
                <w:color w:val="auto"/>
                <w:sz w:val="24"/>
                <w:lang w:val="en-US" w:eastAsia="zh-CN"/>
              </w:rPr>
              <w:t>2023</w:t>
            </w:r>
            <w:r>
              <w:rPr>
                <w:rFonts w:hint="eastAsia" w:ascii="宋体" w:hAnsi="宋体" w:eastAsia="宋体" w:cs="宋体"/>
                <w:color w:val="auto"/>
                <w:sz w:val="24"/>
                <w:lang w:val="en-US" w:eastAsia="zh-CN"/>
              </w:rPr>
              <w:t>〕</w:t>
            </w:r>
            <w:r>
              <w:rPr>
                <w:rFonts w:hint="eastAsia" w:hAnsi="宋体" w:eastAsia="宋体" w:cs="宋体"/>
                <w:color w:val="auto"/>
                <w:sz w:val="24"/>
                <w:lang w:val="en-US" w:eastAsia="zh-CN"/>
              </w:rPr>
              <w:t>27号</w:t>
            </w: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中</w:t>
            </w:r>
            <w:r>
              <w:rPr>
                <w:rFonts w:hint="default" w:ascii="Times New Roman" w:hAnsi="Times New Roman" w:eastAsia="宋体" w:cs="Times New Roman"/>
                <w:color w:val="auto"/>
                <w:sz w:val="24"/>
              </w:rPr>
              <w:t>委托</w:t>
            </w:r>
            <w:r>
              <w:rPr>
                <w:rFonts w:hint="eastAsia" w:ascii="Times New Roman" w:hAnsi="Times New Roman" w:eastAsia="宋体" w:cs="Times New Roman"/>
                <w:color w:val="auto"/>
                <w:sz w:val="24"/>
                <w:lang w:val="en-US" w:eastAsia="zh-CN"/>
              </w:rPr>
              <w:t>广州中诺检测技术有限公司于2022年06月30日~2022年07月06日对项目厂址内（监测点位为G1）的现状监测数据（报告编号：CNT202202310）</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引用监测点位于本项目</w:t>
            </w:r>
            <w:r>
              <w:rPr>
                <w:rFonts w:hint="eastAsia" w:ascii="Times New Roman" w:hAnsi="Times New Roman" w:eastAsia="宋体" w:cs="Times New Roman"/>
                <w:color w:val="auto"/>
                <w:sz w:val="24"/>
                <w:lang w:val="en-US" w:eastAsia="zh-CN"/>
              </w:rPr>
              <w:t>东南</w:t>
            </w:r>
            <w:r>
              <w:rPr>
                <w:rFonts w:hint="default" w:ascii="Times New Roman" w:hAnsi="Times New Roman" w:eastAsia="宋体" w:cs="Times New Roman"/>
                <w:color w:val="auto"/>
                <w:sz w:val="24"/>
              </w:rPr>
              <w:t>侧</w:t>
            </w:r>
            <w:r>
              <w:rPr>
                <w:rFonts w:hint="eastAsia" w:ascii="Times New Roman" w:hAnsi="Times New Roman" w:eastAsia="宋体" w:cs="Times New Roman"/>
                <w:color w:val="auto"/>
                <w:sz w:val="24"/>
                <w:lang w:val="en-US" w:eastAsia="zh-CN"/>
              </w:rPr>
              <w:t>3496</w:t>
            </w:r>
            <w:r>
              <w:rPr>
                <w:rFonts w:hint="default" w:ascii="Times New Roman" w:hAnsi="Times New Roman" w:eastAsia="宋体" w:cs="Times New Roman"/>
                <w:color w:val="auto"/>
                <w:sz w:val="24"/>
              </w:rPr>
              <w:t>m，</w:t>
            </w:r>
            <w:r>
              <w:rPr>
                <w:rFonts w:hint="default" w:ascii="Times New Roman" w:hAnsi="Times New Roman" w:eastAsia="宋体" w:cs="Times New Roman"/>
                <w:color w:val="auto"/>
                <w:sz w:val="24"/>
                <w:lang w:val="en-US" w:eastAsia="zh-CN"/>
              </w:rPr>
              <w:t>监测时间为7天，</w:t>
            </w:r>
            <w:r>
              <w:rPr>
                <w:rFonts w:hint="default" w:ascii="Times New Roman" w:hAnsi="Times New Roman" w:eastAsia="宋体" w:cs="Times New Roman"/>
                <w:color w:val="auto"/>
                <w:sz w:val="24"/>
              </w:rPr>
              <w:t>引用的监测点位符合《建设项目环境影响报告表编制技术指南》（污染影响类）中区域环境质量现状大气环境的要求（引用建设项目周边5千米范围内近3年的现有监测数据），监测结果如下：</w:t>
            </w:r>
          </w:p>
          <w:p>
            <w:pPr>
              <w:spacing w:line="360" w:lineRule="auto"/>
              <w:jc w:val="center"/>
              <w:rPr>
                <w:rFonts w:hint="default" w:ascii="Times New Roman" w:hAnsi="Times New Roman" w:cs="Times New Roman"/>
                <w:b/>
                <w:bCs/>
                <w:color w:val="auto"/>
                <w:sz w:val="24"/>
                <w:szCs w:val="24"/>
                <w:vertAlign w:val="superscript"/>
              </w:rPr>
            </w:pPr>
            <w:r>
              <w:rPr>
                <w:rFonts w:hint="default" w:ascii="Times New Roman" w:hAnsi="Times New Roman" w:cs="Times New Roman"/>
                <w:b/>
                <w:bCs/>
                <w:color w:val="auto"/>
                <w:sz w:val="24"/>
                <w:szCs w:val="24"/>
              </w:rPr>
              <w:t>表3-</w:t>
            </w:r>
            <w:r>
              <w:rPr>
                <w:rFonts w:hint="default" w:ascii="Times New Roman" w:hAnsi="Times New Roman" w:cs="Times New Roman"/>
                <w:b/>
                <w:bCs/>
                <w:color w:val="auto"/>
                <w:sz w:val="24"/>
                <w:szCs w:val="24"/>
                <w:lang w:val="en-US" w:eastAsia="zh-CN"/>
              </w:rPr>
              <w:t>1</w:t>
            </w:r>
            <w:r>
              <w:rPr>
                <w:rFonts w:hint="default" w:ascii="Times New Roman" w:hAnsi="Times New Roman" w:cs="Times New Roman"/>
                <w:b/>
                <w:bCs/>
                <w:color w:val="auto"/>
                <w:sz w:val="24"/>
                <w:szCs w:val="24"/>
              </w:rPr>
              <w:t xml:space="preserve"> 特征污染物环境质量现状</w:t>
            </w:r>
            <w:r>
              <w:rPr>
                <w:rFonts w:hint="default" w:ascii="Times New Roman" w:hAnsi="Times New Roman" w:cs="Times New Roman"/>
                <w:b/>
                <w:bCs/>
                <w:color w:val="auto"/>
                <w:sz w:val="24"/>
                <w:szCs w:val="24"/>
                <w:lang w:val="en-US" w:eastAsia="zh-CN"/>
              </w:rPr>
              <w:t>监测结果</w:t>
            </w:r>
            <w:r>
              <w:rPr>
                <w:rFonts w:hint="default" w:ascii="Times New Roman" w:hAnsi="Times New Roman" w:cs="Times New Roman"/>
                <w:b/>
                <w:bCs/>
                <w:color w:val="auto"/>
                <w:sz w:val="24"/>
                <w:szCs w:val="24"/>
              </w:rPr>
              <w:t xml:space="preserve"> 单位：mg/m</w:t>
            </w:r>
            <w:r>
              <w:rPr>
                <w:rFonts w:hint="default" w:ascii="Times New Roman" w:hAnsi="Times New Roman" w:cs="Times New Roman"/>
                <w:b/>
                <w:bCs/>
                <w:color w:val="auto"/>
                <w:sz w:val="24"/>
                <w:szCs w:val="24"/>
                <w:vertAlign w:val="superscript"/>
              </w:rPr>
              <w:t>3</w:t>
            </w:r>
          </w:p>
          <w:tbl>
            <w:tblPr>
              <w:tblStyle w:val="32"/>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1000"/>
              <w:gridCol w:w="756"/>
              <w:gridCol w:w="660"/>
              <w:gridCol w:w="1215"/>
              <w:gridCol w:w="975"/>
              <w:gridCol w:w="1128"/>
              <w:gridCol w:w="822"/>
              <w:gridCol w:w="600"/>
              <w:gridCol w:w="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2"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监测点名称</w:t>
                  </w:r>
                </w:p>
              </w:tc>
              <w:tc>
                <w:tcPr>
                  <w:tcW w:w="596"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844"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eastAsia="宋体" w:cs="Times New Roman"/>
                      <w:b/>
                      <w:bCs/>
                      <w:color w:val="auto"/>
                      <w:szCs w:val="21"/>
                      <w:lang w:val="en-US" w:eastAsia="zh-CN"/>
                    </w:rPr>
                  </w:pPr>
                  <w:r>
                    <w:rPr>
                      <w:rFonts w:hint="eastAsia" w:ascii="Times New Roman" w:hAnsi="Times New Roman" w:cs="Times New Roman"/>
                      <w:b/>
                      <w:bCs/>
                      <w:color w:val="auto"/>
                      <w:szCs w:val="21"/>
                      <w:lang w:val="en-US" w:eastAsia="zh-CN"/>
                    </w:rPr>
                    <w:t>经纬度坐标</w:t>
                  </w:r>
                </w:p>
              </w:tc>
              <w:tc>
                <w:tcPr>
                  <w:tcW w:w="72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平均时间</w:t>
                  </w:r>
                </w:p>
              </w:tc>
              <w:tc>
                <w:tcPr>
                  <w:tcW w:w="581"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评价标准</w:t>
                  </w:r>
                </w:p>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mg/m</w:t>
                  </w:r>
                  <w:r>
                    <w:rPr>
                      <w:rFonts w:hint="default" w:ascii="Times New Roman" w:hAnsi="Times New Roman" w:cs="Times New Roman"/>
                      <w:b/>
                      <w:bCs/>
                      <w:color w:val="auto"/>
                      <w:szCs w:val="21"/>
                      <w:vertAlign w:val="superscript"/>
                    </w:rPr>
                    <w:t>3</w:t>
                  </w:r>
                </w:p>
              </w:tc>
              <w:tc>
                <w:tcPr>
                  <w:tcW w:w="672"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监测浓度范围mg/m</w:t>
                  </w:r>
                  <w:r>
                    <w:rPr>
                      <w:rFonts w:hint="default" w:ascii="Times New Roman" w:hAnsi="Times New Roman" w:cs="Times New Roman"/>
                      <w:b/>
                      <w:bCs/>
                      <w:color w:val="auto"/>
                      <w:szCs w:val="21"/>
                      <w:vertAlign w:val="superscript"/>
                    </w:rPr>
                    <w:t>3</w:t>
                  </w:r>
                </w:p>
              </w:tc>
              <w:tc>
                <w:tcPr>
                  <w:tcW w:w="49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最大浓度占标率%</w:t>
                  </w:r>
                </w:p>
              </w:tc>
              <w:tc>
                <w:tcPr>
                  <w:tcW w:w="35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超标率%</w:t>
                  </w:r>
                </w:p>
              </w:tc>
              <w:tc>
                <w:tcPr>
                  <w:tcW w:w="35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达标</w:t>
                  </w:r>
                </w:p>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2"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596"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450"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E</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N</w:t>
                  </w:r>
                </w:p>
              </w:tc>
              <w:tc>
                <w:tcPr>
                  <w:tcW w:w="72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58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672"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49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35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35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2"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G1</w:t>
                  </w:r>
                </w:p>
              </w:tc>
              <w:tc>
                <w:tcPr>
                  <w:tcW w:w="596"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TVOC</w:t>
                  </w:r>
                </w:p>
              </w:tc>
              <w:tc>
                <w:tcPr>
                  <w:tcW w:w="450"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114°0′47.103″</w:t>
                  </w:r>
                </w:p>
              </w:tc>
              <w:tc>
                <w:tcPr>
                  <w:tcW w:w="393"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23</w:t>
                  </w:r>
                  <w:r>
                    <w:rPr>
                      <w:rFonts w:hint="default" w:ascii="Times New Roman" w:hAnsi="Times New Roman" w:cs="Times New Roman"/>
                      <w:color w:val="auto"/>
                      <w:szCs w:val="21"/>
                      <w:lang w:val="en-US" w:eastAsia="zh-CN"/>
                    </w:rPr>
                    <w:t>°</w:t>
                  </w:r>
                  <w:r>
                    <w:rPr>
                      <w:rFonts w:hint="eastAsia" w:ascii="Times New Roman" w:hAnsi="Times New Roman" w:cs="Times New Roman"/>
                      <w:color w:val="auto"/>
                      <w:szCs w:val="21"/>
                      <w:lang w:val="en-US" w:eastAsia="zh-CN"/>
                    </w:rPr>
                    <w:t>6</w:t>
                  </w:r>
                  <w:r>
                    <w:rPr>
                      <w:rFonts w:hint="default" w:ascii="Times New Roman" w:hAnsi="Times New Roman" w:cs="Times New Roman"/>
                      <w:color w:val="auto"/>
                      <w:szCs w:val="21"/>
                      <w:lang w:val="en-US" w:eastAsia="zh-CN"/>
                    </w:rPr>
                    <w:t>′4</w:t>
                  </w:r>
                  <w:r>
                    <w:rPr>
                      <w:rFonts w:hint="eastAsia" w:ascii="Times New Roman" w:hAnsi="Times New Roman" w:cs="Times New Roman"/>
                      <w:color w:val="auto"/>
                      <w:szCs w:val="21"/>
                      <w:lang w:val="en-US" w:eastAsia="zh-CN"/>
                    </w:rPr>
                    <w:t>4.751</w:t>
                  </w:r>
                  <w:r>
                    <w:rPr>
                      <w:rFonts w:hint="default" w:ascii="Times New Roman" w:hAnsi="Times New Roman" w:cs="Times New Roman"/>
                      <w:color w:val="auto"/>
                      <w:szCs w:val="21"/>
                      <w:lang w:val="en-US" w:eastAsia="zh-CN"/>
                    </w:rPr>
                    <w:t>″</w:t>
                  </w:r>
                </w:p>
              </w:tc>
              <w:tc>
                <w:tcPr>
                  <w:tcW w:w="724"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8</w:t>
                  </w:r>
                  <w:r>
                    <w:rPr>
                      <w:rFonts w:hint="default" w:ascii="Times New Roman" w:hAnsi="Times New Roman" w:cs="Times New Roman"/>
                      <w:color w:val="auto"/>
                      <w:szCs w:val="21"/>
                    </w:rPr>
                    <w:t>小时均值</w:t>
                  </w:r>
                </w:p>
              </w:tc>
              <w:tc>
                <w:tcPr>
                  <w:tcW w:w="581"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0.6</w:t>
                  </w:r>
                </w:p>
              </w:tc>
              <w:tc>
                <w:tcPr>
                  <w:tcW w:w="672"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0.280</w:t>
                  </w: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0.39</w:t>
                  </w:r>
                  <w:r>
                    <w:rPr>
                      <w:rFonts w:hint="eastAsia" w:ascii="Times New Roman" w:hAnsi="Times New Roman" w:cs="Times New Roman"/>
                      <w:color w:val="auto"/>
                      <w:szCs w:val="21"/>
                      <w:lang w:val="en-US" w:eastAsia="zh-CN"/>
                    </w:rPr>
                    <w:t>2</w:t>
                  </w:r>
                </w:p>
              </w:tc>
              <w:tc>
                <w:tcPr>
                  <w:tcW w:w="490"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34.0</w:t>
                  </w:r>
                </w:p>
              </w:tc>
              <w:tc>
                <w:tcPr>
                  <w:tcW w:w="357"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359"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2"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eastAsia" w:ascii="Times New Roman" w:hAnsi="Times New Roman" w:eastAsia="宋体" w:cs="Times New Roman"/>
                      <w:color w:val="auto"/>
                      <w:szCs w:val="21"/>
                      <w:lang w:val="en-US" w:eastAsia="zh-CN"/>
                    </w:rPr>
                  </w:pPr>
                </w:p>
              </w:tc>
              <w:tc>
                <w:tcPr>
                  <w:tcW w:w="596"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非甲烷总烃</w:t>
                  </w:r>
                </w:p>
              </w:tc>
              <w:tc>
                <w:tcPr>
                  <w:tcW w:w="4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lang w:val="en-US" w:eastAsia="zh-CN"/>
                    </w:rPr>
                  </w:pPr>
                </w:p>
              </w:tc>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lang w:val="en-US" w:eastAsia="zh-CN"/>
                    </w:rPr>
                  </w:pPr>
                </w:p>
              </w:tc>
              <w:tc>
                <w:tcPr>
                  <w:tcW w:w="724"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1小时均值</w:t>
                  </w:r>
                </w:p>
              </w:tc>
              <w:tc>
                <w:tcPr>
                  <w:tcW w:w="581"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2.0</w:t>
                  </w:r>
                </w:p>
              </w:tc>
              <w:tc>
                <w:tcPr>
                  <w:tcW w:w="672"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0.28~0.52</w:t>
                  </w:r>
                </w:p>
              </w:tc>
              <w:tc>
                <w:tcPr>
                  <w:tcW w:w="490"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26.0</w:t>
                  </w:r>
                </w:p>
              </w:tc>
              <w:tc>
                <w:tcPr>
                  <w:tcW w:w="357"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w:t>
                  </w:r>
                </w:p>
              </w:tc>
              <w:tc>
                <w:tcPr>
                  <w:tcW w:w="359"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72"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596"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TSP</w:t>
                  </w:r>
                </w:p>
              </w:tc>
              <w:tc>
                <w:tcPr>
                  <w:tcW w:w="450"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p>
              </w:tc>
              <w:tc>
                <w:tcPr>
                  <w:tcW w:w="724"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24小时均值</w:t>
                  </w:r>
                </w:p>
              </w:tc>
              <w:tc>
                <w:tcPr>
                  <w:tcW w:w="581"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0.</w:t>
                  </w:r>
                  <w:r>
                    <w:rPr>
                      <w:rFonts w:hint="default" w:ascii="Times New Roman" w:hAnsi="Times New Roman" w:cs="Times New Roman"/>
                      <w:color w:val="auto"/>
                      <w:szCs w:val="21"/>
                      <w:lang w:val="en-US" w:eastAsia="zh-CN"/>
                    </w:rPr>
                    <w:t>3</w:t>
                  </w:r>
                </w:p>
              </w:tc>
              <w:tc>
                <w:tcPr>
                  <w:tcW w:w="672"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lang w:val="en-US"/>
                    </w:rPr>
                  </w:pPr>
                  <w:r>
                    <w:rPr>
                      <w:rFonts w:hint="default" w:ascii="Times New Roman" w:hAnsi="Times New Roman" w:cs="Times New Roman"/>
                      <w:color w:val="auto"/>
                      <w:szCs w:val="21"/>
                    </w:rPr>
                    <w:t>0</w:t>
                  </w:r>
                  <w:r>
                    <w:rPr>
                      <w:rFonts w:hint="eastAsia" w:ascii="Times New Roman" w:hAnsi="Times New Roman" w:cs="Times New Roman"/>
                      <w:color w:val="auto"/>
                      <w:szCs w:val="21"/>
                      <w:lang w:val="en-US" w:eastAsia="zh-CN"/>
                    </w:rPr>
                    <w:t>.108</w:t>
                  </w: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0.1</w:t>
                  </w:r>
                  <w:r>
                    <w:rPr>
                      <w:rFonts w:hint="eastAsia" w:ascii="Times New Roman" w:hAnsi="Times New Roman" w:cs="Times New Roman"/>
                      <w:color w:val="auto"/>
                      <w:szCs w:val="21"/>
                      <w:lang w:val="en-US" w:eastAsia="zh-CN"/>
                    </w:rPr>
                    <w:t>70</w:t>
                  </w:r>
                </w:p>
              </w:tc>
              <w:tc>
                <w:tcPr>
                  <w:tcW w:w="490"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56.67</w:t>
                  </w:r>
                </w:p>
              </w:tc>
              <w:tc>
                <w:tcPr>
                  <w:tcW w:w="357"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0</w:t>
                  </w:r>
                </w:p>
              </w:tc>
              <w:tc>
                <w:tcPr>
                  <w:tcW w:w="359" w:type="pct"/>
                  <w:noWrap w:val="0"/>
                  <w:vAlign w:val="center"/>
                </w:tcPr>
                <w:p>
                  <w:pPr>
                    <w:keepNext w:val="0"/>
                    <w:keepLines w:val="0"/>
                    <w:pageBreakBefore w:val="0"/>
                    <w:widowControl w:val="0"/>
                    <w:kinsoku/>
                    <w:wordWrap/>
                    <w:overflowPunct/>
                    <w:topLinePunct w:val="0"/>
                    <w:autoSpaceDE/>
                    <w:autoSpaceDN/>
                    <w:bidi w:val="0"/>
                    <w:adjustRightInd w:val="0"/>
                    <w:snapToGrid w:val="0"/>
                    <w:ind w:left="-63" w:leftChars="-30" w:right="-63" w:rightChars="-3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达标</w:t>
                  </w:r>
                </w:p>
              </w:tc>
            </w:tr>
          </w:tbl>
          <w:p>
            <w:pPr>
              <w:spacing w:before="120" w:beforeLines="50" w:line="360" w:lineRule="auto"/>
              <w:jc w:val="center"/>
              <w:rPr>
                <w:rFonts w:hint="default" w:ascii="Times New Roman" w:hAnsi="Times New Roman" w:cs="Times New Roman"/>
                <w:color w:val="auto"/>
                <w:szCs w:val="21"/>
              </w:rPr>
            </w:pPr>
            <w:r>
              <w:rPr>
                <w:rFonts w:hint="default" w:ascii="Times New Roman" w:hAnsi="Times New Roman" w:cs="Times New Roman"/>
                <w:color w:val="auto"/>
                <w:szCs w:val="21"/>
              </w:rPr>
              <w:object>
                <v:shape id="_x0000_i1030" o:spt="75" type="#_x0000_t75" style="height:326.65pt;width:361.2pt;" o:ole="t" filled="f" o:preferrelative="t" stroked="f" coordsize="21600,21600">
                  <v:path/>
                  <v:fill on="f" focussize="0,0"/>
                  <v:stroke on="f"/>
                  <v:imagedata r:id="rId24" o:title=""/>
                  <o:lock v:ext="edit" aspectratio="t"/>
                  <w10:wrap type="none"/>
                  <w10:anchorlock/>
                </v:shape>
                <o:OLEObject Type="Embed" ProgID="Visio.Drawing.15" ShapeID="_x0000_i1030" DrawAspect="Content" ObjectID="_1468075730" r:id="rId23">
                  <o:LockedField>false</o:LockedField>
                </o:OLEObject>
              </w:object>
            </w:r>
          </w:p>
          <w:p>
            <w:pPr>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图3-</w:t>
            </w:r>
            <w:r>
              <w:rPr>
                <w:rFonts w:hint="default"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rPr>
              <w:t xml:space="preserve"> 监测点位与本项目位置关系图</w:t>
            </w:r>
          </w:p>
          <w:p>
            <w:pPr>
              <w:pStyle w:val="9"/>
              <w:adjustRightInd w:val="0"/>
              <w:snapToGrid w:val="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根据监测数据分析结果，项目所在区域内TSP日均值均满足《环境空气质量标准》（GB3095-2012）及2018年修改单中的二级标准限值，</w:t>
            </w:r>
            <w:r>
              <w:rPr>
                <w:rFonts w:hint="default" w:ascii="Times New Roman" w:hAnsi="Times New Roman" w:cs="Times New Roman"/>
                <w:color w:val="auto"/>
                <w:sz w:val="24"/>
                <w:szCs w:val="24"/>
                <w:lang w:val="en-US" w:eastAsia="zh-CN"/>
              </w:rPr>
              <w:t>TVOC可满足《环境影响评价技术导则-大气环境》（HJ2.2-2018）附录D中其他污染物空气质量浓度参考限</w:t>
            </w:r>
            <w:r>
              <w:rPr>
                <w:rFonts w:hint="default" w:ascii="Times New Roman" w:hAnsi="Times New Roman" w:cs="Times New Roman"/>
                <w:color w:val="auto"/>
                <w:sz w:val="24"/>
                <w:szCs w:val="24"/>
                <w:highlight w:val="none"/>
                <w:lang w:val="en-US" w:eastAsia="zh-CN"/>
              </w:rPr>
              <w:t>值</w:t>
            </w:r>
            <w:r>
              <w:rPr>
                <w:rFonts w:hint="eastAsia" w:ascii="Times New Roman" w:hAnsi="Times New Roman" w:cs="Times New Roman"/>
                <w:color w:val="auto"/>
                <w:sz w:val="24"/>
                <w:szCs w:val="24"/>
                <w:highlight w:val="none"/>
                <w:lang w:val="en-US" w:eastAsia="zh-CN"/>
              </w:rPr>
              <w:t>，非甲烷总烃能达到《大气污染物综合排放标准详解》相关限值要求</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说明区域环境空气</w:t>
            </w:r>
            <w:r>
              <w:rPr>
                <w:rFonts w:hint="default" w:ascii="Times New Roman" w:hAnsi="Times New Roman" w:cs="Times New Roman"/>
                <w:color w:val="auto"/>
                <w:sz w:val="24"/>
                <w:szCs w:val="24"/>
                <w:lang w:val="en-US" w:eastAsia="zh-CN"/>
              </w:rPr>
              <w:t>质量较好。</w:t>
            </w:r>
          </w:p>
          <w:p>
            <w:pPr>
              <w:adjustRightInd w:val="0"/>
              <w:snapToGrid w:val="0"/>
              <w:spacing w:line="360" w:lineRule="auto"/>
              <w:ind w:firstLine="482" w:firstLineChars="200"/>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3.1.2 地表水环境</w:t>
            </w:r>
          </w:p>
          <w:p>
            <w:pPr>
              <w:widowControl/>
              <w:adjustRightInd w:val="0"/>
              <w:snapToGrid w:val="0"/>
              <w:spacing w:line="360" w:lineRule="auto"/>
              <w:ind w:firstLine="480" w:firstLineChars="200"/>
              <w:rPr>
                <w:rFonts w:hint="default" w:ascii="Times New Roman" w:hAnsi="Times New Roman" w:cs="Times New Roman"/>
                <w:color w:val="auto"/>
                <w:kern w:val="0"/>
                <w:sz w:val="24"/>
                <w:szCs w:val="24"/>
              </w:rPr>
            </w:pPr>
            <w:r>
              <w:rPr>
                <w:rFonts w:hint="default" w:ascii="Times New Roman" w:hAnsi="Times New Roman" w:cs="Times New Roman"/>
                <w:color w:val="auto"/>
                <w:sz w:val="24"/>
                <w:szCs w:val="24"/>
              </w:rPr>
              <w:t>根据</w:t>
            </w:r>
            <w:r>
              <w:rPr>
                <w:rFonts w:hint="default" w:ascii="Times New Roman" w:hAnsi="Times New Roman" w:cs="Times New Roman"/>
                <w:color w:val="auto"/>
                <w:kern w:val="2"/>
                <w:sz w:val="24"/>
                <w:szCs w:val="24"/>
              </w:rPr>
              <w:t>《202</w:t>
            </w:r>
            <w:r>
              <w:rPr>
                <w:rFonts w:hint="default" w:ascii="Times New Roman" w:hAnsi="Times New Roman" w:cs="Times New Roman"/>
                <w:color w:val="auto"/>
                <w:kern w:val="2"/>
                <w:sz w:val="24"/>
                <w:szCs w:val="24"/>
                <w:lang w:val="en-US" w:eastAsia="zh-CN"/>
              </w:rPr>
              <w:t>2</w:t>
            </w:r>
            <w:r>
              <w:rPr>
                <w:rFonts w:hint="default" w:ascii="Times New Roman" w:hAnsi="Times New Roman" w:cs="Times New Roman"/>
                <w:color w:val="auto"/>
                <w:kern w:val="2"/>
                <w:sz w:val="24"/>
                <w:szCs w:val="24"/>
              </w:rPr>
              <w:t>年</w:t>
            </w:r>
            <w:r>
              <w:rPr>
                <w:rFonts w:hint="default" w:ascii="Times New Roman" w:hAnsi="Times New Roman" w:cs="Times New Roman"/>
                <w:color w:val="auto"/>
                <w:kern w:val="2"/>
                <w:sz w:val="24"/>
                <w:szCs w:val="24"/>
                <w:lang w:val="en-US" w:eastAsia="zh-CN"/>
              </w:rPr>
              <w:t>惠州市生态</w:t>
            </w:r>
            <w:r>
              <w:rPr>
                <w:rFonts w:hint="default" w:ascii="Times New Roman" w:hAnsi="Times New Roman" w:cs="Times New Roman"/>
                <w:color w:val="auto"/>
                <w:kern w:val="2"/>
                <w:sz w:val="24"/>
                <w:szCs w:val="24"/>
              </w:rPr>
              <w:t>环境</w:t>
            </w:r>
            <w:r>
              <w:rPr>
                <w:rFonts w:hint="default" w:ascii="Times New Roman" w:hAnsi="Times New Roman" w:cs="Times New Roman"/>
                <w:color w:val="auto"/>
                <w:kern w:val="2"/>
                <w:sz w:val="24"/>
                <w:szCs w:val="24"/>
                <w:lang w:val="en-US" w:eastAsia="zh-CN"/>
              </w:rPr>
              <w:t>状况</w:t>
            </w:r>
            <w:r>
              <w:rPr>
                <w:rFonts w:hint="default" w:ascii="Times New Roman" w:hAnsi="Times New Roman" w:cs="Times New Roman"/>
                <w:color w:val="auto"/>
                <w:kern w:val="2"/>
                <w:sz w:val="24"/>
                <w:szCs w:val="24"/>
              </w:rPr>
              <w:t>公</w:t>
            </w:r>
            <w:r>
              <w:rPr>
                <w:rFonts w:hint="default" w:ascii="Times New Roman" w:hAnsi="Times New Roman" w:cs="Times New Roman"/>
                <w:color w:val="auto"/>
                <w:kern w:val="2"/>
                <w:sz w:val="24"/>
                <w:szCs w:val="24"/>
                <w:lang w:val="en-US" w:eastAsia="zh-CN"/>
              </w:rPr>
              <w:t>报</w:t>
            </w:r>
            <w:r>
              <w:rPr>
                <w:rFonts w:hint="default" w:ascii="Times New Roman" w:hAnsi="Times New Roman" w:cs="Times New Roman"/>
                <w:color w:val="auto"/>
                <w:kern w:val="2"/>
                <w:sz w:val="24"/>
                <w:szCs w:val="24"/>
              </w:rPr>
              <w:t>》</w:t>
            </w:r>
            <w:r>
              <w:rPr>
                <w:rFonts w:hint="default" w:ascii="Times New Roman" w:hAnsi="Times New Roman" w:cs="Times New Roman"/>
                <w:color w:val="auto"/>
                <w:sz w:val="24"/>
                <w:szCs w:val="24"/>
              </w:rPr>
              <w:t>，</w:t>
            </w:r>
            <w:r>
              <w:rPr>
                <w:rFonts w:hint="default" w:ascii="Times New Roman" w:hAnsi="Times New Roman" w:cs="Times New Roman"/>
                <w:color w:val="auto"/>
                <w:kern w:val="0"/>
                <w:sz w:val="24"/>
                <w:szCs w:val="24"/>
              </w:rPr>
              <w:t>2022年，水质优良比例为88.9%，其中，东江干流（惠州段）、西枝江、增江干流（惠州段）、吉隆河等4条河流水质优，淡水河、沙河、公庄河、淡澳河等4条河流水质良好，潼湖水水质为</w:t>
            </w:r>
            <w:r>
              <w:rPr>
                <w:rFonts w:hint="default" w:ascii="Times New Roman" w:hAnsi="Times New Roman" w:cs="Times New Roman"/>
                <w:color w:val="auto"/>
                <w:kern w:val="0"/>
                <w:sz w:val="24"/>
                <w:szCs w:val="24"/>
                <w:lang w:eastAsia="zh-CN"/>
              </w:rPr>
              <w:t>Ⅳ类</w:t>
            </w:r>
            <w:r>
              <w:rPr>
                <w:rFonts w:hint="default" w:ascii="Times New Roman" w:hAnsi="Times New Roman" w:cs="Times New Roman"/>
                <w:color w:val="auto"/>
                <w:kern w:val="0"/>
                <w:sz w:val="24"/>
                <w:szCs w:val="24"/>
              </w:rPr>
              <w:t>。与2021年相比，水质优良比例上升11.1个百分点，其中，淡澳河水质由轻度污染好转为良好。</w:t>
            </w:r>
          </w:p>
          <w:p>
            <w:pPr>
              <w:adjustRightInd w:val="0"/>
              <w:snapToGrid w:val="0"/>
              <w:spacing w:line="360" w:lineRule="auto"/>
              <w:jc w:val="center"/>
              <w:rPr>
                <w:rFonts w:hint="default" w:ascii="Times New Roman" w:hAnsi="Times New Roman" w:cs="Times New Roman"/>
                <w:color w:val="auto"/>
                <w:sz w:val="24"/>
                <w:szCs w:val="24"/>
              </w:rPr>
            </w:pPr>
            <w:r>
              <w:rPr>
                <w:rFonts w:hint="default" w:ascii="Times New Roman" w:hAnsi="Times New Roman" w:cs="Times New Roman"/>
                <w:color w:val="auto"/>
                <w:sz w:val="24"/>
                <w:szCs w:val="24"/>
              </w:rPr>
              <w:drawing>
                <wp:inline distT="0" distB="0" distL="114300" distR="114300">
                  <wp:extent cx="4996815" cy="1784350"/>
                  <wp:effectExtent l="0" t="0" r="13335" b="6350"/>
                  <wp:docPr id="6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5"/>
                          <pic:cNvPicPr>
                            <a:picLocks noChangeAspect="1"/>
                          </pic:cNvPicPr>
                        </pic:nvPicPr>
                        <pic:blipFill>
                          <a:blip r:embed="rId25"/>
                          <a:stretch>
                            <a:fillRect/>
                          </a:stretch>
                        </pic:blipFill>
                        <pic:spPr>
                          <a:xfrm>
                            <a:off x="0" y="0"/>
                            <a:ext cx="4996815" cy="1784350"/>
                          </a:xfrm>
                          <a:prstGeom prst="rect">
                            <a:avLst/>
                          </a:prstGeom>
                          <a:noFill/>
                          <a:ln>
                            <a:noFill/>
                          </a:ln>
                        </pic:spPr>
                      </pic:pic>
                    </a:graphicData>
                  </a:graphic>
                </wp:inline>
              </w:drawing>
            </w:r>
          </w:p>
          <w:p>
            <w:pPr>
              <w:snapToGrid w:val="0"/>
              <w:spacing w:line="360" w:lineRule="auto"/>
              <w:ind w:firstLine="482" w:firstLineChars="200"/>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图3-</w:t>
            </w:r>
            <w:r>
              <w:rPr>
                <w:rFonts w:hint="default" w:ascii="Times New Roman" w:hAnsi="Times New Roman" w:cs="Times New Roman"/>
                <w:b/>
                <w:color w:val="auto"/>
                <w:sz w:val="24"/>
                <w:szCs w:val="24"/>
                <w:lang w:val="en-US" w:eastAsia="zh-CN"/>
              </w:rPr>
              <w:t>3</w:t>
            </w:r>
            <w:r>
              <w:rPr>
                <w:rFonts w:hint="default" w:ascii="Times New Roman" w:hAnsi="Times New Roman" w:cs="Times New Roman"/>
                <w:b/>
                <w:color w:val="auto"/>
                <w:sz w:val="24"/>
                <w:szCs w:val="24"/>
              </w:rPr>
              <w:t xml:space="preserve"> 202</w:t>
            </w:r>
            <w:r>
              <w:rPr>
                <w:rFonts w:hint="default" w:ascii="Times New Roman" w:hAnsi="Times New Roman" w:cs="Times New Roman"/>
                <w:b/>
                <w:color w:val="auto"/>
                <w:sz w:val="24"/>
                <w:szCs w:val="24"/>
                <w:lang w:val="en-US" w:eastAsia="zh-CN"/>
              </w:rPr>
              <w:t>2</w:t>
            </w:r>
            <w:r>
              <w:rPr>
                <w:rFonts w:hint="default" w:ascii="Times New Roman" w:hAnsi="Times New Roman" w:cs="Times New Roman"/>
                <w:b/>
                <w:color w:val="auto"/>
                <w:sz w:val="24"/>
                <w:szCs w:val="24"/>
              </w:rPr>
              <w:t>年惠州市环境质量状况公报—水环境质量</w:t>
            </w:r>
          </w:p>
          <w:p>
            <w:pPr>
              <w:pStyle w:val="49"/>
              <w:spacing w:line="360" w:lineRule="auto"/>
              <w:ind w:firstLine="480" w:firstLineChars="200"/>
              <w:jc w:val="both"/>
              <w:rPr>
                <w:rFonts w:hint="default" w:ascii="Times New Roman" w:hAnsi="Times New Roman" w:cs="Times New Roman"/>
                <w:color w:val="auto"/>
              </w:rPr>
            </w:pPr>
            <w:r>
              <w:rPr>
                <w:rFonts w:hint="default" w:ascii="Times New Roman" w:hAnsi="Times New Roman" w:cs="Times New Roman"/>
                <w:color w:val="auto"/>
              </w:rPr>
              <w:t>项目外排废水为生活污水，</w:t>
            </w:r>
            <w:r>
              <w:rPr>
                <w:rFonts w:hint="default" w:ascii="Times New Roman" w:hAnsi="Times New Roman" w:cs="Times New Roman"/>
                <w:color w:val="auto"/>
                <w:sz w:val="24"/>
                <w:szCs w:val="24"/>
              </w:rPr>
              <w:t>三级化粪池</w:t>
            </w:r>
            <w:r>
              <w:rPr>
                <w:rFonts w:hint="eastAsia" w:cs="Times New Roman"/>
                <w:color w:val="auto"/>
                <w:sz w:val="24"/>
                <w:szCs w:val="24"/>
                <w:lang w:val="en-US" w:eastAsia="zh-CN"/>
              </w:rPr>
              <w:t>+接触氧化池</w:t>
            </w:r>
            <w:r>
              <w:rPr>
                <w:rFonts w:hint="default" w:ascii="Times New Roman" w:hAnsi="Times New Roman" w:cs="Times New Roman"/>
                <w:color w:val="auto"/>
              </w:rPr>
              <w:t>预处理后纳入市政管网进入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rPr>
              <w:t>处理后排入</w:t>
            </w:r>
            <w:r>
              <w:rPr>
                <w:rFonts w:hint="default" w:ascii="Times New Roman" w:hAnsi="Times New Roman" w:cs="Times New Roman"/>
                <w:color w:val="auto"/>
                <w:lang w:val="en-US" w:eastAsia="zh-CN"/>
              </w:rPr>
              <w:t>中心排渠</w:t>
            </w:r>
            <w:r>
              <w:rPr>
                <w:rFonts w:hint="default" w:ascii="Times New Roman" w:hAnsi="Times New Roman" w:cs="Times New Roman"/>
                <w:color w:val="auto"/>
              </w:rPr>
              <w:t>，</w:t>
            </w:r>
            <w:r>
              <w:rPr>
                <w:rFonts w:hint="default" w:ascii="Times New Roman" w:hAnsi="Times New Roman" w:cs="Times New Roman"/>
                <w:color w:val="auto"/>
                <w:lang w:val="en-US" w:eastAsia="zh-CN"/>
              </w:rPr>
              <w:t>最终汇入沙河。沙河</w:t>
            </w:r>
            <w:r>
              <w:rPr>
                <w:rFonts w:hint="default" w:ascii="Times New Roman" w:hAnsi="Times New Roman" w:cs="Times New Roman"/>
                <w:color w:val="auto"/>
                <w:sz w:val="24"/>
                <w:szCs w:val="20"/>
              </w:rPr>
              <w:t>2021年-2025年的阶段性水质目标是</w:t>
            </w:r>
            <w:r>
              <w:rPr>
                <w:rFonts w:hint="default" w:ascii="Times New Roman" w:hAnsi="Times New Roman" w:cs="Times New Roman"/>
                <w:color w:val="auto"/>
                <w:sz w:val="24"/>
                <w:szCs w:val="20"/>
                <w:lang w:val="en-US" w:eastAsia="zh-CN"/>
              </w:rPr>
              <w:t>Ⅲ</w:t>
            </w:r>
            <w:r>
              <w:rPr>
                <w:rFonts w:hint="default" w:ascii="Times New Roman" w:hAnsi="Times New Roman" w:cs="Times New Roman"/>
                <w:color w:val="auto"/>
                <w:sz w:val="24"/>
                <w:szCs w:val="20"/>
              </w:rPr>
              <w:t>类</w:t>
            </w:r>
            <w:r>
              <w:rPr>
                <w:rFonts w:hint="default" w:ascii="Times New Roman" w:hAnsi="Times New Roman" w:cs="Times New Roman"/>
                <w:color w:val="auto"/>
              </w:rPr>
              <w:t>，执行《地表水环境质量标准》</w:t>
            </w:r>
            <w:r>
              <w:rPr>
                <w:rFonts w:hint="default" w:ascii="Times New Roman" w:hAnsi="Times New Roman" w:cs="Times New Roman"/>
                <w:color w:val="auto"/>
                <w:lang w:eastAsia="zh-CN"/>
              </w:rPr>
              <w:t>（</w:t>
            </w:r>
            <w:r>
              <w:rPr>
                <w:rFonts w:hint="default" w:ascii="Times New Roman" w:hAnsi="Times New Roman" w:cs="Times New Roman"/>
                <w:color w:val="auto"/>
              </w:rPr>
              <w:t>GB3838-2002</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Ⅲ</w:t>
            </w:r>
            <w:r>
              <w:rPr>
                <w:rFonts w:hint="default" w:ascii="Times New Roman" w:hAnsi="Times New Roman" w:cs="Times New Roman"/>
                <w:color w:val="auto"/>
              </w:rPr>
              <w:t>类标准</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园洲镇中心排渠</w:t>
            </w:r>
            <w:r>
              <w:rPr>
                <w:rFonts w:hint="default" w:ascii="Times New Roman" w:hAnsi="Times New Roman" w:cs="Times New Roman"/>
                <w:color w:val="auto"/>
                <w:sz w:val="24"/>
                <w:szCs w:val="20"/>
              </w:rPr>
              <w:t>2021年-2025年的阶段性水质目标是V类</w:t>
            </w:r>
            <w:r>
              <w:rPr>
                <w:rFonts w:hint="default" w:ascii="Times New Roman" w:hAnsi="Times New Roman" w:cs="Times New Roman"/>
                <w:color w:val="auto"/>
              </w:rPr>
              <w:t>，执行《地表水环境质量标准》</w:t>
            </w:r>
            <w:r>
              <w:rPr>
                <w:rFonts w:hint="default" w:ascii="Times New Roman" w:hAnsi="Times New Roman" w:cs="Times New Roman"/>
                <w:color w:val="auto"/>
                <w:lang w:eastAsia="zh-CN"/>
              </w:rPr>
              <w:t>（</w:t>
            </w:r>
            <w:r>
              <w:rPr>
                <w:rFonts w:hint="default" w:ascii="Times New Roman" w:hAnsi="Times New Roman" w:cs="Times New Roman"/>
                <w:color w:val="auto"/>
              </w:rPr>
              <w:t>GB3838-2002</w:t>
            </w:r>
            <w:r>
              <w:rPr>
                <w:rFonts w:hint="default" w:ascii="Times New Roman" w:hAnsi="Times New Roman" w:cs="Times New Roman"/>
                <w:color w:val="auto"/>
                <w:lang w:eastAsia="zh-CN"/>
              </w:rPr>
              <w:t>）</w:t>
            </w:r>
            <w:r>
              <w:rPr>
                <w:rFonts w:hint="default" w:ascii="Times New Roman" w:hAnsi="Times New Roman" w:cs="Times New Roman"/>
                <w:color w:val="auto"/>
              </w:rPr>
              <w:t>V类标准。</w:t>
            </w:r>
          </w:p>
          <w:p>
            <w:pPr>
              <w:pStyle w:val="49"/>
              <w:spacing w:line="360" w:lineRule="auto"/>
              <w:ind w:firstLine="480" w:firstLineChars="200"/>
              <w:jc w:val="both"/>
              <w:rPr>
                <w:rFonts w:hint="default" w:ascii="Times New Roman" w:hAnsi="Times New Roman" w:cs="Times New Roman"/>
                <w:color w:val="auto"/>
              </w:rPr>
            </w:pPr>
            <w:r>
              <w:rPr>
                <w:rFonts w:hint="eastAsia" w:ascii="Times New Roman" w:hAnsi="Times New Roman" w:eastAsia="宋体" w:cs="Times New Roman"/>
                <w:color w:val="auto"/>
                <w:lang w:val="en-US" w:eastAsia="zh-CN"/>
              </w:rPr>
              <w:t>本环评园洲中心排渠监测数据引用惠州市河长制综合管理平台（网址为：http://113.96.111.117:7000/#/h5/waterqualityinfo/ST000051）于2022年3月~2022年8月对园洲中心排渠（禾安排闸下）断面水质监测的数据，且为近3年有效监测数据，因此引用数据具有可行性。</w:t>
            </w:r>
          </w:p>
          <w:p>
            <w:pPr>
              <w:spacing w:line="360" w:lineRule="auto"/>
              <w:rPr>
                <w:rFonts w:hint="default" w:ascii="Times New Roman" w:hAnsi="Times New Roman" w:cs="Times New Roman"/>
                <w:b/>
                <w:bCs/>
                <w:color w:val="auto"/>
                <w:sz w:val="24"/>
                <w:szCs w:val="24"/>
              </w:rPr>
            </w:pPr>
            <w:r>
              <w:rPr>
                <w:color w:val="auto"/>
              </w:rPr>
              <w:drawing>
                <wp:inline distT="0" distB="0" distL="114300" distR="114300">
                  <wp:extent cx="5238750" cy="5073015"/>
                  <wp:effectExtent l="0" t="0" r="0" b="13335"/>
                  <wp:docPr id="190"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45"/>
                          <pic:cNvPicPr>
                            <a:picLocks noChangeAspect="1"/>
                          </pic:cNvPicPr>
                        </pic:nvPicPr>
                        <pic:blipFill>
                          <a:blip r:embed="rId26"/>
                          <a:stretch>
                            <a:fillRect/>
                          </a:stretch>
                        </pic:blipFill>
                        <pic:spPr>
                          <a:xfrm>
                            <a:off x="0" y="0"/>
                            <a:ext cx="5238750" cy="5073015"/>
                          </a:xfrm>
                          <a:prstGeom prst="rect">
                            <a:avLst/>
                          </a:prstGeom>
                          <a:noFill/>
                          <a:ln>
                            <a:noFill/>
                          </a:ln>
                        </pic:spPr>
                      </pic:pic>
                    </a:graphicData>
                  </a:graphic>
                </wp:inline>
              </w:drawing>
            </w:r>
          </w:p>
          <w:p>
            <w:pPr>
              <w:spacing w:line="360" w:lineRule="auto"/>
              <w:rPr>
                <w:rFonts w:hint="default" w:ascii="Times New Roman" w:hAnsi="Times New Roman" w:cs="Times New Roman"/>
                <w:b/>
                <w:bCs/>
                <w:color w:val="auto"/>
                <w:sz w:val="24"/>
                <w:szCs w:val="24"/>
              </w:rPr>
            </w:pPr>
            <w:r>
              <w:rPr>
                <w:color w:val="auto"/>
              </w:rPr>
              <w:drawing>
                <wp:inline distT="0" distB="0" distL="114300" distR="114300">
                  <wp:extent cx="5200650" cy="2591435"/>
                  <wp:effectExtent l="0" t="0" r="0" b="18415"/>
                  <wp:docPr id="192"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47"/>
                          <pic:cNvPicPr>
                            <a:picLocks noChangeAspect="1"/>
                          </pic:cNvPicPr>
                        </pic:nvPicPr>
                        <pic:blipFill>
                          <a:blip r:embed="rId27"/>
                          <a:stretch>
                            <a:fillRect/>
                          </a:stretch>
                        </pic:blipFill>
                        <pic:spPr>
                          <a:xfrm>
                            <a:off x="0" y="0"/>
                            <a:ext cx="5200650" cy="2591435"/>
                          </a:xfrm>
                          <a:prstGeom prst="rect">
                            <a:avLst/>
                          </a:prstGeom>
                          <a:noFill/>
                          <a:ln>
                            <a:noFill/>
                          </a:ln>
                        </pic:spPr>
                      </pic:pic>
                    </a:graphicData>
                  </a:graphic>
                </wp:inline>
              </w:drawing>
            </w:r>
          </w:p>
          <w:p>
            <w:pPr>
              <w:spacing w:line="360" w:lineRule="auto"/>
              <w:ind w:firstLine="480" w:firstLineChars="200"/>
              <w:rPr>
                <w:rFonts w:hint="default" w:ascii="Times New Roman" w:hAnsi="Times New Roman" w:cs="Times New Roman"/>
                <w:b w:val="0"/>
                <w:bCs w:val="0"/>
                <w:color w:val="auto"/>
                <w:sz w:val="24"/>
                <w:szCs w:val="24"/>
              </w:rPr>
            </w:pPr>
            <w:r>
              <w:rPr>
                <w:rFonts w:hint="eastAsia" w:ascii="Times New Roman" w:hAnsi="Times New Roman" w:cs="Times New Roman"/>
                <w:b w:val="0"/>
                <w:bCs w:val="0"/>
                <w:color w:val="auto"/>
                <w:sz w:val="24"/>
                <w:szCs w:val="24"/>
                <w:lang w:val="en-US" w:eastAsia="zh-CN"/>
              </w:rPr>
              <w:t>由此可见，2022年3月~2022年8月，园洲中心排渠水质状况为</w:t>
            </w:r>
            <w:r>
              <w:rPr>
                <w:rFonts w:hint="eastAsia" w:ascii="宋体" w:hAnsi="宋体" w:eastAsia="宋体" w:cs="宋体"/>
                <w:b w:val="0"/>
                <w:bCs w:val="0"/>
                <w:color w:val="auto"/>
                <w:sz w:val="24"/>
                <w:szCs w:val="24"/>
                <w:lang w:val="en-US" w:eastAsia="zh-CN"/>
              </w:rPr>
              <w:t>Ⅴ</w:t>
            </w:r>
            <w:r>
              <w:rPr>
                <w:rFonts w:hint="eastAsia" w:ascii="Times New Roman" w:hAnsi="Times New Roman" w:cs="Times New Roman"/>
                <w:b w:val="0"/>
                <w:bCs w:val="0"/>
                <w:color w:val="auto"/>
                <w:sz w:val="24"/>
                <w:szCs w:val="24"/>
                <w:lang w:val="en-US" w:eastAsia="zh-CN"/>
              </w:rPr>
              <w:t>类、</w:t>
            </w:r>
            <w:r>
              <w:rPr>
                <w:rFonts w:hint="eastAsia" w:ascii="宋体" w:hAnsi="宋体" w:eastAsia="宋体" w:cs="宋体"/>
                <w:b w:val="0"/>
                <w:bCs w:val="0"/>
                <w:color w:val="auto"/>
                <w:sz w:val="24"/>
                <w:szCs w:val="24"/>
                <w:lang w:val="en-US" w:eastAsia="zh-CN"/>
              </w:rPr>
              <w:t>Ⅳ</w:t>
            </w:r>
            <w:r>
              <w:rPr>
                <w:rFonts w:hint="eastAsia" w:ascii="Times New Roman" w:hAnsi="Times New Roman" w:cs="Times New Roman"/>
                <w:b w:val="0"/>
                <w:bCs w:val="0"/>
                <w:color w:val="auto"/>
                <w:sz w:val="24"/>
                <w:szCs w:val="24"/>
                <w:lang w:val="en-US" w:eastAsia="zh-CN"/>
              </w:rPr>
              <w:t>类。因此园洲中心排渠水质状况能达到《地表水环境质量标准》（GB3838-2002）中的</w:t>
            </w:r>
            <w:r>
              <w:rPr>
                <w:rFonts w:hint="eastAsia" w:ascii="宋体" w:hAnsi="宋体" w:eastAsia="宋体" w:cs="宋体"/>
                <w:b w:val="0"/>
                <w:bCs w:val="0"/>
                <w:color w:val="auto"/>
                <w:sz w:val="24"/>
                <w:szCs w:val="24"/>
                <w:lang w:val="en-US" w:eastAsia="zh-CN"/>
              </w:rPr>
              <w:t>Ⅴ</w:t>
            </w:r>
            <w:r>
              <w:rPr>
                <w:rFonts w:hint="eastAsia" w:ascii="Times New Roman" w:hAnsi="Times New Roman" w:cs="Times New Roman"/>
                <w:b w:val="0"/>
                <w:bCs w:val="0"/>
                <w:color w:val="auto"/>
                <w:sz w:val="24"/>
                <w:szCs w:val="24"/>
                <w:lang w:val="en-US" w:eastAsia="zh-CN"/>
              </w:rPr>
              <w:t>类要求。</w:t>
            </w:r>
          </w:p>
          <w:p>
            <w:pPr>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3.1.3声环境</w:t>
            </w:r>
          </w:p>
          <w:p>
            <w:pPr>
              <w:spacing w:line="360" w:lineRule="auto"/>
              <w:ind w:firstLine="480" w:firstLineChars="200"/>
              <w:rPr>
                <w:rFonts w:hint="default" w:ascii="Times New Roman" w:hAnsi="Times New Roman" w:cs="Times New Roman"/>
                <w:snapToGrid w:val="0"/>
                <w:color w:val="auto"/>
                <w:sz w:val="24"/>
                <w:szCs w:val="24"/>
                <w:lang w:val="zh-CN"/>
              </w:rPr>
            </w:pPr>
            <w:r>
              <w:rPr>
                <w:rFonts w:hint="default" w:ascii="Times New Roman" w:hAnsi="Times New Roman" w:cs="Times New Roman"/>
                <w:color w:val="auto"/>
                <w:kern w:val="0"/>
                <w:sz w:val="24"/>
                <w:szCs w:val="24"/>
              </w:rPr>
              <w:t>根据</w:t>
            </w:r>
            <w:r>
              <w:rPr>
                <w:rFonts w:hint="default" w:ascii="Times New Roman" w:hAnsi="Times New Roman" w:cs="Times New Roman"/>
                <w:color w:val="auto"/>
                <w:sz w:val="24"/>
                <w:szCs w:val="24"/>
              </w:rPr>
              <w:t>《惠州市</w:t>
            </w:r>
            <w:r>
              <w:rPr>
                <w:rFonts w:hint="default" w:ascii="Times New Roman" w:hAnsi="Times New Roman" w:cs="Times New Roman"/>
                <w:color w:val="auto"/>
                <w:sz w:val="24"/>
                <w:szCs w:val="24"/>
                <w:lang w:val="en-US" w:eastAsia="zh-CN"/>
              </w:rPr>
              <w:t>环境空气质量功能区划分方案（2022年）</w:t>
            </w:r>
            <w:r>
              <w:rPr>
                <w:rFonts w:hint="default" w:ascii="Times New Roman" w:hAnsi="Times New Roman" w:cs="Times New Roman"/>
                <w:color w:val="auto"/>
                <w:sz w:val="24"/>
                <w:szCs w:val="24"/>
              </w:rPr>
              <w:t>》（惠</w:t>
            </w:r>
            <w:r>
              <w:rPr>
                <w:rFonts w:hint="default" w:ascii="Times New Roman" w:hAnsi="Times New Roman" w:cs="Times New Roman"/>
                <w:color w:val="auto"/>
                <w:sz w:val="24"/>
                <w:szCs w:val="24"/>
                <w:lang w:val="en-US" w:eastAsia="zh-CN"/>
              </w:rPr>
              <w:t>市环</w:t>
            </w:r>
            <w:r>
              <w:rPr>
                <w:rFonts w:hint="default" w:ascii="Times New Roman" w:hAnsi="Times New Roman" w:cs="Times New Roman"/>
                <w:color w:val="auto"/>
                <w:sz w:val="24"/>
                <w:szCs w:val="24"/>
              </w:rPr>
              <w:t>〔20</w:t>
            </w:r>
            <w:r>
              <w:rPr>
                <w:rFonts w:hint="default" w:ascii="Times New Roman" w:hAnsi="Times New Roman" w:cs="Times New Roman"/>
                <w:color w:val="auto"/>
                <w:sz w:val="24"/>
                <w:szCs w:val="24"/>
                <w:lang w:val="en-US" w:eastAsia="zh-CN"/>
              </w:rPr>
              <w:t>22</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33</w:t>
            </w:r>
            <w:r>
              <w:rPr>
                <w:rFonts w:hint="default" w:ascii="Times New Roman" w:hAnsi="Times New Roman" w:cs="Times New Roman"/>
                <w:color w:val="auto"/>
                <w:sz w:val="24"/>
                <w:szCs w:val="24"/>
              </w:rPr>
              <w:t>号）</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位于居住、商业、工业混杂，需要维护住宅安静的区域，声环境为2类功能区</w:t>
            </w:r>
            <w:r>
              <w:rPr>
                <w:rFonts w:hint="default" w:ascii="Times New Roman" w:hAnsi="Times New Roman" w:cs="Times New Roman"/>
                <w:color w:val="auto"/>
                <w:sz w:val="24"/>
                <w:szCs w:val="24"/>
              </w:rPr>
              <w:t>，执行《声环境质量标准》（GB3096-2008）中</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类标准</w:t>
            </w:r>
            <w:r>
              <w:rPr>
                <w:rFonts w:hint="default" w:ascii="Times New Roman" w:hAnsi="Times New Roman" w:cs="Times New Roman"/>
                <w:snapToGrid w:val="0"/>
                <w:color w:val="auto"/>
                <w:sz w:val="24"/>
                <w:szCs w:val="24"/>
                <w:lang w:val="zh-CN"/>
              </w:rPr>
              <w:t>。</w:t>
            </w:r>
          </w:p>
          <w:p>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根据现场勘察，建设项目西侧厂界外50m范围内存在声环境保护目标“无人居住居民楼”。为了解项目所在地声环境质量现状，项目委托广东君正检测技术有限公司进行噪声现状监测，并出具噪声监测报告（报告编号：JZ2307054）（附件九）。监测结果统计见下表：</w:t>
            </w:r>
          </w:p>
          <w:p>
            <w:pPr>
              <w:adjustRightInd w:val="0"/>
              <w:snapToGrid w:val="0"/>
              <w:spacing w:line="360" w:lineRule="auto"/>
              <w:jc w:val="center"/>
              <w:rPr>
                <w:rFonts w:hint="default" w:ascii="Times New Roman" w:hAnsi="Times New Roman" w:eastAsia="宋体" w:cs="Times New Roman"/>
                <w:b/>
                <w:bCs/>
                <w:color w:val="auto"/>
                <w:sz w:val="24"/>
                <w:highlight w:val="none"/>
                <w:lang w:val="en-US" w:eastAsia="zh-CN"/>
              </w:rPr>
            </w:pPr>
            <w:r>
              <w:rPr>
                <w:rFonts w:hint="default" w:ascii="Times New Roman" w:hAnsi="Times New Roman" w:cs="Times New Roman"/>
                <w:b/>
                <w:bCs/>
                <w:color w:val="auto"/>
                <w:sz w:val="24"/>
                <w:highlight w:val="none"/>
                <w:lang w:val="en-US" w:eastAsia="zh-CN"/>
              </w:rPr>
              <w:t>表3-</w:t>
            </w:r>
            <w:r>
              <w:rPr>
                <w:rFonts w:hint="eastAsia"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highlight w:val="none"/>
                <w:lang w:val="en-US" w:eastAsia="zh-CN"/>
              </w:rPr>
              <w:t xml:space="preserve"> 环境噪声现状监测结果表（单位：dB(A)）</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9"/>
              <w:gridCol w:w="1428"/>
              <w:gridCol w:w="5"/>
              <w:gridCol w:w="1286"/>
              <w:gridCol w:w="2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 w:hRule="atLeast"/>
                <w:jc w:val="center"/>
              </w:trPr>
              <w:tc>
                <w:tcPr>
                  <w:tcW w:w="2719" w:type="dxa"/>
                  <w:vMerge w:val="restart"/>
                  <w:noWrap w:val="0"/>
                  <w:vAlign w:val="center"/>
                </w:tcPr>
                <w:p>
                  <w:pPr>
                    <w:adjustRightInd w:val="0"/>
                    <w:snapToGrid w:val="0"/>
                    <w:spacing w:line="36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监测点位</w:t>
                  </w:r>
                </w:p>
              </w:tc>
              <w:tc>
                <w:tcPr>
                  <w:tcW w:w="2719" w:type="dxa"/>
                  <w:gridSpan w:val="3"/>
                  <w:noWrap w:val="0"/>
                  <w:vAlign w:val="center"/>
                </w:tcPr>
                <w:p>
                  <w:pPr>
                    <w:adjustRightInd w:val="0"/>
                    <w:snapToGrid w:val="0"/>
                    <w:spacing w:line="36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检测结果</w:t>
                  </w:r>
                </w:p>
              </w:tc>
              <w:tc>
                <w:tcPr>
                  <w:tcW w:w="2720" w:type="dxa"/>
                  <w:vMerge w:val="restart"/>
                  <w:noWrap w:val="0"/>
                  <w:vAlign w:val="center"/>
                </w:tcPr>
                <w:p>
                  <w:pPr>
                    <w:adjustRightInd w:val="0"/>
                    <w:snapToGrid w:val="0"/>
                    <w:spacing w:line="36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 w:hRule="atLeast"/>
                <w:jc w:val="center"/>
              </w:trPr>
              <w:tc>
                <w:tcPr>
                  <w:tcW w:w="2719" w:type="dxa"/>
                  <w:vMerge w:val="continue"/>
                  <w:noWrap w:val="0"/>
                  <w:vAlign w:val="center"/>
                </w:tcPr>
                <w:p>
                  <w:pPr>
                    <w:adjustRightInd w:val="0"/>
                    <w:snapToGrid w:val="0"/>
                    <w:spacing w:line="360" w:lineRule="auto"/>
                    <w:jc w:val="center"/>
                    <w:rPr>
                      <w:rFonts w:hint="default" w:ascii="Times New Roman" w:hAnsi="Times New Roman" w:cs="Times New Roman"/>
                      <w:color w:val="auto"/>
                      <w:sz w:val="21"/>
                      <w:szCs w:val="21"/>
                      <w:vertAlign w:val="baseline"/>
                      <w:lang w:val="en-US" w:eastAsia="zh-CN"/>
                    </w:rPr>
                  </w:pPr>
                </w:p>
              </w:tc>
              <w:tc>
                <w:tcPr>
                  <w:tcW w:w="1428" w:type="dxa"/>
                  <w:noWrap w:val="0"/>
                  <w:vAlign w:val="center"/>
                </w:tcPr>
                <w:p>
                  <w:pPr>
                    <w:adjustRightInd w:val="0"/>
                    <w:snapToGrid w:val="0"/>
                    <w:spacing w:line="360" w:lineRule="auto"/>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昼间</w:t>
                  </w:r>
                </w:p>
              </w:tc>
              <w:tc>
                <w:tcPr>
                  <w:tcW w:w="1291" w:type="dxa"/>
                  <w:gridSpan w:val="2"/>
                  <w:noWrap w:val="0"/>
                  <w:vAlign w:val="center"/>
                </w:tcPr>
                <w:p>
                  <w:pPr>
                    <w:adjustRightInd w:val="0"/>
                    <w:snapToGrid w:val="0"/>
                    <w:spacing w:line="360" w:lineRule="auto"/>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夜间</w:t>
                  </w:r>
                </w:p>
              </w:tc>
              <w:tc>
                <w:tcPr>
                  <w:tcW w:w="2720" w:type="dxa"/>
                  <w:vMerge w:val="continue"/>
                  <w:noWrap w:val="0"/>
                  <w:vAlign w:val="center"/>
                </w:tcPr>
                <w:p>
                  <w:pPr>
                    <w:adjustRightInd w:val="0"/>
                    <w:snapToGrid w:val="0"/>
                    <w:spacing w:line="360" w:lineRule="auto"/>
                    <w:jc w:val="center"/>
                    <w:rPr>
                      <w:rFonts w:hint="default" w:ascii="Times New Roman" w:hAnsi="Times New Roman"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19" w:type="dxa"/>
                  <w:noWrap w:val="0"/>
                  <w:vAlign w:val="center"/>
                </w:tcPr>
                <w:p>
                  <w:pPr>
                    <w:adjustRightInd w:val="0"/>
                    <w:snapToGrid w:val="0"/>
                    <w:spacing w:line="36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项目西面无人居住居民楼</w:t>
                  </w:r>
                </w:p>
              </w:tc>
              <w:tc>
                <w:tcPr>
                  <w:tcW w:w="1433" w:type="dxa"/>
                  <w:gridSpan w:val="2"/>
                  <w:noWrap w:val="0"/>
                  <w:vAlign w:val="center"/>
                </w:tcPr>
                <w:p>
                  <w:pPr>
                    <w:adjustRightInd w:val="0"/>
                    <w:snapToGrid w:val="0"/>
                    <w:spacing w:line="36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58</w:t>
                  </w:r>
                </w:p>
              </w:tc>
              <w:tc>
                <w:tcPr>
                  <w:tcW w:w="1286" w:type="dxa"/>
                  <w:noWrap w:val="0"/>
                  <w:vAlign w:val="center"/>
                </w:tcPr>
                <w:p>
                  <w:pPr>
                    <w:adjustRightInd w:val="0"/>
                    <w:snapToGrid w:val="0"/>
                    <w:spacing w:line="360" w:lineRule="auto"/>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48</w:t>
                  </w:r>
                </w:p>
              </w:tc>
              <w:tc>
                <w:tcPr>
                  <w:tcW w:w="2720" w:type="dxa"/>
                  <w:noWrap w:val="0"/>
                  <w:vAlign w:val="center"/>
                </w:tcPr>
                <w:p>
                  <w:pPr>
                    <w:adjustRightInd w:val="0"/>
                    <w:snapToGrid w:val="0"/>
                    <w:spacing w:line="36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达标</w:t>
                  </w:r>
                </w:p>
              </w:tc>
            </w:tr>
          </w:tbl>
          <w:p>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从监测结果可以看出，项目厂区周边声环境保护目标监测点处噪声值达到《声环境质量标准》（GB3097-2008）2类标准（昼间≤60dB（A）），项目所在地的声环境质量较好。</w:t>
            </w:r>
          </w:p>
          <w:p>
            <w:pPr>
              <w:spacing w:line="360" w:lineRule="auto"/>
              <w:ind w:firstLine="482"/>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3.1.4 生态环境</w:t>
            </w:r>
          </w:p>
          <w:p>
            <w:pPr>
              <w:spacing w:line="360" w:lineRule="auto"/>
              <w:ind w:firstLine="482"/>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w:t>
            </w:r>
            <w:r>
              <w:rPr>
                <w:rFonts w:hint="default" w:ascii="Times New Roman" w:hAnsi="Times New Roman" w:cs="Times New Roman"/>
                <w:color w:val="auto"/>
                <w:sz w:val="24"/>
                <w:szCs w:val="24"/>
                <w:lang w:val="en-US" w:eastAsia="zh-CN"/>
              </w:rPr>
              <w:t>现场</w:t>
            </w:r>
            <w:r>
              <w:rPr>
                <w:rFonts w:hint="default" w:ascii="Times New Roman" w:hAnsi="Times New Roman" w:cs="Times New Roman"/>
                <w:color w:val="auto"/>
                <w:sz w:val="24"/>
                <w:szCs w:val="24"/>
              </w:rPr>
              <w:t>调查，项目所在区域周边附近无风景名胜区、自然保护区及文化遗产等特殊保护目标，生态环境不属于敏感区。根据地方或生境重要性评判，该区域属于非重要生境，没有特别受保护的生境和生物区系及水产资源。</w:t>
            </w:r>
          </w:p>
          <w:p>
            <w:pPr>
              <w:spacing w:line="360" w:lineRule="auto"/>
              <w:ind w:firstLine="482"/>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3.1.5 地下水、土壤环境</w:t>
            </w:r>
          </w:p>
          <w:p>
            <w:pPr>
              <w:spacing w:line="360" w:lineRule="auto"/>
              <w:ind w:firstLine="482"/>
              <w:rPr>
                <w:rFonts w:hint="default" w:ascii="Times New Roman" w:hAnsi="Times New Roman" w:cs="Times New Roman"/>
                <w:color w:val="auto"/>
                <w:kern w:val="0"/>
                <w:szCs w:val="21"/>
              </w:rPr>
            </w:pPr>
            <w:r>
              <w:rPr>
                <w:rFonts w:hint="default" w:ascii="Times New Roman" w:hAnsi="Times New Roman" w:cs="Times New Roman"/>
                <w:color w:val="auto"/>
                <w:sz w:val="24"/>
                <w:szCs w:val="24"/>
              </w:rPr>
              <w:t>本项目生产过程不使用有毒有害物质，无生产废水排放；且项目厂房地面均为硬化地面，不存在土壤、地下水污染途径，不需开展地下水及土壤环境质量现状调查。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52" w:type="dxa"/>
            <w:noWrap w:val="0"/>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 w:val="24"/>
                <w:szCs w:val="24"/>
              </w:rPr>
              <w:t>环境保护目标</w:t>
            </w:r>
          </w:p>
        </w:tc>
        <w:tc>
          <w:tcPr>
            <w:tcW w:w="8609" w:type="dxa"/>
            <w:noWrap w:val="0"/>
            <w:vAlign w:val="top"/>
          </w:tcPr>
          <w:p>
            <w:pPr>
              <w:tabs>
                <w:tab w:val="left" w:pos="8505"/>
              </w:tabs>
              <w:adjustRightInd w:val="0"/>
              <w:snapToGrid w:val="0"/>
              <w:spacing w:before="120" w:beforeLines="50" w:line="360" w:lineRule="auto"/>
              <w:ind w:firstLine="542" w:firstLineChars="225"/>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3.2.1 大气环境</w:t>
            </w:r>
          </w:p>
          <w:p>
            <w:pPr>
              <w:pStyle w:val="49"/>
              <w:spacing w:line="360" w:lineRule="auto"/>
              <w:ind w:firstLine="480" w:firstLineChars="200"/>
              <w:jc w:val="both"/>
              <w:rPr>
                <w:rFonts w:hint="default" w:ascii="Times New Roman" w:hAnsi="Times New Roman" w:cs="Times New Roman"/>
                <w:color w:val="auto"/>
                <w:sz w:val="24"/>
                <w:szCs w:val="24"/>
              </w:rPr>
            </w:pPr>
            <w:r>
              <w:rPr>
                <w:rFonts w:hint="default" w:ascii="Times New Roman" w:hAnsi="Times New Roman" w:cs="Times New Roman"/>
                <w:bCs/>
                <w:color w:val="auto"/>
                <w:sz w:val="24"/>
                <w:szCs w:val="24"/>
              </w:rPr>
              <w:t>保护目标为周边的环境空气，使其符合</w:t>
            </w:r>
            <w:r>
              <w:rPr>
                <w:rFonts w:hint="default" w:ascii="Times New Roman" w:hAnsi="Times New Roman" w:cs="Times New Roman"/>
                <w:color w:val="auto"/>
                <w:sz w:val="24"/>
                <w:szCs w:val="24"/>
              </w:rPr>
              <w:t>《环境空气质量标准》（GB3095-2012）及其2018年修改单的二级标准</w:t>
            </w:r>
            <w:r>
              <w:rPr>
                <w:rFonts w:hint="default" w:ascii="Times New Roman" w:hAnsi="Times New Roman" w:cs="Times New Roman"/>
                <w:bCs/>
                <w:color w:val="auto"/>
                <w:sz w:val="24"/>
                <w:szCs w:val="24"/>
              </w:rPr>
              <w:t>；</w:t>
            </w:r>
            <w:r>
              <w:rPr>
                <w:rFonts w:hint="default" w:ascii="Times New Roman" w:hAnsi="Times New Roman" w:cs="Times New Roman"/>
                <w:color w:val="auto"/>
                <w:sz w:val="24"/>
                <w:szCs w:val="24"/>
              </w:rPr>
              <w:t>厂界外500米范围内的大气环境保护目标如下：</w:t>
            </w:r>
          </w:p>
          <w:p>
            <w:pPr>
              <w:spacing w:line="360" w:lineRule="auto"/>
              <w:jc w:val="center"/>
              <w:rPr>
                <w:rFonts w:hint="default" w:ascii="Times New Roman" w:hAnsi="Times New Roman" w:cs="Times New Roman"/>
                <w:b/>
                <w:color w:val="auto"/>
                <w:kern w:val="0"/>
                <w:sz w:val="24"/>
                <w:szCs w:val="24"/>
              </w:rPr>
            </w:pPr>
            <w:r>
              <w:rPr>
                <w:rFonts w:hint="default" w:ascii="Times New Roman" w:hAnsi="Times New Roman" w:cs="Times New Roman"/>
                <w:b/>
                <w:color w:val="auto"/>
                <w:kern w:val="0"/>
                <w:sz w:val="24"/>
                <w:szCs w:val="24"/>
              </w:rPr>
              <w:t>表3-</w:t>
            </w:r>
            <w:r>
              <w:rPr>
                <w:rFonts w:hint="eastAsia" w:ascii="Times New Roman" w:hAnsi="Times New Roman" w:cs="Times New Roman"/>
                <w:b/>
                <w:color w:val="auto"/>
                <w:kern w:val="0"/>
                <w:sz w:val="24"/>
                <w:szCs w:val="24"/>
                <w:lang w:val="en-US" w:eastAsia="zh-CN"/>
              </w:rPr>
              <w:t>3</w:t>
            </w:r>
            <w:r>
              <w:rPr>
                <w:rFonts w:hint="default" w:ascii="Times New Roman" w:hAnsi="Times New Roman" w:cs="Times New Roman"/>
                <w:b/>
                <w:color w:val="auto"/>
                <w:kern w:val="0"/>
                <w:sz w:val="24"/>
                <w:szCs w:val="24"/>
              </w:rPr>
              <w:t xml:space="preserve"> 项目所在区域大气环境保护目标</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6"/>
              <w:gridCol w:w="1180"/>
              <w:gridCol w:w="661"/>
              <w:gridCol w:w="718"/>
              <w:gridCol w:w="731"/>
              <w:gridCol w:w="803"/>
              <w:gridCol w:w="729"/>
              <w:gridCol w:w="1021"/>
              <w:gridCol w:w="1152"/>
              <w:gridCol w:w="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308" w:type="pct"/>
                  <w:vMerge w:val="restar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704" w:type="pct"/>
                  <w:vMerge w:val="restar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名称</w:t>
                  </w:r>
                </w:p>
              </w:tc>
              <w:tc>
                <w:tcPr>
                  <w:tcW w:w="822" w:type="pct"/>
                  <w:gridSpan w:val="2"/>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坐标/m</w:t>
                  </w:r>
                </w:p>
              </w:tc>
              <w:tc>
                <w:tcPr>
                  <w:tcW w:w="436" w:type="pct"/>
                  <w:vMerge w:val="restar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保护</w:t>
                  </w:r>
                </w:p>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对象</w:t>
                  </w:r>
                </w:p>
              </w:tc>
              <w:tc>
                <w:tcPr>
                  <w:tcW w:w="479" w:type="pct"/>
                  <w:vMerge w:val="restar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保护</w:t>
                  </w:r>
                </w:p>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内容</w:t>
                  </w:r>
                </w:p>
              </w:tc>
              <w:tc>
                <w:tcPr>
                  <w:tcW w:w="435" w:type="pct"/>
                  <w:vMerge w:val="restar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环境功能区</w:t>
                  </w:r>
                </w:p>
              </w:tc>
              <w:tc>
                <w:tcPr>
                  <w:tcW w:w="609" w:type="pct"/>
                  <w:vMerge w:val="restar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相对厂址方位</w:t>
                  </w:r>
                </w:p>
              </w:tc>
              <w:tc>
                <w:tcPr>
                  <w:tcW w:w="687" w:type="pct"/>
                  <w:vMerge w:val="restart"/>
                  <w:noWrap w:val="0"/>
                  <w:vAlign w:val="center"/>
                </w:tcPr>
                <w:p>
                  <w:pPr>
                    <w:widowControl/>
                    <w:jc w:val="center"/>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lang w:val="en-US" w:eastAsia="zh-CN"/>
                    </w:rPr>
                    <w:t>相对生产车间距离（m）</w:t>
                  </w:r>
                </w:p>
              </w:tc>
              <w:tc>
                <w:tcPr>
                  <w:tcW w:w="515" w:type="pct"/>
                  <w:vMerge w:val="restar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308" w:type="pct"/>
                  <w:vMerge w:val="continue"/>
                  <w:noWrap w:val="0"/>
                  <w:vAlign w:val="center"/>
                </w:tcPr>
                <w:p>
                  <w:pPr>
                    <w:widowControl/>
                    <w:jc w:val="center"/>
                    <w:rPr>
                      <w:rFonts w:hint="default" w:ascii="Times New Roman" w:hAnsi="Times New Roman" w:cs="Times New Roman"/>
                      <w:b/>
                      <w:bCs/>
                      <w:color w:val="auto"/>
                      <w:szCs w:val="21"/>
                    </w:rPr>
                  </w:pPr>
                </w:p>
              </w:tc>
              <w:tc>
                <w:tcPr>
                  <w:tcW w:w="704" w:type="pct"/>
                  <w:vMerge w:val="continue"/>
                  <w:noWrap w:val="0"/>
                  <w:vAlign w:val="center"/>
                </w:tcPr>
                <w:p>
                  <w:pPr>
                    <w:widowControl/>
                    <w:jc w:val="center"/>
                    <w:rPr>
                      <w:rFonts w:hint="default" w:ascii="Times New Roman" w:hAnsi="Times New Roman" w:cs="Times New Roman"/>
                      <w:b/>
                      <w:bCs/>
                      <w:color w:val="auto"/>
                      <w:szCs w:val="21"/>
                    </w:rPr>
                  </w:pPr>
                </w:p>
              </w:tc>
              <w:tc>
                <w:tcPr>
                  <w:tcW w:w="394"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X</w:t>
                  </w:r>
                </w:p>
              </w:tc>
              <w:tc>
                <w:tcPr>
                  <w:tcW w:w="428"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Y</w:t>
                  </w:r>
                </w:p>
              </w:tc>
              <w:tc>
                <w:tcPr>
                  <w:tcW w:w="436" w:type="pct"/>
                  <w:vMerge w:val="continue"/>
                  <w:noWrap w:val="0"/>
                  <w:vAlign w:val="center"/>
                </w:tcPr>
                <w:p>
                  <w:pPr>
                    <w:widowControl/>
                    <w:jc w:val="center"/>
                    <w:rPr>
                      <w:rFonts w:hint="default" w:ascii="Times New Roman" w:hAnsi="Times New Roman" w:cs="Times New Roman"/>
                      <w:b/>
                      <w:bCs/>
                      <w:color w:val="auto"/>
                      <w:szCs w:val="21"/>
                    </w:rPr>
                  </w:pPr>
                </w:p>
              </w:tc>
              <w:tc>
                <w:tcPr>
                  <w:tcW w:w="479" w:type="pct"/>
                  <w:vMerge w:val="continue"/>
                  <w:noWrap w:val="0"/>
                  <w:vAlign w:val="center"/>
                </w:tcPr>
                <w:p>
                  <w:pPr>
                    <w:widowControl/>
                    <w:jc w:val="center"/>
                    <w:rPr>
                      <w:rFonts w:hint="default" w:ascii="Times New Roman" w:hAnsi="Times New Roman" w:cs="Times New Roman"/>
                      <w:b/>
                      <w:bCs/>
                      <w:color w:val="auto"/>
                      <w:szCs w:val="21"/>
                    </w:rPr>
                  </w:pPr>
                </w:p>
              </w:tc>
              <w:tc>
                <w:tcPr>
                  <w:tcW w:w="435" w:type="pct"/>
                  <w:vMerge w:val="continue"/>
                  <w:noWrap w:val="0"/>
                  <w:vAlign w:val="center"/>
                </w:tcPr>
                <w:p>
                  <w:pPr>
                    <w:widowControl/>
                    <w:jc w:val="center"/>
                    <w:rPr>
                      <w:rFonts w:hint="default" w:ascii="Times New Roman" w:hAnsi="Times New Roman" w:cs="Times New Roman"/>
                      <w:b/>
                      <w:bCs/>
                      <w:color w:val="auto"/>
                      <w:szCs w:val="21"/>
                    </w:rPr>
                  </w:pPr>
                </w:p>
              </w:tc>
              <w:tc>
                <w:tcPr>
                  <w:tcW w:w="609" w:type="pct"/>
                  <w:vMerge w:val="continue"/>
                  <w:noWrap w:val="0"/>
                  <w:vAlign w:val="center"/>
                </w:tcPr>
                <w:p>
                  <w:pPr>
                    <w:widowControl/>
                    <w:jc w:val="center"/>
                    <w:rPr>
                      <w:rFonts w:hint="default" w:ascii="Times New Roman" w:hAnsi="Times New Roman" w:cs="Times New Roman"/>
                      <w:b/>
                      <w:bCs/>
                      <w:color w:val="auto"/>
                      <w:szCs w:val="21"/>
                    </w:rPr>
                  </w:pPr>
                </w:p>
              </w:tc>
              <w:tc>
                <w:tcPr>
                  <w:tcW w:w="687" w:type="pct"/>
                  <w:vMerge w:val="continue"/>
                  <w:noWrap w:val="0"/>
                  <w:vAlign w:val="center"/>
                </w:tcPr>
                <w:p>
                  <w:pPr>
                    <w:widowControl/>
                    <w:jc w:val="center"/>
                    <w:rPr>
                      <w:rFonts w:hint="default" w:ascii="Times New Roman" w:hAnsi="Times New Roman" w:cs="Times New Roman"/>
                      <w:b/>
                      <w:bCs/>
                      <w:color w:val="auto"/>
                      <w:szCs w:val="21"/>
                    </w:rPr>
                  </w:pPr>
                </w:p>
              </w:tc>
              <w:tc>
                <w:tcPr>
                  <w:tcW w:w="515" w:type="pct"/>
                  <w:vMerge w:val="continue"/>
                  <w:noWrap w:val="0"/>
                  <w:vAlign w:val="center"/>
                </w:tcPr>
                <w:p>
                  <w:pPr>
                    <w:widowControl/>
                    <w:jc w:val="center"/>
                    <w:rPr>
                      <w:rFonts w:hint="default" w:ascii="Times New Roman" w:hAnsi="Times New Roman" w:cs="Times New Roman"/>
                      <w:b/>
                      <w:bCs/>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无人居住居民楼</w:t>
                  </w:r>
                </w:p>
              </w:tc>
              <w:tc>
                <w:tcPr>
                  <w:tcW w:w="39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-24</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居民</w:t>
                  </w:r>
                </w:p>
              </w:tc>
              <w:tc>
                <w:tcPr>
                  <w:tcW w:w="479" w:type="pct"/>
                  <w:vMerge w:val="restar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大气环境</w:t>
                  </w:r>
                </w:p>
              </w:tc>
              <w:tc>
                <w:tcPr>
                  <w:tcW w:w="435" w:type="pct"/>
                  <w:vMerge w:val="restart"/>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环境空气二类区</w:t>
                  </w:r>
                </w:p>
              </w:tc>
              <w:tc>
                <w:tcPr>
                  <w:tcW w:w="609"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西侧</w:t>
                  </w:r>
                </w:p>
              </w:tc>
              <w:tc>
                <w:tcPr>
                  <w:tcW w:w="687"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w:t>
                  </w:r>
                  <w:r>
                    <w:rPr>
                      <w:rFonts w:hint="eastAsia" w:ascii="Times New Roman" w:hAnsi="Times New Roman" w:cs="Times New Roman"/>
                      <w:color w:val="auto"/>
                      <w:szCs w:val="21"/>
                      <w:lang w:val="en-US" w:eastAsia="zh-CN"/>
                    </w:rPr>
                    <w:t>9</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上南村</w:t>
                  </w:r>
                </w:p>
              </w:tc>
              <w:tc>
                <w:tcPr>
                  <w:tcW w:w="39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60</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居民</w:t>
                  </w:r>
                </w:p>
              </w:tc>
              <w:tc>
                <w:tcPr>
                  <w:tcW w:w="479" w:type="pct"/>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609"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南侧</w:t>
                  </w:r>
                </w:p>
              </w:tc>
              <w:tc>
                <w:tcPr>
                  <w:tcW w:w="687"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60</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3</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上南公园</w:t>
                  </w:r>
                </w:p>
              </w:tc>
              <w:tc>
                <w:tcPr>
                  <w:tcW w:w="39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-104</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居民</w:t>
                  </w:r>
                </w:p>
              </w:tc>
              <w:tc>
                <w:tcPr>
                  <w:tcW w:w="479" w:type="pct"/>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609"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西侧</w:t>
                  </w:r>
                </w:p>
              </w:tc>
              <w:tc>
                <w:tcPr>
                  <w:tcW w:w="687"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136</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4</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仁杰幼儿园</w:t>
                  </w:r>
                </w:p>
              </w:tc>
              <w:tc>
                <w:tcPr>
                  <w:tcW w:w="39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108</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居民</w:t>
                  </w:r>
                </w:p>
              </w:tc>
              <w:tc>
                <w:tcPr>
                  <w:tcW w:w="479" w:type="pct"/>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609"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东侧</w:t>
                  </w:r>
                </w:p>
              </w:tc>
              <w:tc>
                <w:tcPr>
                  <w:tcW w:w="687"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108</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培英幼儿园</w:t>
                  </w:r>
                </w:p>
              </w:tc>
              <w:tc>
                <w:tcPr>
                  <w:tcW w:w="39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119</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260</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师生</w:t>
                  </w:r>
                </w:p>
              </w:tc>
              <w:tc>
                <w:tcPr>
                  <w:tcW w:w="479" w:type="pct"/>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609"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东北侧</w:t>
                  </w:r>
                </w:p>
              </w:tc>
              <w:tc>
                <w:tcPr>
                  <w:tcW w:w="687"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292</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6</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盛园华府</w:t>
                  </w:r>
                </w:p>
              </w:tc>
              <w:tc>
                <w:tcPr>
                  <w:tcW w:w="39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-305</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80</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居民</w:t>
                  </w:r>
                </w:p>
              </w:tc>
              <w:tc>
                <w:tcPr>
                  <w:tcW w:w="479" w:type="pct"/>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609"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西北</w:t>
                  </w:r>
                </w:p>
              </w:tc>
              <w:tc>
                <w:tcPr>
                  <w:tcW w:w="687"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351</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7</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上南村卫生站</w:t>
                  </w:r>
                </w:p>
              </w:tc>
              <w:tc>
                <w:tcPr>
                  <w:tcW w:w="39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-247</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-241</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居民</w:t>
                  </w:r>
                </w:p>
              </w:tc>
              <w:tc>
                <w:tcPr>
                  <w:tcW w:w="479" w:type="pct"/>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609"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西南</w:t>
                  </w:r>
                </w:p>
              </w:tc>
              <w:tc>
                <w:tcPr>
                  <w:tcW w:w="687"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365</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8" w:type="pct"/>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8</w:t>
                  </w:r>
                </w:p>
              </w:tc>
              <w:tc>
                <w:tcPr>
                  <w:tcW w:w="70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名巨新城花园</w:t>
                  </w:r>
                </w:p>
              </w:tc>
              <w:tc>
                <w:tcPr>
                  <w:tcW w:w="394"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372</w:t>
                  </w:r>
                </w:p>
              </w:tc>
              <w:tc>
                <w:tcPr>
                  <w:tcW w:w="428"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-135</w:t>
                  </w:r>
                </w:p>
              </w:tc>
              <w:tc>
                <w:tcPr>
                  <w:tcW w:w="436"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居民</w:t>
                  </w:r>
                </w:p>
              </w:tc>
              <w:tc>
                <w:tcPr>
                  <w:tcW w:w="479" w:type="pct"/>
                  <w:vMerge w:val="continue"/>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435" w:type="pct"/>
                  <w:vMerge w:val="continue"/>
                  <w:noWrap w:val="0"/>
                  <w:vAlign w:val="center"/>
                </w:tcPr>
                <w:p>
                  <w:pPr>
                    <w:keepNext w:val="0"/>
                    <w:keepLines w:val="0"/>
                    <w:pageBreakBefore w:val="0"/>
                    <w:widowControl/>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p>
              </w:tc>
              <w:tc>
                <w:tcPr>
                  <w:tcW w:w="609"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东南</w:t>
                  </w:r>
                </w:p>
              </w:tc>
              <w:tc>
                <w:tcPr>
                  <w:tcW w:w="687"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413</w:t>
                  </w:r>
                </w:p>
              </w:tc>
              <w:tc>
                <w:tcPr>
                  <w:tcW w:w="515" w:type="pct"/>
                  <w:noWrap w:val="0"/>
                  <w:vAlign w:val="center"/>
                </w:tcPr>
                <w:p>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rPr>
                      <w:rFonts w:hint="default" w:ascii="Times New Roman" w:hAnsi="Times New Roman" w:cs="Times New Roman"/>
                      <w:bCs/>
                      <w:color w:val="auto"/>
                      <w:szCs w:val="21"/>
                      <w:lang w:val="en-US" w:eastAsia="zh-CN"/>
                    </w:rPr>
                  </w:pPr>
                  <w:r>
                    <w:rPr>
                      <w:rFonts w:hint="default" w:ascii="Times New Roman" w:hAnsi="Times New Roman" w:cs="Times New Roman"/>
                      <w:bCs/>
                      <w:color w:val="auto"/>
                      <w:szCs w:val="21"/>
                      <w:lang w:val="en-US" w:eastAsia="zh-CN"/>
                    </w:rPr>
                    <w:t>413</w:t>
                  </w:r>
                </w:p>
              </w:tc>
            </w:tr>
          </w:tbl>
          <w:p>
            <w:pPr>
              <w:pStyle w:val="20"/>
              <w:snapToGrid/>
              <w:spacing w:before="120" w:beforeLines="50"/>
              <w:ind w:firstLine="0"/>
              <w:rPr>
                <w:rFonts w:hint="default" w:ascii="Times New Roman" w:hAnsi="Times New Roman" w:eastAsia="宋体" w:cs="Times New Roman"/>
                <w:bCs/>
                <w:color w:val="auto"/>
                <w:kern w:val="0"/>
                <w:sz w:val="21"/>
                <w:szCs w:val="21"/>
                <w:lang w:val="en-US" w:eastAsia="zh-CN"/>
              </w:rPr>
            </w:pPr>
            <w:r>
              <w:rPr>
                <w:rFonts w:hint="default" w:ascii="Times New Roman" w:hAnsi="Times New Roman" w:cs="Times New Roman"/>
                <w:bCs/>
                <w:color w:val="auto"/>
                <w:kern w:val="0"/>
                <w:sz w:val="21"/>
                <w:szCs w:val="21"/>
              </w:rPr>
              <w:t>注：表格中方位与距离为项目厂界到环境保护目标的最近直线距离</w:t>
            </w:r>
            <w:r>
              <w:rPr>
                <w:rFonts w:hint="default" w:ascii="Times New Roman" w:hAnsi="Times New Roman" w:cs="Times New Roman"/>
                <w:bCs/>
                <w:color w:val="auto"/>
                <w:kern w:val="0"/>
                <w:sz w:val="21"/>
                <w:szCs w:val="21"/>
                <w:lang w:eastAsia="zh-CN"/>
              </w:rPr>
              <w:t>，</w:t>
            </w:r>
            <w:r>
              <w:rPr>
                <w:rFonts w:hint="default" w:ascii="Times New Roman" w:hAnsi="Times New Roman" w:cs="Times New Roman"/>
                <w:bCs/>
                <w:color w:val="auto"/>
                <w:kern w:val="0"/>
                <w:sz w:val="21"/>
                <w:szCs w:val="21"/>
                <w:lang w:val="en-US" w:eastAsia="zh-CN"/>
              </w:rPr>
              <w:t>坐标原点为项目区中心。</w:t>
            </w:r>
          </w:p>
          <w:p>
            <w:pPr>
              <w:keepNext w:val="0"/>
              <w:keepLines w:val="0"/>
              <w:pageBreakBefore w:val="0"/>
              <w:widowControl w:val="0"/>
              <w:tabs>
                <w:tab w:val="left" w:pos="8505"/>
              </w:tabs>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3.2.2 声环境</w:t>
            </w:r>
          </w:p>
          <w:p>
            <w:pPr>
              <w:spacing w:line="360" w:lineRule="auto"/>
              <w:ind w:firstLine="480" w:firstLineChars="200"/>
              <w:textAlignment w:val="baseline"/>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根据现场勘查，建设项目西侧厂界外24米处存在声环境保护目标“无人居住居民楼”。项目厂界外50米范围内的保护目标如下表所示：</w:t>
            </w:r>
          </w:p>
          <w:p>
            <w:pPr>
              <w:spacing w:line="360" w:lineRule="auto"/>
              <w:jc w:val="center"/>
              <w:textAlignment w:val="baseline"/>
              <w:rPr>
                <w:rFonts w:hint="default" w:ascii="Times New Roman" w:hAnsi="Times New Roman" w:eastAsia="宋体" w:cs="Times New Roman"/>
                <w:b/>
                <w:bCs/>
                <w:color w:val="auto"/>
                <w:sz w:val="24"/>
                <w:highlight w:val="none"/>
                <w:lang w:val="en-US" w:eastAsia="zh-CN"/>
              </w:rPr>
            </w:pPr>
            <w:r>
              <w:rPr>
                <w:rFonts w:hint="default" w:ascii="Times New Roman" w:hAnsi="Times New Roman" w:cs="Times New Roman"/>
                <w:b/>
                <w:bCs/>
                <w:color w:val="auto"/>
                <w:sz w:val="24"/>
                <w:highlight w:val="none"/>
              </w:rPr>
              <w:t>表3-</w:t>
            </w:r>
            <w:r>
              <w:rPr>
                <w:rFonts w:hint="eastAsia"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highlight w:val="none"/>
                <w:lang w:val="en-US" w:eastAsia="zh-CN"/>
              </w:rPr>
              <w:t xml:space="preserve"> 建设项目厂界外50米范围内的保护目标</w:t>
            </w:r>
          </w:p>
          <w:tbl>
            <w:tblPr>
              <w:tblStyle w:val="33"/>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6"/>
              <w:gridCol w:w="1293"/>
              <w:gridCol w:w="692"/>
              <w:gridCol w:w="792"/>
              <w:gridCol w:w="786"/>
              <w:gridCol w:w="921"/>
              <w:gridCol w:w="925"/>
              <w:gridCol w:w="786"/>
              <w:gridCol w:w="786"/>
              <w:gridCol w:w="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261" w:type="pct"/>
                  <w:vMerge w:val="restart"/>
                  <w:noWrap w:val="0"/>
                  <w:vAlign w:val="center"/>
                </w:tcPr>
                <w:p>
                  <w:pPr>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序号</w:t>
                  </w:r>
                </w:p>
              </w:tc>
              <w:tc>
                <w:tcPr>
                  <w:tcW w:w="772" w:type="pct"/>
                  <w:vMerge w:val="restart"/>
                  <w:noWrap w:val="0"/>
                  <w:vAlign w:val="center"/>
                </w:tcPr>
                <w:p>
                  <w:pPr>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保护目标名称</w:t>
                  </w:r>
                </w:p>
              </w:tc>
              <w:tc>
                <w:tcPr>
                  <w:tcW w:w="886" w:type="pct"/>
                  <w:gridSpan w:val="2"/>
                  <w:noWrap w:val="0"/>
                  <w:vAlign w:val="center"/>
                </w:tcPr>
                <w:p>
                  <w:pPr>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坐标/m</w:t>
                  </w:r>
                </w:p>
              </w:tc>
              <w:tc>
                <w:tcPr>
                  <w:tcW w:w="469" w:type="pct"/>
                  <w:vMerge w:val="restart"/>
                  <w:noWrap w:val="0"/>
                  <w:vAlign w:val="center"/>
                </w:tcPr>
                <w:p>
                  <w:pPr>
                    <w:jc w:val="center"/>
                    <w:textAlignment w:val="baseline"/>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val="en-US" w:eastAsia="zh-CN"/>
                    </w:rPr>
                    <w:t>规模</w:t>
                  </w:r>
                </w:p>
              </w:tc>
              <w:tc>
                <w:tcPr>
                  <w:tcW w:w="550" w:type="pct"/>
                  <w:vMerge w:val="restart"/>
                  <w:noWrap w:val="0"/>
                  <w:vAlign w:val="center"/>
                </w:tcPr>
                <w:p>
                  <w:pPr>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保护对象</w:t>
                  </w:r>
                </w:p>
              </w:tc>
              <w:tc>
                <w:tcPr>
                  <w:tcW w:w="552" w:type="pct"/>
                  <w:vMerge w:val="restart"/>
                  <w:noWrap w:val="0"/>
                  <w:vAlign w:val="center"/>
                </w:tcPr>
                <w:p>
                  <w:pPr>
                    <w:jc w:val="center"/>
                    <w:textAlignment w:val="baseline"/>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val="en-US" w:eastAsia="zh-CN"/>
                    </w:rPr>
                    <w:t>保护内容</w:t>
                  </w:r>
                </w:p>
              </w:tc>
              <w:tc>
                <w:tcPr>
                  <w:tcW w:w="469" w:type="pct"/>
                  <w:vMerge w:val="restar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环境功能区</w:t>
                  </w:r>
                </w:p>
              </w:tc>
              <w:tc>
                <w:tcPr>
                  <w:tcW w:w="469" w:type="pct"/>
                  <w:vMerge w:val="restar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相对厂址方位</w:t>
                  </w:r>
                </w:p>
              </w:tc>
              <w:tc>
                <w:tcPr>
                  <w:tcW w:w="566" w:type="pct"/>
                  <w:vMerge w:val="restar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261" w:type="pct"/>
                  <w:vMerge w:val="continue"/>
                  <w:noWrap w:val="0"/>
                  <w:vAlign w:val="center"/>
                </w:tcPr>
                <w:p>
                  <w:pPr>
                    <w:jc w:val="center"/>
                    <w:textAlignment w:val="baseline"/>
                    <w:rPr>
                      <w:rFonts w:hint="default" w:ascii="Times New Roman" w:hAnsi="Times New Roman" w:cs="Times New Roman"/>
                      <w:color w:val="auto"/>
                      <w:szCs w:val="21"/>
                      <w:highlight w:val="none"/>
                    </w:rPr>
                  </w:pPr>
                </w:p>
              </w:tc>
              <w:tc>
                <w:tcPr>
                  <w:tcW w:w="772" w:type="pct"/>
                  <w:vMerge w:val="continue"/>
                  <w:noWrap w:val="0"/>
                  <w:vAlign w:val="center"/>
                </w:tcPr>
                <w:p>
                  <w:pPr>
                    <w:jc w:val="center"/>
                    <w:textAlignment w:val="baseline"/>
                    <w:rPr>
                      <w:rFonts w:hint="default" w:ascii="Times New Roman" w:hAnsi="Times New Roman" w:cs="Times New Roman"/>
                      <w:color w:val="auto"/>
                      <w:szCs w:val="21"/>
                      <w:highlight w:val="none"/>
                    </w:rPr>
                  </w:pPr>
                </w:p>
              </w:tc>
              <w:tc>
                <w:tcPr>
                  <w:tcW w:w="413" w:type="pct"/>
                  <w:noWrap w:val="0"/>
                  <w:vAlign w:val="center"/>
                </w:tcPr>
                <w:p>
                  <w:pPr>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X</w:t>
                  </w:r>
                </w:p>
              </w:tc>
              <w:tc>
                <w:tcPr>
                  <w:tcW w:w="472" w:type="pct"/>
                  <w:noWrap w:val="0"/>
                  <w:vAlign w:val="center"/>
                </w:tcPr>
                <w:p>
                  <w:pPr>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Y</w:t>
                  </w:r>
                </w:p>
              </w:tc>
              <w:tc>
                <w:tcPr>
                  <w:tcW w:w="469" w:type="pct"/>
                  <w:vMerge w:val="continue"/>
                  <w:noWrap w:val="0"/>
                  <w:vAlign w:val="center"/>
                </w:tcPr>
                <w:p>
                  <w:pPr>
                    <w:jc w:val="center"/>
                    <w:textAlignment w:val="baseline"/>
                    <w:rPr>
                      <w:rFonts w:hint="default" w:ascii="Times New Roman" w:hAnsi="Times New Roman" w:cs="Times New Roman"/>
                      <w:color w:val="auto"/>
                      <w:szCs w:val="21"/>
                      <w:highlight w:val="none"/>
                    </w:rPr>
                  </w:pPr>
                </w:p>
              </w:tc>
              <w:tc>
                <w:tcPr>
                  <w:tcW w:w="550" w:type="pct"/>
                  <w:vMerge w:val="continue"/>
                  <w:noWrap w:val="0"/>
                  <w:vAlign w:val="center"/>
                </w:tcPr>
                <w:p>
                  <w:pPr>
                    <w:jc w:val="center"/>
                    <w:textAlignment w:val="baseline"/>
                    <w:rPr>
                      <w:rFonts w:hint="default" w:ascii="Times New Roman" w:hAnsi="Times New Roman" w:cs="Times New Roman"/>
                      <w:color w:val="auto"/>
                      <w:szCs w:val="21"/>
                      <w:highlight w:val="none"/>
                    </w:rPr>
                  </w:pPr>
                </w:p>
              </w:tc>
              <w:tc>
                <w:tcPr>
                  <w:tcW w:w="552" w:type="pct"/>
                  <w:vMerge w:val="continue"/>
                  <w:noWrap w:val="0"/>
                  <w:vAlign w:val="center"/>
                </w:tcPr>
                <w:p>
                  <w:pPr>
                    <w:jc w:val="center"/>
                    <w:textAlignment w:val="baseline"/>
                    <w:rPr>
                      <w:rFonts w:hint="default" w:ascii="Times New Roman" w:hAnsi="Times New Roman" w:cs="Times New Roman"/>
                      <w:color w:val="auto"/>
                      <w:szCs w:val="21"/>
                      <w:highlight w:val="none"/>
                    </w:rPr>
                  </w:pPr>
                </w:p>
              </w:tc>
              <w:tc>
                <w:tcPr>
                  <w:tcW w:w="469" w:type="pct"/>
                  <w:vMerge w:val="continue"/>
                  <w:noWrap w:val="0"/>
                  <w:vAlign w:val="center"/>
                </w:tcPr>
                <w:p>
                  <w:pPr>
                    <w:jc w:val="center"/>
                    <w:textAlignment w:val="baseline"/>
                    <w:rPr>
                      <w:rFonts w:hint="default" w:ascii="Times New Roman" w:hAnsi="Times New Roman" w:cs="Times New Roman"/>
                      <w:color w:val="auto"/>
                      <w:szCs w:val="21"/>
                      <w:highlight w:val="none"/>
                    </w:rPr>
                  </w:pPr>
                </w:p>
              </w:tc>
              <w:tc>
                <w:tcPr>
                  <w:tcW w:w="469" w:type="pct"/>
                  <w:vMerge w:val="continue"/>
                  <w:noWrap w:val="0"/>
                  <w:vAlign w:val="center"/>
                </w:tcPr>
                <w:p>
                  <w:pPr>
                    <w:jc w:val="center"/>
                    <w:textAlignment w:val="baseline"/>
                    <w:rPr>
                      <w:rFonts w:hint="default" w:ascii="Times New Roman" w:hAnsi="Times New Roman" w:cs="Times New Roman"/>
                      <w:color w:val="auto"/>
                      <w:szCs w:val="21"/>
                      <w:highlight w:val="none"/>
                    </w:rPr>
                  </w:pPr>
                </w:p>
              </w:tc>
              <w:tc>
                <w:tcPr>
                  <w:tcW w:w="566" w:type="pct"/>
                  <w:vMerge w:val="continue"/>
                  <w:noWrap w:val="0"/>
                  <w:vAlign w:val="center"/>
                </w:tcPr>
                <w:p>
                  <w:pPr>
                    <w:jc w:val="center"/>
                    <w:textAlignment w:val="baseline"/>
                    <w:rPr>
                      <w:rFonts w:hint="default" w:ascii="Times New Roman" w:hAnsi="Times New Roman" w:cs="Times New Roman"/>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61" w:type="pct"/>
                  <w:noWrap w:val="0"/>
                  <w:vAlign w:val="center"/>
                </w:tcPr>
                <w:p>
                  <w:pPr>
                    <w:jc w:val="center"/>
                    <w:textAlignment w:val="baseline"/>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772" w:type="pc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无人居住居民楼</w:t>
                  </w:r>
                </w:p>
              </w:tc>
              <w:tc>
                <w:tcPr>
                  <w:tcW w:w="413" w:type="pc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-24</w:t>
                  </w:r>
                </w:p>
              </w:tc>
              <w:tc>
                <w:tcPr>
                  <w:tcW w:w="472" w:type="pc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w:t>
                  </w:r>
                </w:p>
              </w:tc>
              <w:tc>
                <w:tcPr>
                  <w:tcW w:w="469" w:type="pc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10人</w:t>
                  </w:r>
                </w:p>
              </w:tc>
              <w:tc>
                <w:tcPr>
                  <w:tcW w:w="550" w:type="pct"/>
                  <w:noWrap w:val="0"/>
                  <w:vAlign w:val="center"/>
                </w:tcPr>
                <w:p>
                  <w:pPr>
                    <w:jc w:val="center"/>
                    <w:textAlignment w:val="baseline"/>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居住区</w:t>
                  </w:r>
                </w:p>
              </w:tc>
              <w:tc>
                <w:tcPr>
                  <w:tcW w:w="552" w:type="pc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声</w:t>
                  </w:r>
                </w:p>
              </w:tc>
              <w:tc>
                <w:tcPr>
                  <w:tcW w:w="469" w:type="pc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声环境二级</w:t>
                  </w:r>
                </w:p>
              </w:tc>
              <w:tc>
                <w:tcPr>
                  <w:tcW w:w="469" w:type="pct"/>
                  <w:noWrap w:val="0"/>
                  <w:vAlign w:val="center"/>
                </w:tcPr>
                <w:p>
                  <w:pPr>
                    <w:jc w:val="center"/>
                    <w:textAlignment w:val="baseline"/>
                    <w:rPr>
                      <w:rFonts w:hint="default" w:ascii="Times New Roman" w:hAnsi="Times New Roman" w:eastAsia="宋体" w:cs="Times New Roman"/>
                      <w:color w:val="auto"/>
                      <w:szCs w:val="21"/>
                      <w:highlight w:val="none"/>
                      <w:lang w:eastAsia="zh-CN"/>
                    </w:rPr>
                  </w:pPr>
                  <w:r>
                    <w:rPr>
                      <w:rFonts w:hint="default" w:ascii="Times New Roman" w:hAnsi="Times New Roman" w:cs="Times New Roman"/>
                      <w:color w:val="auto"/>
                      <w:szCs w:val="21"/>
                      <w:highlight w:val="none"/>
                      <w:lang w:val="en-US" w:eastAsia="zh-CN"/>
                    </w:rPr>
                    <w:t>西</w:t>
                  </w:r>
                </w:p>
              </w:tc>
              <w:tc>
                <w:tcPr>
                  <w:tcW w:w="566" w:type="pct"/>
                  <w:noWrap w:val="0"/>
                  <w:vAlign w:val="center"/>
                </w:tcPr>
                <w:p>
                  <w:pPr>
                    <w:jc w:val="center"/>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0"/>
                  <w:noWrap w:val="0"/>
                  <w:vAlign w:val="center"/>
                </w:tcPr>
                <w:p>
                  <w:pPr>
                    <w:jc w:val="left"/>
                    <w:textAlignment w:val="baseline"/>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注：X和Y轴坐标原点为项目中心，人数规模为估算值。</w:t>
                  </w:r>
                </w:p>
              </w:tc>
            </w:tr>
          </w:tbl>
          <w:p>
            <w:pPr>
              <w:keepNext w:val="0"/>
              <w:keepLines w:val="0"/>
              <w:pageBreakBefore w:val="0"/>
              <w:widowControl w:val="0"/>
              <w:tabs>
                <w:tab w:val="left" w:pos="8505"/>
              </w:tabs>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3.2.3 地下水环境</w:t>
            </w:r>
          </w:p>
          <w:p>
            <w:pPr>
              <w:keepNext w:val="0"/>
              <w:keepLines w:val="0"/>
              <w:pageBreakBefore w:val="0"/>
              <w:widowControl w:val="0"/>
              <w:tabs>
                <w:tab w:val="left" w:pos="8505"/>
              </w:tabs>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rPr>
              <w:t>本项目厂界外500米范围内无地下水集中式饮用水源和热水、矿泉水、温泉等特殊地下水资源，故无地下水环境保护目标。</w:t>
            </w:r>
          </w:p>
          <w:p>
            <w:pPr>
              <w:keepNext w:val="0"/>
              <w:keepLines w:val="0"/>
              <w:pageBreakBefore w:val="0"/>
              <w:widowControl w:val="0"/>
              <w:tabs>
                <w:tab w:val="left" w:pos="8505"/>
              </w:tabs>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3.2.4 生态环境</w:t>
            </w:r>
          </w:p>
          <w:p>
            <w:pPr>
              <w:keepNext w:val="0"/>
              <w:keepLines w:val="0"/>
              <w:pageBreakBefore w:val="0"/>
              <w:widowControl w:val="0"/>
              <w:tabs>
                <w:tab w:val="left" w:pos="8505"/>
              </w:tabs>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kern w:val="0"/>
                <w:szCs w:val="21"/>
                <w:lang w:val="en-US" w:eastAsia="zh-CN"/>
              </w:rPr>
            </w:pPr>
            <w:r>
              <w:rPr>
                <w:rFonts w:hint="default" w:ascii="Times New Roman" w:hAnsi="Times New Roman" w:cs="Times New Roman"/>
                <w:bCs/>
                <w:color w:val="auto"/>
                <w:sz w:val="24"/>
                <w:szCs w:val="24"/>
                <w:lang w:val="en-US" w:eastAsia="zh-CN"/>
              </w:rPr>
              <w:t>项目用地范围内无生态环境保护目标。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8" w:hRule="atLeast"/>
          <w:jc w:val="center"/>
        </w:trPr>
        <w:tc>
          <w:tcPr>
            <w:tcW w:w="452" w:type="dxa"/>
            <w:noWrap w:val="0"/>
            <w:tcMar>
              <w:left w:w="28" w:type="dxa"/>
              <w:right w:w="28" w:type="dxa"/>
            </w:tcMar>
            <w:vAlign w:val="center"/>
          </w:tcPr>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 w:val="24"/>
                <w:szCs w:val="24"/>
              </w:rPr>
              <w:t>污染物排放控制标准</w:t>
            </w:r>
          </w:p>
        </w:tc>
        <w:tc>
          <w:tcPr>
            <w:tcW w:w="8609" w:type="dxa"/>
            <w:noWrap w:val="0"/>
            <w:vAlign w:val="center"/>
          </w:tcPr>
          <w:p>
            <w:pPr>
              <w:shd w:val="clear" w:color="auto" w:fill="auto"/>
              <w:tabs>
                <w:tab w:val="left" w:pos="297"/>
              </w:tabs>
              <w:adjustRightInd w:val="0"/>
              <w:snapToGrid w:val="0"/>
              <w:spacing w:before="120" w:beforeLines="50"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3.3.1废水排放标准</w:t>
            </w:r>
          </w:p>
          <w:p>
            <w:pPr>
              <w:pStyle w:val="20"/>
              <w:keepNext w:val="0"/>
              <w:keepLines w:val="0"/>
              <w:pageBreakBefore w:val="0"/>
              <w:widowControl w:val="0"/>
              <w:shd w:val="clear" w:color="auto" w:fill="auto"/>
              <w:kinsoku/>
              <w:wordWrap/>
              <w:overflowPunct/>
              <w:topLinePunct w:val="0"/>
              <w:autoSpaceDE/>
              <w:autoSpaceDN/>
              <w:bidi w:val="0"/>
              <w:adjustRightInd w:val="0"/>
              <w:snapToGrid w:val="0"/>
              <w:ind w:firstLine="480" w:firstLineChars="200"/>
              <w:textAlignment w:val="auto"/>
              <w:rPr>
                <w:rFonts w:hint="default" w:ascii="Times New Roman" w:hAnsi="Times New Roman" w:cs="Times New Roman"/>
                <w:color w:val="auto"/>
                <w:kern w:val="18"/>
                <w:sz w:val="24"/>
                <w:szCs w:val="24"/>
              </w:rPr>
            </w:pPr>
            <w:r>
              <w:rPr>
                <w:rFonts w:hint="default" w:ascii="Times New Roman" w:hAnsi="Times New Roman" w:cs="Times New Roman"/>
                <w:color w:val="auto"/>
                <w:kern w:val="18"/>
                <w:sz w:val="24"/>
                <w:szCs w:val="24"/>
              </w:rPr>
              <w:t>项目无生产废水排放，外排废水仅为生活污水</w:t>
            </w:r>
            <w:r>
              <w:rPr>
                <w:rFonts w:hint="eastAsia" w:cs="Times New Roman"/>
                <w:color w:val="auto"/>
                <w:kern w:val="18"/>
                <w:sz w:val="24"/>
                <w:szCs w:val="24"/>
                <w:lang w:eastAsia="zh-CN"/>
              </w:rPr>
              <w:t>。</w:t>
            </w:r>
            <w:r>
              <w:rPr>
                <w:rFonts w:hint="default" w:ascii="Times New Roman" w:hAnsi="Times New Roman" w:cs="Times New Roman"/>
                <w:color w:val="auto"/>
                <w:sz w:val="24"/>
                <w:szCs w:val="24"/>
              </w:rPr>
              <w:t>生活污水经三级化粪池</w:t>
            </w:r>
            <w:r>
              <w:rPr>
                <w:rFonts w:hint="eastAsia" w:cs="Times New Roman"/>
                <w:color w:val="auto"/>
                <w:sz w:val="24"/>
                <w:szCs w:val="24"/>
                <w:lang w:val="en-US" w:eastAsia="zh-CN"/>
              </w:rPr>
              <w:t>+接触氧化池</w:t>
            </w:r>
            <w:r>
              <w:rPr>
                <w:rFonts w:hint="default" w:ascii="Times New Roman" w:hAnsi="Times New Roman" w:cs="Times New Roman"/>
                <w:color w:val="auto"/>
                <w:sz w:val="24"/>
                <w:szCs w:val="24"/>
              </w:rPr>
              <w:t>处理后达到《水污染物排放限值》（DB44/26-2001）中第二时段三级标准</w:t>
            </w:r>
            <w:r>
              <w:rPr>
                <w:rFonts w:hint="eastAsia" w:cs="Times New Roman"/>
                <w:color w:val="auto"/>
                <w:sz w:val="24"/>
                <w:szCs w:val="24"/>
                <w:lang w:val="en-US" w:eastAsia="zh-CN"/>
              </w:rPr>
              <w:t>与《电池工业污染物排放标准》（GB30484-2013）表2新建企业水污染物排放限值间接排放限值两者较严值后排入市政污水管网。</w:t>
            </w:r>
            <w:r>
              <w:rPr>
                <w:rFonts w:hint="default" w:ascii="Times New Roman" w:hAnsi="Times New Roman" w:cs="Times New Roman"/>
                <w:color w:val="auto"/>
                <w:sz w:val="24"/>
                <w:szCs w:val="24"/>
              </w:rPr>
              <w:t>通过市政污水管网排入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sz w:val="24"/>
                <w:szCs w:val="24"/>
              </w:rPr>
              <w:t>处理，</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sz w:val="24"/>
                <w:szCs w:val="24"/>
                <w:lang w:val="en-US" w:eastAsia="zh-CN"/>
              </w:rPr>
              <w:t>尾水</w:t>
            </w:r>
            <w:r>
              <w:rPr>
                <w:rFonts w:hint="default" w:ascii="Times New Roman" w:hAnsi="Times New Roman" w:cs="Times New Roman"/>
                <w:color w:val="auto"/>
                <w:sz w:val="24"/>
                <w:szCs w:val="24"/>
              </w:rPr>
              <w:t>执行《城镇污水处理厂污染物排放标准》（GB18918-2002）一级标准的</w:t>
            </w:r>
            <w:r>
              <w:rPr>
                <w:rFonts w:hint="default" w:ascii="Times New Roman" w:hAnsi="Times New Roman" w:cs="Times New Roman"/>
                <w:color w:val="auto"/>
                <w:sz w:val="24"/>
                <w:szCs w:val="24"/>
                <w:lang w:val="en-US" w:eastAsia="zh-CN"/>
              </w:rPr>
              <w:t>A</w:t>
            </w:r>
            <w:r>
              <w:rPr>
                <w:rFonts w:hint="default" w:ascii="Times New Roman" w:hAnsi="Times New Roman" w:cs="Times New Roman"/>
                <w:color w:val="auto"/>
                <w:sz w:val="24"/>
                <w:szCs w:val="24"/>
              </w:rPr>
              <w:t>类标准</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广东省地方标准《水污染物排放限值》（DB44/26-2001）第二时段一级标准</w:t>
            </w:r>
            <w:r>
              <w:rPr>
                <w:rFonts w:hint="default" w:ascii="Times New Roman" w:hAnsi="Times New Roman" w:cs="Times New Roman"/>
                <w:color w:val="auto"/>
                <w:sz w:val="24"/>
                <w:szCs w:val="24"/>
                <w:lang w:val="en-US" w:eastAsia="zh-CN"/>
              </w:rPr>
              <w:t>两</w:t>
            </w:r>
            <w:r>
              <w:rPr>
                <w:rFonts w:hint="default" w:ascii="Times New Roman" w:hAnsi="Times New Roman" w:eastAsia="宋体" w:cs="Times New Roman"/>
                <w:color w:val="auto"/>
                <w:sz w:val="24"/>
                <w:szCs w:val="24"/>
              </w:rPr>
              <w:t>者的较严</w:t>
            </w:r>
            <w:r>
              <w:rPr>
                <w:rFonts w:hint="default" w:ascii="Times New Roman" w:hAnsi="Times New Roman" w:cs="Times New Roman"/>
                <w:color w:val="auto"/>
                <w:sz w:val="24"/>
                <w:szCs w:val="24"/>
              </w:rPr>
              <w:t>值</w:t>
            </w:r>
            <w:r>
              <w:rPr>
                <w:rFonts w:hint="default" w:ascii="Times New Roman" w:hAnsi="Times New Roman" w:cs="Times New Roman"/>
                <w:color w:val="auto"/>
                <w:sz w:val="24"/>
              </w:rPr>
              <w:t>（其中氨氮、总磷指标优于《地表水环境质量标准》（GB3838-2002）Ⅴ类标准）</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kern w:val="18"/>
                <w:sz w:val="24"/>
                <w:szCs w:val="24"/>
              </w:rPr>
              <w:t>项目生活污水排放标准见下表。</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b/>
                <w:color w:val="auto"/>
                <w:sz w:val="24"/>
                <w:szCs w:val="24"/>
              </w:rPr>
            </w:pPr>
            <w:r>
              <w:rPr>
                <w:rFonts w:hint="default" w:ascii="Times New Roman" w:hAnsi="Times New Roman" w:cs="Times New Roman"/>
                <w:b/>
                <w:bCs/>
                <w:color w:val="auto"/>
                <w:sz w:val="24"/>
                <w:szCs w:val="24"/>
              </w:rPr>
              <w:t>表3</w:t>
            </w:r>
            <w:r>
              <w:rPr>
                <w:rFonts w:hint="default" w:ascii="Times New Roman" w:hAnsi="Times New Roman" w:cs="Times New Roman"/>
                <w:b/>
                <w:bCs/>
                <w:color w:val="auto"/>
                <w:sz w:val="24"/>
                <w:szCs w:val="24"/>
                <w:lang w:val="en-US" w:eastAsia="zh-CN"/>
              </w:rPr>
              <w:t>-</w:t>
            </w:r>
            <w:r>
              <w:rPr>
                <w:rFonts w:hint="eastAsia" w:ascii="Times New Roman" w:hAnsi="Times New Roman" w:cs="Times New Roman"/>
                <w:b/>
                <w:bCs/>
                <w:color w:val="auto"/>
                <w:sz w:val="24"/>
                <w:szCs w:val="24"/>
                <w:lang w:val="en-US" w:eastAsia="zh-CN"/>
              </w:rPr>
              <w:t>5</w:t>
            </w:r>
            <w:r>
              <w:rPr>
                <w:rFonts w:hint="default" w:ascii="Times New Roman" w:hAnsi="Times New Roman" w:cs="Times New Roman"/>
                <w:b/>
                <w:bCs/>
                <w:color w:val="auto"/>
                <w:sz w:val="24"/>
                <w:szCs w:val="24"/>
              </w:rPr>
              <w:t xml:space="preserve"> 项目生活污水排放标准 单位：mg/L</w:t>
            </w:r>
          </w:p>
          <w:tbl>
            <w:tblPr>
              <w:tblStyle w:val="32"/>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92"/>
              <w:gridCol w:w="990"/>
              <w:gridCol w:w="847"/>
              <w:gridCol w:w="688"/>
              <w:gridCol w:w="900"/>
              <w:gridCol w:w="750"/>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2"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szCs w:val="21"/>
                    </w:rPr>
                  </w:pPr>
                  <w:r>
                    <w:rPr>
                      <w:rFonts w:hint="default" w:ascii="Times New Roman" w:hAnsi="Times New Roman" w:cs="Times New Roman"/>
                      <w:b/>
                      <w:bCs/>
                      <w:color w:val="auto"/>
                      <w:szCs w:val="21"/>
                    </w:rPr>
                    <w:t>污染物</w:t>
                  </w:r>
                </w:p>
              </w:tc>
              <w:tc>
                <w:tcPr>
                  <w:tcW w:w="99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COD</w:t>
                  </w:r>
                  <w:r>
                    <w:rPr>
                      <w:rFonts w:hint="default" w:ascii="Times New Roman" w:hAnsi="Times New Roman" w:cs="Times New Roman"/>
                      <w:b/>
                      <w:color w:val="auto"/>
                      <w:szCs w:val="21"/>
                      <w:vertAlign w:val="subscript"/>
                    </w:rPr>
                    <w:t>cr</w:t>
                  </w:r>
                </w:p>
              </w:tc>
              <w:tc>
                <w:tcPr>
                  <w:tcW w:w="84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BOD</w:t>
                  </w:r>
                  <w:r>
                    <w:rPr>
                      <w:rFonts w:hint="default" w:ascii="Times New Roman" w:hAnsi="Times New Roman" w:cs="Times New Roman"/>
                      <w:b/>
                      <w:color w:val="auto"/>
                      <w:szCs w:val="21"/>
                      <w:vertAlign w:val="subscript"/>
                    </w:rPr>
                    <w:t>5</w:t>
                  </w:r>
                </w:p>
              </w:tc>
              <w:tc>
                <w:tcPr>
                  <w:tcW w:w="68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SS</w:t>
                  </w:r>
                </w:p>
              </w:tc>
              <w:tc>
                <w:tcPr>
                  <w:tcW w:w="90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NH</w:t>
                  </w:r>
                  <w:r>
                    <w:rPr>
                      <w:rFonts w:hint="default" w:ascii="Times New Roman" w:hAnsi="Times New Roman" w:cs="Times New Roman"/>
                      <w:b/>
                      <w:color w:val="auto"/>
                      <w:szCs w:val="21"/>
                      <w:vertAlign w:val="subscript"/>
                    </w:rPr>
                    <w:t>3</w:t>
                  </w:r>
                  <w:r>
                    <w:rPr>
                      <w:rFonts w:hint="default" w:ascii="Times New Roman" w:hAnsi="Times New Roman" w:cs="Times New Roman"/>
                      <w:b/>
                      <w:color w:val="auto"/>
                      <w:szCs w:val="21"/>
                    </w:rPr>
                    <w:t>-N</w:t>
                  </w:r>
                </w:p>
              </w:tc>
              <w:tc>
                <w:tcPr>
                  <w:tcW w:w="75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TP</w:t>
                  </w:r>
                </w:p>
              </w:tc>
              <w:tc>
                <w:tcPr>
                  <w:tcW w:w="111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color w:val="auto"/>
                      <w:szCs w:val="21"/>
                      <w:lang w:val="en-US" w:eastAsia="zh-CN"/>
                    </w:rPr>
                  </w:pPr>
                  <w:r>
                    <w:rPr>
                      <w:rFonts w:hint="eastAsia" w:cs="Times New Roman"/>
                      <w:b/>
                      <w:color w:val="auto"/>
                      <w:szCs w:val="21"/>
                      <w:lang w:val="en-US" w:eastAsia="zh-CN"/>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192"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《水污染物排放限值》（DB44/26 -2001）第二时段三级标准</w:t>
                  </w:r>
                </w:p>
              </w:tc>
              <w:tc>
                <w:tcPr>
                  <w:tcW w:w="99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rPr>
                  </w:pPr>
                  <w:r>
                    <w:rPr>
                      <w:rFonts w:hint="default" w:ascii="Times New Roman" w:hAnsi="Times New Roman" w:cs="Times New Roman"/>
                      <w:color w:val="auto"/>
                      <w:kern w:val="18"/>
                      <w:szCs w:val="21"/>
                    </w:rPr>
                    <w:t>500</w:t>
                  </w:r>
                </w:p>
              </w:tc>
              <w:tc>
                <w:tcPr>
                  <w:tcW w:w="84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rPr>
                  </w:pPr>
                  <w:r>
                    <w:rPr>
                      <w:rFonts w:hint="default" w:ascii="Times New Roman" w:hAnsi="Times New Roman" w:cs="Times New Roman"/>
                      <w:color w:val="auto"/>
                      <w:kern w:val="18"/>
                      <w:szCs w:val="21"/>
                    </w:rPr>
                    <w:t>300</w:t>
                  </w:r>
                </w:p>
              </w:tc>
              <w:tc>
                <w:tcPr>
                  <w:tcW w:w="68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default" w:ascii="Times New Roman" w:hAnsi="Times New Roman" w:cs="Times New Roman"/>
                      <w:color w:val="auto"/>
                      <w:kern w:val="18"/>
                      <w:szCs w:val="21"/>
                    </w:rPr>
                    <w:t>400</w:t>
                  </w:r>
                </w:p>
              </w:tc>
              <w:tc>
                <w:tcPr>
                  <w:tcW w:w="90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w:t>
                  </w:r>
                </w:p>
              </w:tc>
              <w:tc>
                <w:tcPr>
                  <w:tcW w:w="75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w:t>
                  </w:r>
                </w:p>
              </w:tc>
              <w:tc>
                <w:tcPr>
                  <w:tcW w:w="111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lang w:val="en-US" w:eastAsia="zh-CN"/>
                    </w:rPr>
                  </w:pPr>
                  <w:r>
                    <w:rPr>
                      <w:rFonts w:hint="eastAsia" w:cs="Times New Roman"/>
                      <w:color w:val="auto"/>
                      <w:kern w:val="18"/>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192"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eastAsia" w:ascii="Times New Roman" w:hAnsi="Times New Roman" w:cs="Times New Roman"/>
                      <w:color w:val="auto"/>
                      <w:szCs w:val="21"/>
                    </w:rPr>
                    <w:t>《电池工业污染物排放标准》（GB30484-2013）表2 新建企业水污染物排放限值间接排放限值</w:t>
                  </w:r>
                </w:p>
              </w:tc>
              <w:tc>
                <w:tcPr>
                  <w:tcW w:w="99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eastAsia" w:cs="Times New Roman"/>
                      <w:color w:val="auto"/>
                      <w:kern w:val="18"/>
                      <w:szCs w:val="21"/>
                      <w:lang w:val="en-US" w:eastAsia="zh-CN"/>
                    </w:rPr>
                    <w:t>150</w:t>
                  </w:r>
                </w:p>
              </w:tc>
              <w:tc>
                <w:tcPr>
                  <w:tcW w:w="84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eastAsia" w:cs="Times New Roman"/>
                      <w:color w:val="auto"/>
                      <w:kern w:val="18"/>
                      <w:szCs w:val="21"/>
                      <w:lang w:val="en-US" w:eastAsia="zh-CN"/>
                    </w:rPr>
                    <w:t>/</w:t>
                  </w:r>
                </w:p>
              </w:tc>
              <w:tc>
                <w:tcPr>
                  <w:tcW w:w="68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eastAsia" w:cs="Times New Roman"/>
                      <w:color w:val="auto"/>
                      <w:kern w:val="18"/>
                      <w:szCs w:val="21"/>
                      <w:lang w:val="en-US" w:eastAsia="zh-CN"/>
                    </w:rPr>
                    <w:t>140</w:t>
                  </w:r>
                </w:p>
              </w:tc>
              <w:tc>
                <w:tcPr>
                  <w:tcW w:w="90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4"/>
                      <w:lang w:val="en-US" w:eastAsia="zh-CN"/>
                    </w:rPr>
                  </w:pPr>
                  <w:r>
                    <w:rPr>
                      <w:rFonts w:hint="eastAsia" w:cs="Times New Roman"/>
                      <w:color w:val="auto"/>
                      <w:sz w:val="24"/>
                      <w:lang w:val="en-US" w:eastAsia="zh-CN"/>
                    </w:rPr>
                    <w:t>30</w:t>
                  </w:r>
                </w:p>
              </w:tc>
              <w:tc>
                <w:tcPr>
                  <w:tcW w:w="75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4"/>
                      <w:lang w:val="en-US" w:eastAsia="zh-CN"/>
                    </w:rPr>
                  </w:pPr>
                  <w:r>
                    <w:rPr>
                      <w:rFonts w:hint="eastAsia" w:cs="Times New Roman"/>
                      <w:color w:val="auto"/>
                      <w:sz w:val="24"/>
                      <w:lang w:val="en-US" w:eastAsia="zh-CN"/>
                    </w:rPr>
                    <w:t>2.0</w:t>
                  </w:r>
                </w:p>
              </w:tc>
              <w:tc>
                <w:tcPr>
                  <w:tcW w:w="111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lang w:val="en-US" w:eastAsia="zh-CN"/>
                    </w:rPr>
                  </w:pPr>
                  <w:r>
                    <w:rPr>
                      <w:rFonts w:hint="eastAsia" w:cs="Times New Roman"/>
                      <w:color w:val="auto"/>
                      <w:kern w:val="18"/>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192"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排入管网标准</w:t>
                  </w:r>
                </w:p>
              </w:tc>
              <w:tc>
                <w:tcPr>
                  <w:tcW w:w="99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cs="Times New Roman"/>
                      <w:color w:val="auto"/>
                      <w:kern w:val="18"/>
                      <w:szCs w:val="21"/>
                      <w:lang w:val="en-US" w:eastAsia="zh-CN"/>
                    </w:rPr>
                  </w:pPr>
                  <w:r>
                    <w:rPr>
                      <w:rFonts w:hint="eastAsia" w:cs="Times New Roman"/>
                      <w:color w:val="auto"/>
                      <w:kern w:val="18"/>
                      <w:szCs w:val="21"/>
                      <w:lang w:val="en-US" w:eastAsia="zh-CN"/>
                    </w:rPr>
                    <w:t>150</w:t>
                  </w:r>
                </w:p>
              </w:tc>
              <w:tc>
                <w:tcPr>
                  <w:tcW w:w="84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cs="Times New Roman"/>
                      <w:color w:val="auto"/>
                      <w:kern w:val="18"/>
                      <w:szCs w:val="21"/>
                      <w:lang w:val="en-US" w:eastAsia="zh-CN"/>
                    </w:rPr>
                  </w:pPr>
                  <w:r>
                    <w:rPr>
                      <w:rFonts w:hint="eastAsia" w:cs="Times New Roman"/>
                      <w:color w:val="auto"/>
                      <w:kern w:val="18"/>
                      <w:szCs w:val="21"/>
                      <w:lang w:val="en-US" w:eastAsia="zh-CN"/>
                    </w:rPr>
                    <w:t>300</w:t>
                  </w:r>
                </w:p>
              </w:tc>
              <w:tc>
                <w:tcPr>
                  <w:tcW w:w="688"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cs="Times New Roman"/>
                      <w:color w:val="auto"/>
                      <w:kern w:val="18"/>
                      <w:szCs w:val="21"/>
                      <w:lang w:val="en-US" w:eastAsia="zh-CN"/>
                    </w:rPr>
                  </w:pPr>
                  <w:r>
                    <w:rPr>
                      <w:rFonts w:hint="eastAsia" w:cs="Times New Roman"/>
                      <w:color w:val="auto"/>
                      <w:kern w:val="18"/>
                      <w:szCs w:val="21"/>
                      <w:lang w:val="en-US" w:eastAsia="zh-CN"/>
                    </w:rPr>
                    <w:t>140</w:t>
                  </w:r>
                </w:p>
              </w:tc>
              <w:tc>
                <w:tcPr>
                  <w:tcW w:w="90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cs="Times New Roman"/>
                      <w:color w:val="auto"/>
                      <w:sz w:val="24"/>
                      <w:lang w:val="en-US" w:eastAsia="zh-CN"/>
                    </w:rPr>
                  </w:pPr>
                  <w:r>
                    <w:rPr>
                      <w:rFonts w:hint="eastAsia" w:cs="Times New Roman"/>
                      <w:color w:val="auto"/>
                      <w:sz w:val="24"/>
                      <w:lang w:val="en-US" w:eastAsia="zh-CN"/>
                    </w:rPr>
                    <w:t>30</w:t>
                  </w:r>
                </w:p>
              </w:tc>
              <w:tc>
                <w:tcPr>
                  <w:tcW w:w="750"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cs="Times New Roman"/>
                      <w:color w:val="auto"/>
                      <w:sz w:val="24"/>
                      <w:lang w:val="en-US" w:eastAsia="zh-CN"/>
                    </w:rPr>
                  </w:pPr>
                  <w:r>
                    <w:rPr>
                      <w:rFonts w:hint="eastAsia" w:cs="Times New Roman"/>
                      <w:color w:val="auto"/>
                      <w:sz w:val="24"/>
                      <w:lang w:val="en-US" w:eastAsia="zh-CN"/>
                    </w:rPr>
                    <w:t>2.0</w:t>
                  </w:r>
                </w:p>
              </w:tc>
              <w:tc>
                <w:tcPr>
                  <w:tcW w:w="1111"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cs="Times New Roman"/>
                      <w:color w:val="auto"/>
                      <w:kern w:val="18"/>
                      <w:szCs w:val="21"/>
                      <w:lang w:val="en-US" w:eastAsia="zh-CN"/>
                    </w:rPr>
                  </w:pPr>
                  <w:r>
                    <w:rPr>
                      <w:rFonts w:hint="eastAsia" w:cs="Times New Roman"/>
                      <w:color w:val="auto"/>
                      <w:kern w:val="18"/>
                      <w:szCs w:val="21"/>
                      <w:lang w:val="en-US" w:eastAsia="zh-CN"/>
                    </w:rPr>
                    <w:t>/</w:t>
                  </w:r>
                </w:p>
              </w:tc>
            </w:tr>
          </w:tbl>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表3</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6</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污水处理厂尾水</w:t>
            </w:r>
            <w:r>
              <w:rPr>
                <w:rFonts w:hint="default" w:ascii="Times New Roman" w:hAnsi="Times New Roman" w:eastAsia="宋体" w:cs="Times New Roman"/>
                <w:b/>
                <w:bCs/>
                <w:color w:val="auto"/>
                <w:sz w:val="24"/>
                <w:szCs w:val="24"/>
                <w:lang w:val="en-US" w:eastAsia="zh-CN"/>
              </w:rPr>
              <w:t>排放</w:t>
            </w:r>
            <w:r>
              <w:rPr>
                <w:rFonts w:hint="default" w:ascii="Times New Roman" w:hAnsi="Times New Roman" w:eastAsia="宋体" w:cs="Times New Roman"/>
                <w:b/>
                <w:bCs/>
                <w:color w:val="auto"/>
                <w:sz w:val="24"/>
                <w:szCs w:val="24"/>
              </w:rPr>
              <w:t>指标 单位：mg/L</w:t>
            </w:r>
          </w:p>
          <w:tbl>
            <w:tblPr>
              <w:tblStyle w:val="32"/>
              <w:tblW w:w="84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27"/>
              <w:gridCol w:w="854"/>
              <w:gridCol w:w="773"/>
              <w:gridCol w:w="634"/>
              <w:gridCol w:w="909"/>
              <w:gridCol w:w="736"/>
              <w:gridCol w:w="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2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Cs/>
                      <w:color w:val="auto"/>
                      <w:szCs w:val="21"/>
                    </w:rPr>
                  </w:pPr>
                  <w:r>
                    <w:rPr>
                      <w:rFonts w:hint="default" w:ascii="Times New Roman" w:hAnsi="Times New Roman" w:cs="Times New Roman"/>
                      <w:b/>
                      <w:bCs/>
                      <w:color w:val="auto"/>
                      <w:szCs w:val="21"/>
                    </w:rPr>
                    <w:t>污染物</w:t>
                  </w:r>
                </w:p>
              </w:tc>
              <w:tc>
                <w:tcPr>
                  <w:tcW w:w="85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COD</w:t>
                  </w:r>
                  <w:r>
                    <w:rPr>
                      <w:rFonts w:hint="default" w:ascii="Times New Roman" w:hAnsi="Times New Roman" w:cs="Times New Roman"/>
                      <w:b/>
                      <w:color w:val="auto"/>
                      <w:szCs w:val="21"/>
                      <w:vertAlign w:val="subscript"/>
                    </w:rPr>
                    <w:t>cr</w:t>
                  </w:r>
                </w:p>
              </w:tc>
              <w:tc>
                <w:tcPr>
                  <w:tcW w:w="77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BOD</w:t>
                  </w:r>
                  <w:r>
                    <w:rPr>
                      <w:rFonts w:hint="default" w:ascii="Times New Roman" w:hAnsi="Times New Roman" w:cs="Times New Roman"/>
                      <w:b/>
                      <w:color w:val="auto"/>
                      <w:szCs w:val="21"/>
                      <w:vertAlign w:val="subscript"/>
                    </w:rPr>
                    <w:t>5</w:t>
                  </w:r>
                </w:p>
              </w:tc>
              <w:tc>
                <w:tcPr>
                  <w:tcW w:w="63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SS</w:t>
                  </w:r>
                </w:p>
              </w:tc>
              <w:tc>
                <w:tcPr>
                  <w:tcW w:w="909"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NH</w:t>
                  </w:r>
                  <w:r>
                    <w:rPr>
                      <w:rFonts w:hint="default" w:ascii="Times New Roman" w:hAnsi="Times New Roman" w:cs="Times New Roman"/>
                      <w:b/>
                      <w:color w:val="auto"/>
                      <w:szCs w:val="21"/>
                      <w:vertAlign w:val="subscript"/>
                    </w:rPr>
                    <w:t>3</w:t>
                  </w:r>
                  <w:r>
                    <w:rPr>
                      <w:rFonts w:hint="default" w:ascii="Times New Roman" w:hAnsi="Times New Roman" w:cs="Times New Roman"/>
                      <w:b/>
                      <w:color w:val="auto"/>
                      <w:szCs w:val="21"/>
                    </w:rPr>
                    <w:t>-N</w:t>
                  </w:r>
                </w:p>
              </w:tc>
              <w:tc>
                <w:tcPr>
                  <w:tcW w:w="736"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TP</w:t>
                  </w:r>
                </w:p>
              </w:tc>
              <w:tc>
                <w:tcPr>
                  <w:tcW w:w="712"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color w:val="auto"/>
                      <w:szCs w:val="21"/>
                      <w:lang w:val="en-US" w:eastAsia="zh-CN"/>
                    </w:rPr>
                  </w:pPr>
                  <w:r>
                    <w:rPr>
                      <w:rFonts w:hint="default" w:ascii="Times New Roman" w:hAnsi="Times New Roman" w:cs="Times New Roman"/>
                      <w:b/>
                      <w:color w:val="auto"/>
                      <w:szCs w:val="21"/>
                      <w:lang w:val="en-US" w:eastAsia="zh-CN"/>
                    </w:rPr>
                    <w:t>TN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82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szCs w:val="21"/>
                    </w:rPr>
                  </w:pPr>
                  <w:r>
                    <w:rPr>
                      <w:rFonts w:hint="default" w:ascii="Times New Roman" w:hAnsi="Times New Roman" w:cs="Times New Roman"/>
                      <w:color w:val="auto"/>
                      <w:szCs w:val="21"/>
                    </w:rPr>
                    <w:t>《城镇污水处理厂污染物排放标准》（GB18918-2002）一级标准的</w:t>
                  </w:r>
                  <w:r>
                    <w:rPr>
                      <w:rFonts w:hint="default" w:ascii="Times New Roman" w:hAnsi="Times New Roman" w:cs="Times New Roman"/>
                      <w:color w:val="auto"/>
                      <w:szCs w:val="21"/>
                      <w:lang w:val="en-US" w:eastAsia="zh-CN"/>
                    </w:rPr>
                    <w:t>A</w:t>
                  </w:r>
                  <w:r>
                    <w:rPr>
                      <w:rFonts w:hint="default" w:ascii="Times New Roman" w:hAnsi="Times New Roman" w:cs="Times New Roman"/>
                      <w:color w:val="auto"/>
                      <w:szCs w:val="21"/>
                    </w:rPr>
                    <w:t>类标准</w:t>
                  </w:r>
                </w:p>
              </w:tc>
              <w:tc>
                <w:tcPr>
                  <w:tcW w:w="85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kern w:val="18"/>
                      <w:szCs w:val="21"/>
                      <w:lang w:val="en-US" w:eastAsia="zh-CN"/>
                    </w:rPr>
                  </w:pPr>
                  <w:r>
                    <w:rPr>
                      <w:rFonts w:hint="default" w:ascii="Times New Roman" w:hAnsi="Times New Roman" w:cs="Times New Roman"/>
                      <w:color w:val="auto"/>
                      <w:szCs w:val="21"/>
                      <w:lang w:val="en-US" w:eastAsia="zh-CN"/>
                    </w:rPr>
                    <w:t>50</w:t>
                  </w:r>
                </w:p>
              </w:tc>
              <w:tc>
                <w:tcPr>
                  <w:tcW w:w="77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kern w:val="18"/>
                      <w:szCs w:val="21"/>
                      <w:lang w:val="en-US" w:eastAsia="zh-CN"/>
                    </w:rPr>
                  </w:pPr>
                  <w:r>
                    <w:rPr>
                      <w:rFonts w:hint="default" w:ascii="Times New Roman" w:hAnsi="Times New Roman" w:cs="Times New Roman"/>
                      <w:color w:val="auto"/>
                      <w:szCs w:val="21"/>
                      <w:lang w:val="en-US" w:eastAsia="zh-CN"/>
                    </w:rPr>
                    <w:t>10</w:t>
                  </w:r>
                </w:p>
              </w:tc>
              <w:tc>
                <w:tcPr>
                  <w:tcW w:w="63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kern w:val="18"/>
                      <w:szCs w:val="21"/>
                      <w:lang w:val="en-US" w:eastAsia="zh-CN"/>
                    </w:rPr>
                  </w:pPr>
                  <w:r>
                    <w:rPr>
                      <w:rFonts w:hint="default" w:ascii="Times New Roman" w:hAnsi="Times New Roman" w:cs="Times New Roman"/>
                      <w:color w:val="auto"/>
                      <w:szCs w:val="21"/>
                      <w:lang w:val="en-US" w:eastAsia="zh-CN"/>
                    </w:rPr>
                    <w:t>10</w:t>
                  </w:r>
                </w:p>
              </w:tc>
              <w:tc>
                <w:tcPr>
                  <w:tcW w:w="909"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kern w:val="18"/>
                      <w:szCs w:val="21"/>
                      <w:lang w:eastAsia="zh-CN"/>
                    </w:rPr>
                  </w:pPr>
                  <w:r>
                    <w:rPr>
                      <w:rFonts w:hint="default" w:ascii="Times New Roman" w:hAnsi="Times New Roman" w:cs="Times New Roman"/>
                      <w:color w:val="auto"/>
                      <w:szCs w:val="21"/>
                      <w:lang w:val="en-US" w:eastAsia="zh-CN"/>
                    </w:rPr>
                    <w:t>5</w:t>
                  </w:r>
                </w:p>
              </w:tc>
              <w:tc>
                <w:tcPr>
                  <w:tcW w:w="736"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0.5</w:t>
                  </w:r>
                </w:p>
              </w:tc>
              <w:tc>
                <w:tcPr>
                  <w:tcW w:w="712"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kern w:val="18"/>
                      <w:szCs w:val="21"/>
                      <w:lang w:val="en-US" w:eastAsia="zh-CN"/>
                    </w:rPr>
                  </w:pPr>
                  <w:r>
                    <w:rPr>
                      <w:rFonts w:hint="default" w:ascii="Times New Roman" w:hAnsi="Times New Roman" w:cs="Times New Roman"/>
                      <w:color w:val="auto"/>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82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Times New Roman"/>
                      <w:snapToGrid w:val="0"/>
                      <w:color w:val="auto"/>
                      <w:szCs w:val="21"/>
                      <w:lang w:val="en-US" w:eastAsia="zh-CN"/>
                    </w:rPr>
                  </w:pPr>
                  <w:r>
                    <w:rPr>
                      <w:rFonts w:hint="default" w:ascii="Times New Roman" w:hAnsi="Times New Roman" w:cs="Times New Roman"/>
                      <w:color w:val="auto"/>
                      <w:szCs w:val="21"/>
                    </w:rPr>
                    <w:t>《水污染物排放限值》（DB44/26-2001）第二时段一级标</w:t>
                  </w:r>
                  <w:r>
                    <w:rPr>
                      <w:rFonts w:hint="eastAsia" w:ascii="Times New Roman" w:hAnsi="Times New Roman" w:cs="Times New Roman"/>
                      <w:color w:val="auto"/>
                      <w:szCs w:val="21"/>
                      <w:lang w:val="en-US" w:eastAsia="zh-CN"/>
                    </w:rPr>
                    <w:t>准</w:t>
                  </w:r>
                </w:p>
              </w:tc>
              <w:tc>
                <w:tcPr>
                  <w:tcW w:w="85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kern w:val="18"/>
                      <w:szCs w:val="21"/>
                    </w:rPr>
                  </w:pPr>
                  <w:r>
                    <w:rPr>
                      <w:rFonts w:hint="default" w:ascii="Times New Roman" w:hAnsi="Times New Roman" w:cs="Times New Roman"/>
                      <w:color w:val="auto"/>
                      <w:kern w:val="18"/>
                      <w:szCs w:val="21"/>
                    </w:rPr>
                    <w:t>40</w:t>
                  </w:r>
                </w:p>
              </w:tc>
              <w:tc>
                <w:tcPr>
                  <w:tcW w:w="77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kern w:val="18"/>
                      <w:szCs w:val="21"/>
                    </w:rPr>
                  </w:pPr>
                  <w:r>
                    <w:rPr>
                      <w:rFonts w:hint="default" w:ascii="Times New Roman" w:hAnsi="Times New Roman" w:cs="Times New Roman"/>
                      <w:color w:val="auto"/>
                      <w:kern w:val="18"/>
                      <w:szCs w:val="21"/>
                    </w:rPr>
                    <w:t>20</w:t>
                  </w:r>
                </w:p>
              </w:tc>
              <w:tc>
                <w:tcPr>
                  <w:tcW w:w="63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kern w:val="18"/>
                      <w:szCs w:val="21"/>
                    </w:rPr>
                  </w:pPr>
                  <w:r>
                    <w:rPr>
                      <w:rFonts w:hint="default" w:ascii="Times New Roman" w:hAnsi="Times New Roman" w:cs="Times New Roman"/>
                      <w:color w:val="auto"/>
                      <w:kern w:val="18"/>
                      <w:szCs w:val="21"/>
                    </w:rPr>
                    <w:t>20</w:t>
                  </w:r>
                </w:p>
              </w:tc>
              <w:tc>
                <w:tcPr>
                  <w:tcW w:w="909"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kern w:val="18"/>
                      <w:szCs w:val="21"/>
                    </w:rPr>
                  </w:pPr>
                  <w:r>
                    <w:rPr>
                      <w:rFonts w:hint="default" w:ascii="Times New Roman" w:hAnsi="Times New Roman" w:cs="Times New Roman"/>
                      <w:color w:val="auto"/>
                      <w:kern w:val="18"/>
                      <w:szCs w:val="21"/>
                    </w:rPr>
                    <w:t>10</w:t>
                  </w:r>
                </w:p>
              </w:tc>
              <w:tc>
                <w:tcPr>
                  <w:tcW w:w="736"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eastAsia" w:ascii="Times New Roman" w:hAnsi="Times New Roman" w:eastAsia="宋体" w:cs="Times New Roman"/>
                      <w:color w:val="auto"/>
                      <w:kern w:val="18"/>
                      <w:szCs w:val="21"/>
                      <w:lang w:val="en-US" w:eastAsia="zh-CN"/>
                    </w:rPr>
                    <w:t>0.5</w:t>
                  </w:r>
                </w:p>
              </w:tc>
              <w:tc>
                <w:tcPr>
                  <w:tcW w:w="712"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snapToGrid w:val="0"/>
                      <w:color w:val="auto"/>
                      <w:kern w:val="18"/>
                      <w:szCs w:val="21"/>
                      <w:lang w:eastAsia="zh-CN"/>
                    </w:rPr>
                  </w:pPr>
                  <w:r>
                    <w:rPr>
                      <w:rFonts w:hint="default" w:ascii="Times New Roman" w:hAnsi="Times New Roman" w:cs="Times New Roman"/>
                      <w:color w:val="auto"/>
                      <w:kern w:val="18"/>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382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 w:val="21"/>
                      <w:szCs w:val="21"/>
                    </w:rPr>
                    <w:t>《地表水环境质量标准》（GB3838-2002）Ⅴ类标准</w:t>
                  </w:r>
                </w:p>
              </w:tc>
              <w:tc>
                <w:tcPr>
                  <w:tcW w:w="85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default" w:ascii="Times New Roman" w:hAnsi="Times New Roman" w:cs="Times New Roman"/>
                      <w:color w:val="auto"/>
                      <w:kern w:val="18"/>
                      <w:szCs w:val="21"/>
                      <w:lang w:val="en-US" w:eastAsia="zh-CN"/>
                    </w:rPr>
                    <w:t>/</w:t>
                  </w:r>
                </w:p>
              </w:tc>
              <w:tc>
                <w:tcPr>
                  <w:tcW w:w="77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default" w:ascii="Times New Roman" w:hAnsi="Times New Roman" w:cs="Times New Roman"/>
                      <w:color w:val="auto"/>
                      <w:kern w:val="18"/>
                      <w:szCs w:val="21"/>
                      <w:lang w:val="en-US" w:eastAsia="zh-CN"/>
                    </w:rPr>
                    <w:t>/</w:t>
                  </w:r>
                </w:p>
              </w:tc>
              <w:tc>
                <w:tcPr>
                  <w:tcW w:w="63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default" w:ascii="Times New Roman" w:hAnsi="Times New Roman" w:cs="Times New Roman"/>
                      <w:color w:val="auto"/>
                      <w:kern w:val="18"/>
                      <w:szCs w:val="21"/>
                      <w:lang w:val="en-US" w:eastAsia="zh-CN"/>
                    </w:rPr>
                    <w:t>/</w:t>
                  </w:r>
                </w:p>
              </w:tc>
              <w:tc>
                <w:tcPr>
                  <w:tcW w:w="909"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default" w:ascii="Times New Roman" w:hAnsi="Times New Roman" w:cs="Times New Roman"/>
                      <w:color w:val="auto"/>
                      <w:kern w:val="18"/>
                      <w:szCs w:val="21"/>
                      <w:lang w:val="en-US" w:eastAsia="zh-CN"/>
                    </w:rPr>
                    <w:t>2</w:t>
                  </w:r>
                </w:p>
              </w:tc>
              <w:tc>
                <w:tcPr>
                  <w:tcW w:w="736"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kern w:val="18"/>
                      <w:szCs w:val="21"/>
                      <w:lang w:val="en-US" w:eastAsia="zh-CN"/>
                    </w:rPr>
                    <w:t>0.4</w:t>
                  </w:r>
                </w:p>
              </w:tc>
              <w:tc>
                <w:tcPr>
                  <w:tcW w:w="712"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lang w:val="en-US" w:eastAsia="zh-CN"/>
                    </w:rPr>
                  </w:pPr>
                  <w:r>
                    <w:rPr>
                      <w:rFonts w:hint="default" w:ascii="Times New Roman" w:hAnsi="Times New Roman" w:cs="Times New Roman"/>
                      <w:color w:val="auto"/>
                      <w:kern w:val="18"/>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27"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污水处理厂尾水排放标准</w:t>
                  </w:r>
                </w:p>
              </w:tc>
              <w:tc>
                <w:tcPr>
                  <w:tcW w:w="85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18"/>
                      <w:szCs w:val="21"/>
                      <w:lang w:val="en-US" w:eastAsia="zh-CN"/>
                    </w:rPr>
                  </w:pPr>
                  <w:r>
                    <w:rPr>
                      <w:rFonts w:hint="default" w:ascii="Times New Roman" w:hAnsi="Times New Roman" w:cs="Times New Roman"/>
                      <w:color w:val="auto"/>
                      <w:kern w:val="18"/>
                      <w:szCs w:val="21"/>
                      <w:lang w:val="en-US" w:eastAsia="zh-CN"/>
                    </w:rPr>
                    <w:t>40</w:t>
                  </w:r>
                </w:p>
              </w:tc>
              <w:tc>
                <w:tcPr>
                  <w:tcW w:w="773"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lang w:val="en-US" w:eastAsia="zh-CN"/>
                    </w:rPr>
                  </w:pPr>
                  <w:r>
                    <w:rPr>
                      <w:rFonts w:hint="default" w:ascii="Times New Roman" w:hAnsi="Times New Roman" w:cs="Times New Roman"/>
                      <w:color w:val="auto"/>
                      <w:kern w:val="18"/>
                      <w:szCs w:val="21"/>
                      <w:lang w:val="en-US" w:eastAsia="zh-CN"/>
                    </w:rPr>
                    <w:t>10</w:t>
                  </w:r>
                </w:p>
              </w:tc>
              <w:tc>
                <w:tcPr>
                  <w:tcW w:w="634"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lang w:val="en-US" w:eastAsia="zh-CN"/>
                    </w:rPr>
                  </w:pPr>
                  <w:r>
                    <w:rPr>
                      <w:rFonts w:hint="default" w:ascii="Times New Roman" w:hAnsi="Times New Roman" w:cs="Times New Roman"/>
                      <w:color w:val="auto"/>
                      <w:kern w:val="18"/>
                      <w:szCs w:val="21"/>
                      <w:lang w:val="en-US" w:eastAsia="zh-CN"/>
                    </w:rPr>
                    <w:t>10</w:t>
                  </w:r>
                </w:p>
              </w:tc>
              <w:tc>
                <w:tcPr>
                  <w:tcW w:w="909"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lang w:val="en-US" w:eastAsia="zh-CN"/>
                    </w:rPr>
                  </w:pPr>
                  <w:r>
                    <w:rPr>
                      <w:rFonts w:hint="default" w:ascii="Times New Roman" w:hAnsi="Times New Roman" w:cs="Times New Roman"/>
                      <w:color w:val="auto"/>
                      <w:kern w:val="18"/>
                      <w:szCs w:val="21"/>
                      <w:lang w:val="en-US" w:eastAsia="zh-CN"/>
                    </w:rPr>
                    <w:t>2</w:t>
                  </w:r>
                </w:p>
              </w:tc>
              <w:tc>
                <w:tcPr>
                  <w:tcW w:w="736"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lang w:val="en-US" w:eastAsia="zh-CN"/>
                    </w:rPr>
                  </w:pPr>
                  <w:r>
                    <w:rPr>
                      <w:rFonts w:hint="default" w:ascii="Times New Roman" w:hAnsi="Times New Roman" w:cs="Times New Roman"/>
                      <w:color w:val="auto"/>
                      <w:kern w:val="18"/>
                      <w:szCs w:val="21"/>
                      <w:lang w:val="en-US" w:eastAsia="zh-CN"/>
                    </w:rPr>
                    <w:t>0.4</w:t>
                  </w:r>
                </w:p>
              </w:tc>
              <w:tc>
                <w:tcPr>
                  <w:tcW w:w="712"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18"/>
                      <w:szCs w:val="21"/>
                      <w:lang w:val="en-US" w:eastAsia="zh-CN"/>
                    </w:rPr>
                  </w:pPr>
                  <w:r>
                    <w:rPr>
                      <w:rFonts w:hint="default" w:ascii="Times New Roman" w:hAnsi="Times New Roman" w:cs="Times New Roman"/>
                      <w:color w:val="auto"/>
                      <w:kern w:val="18"/>
                      <w:szCs w:val="21"/>
                      <w:lang w:val="en-US" w:eastAsia="zh-CN"/>
                    </w:rPr>
                    <w:t>15</w:t>
                  </w:r>
                </w:p>
              </w:tc>
            </w:tr>
          </w:tbl>
          <w:p>
            <w:pPr>
              <w:keepNext w:val="0"/>
              <w:keepLines w:val="0"/>
              <w:pageBreakBefore w:val="0"/>
              <w:widowControl w:val="0"/>
              <w:tabs>
                <w:tab w:val="left" w:pos="297"/>
              </w:tabs>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cs="Times New Roman"/>
                <w:b w:val="0"/>
                <w:bCs w:val="0"/>
                <w:color w:val="auto"/>
                <w:sz w:val="21"/>
                <w:szCs w:val="21"/>
                <w:lang w:val="en-US" w:eastAsia="zh-CN"/>
              </w:rPr>
              <w:t>备注：</w:t>
            </w:r>
            <w:r>
              <w:rPr>
                <w:rFonts w:hint="default" w:ascii="Times New Roman" w:hAnsi="Times New Roman" w:cs="Times New Roman"/>
                <w:b w:val="0"/>
                <w:bCs w:val="0"/>
                <w:color w:val="auto"/>
                <w:sz w:val="21"/>
                <w:szCs w:val="21"/>
              </w:rPr>
              <w:t>《水污染物排放限值》（DB44/26-2001）第二时段一级标</w:t>
            </w:r>
            <w:r>
              <w:rPr>
                <w:rFonts w:hint="eastAsia" w:ascii="Times New Roman" w:hAnsi="Times New Roman" w:cs="Times New Roman"/>
                <w:b w:val="0"/>
                <w:bCs w:val="0"/>
                <w:color w:val="auto"/>
                <w:sz w:val="21"/>
                <w:szCs w:val="21"/>
                <w:lang w:val="en-US" w:eastAsia="zh-CN"/>
              </w:rPr>
              <w:t>准的TP标准参照</w:t>
            </w:r>
            <w:r>
              <w:rPr>
                <w:rFonts w:hint="eastAsia"/>
                <w:b w:val="0"/>
                <w:bCs w:val="0"/>
                <w:color w:val="auto"/>
                <w:sz w:val="21"/>
                <w:szCs w:val="21"/>
                <w:lang w:val="en-US" w:eastAsia="zh-CN"/>
              </w:rPr>
              <w:t>磷酸盐。</w:t>
            </w:r>
          </w:p>
          <w:p>
            <w:pPr>
              <w:tabs>
                <w:tab w:val="left" w:pos="297"/>
              </w:tabs>
              <w:adjustRightInd w:val="0"/>
              <w:snapToGrid w:val="0"/>
              <w:spacing w:before="120" w:beforeLines="50"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3.3.2 废气排放标准</w:t>
            </w:r>
          </w:p>
          <w:p>
            <w:pPr>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（1）</w:t>
            </w:r>
            <w:r>
              <w:rPr>
                <w:rFonts w:hint="default" w:ascii="Times New Roman" w:hAnsi="Times New Roman" w:cs="Times New Roman"/>
                <w:color w:val="auto"/>
                <w:sz w:val="24"/>
              </w:rPr>
              <w:t>项目</w:t>
            </w:r>
            <w:r>
              <w:rPr>
                <w:rFonts w:hint="eastAsia" w:ascii="Times New Roman" w:hAnsi="Times New Roman" w:cs="Times New Roman"/>
                <w:color w:val="auto"/>
                <w:sz w:val="24"/>
                <w:lang w:val="en-US" w:eastAsia="zh-CN"/>
              </w:rPr>
              <w:t>投料工序产生的颗粒物执行与</w:t>
            </w:r>
            <w:r>
              <w:rPr>
                <w:rFonts w:hint="default" w:ascii="Times New Roman" w:hAnsi="Times New Roman" w:cs="Times New Roman"/>
                <w:color w:val="auto"/>
                <w:sz w:val="24"/>
              </w:rPr>
              <w:t>涂布、</w:t>
            </w:r>
            <w:r>
              <w:rPr>
                <w:rFonts w:hint="eastAsia" w:ascii="Times New Roman" w:hAnsi="Times New Roman" w:cs="Times New Roman"/>
                <w:color w:val="auto"/>
                <w:sz w:val="24"/>
                <w:lang w:val="en-US" w:eastAsia="zh-CN"/>
              </w:rPr>
              <w:t>烘烤、</w:t>
            </w:r>
            <w:r>
              <w:rPr>
                <w:rFonts w:hint="default" w:ascii="Times New Roman" w:hAnsi="Times New Roman" w:cs="Times New Roman"/>
                <w:color w:val="auto"/>
                <w:sz w:val="24"/>
              </w:rPr>
              <w:t>注液工序产生的非甲烷总烃排放执行《电池工业污染物排放标准》（GB30484-2013）表5新建企业大气污染物排放限值和表6现有新建企业边界大气污染物浓度限值</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其中碳黑尘</w:t>
            </w:r>
            <w:r>
              <w:rPr>
                <w:rFonts w:hint="eastAsia" w:ascii="Times New Roman" w:hAnsi="Times New Roman" w:cs="Times New Roman"/>
                <w:color w:val="auto"/>
                <w:sz w:val="24"/>
                <w:lang w:val="en-US" w:eastAsia="zh-CN"/>
              </w:rPr>
              <w:t>无组织</w:t>
            </w:r>
            <w:r>
              <w:rPr>
                <w:rFonts w:hint="default" w:ascii="Times New Roman" w:hAnsi="Times New Roman" w:cs="Times New Roman"/>
                <w:color w:val="auto"/>
                <w:sz w:val="24"/>
                <w:lang w:val="en-US" w:eastAsia="zh-CN"/>
              </w:rPr>
              <w:t>执行广东省《大气污染物排放限值》（DB44/27-2001）第二时段无组织排放限值。</w:t>
            </w:r>
          </w:p>
          <w:p>
            <w:pPr>
              <w:spacing w:line="360" w:lineRule="auto"/>
              <w:ind w:firstLine="480" w:firstLineChars="200"/>
              <w:rPr>
                <w:rFonts w:hint="default" w:ascii="Times New Roman" w:hAnsi="Times New Roman" w:cs="Times New Roman"/>
                <w:b/>
                <w:color w:val="auto"/>
                <w:kern w:val="0"/>
                <w:sz w:val="24"/>
                <w:szCs w:val="24"/>
              </w:rPr>
            </w:pPr>
            <w:r>
              <w:rPr>
                <w:rFonts w:hint="default" w:ascii="Times New Roman" w:hAnsi="Times New Roman" w:cs="Times New Roman"/>
                <w:color w:val="auto"/>
                <w:sz w:val="24"/>
                <w:szCs w:val="24"/>
              </w:rPr>
              <w:t>具体排放标准数据见下表：</w:t>
            </w:r>
          </w:p>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kern w:val="0"/>
                <w:szCs w:val="21"/>
                <w:vertAlign w:val="baseline"/>
              </w:rPr>
            </w:pPr>
            <w:r>
              <w:rPr>
                <w:rFonts w:hint="default" w:ascii="Times New Roman" w:hAnsi="Times New Roman" w:eastAsia="宋体" w:cs="Times New Roman"/>
                <w:b/>
                <w:bCs/>
                <w:color w:val="auto"/>
                <w:sz w:val="24"/>
                <w:szCs w:val="24"/>
              </w:rPr>
              <w:t>表3</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7</w:t>
            </w:r>
            <w:r>
              <w:rPr>
                <w:rFonts w:hint="default" w:ascii="Times New Roman" w:hAnsi="Times New Roman" w:eastAsia="宋体" w:cs="Times New Roman"/>
                <w:b/>
                <w:bCs/>
                <w:color w:val="auto"/>
                <w:sz w:val="24"/>
                <w:szCs w:val="24"/>
              </w:rPr>
              <w:t xml:space="preserve"> 《电池工业污染物排放标准》（GB30484-2013）</w:t>
            </w:r>
          </w:p>
          <w:tbl>
            <w:tblPr>
              <w:tblStyle w:val="33"/>
              <w:tblW w:w="5004"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4"/>
              <w:gridCol w:w="2022"/>
              <w:gridCol w:w="1643"/>
              <w:gridCol w:w="2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color w:val="auto"/>
                      <w:kern w:val="0"/>
                      <w:sz w:val="21"/>
                      <w:szCs w:val="21"/>
                      <w:vertAlign w:val="baseline"/>
                      <w:lang w:val="en-US" w:eastAsia="zh-CN" w:bidi="ar-SA"/>
                    </w:rPr>
                  </w:pPr>
                  <w:r>
                    <w:rPr>
                      <w:rFonts w:hint="default" w:ascii="Times New Roman" w:hAnsi="Times New Roman" w:cs="Times New Roman"/>
                      <w:b/>
                      <w:bCs/>
                      <w:color w:val="auto"/>
                      <w:szCs w:val="21"/>
                    </w:rPr>
                    <w:t>污染物</w:t>
                  </w:r>
                </w:p>
              </w:tc>
              <w:tc>
                <w:tcPr>
                  <w:tcW w:w="1205" w:type="pct"/>
                  <w:noWrap w:val="0"/>
                  <w:vAlign w:val="center"/>
                </w:tcPr>
                <w:p>
                  <w:pPr>
                    <w:snapToGrid w:val="0"/>
                    <w:jc w:val="center"/>
                    <w:rPr>
                      <w:rFonts w:hint="default" w:ascii="Times New Roman" w:hAnsi="Times New Roman" w:eastAsia="宋体" w:cs="Times New Roman"/>
                      <w:b/>
                      <w:bCs/>
                      <w:color w:val="auto"/>
                      <w:szCs w:val="21"/>
                      <w:lang w:val="en-US" w:eastAsia="zh-CN"/>
                    </w:rPr>
                  </w:pPr>
                  <w:r>
                    <w:rPr>
                      <w:rFonts w:hint="default" w:ascii="Times New Roman" w:hAnsi="Times New Roman" w:cs="Times New Roman"/>
                      <w:b/>
                      <w:color w:val="auto"/>
                      <w:szCs w:val="21"/>
                    </w:rPr>
                    <w:t>最高允许排放浓度</w:t>
                  </w:r>
                </w:p>
              </w:tc>
              <w:tc>
                <w:tcPr>
                  <w:tcW w:w="979" w:type="pct"/>
                  <w:noWrap w:val="0"/>
                  <w:vAlign w:val="center"/>
                </w:tcPr>
                <w:p>
                  <w:pPr>
                    <w:snapToGrid w:val="0"/>
                    <w:jc w:val="center"/>
                    <w:rPr>
                      <w:rFonts w:hint="default" w:ascii="Times New Roman" w:hAnsi="Times New Roman" w:eastAsia="宋体" w:cs="Times New Roman"/>
                      <w:b/>
                      <w:color w:val="auto"/>
                      <w:kern w:val="0"/>
                      <w:szCs w:val="21"/>
                      <w:vertAlign w:val="baseline"/>
                      <w:lang w:val="en-US" w:eastAsia="zh-CN"/>
                    </w:rPr>
                  </w:pPr>
                  <w:r>
                    <w:rPr>
                      <w:rFonts w:hint="default" w:ascii="Times New Roman" w:hAnsi="Times New Roman" w:cs="Times New Roman"/>
                      <w:b/>
                      <w:color w:val="auto"/>
                      <w:szCs w:val="21"/>
                    </w:rPr>
                    <w:t>排气筒高度</w:t>
                  </w:r>
                </w:p>
              </w:tc>
              <w:tc>
                <w:tcPr>
                  <w:tcW w:w="1704" w:type="pct"/>
                  <w:noWrap w:val="0"/>
                  <w:vAlign w:val="center"/>
                </w:tcPr>
                <w:p>
                  <w:pPr>
                    <w:snapToGrid w:val="0"/>
                    <w:jc w:val="center"/>
                    <w:rPr>
                      <w:rFonts w:hint="default" w:ascii="Times New Roman" w:hAnsi="Times New Roman" w:cs="Times New Roman"/>
                      <w:b/>
                      <w:color w:val="auto"/>
                      <w:kern w:val="0"/>
                      <w:szCs w:val="21"/>
                      <w:vertAlign w:val="baseline"/>
                    </w:rPr>
                  </w:pPr>
                  <w:r>
                    <w:rPr>
                      <w:rFonts w:hint="default" w:ascii="Times New Roman" w:hAnsi="Times New Roman" w:cs="Times New Roman"/>
                      <w:b/>
                      <w:bCs/>
                      <w:color w:val="auto"/>
                    </w:rPr>
                    <w:t>边界最高浓度限值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0"/>
                      <w:sz w:val="21"/>
                      <w:szCs w:val="21"/>
                      <w:vertAlign w:val="baseline"/>
                      <w:lang w:val="en-US" w:eastAsia="zh-CN" w:bidi="ar-SA"/>
                    </w:rPr>
                  </w:pPr>
                  <w:r>
                    <w:rPr>
                      <w:rFonts w:hint="default" w:ascii="Times New Roman" w:hAnsi="Times New Roman" w:cs="Times New Roman"/>
                      <w:b w:val="0"/>
                      <w:bCs w:val="0"/>
                      <w:color w:val="auto"/>
                      <w:kern w:val="18"/>
                      <w:szCs w:val="21"/>
                    </w:rPr>
                    <w:t>非甲烷总烃</w:t>
                  </w:r>
                </w:p>
              </w:tc>
              <w:tc>
                <w:tcPr>
                  <w:tcW w:w="1205" w:type="pct"/>
                  <w:noWrap w:val="0"/>
                  <w:vAlign w:val="center"/>
                </w:tcPr>
                <w:p>
                  <w:pPr>
                    <w:snapToGrid w:val="0"/>
                    <w:jc w:val="center"/>
                    <w:rPr>
                      <w:rFonts w:hint="default" w:ascii="Times New Roman" w:hAnsi="Times New Roman" w:eastAsia="宋体" w:cs="Times New Roman"/>
                      <w:b w:val="0"/>
                      <w:bCs w:val="0"/>
                      <w:color w:val="auto"/>
                      <w:kern w:val="18"/>
                      <w:szCs w:val="21"/>
                      <w:lang w:val="en-US" w:eastAsia="zh-CN"/>
                    </w:rPr>
                  </w:pPr>
                  <w:r>
                    <w:rPr>
                      <w:rFonts w:hint="default" w:ascii="Times New Roman" w:hAnsi="Times New Roman" w:cs="Times New Roman"/>
                      <w:color w:val="auto"/>
                      <w:szCs w:val="21"/>
                    </w:rPr>
                    <w:t>50mg/m</w:t>
                  </w:r>
                  <w:r>
                    <w:rPr>
                      <w:rFonts w:hint="default" w:ascii="Times New Roman" w:hAnsi="Times New Roman" w:cs="Times New Roman"/>
                      <w:color w:val="auto"/>
                      <w:szCs w:val="21"/>
                      <w:vertAlign w:val="superscript"/>
                    </w:rPr>
                    <w:t>3</w:t>
                  </w:r>
                </w:p>
              </w:tc>
              <w:tc>
                <w:tcPr>
                  <w:tcW w:w="979" w:type="pct"/>
                  <w:noWrap w:val="0"/>
                  <w:vAlign w:val="center"/>
                </w:tcPr>
                <w:p>
                  <w:pPr>
                    <w:snapToGrid w:val="0"/>
                    <w:jc w:val="center"/>
                    <w:rPr>
                      <w:rFonts w:hint="default" w:ascii="Times New Roman" w:hAnsi="Times New Roman" w:eastAsia="宋体" w:cs="Times New Roman"/>
                      <w:b w:val="0"/>
                      <w:bCs w:val="0"/>
                      <w:color w:val="auto"/>
                      <w:kern w:val="0"/>
                      <w:szCs w:val="21"/>
                      <w:vertAlign w:val="baseline"/>
                      <w:lang w:val="en-US" w:eastAsia="zh-CN"/>
                    </w:rPr>
                  </w:pPr>
                  <w:r>
                    <w:rPr>
                      <w:rFonts w:hint="default" w:ascii="Times New Roman" w:hAnsi="Times New Roman" w:cs="Times New Roman"/>
                      <w:color w:val="auto"/>
                      <w:szCs w:val="21"/>
                      <w:lang w:val="en-US" w:eastAsia="zh-CN"/>
                    </w:rPr>
                    <w:t>2</w:t>
                  </w:r>
                  <w:r>
                    <w:rPr>
                      <w:rFonts w:hint="eastAsia" w:ascii="Times New Roman" w:hAnsi="Times New Roman" w:cs="Times New Roman"/>
                      <w:color w:val="auto"/>
                      <w:szCs w:val="21"/>
                      <w:lang w:val="en-US" w:eastAsia="zh-CN"/>
                    </w:rPr>
                    <w:t>4</w:t>
                  </w:r>
                  <w:r>
                    <w:rPr>
                      <w:rFonts w:hint="default" w:ascii="Times New Roman" w:hAnsi="Times New Roman" w:cs="Times New Roman"/>
                      <w:color w:val="auto"/>
                      <w:szCs w:val="21"/>
                    </w:rPr>
                    <w:t>m</w:t>
                  </w:r>
                </w:p>
              </w:tc>
              <w:tc>
                <w:tcPr>
                  <w:tcW w:w="1704" w:type="pct"/>
                  <w:noWrap w:val="0"/>
                  <w:vAlign w:val="center"/>
                </w:tcPr>
                <w:p>
                  <w:pPr>
                    <w:snapToGrid w:val="0"/>
                    <w:jc w:val="center"/>
                    <w:rPr>
                      <w:rFonts w:hint="default" w:ascii="Times New Roman" w:hAnsi="Times New Roman" w:cs="Times New Roman"/>
                      <w:b w:val="0"/>
                      <w:bCs w:val="0"/>
                      <w:color w:val="auto"/>
                      <w:kern w:val="0"/>
                      <w:szCs w:val="21"/>
                      <w:vertAlign w:val="baseline"/>
                    </w:rPr>
                  </w:pPr>
                  <w:r>
                    <w:rPr>
                      <w:rFonts w:hint="default" w:ascii="Times New Roman" w:hAnsi="Times New Roman" w:cs="Times New Roman"/>
                      <w:color w:val="auto"/>
                      <w:szCs w:val="21"/>
                    </w:rPr>
                    <w:t>2.0mg/m</w:t>
                  </w:r>
                  <w:r>
                    <w:rPr>
                      <w:rFonts w:hint="default" w:ascii="Times New Roman" w:hAnsi="Times New Roman" w:cs="Times New Roman"/>
                      <w:color w:val="auto"/>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1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val="0"/>
                      <w:bCs w:val="0"/>
                      <w:color w:val="auto"/>
                      <w:kern w:val="18"/>
                      <w:szCs w:val="21"/>
                      <w:lang w:val="en-US" w:eastAsia="zh-CN"/>
                    </w:rPr>
                  </w:pPr>
                  <w:r>
                    <w:rPr>
                      <w:rFonts w:hint="default" w:ascii="Times New Roman" w:hAnsi="Times New Roman" w:cs="Times New Roman"/>
                      <w:b w:val="0"/>
                      <w:bCs w:val="0"/>
                      <w:color w:val="auto"/>
                      <w:kern w:val="18"/>
                      <w:szCs w:val="21"/>
                      <w:lang w:val="en-US" w:eastAsia="zh-CN"/>
                    </w:rPr>
                    <w:t>颗粒物</w:t>
                  </w:r>
                </w:p>
              </w:tc>
              <w:tc>
                <w:tcPr>
                  <w:tcW w:w="1205" w:type="pct"/>
                  <w:noWrap w:val="0"/>
                  <w:vAlign w:val="center"/>
                </w:tcPr>
                <w:p>
                  <w:pPr>
                    <w:snapToGrid w:val="0"/>
                    <w:jc w:val="center"/>
                    <w:rPr>
                      <w:rFonts w:hint="default" w:ascii="Times New Roman" w:hAnsi="Times New Roman" w:cs="Times New Roman"/>
                      <w:b w:val="0"/>
                      <w:bCs w:val="0"/>
                      <w:color w:val="auto"/>
                      <w:kern w:val="18"/>
                      <w:szCs w:val="21"/>
                      <w:lang w:val="en-US" w:eastAsia="zh-CN"/>
                    </w:rPr>
                  </w:pPr>
                  <w:r>
                    <w:rPr>
                      <w:rFonts w:hint="default" w:ascii="Times New Roman" w:hAnsi="Times New Roman" w:cs="Times New Roman"/>
                      <w:color w:val="auto"/>
                      <w:szCs w:val="21"/>
                    </w:rPr>
                    <w:t>30mg/m</w:t>
                  </w:r>
                  <w:r>
                    <w:rPr>
                      <w:rFonts w:hint="default" w:ascii="Times New Roman" w:hAnsi="Times New Roman" w:cs="Times New Roman"/>
                      <w:color w:val="auto"/>
                      <w:szCs w:val="21"/>
                      <w:vertAlign w:val="superscript"/>
                    </w:rPr>
                    <w:t>3</w:t>
                  </w:r>
                </w:p>
              </w:tc>
              <w:tc>
                <w:tcPr>
                  <w:tcW w:w="979" w:type="pct"/>
                  <w:noWrap w:val="0"/>
                  <w:vAlign w:val="center"/>
                </w:tcPr>
                <w:p>
                  <w:pPr>
                    <w:snapToGrid w:val="0"/>
                    <w:jc w:val="center"/>
                    <w:rPr>
                      <w:rFonts w:hint="default" w:ascii="Times New Roman" w:hAnsi="Times New Roman" w:cs="Times New Roman"/>
                      <w:b w:val="0"/>
                      <w:bCs w:val="0"/>
                      <w:color w:val="auto"/>
                      <w:kern w:val="0"/>
                      <w:szCs w:val="21"/>
                      <w:vertAlign w:val="baseline"/>
                      <w:lang w:val="en-US" w:eastAsia="zh-CN"/>
                    </w:rPr>
                  </w:pPr>
                  <w:r>
                    <w:rPr>
                      <w:rFonts w:hint="default" w:ascii="Times New Roman" w:hAnsi="Times New Roman" w:cs="Times New Roman"/>
                      <w:color w:val="auto"/>
                      <w:szCs w:val="21"/>
                      <w:lang w:val="en-US" w:eastAsia="zh-CN"/>
                    </w:rPr>
                    <w:t>2</w:t>
                  </w:r>
                  <w:r>
                    <w:rPr>
                      <w:rFonts w:hint="eastAsia" w:ascii="Times New Roman" w:hAnsi="Times New Roman" w:cs="Times New Roman"/>
                      <w:color w:val="auto"/>
                      <w:szCs w:val="21"/>
                      <w:lang w:val="en-US" w:eastAsia="zh-CN"/>
                    </w:rPr>
                    <w:t>4</w:t>
                  </w:r>
                  <w:r>
                    <w:rPr>
                      <w:rFonts w:hint="default" w:ascii="Times New Roman" w:hAnsi="Times New Roman" w:cs="Times New Roman"/>
                      <w:color w:val="auto"/>
                      <w:szCs w:val="21"/>
                    </w:rPr>
                    <w:t>m</w:t>
                  </w:r>
                </w:p>
              </w:tc>
              <w:tc>
                <w:tcPr>
                  <w:tcW w:w="1704" w:type="pct"/>
                  <w:noWrap w:val="0"/>
                  <w:vAlign w:val="center"/>
                </w:tcPr>
                <w:p>
                  <w:pPr>
                    <w:snapToGrid w:val="0"/>
                    <w:jc w:val="center"/>
                    <w:rPr>
                      <w:rFonts w:hint="default" w:ascii="Times New Roman" w:hAnsi="Times New Roman" w:cs="Times New Roman"/>
                      <w:b w:val="0"/>
                      <w:bCs w:val="0"/>
                      <w:color w:val="auto"/>
                      <w:szCs w:val="21"/>
                    </w:rPr>
                  </w:pPr>
                  <w:r>
                    <w:rPr>
                      <w:rFonts w:hint="default" w:ascii="Times New Roman" w:hAnsi="Times New Roman" w:cs="Times New Roman"/>
                      <w:color w:val="auto"/>
                      <w:szCs w:val="21"/>
                    </w:rPr>
                    <w:t>0.3mg/m</w:t>
                  </w:r>
                  <w:r>
                    <w:rPr>
                      <w:rFonts w:hint="default" w:ascii="Times New Roman" w:hAnsi="Times New Roman" w:cs="Times New Roman"/>
                      <w:color w:val="auto"/>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noWrap w:val="0"/>
                  <w:vAlign w:val="center"/>
                </w:tcPr>
                <w:p>
                  <w:pPr>
                    <w:snapToGrid w:val="0"/>
                    <w:jc w:val="left"/>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注：项目排气筒高度为2</w:t>
                  </w:r>
                  <w:r>
                    <w:rPr>
                      <w:rFonts w:hint="eastAsia" w:ascii="Times New Roman" w:hAnsi="Times New Roman" w:cs="Times New Roman"/>
                      <w:color w:val="auto"/>
                      <w:szCs w:val="21"/>
                      <w:lang w:val="en-US" w:eastAsia="zh-CN"/>
                    </w:rPr>
                    <w:t>4</w:t>
                  </w:r>
                  <w:r>
                    <w:rPr>
                      <w:rFonts w:hint="default" w:ascii="Times New Roman" w:hAnsi="Times New Roman" w:cs="Times New Roman"/>
                      <w:color w:val="auto"/>
                      <w:szCs w:val="21"/>
                      <w:lang w:val="en-US" w:eastAsia="zh-CN"/>
                    </w:rPr>
                    <w:t>m，</w:t>
                  </w:r>
                  <w:r>
                    <w:rPr>
                      <w:rFonts w:hint="eastAsia" w:ascii="Times New Roman" w:hAnsi="Times New Roman" w:cs="Times New Roman"/>
                      <w:color w:val="auto"/>
                      <w:szCs w:val="21"/>
                      <w:lang w:val="en-US" w:eastAsia="zh-CN"/>
                    </w:rPr>
                    <w:t>周边200m范围内的最高建筑高21m。</w:t>
                  </w:r>
                  <w:r>
                    <w:rPr>
                      <w:rFonts w:hint="default" w:ascii="Times New Roman" w:hAnsi="Times New Roman" w:cs="Times New Roman"/>
                      <w:color w:val="auto"/>
                      <w:szCs w:val="21"/>
                      <w:lang w:val="en-US" w:eastAsia="zh-CN"/>
                    </w:rPr>
                    <w:t>高出周围半径200m范围内最高建筑3m以上，符合要求。</w:t>
                  </w:r>
                </w:p>
              </w:tc>
            </w:tr>
          </w:tbl>
          <w:p>
            <w:pPr>
              <w:adjustRightInd w:val="0"/>
              <w:snapToGrid w:val="0"/>
              <w:spacing w:before="120" w:beforeLines="50" w:line="360" w:lineRule="auto"/>
              <w:jc w:val="center"/>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表3-</w:t>
            </w:r>
            <w:r>
              <w:rPr>
                <w:rFonts w:hint="eastAsia" w:ascii="Times New Roman" w:hAnsi="Times New Roman" w:cs="Times New Roman"/>
                <w:b/>
                <w:bCs/>
                <w:color w:val="auto"/>
                <w:sz w:val="24"/>
                <w:szCs w:val="24"/>
                <w:lang w:val="en-US" w:eastAsia="zh-CN"/>
              </w:rPr>
              <w:t>8</w:t>
            </w:r>
            <w:r>
              <w:rPr>
                <w:rFonts w:hint="default" w:ascii="Times New Roman" w:hAnsi="Times New Roman" w:cs="Times New Roman"/>
                <w:b/>
                <w:bCs/>
                <w:color w:val="auto"/>
                <w:sz w:val="24"/>
                <w:szCs w:val="24"/>
                <w:lang w:val="en-US" w:eastAsia="zh-CN"/>
              </w:rPr>
              <w:t xml:space="preserve"> 广东省《大气污染物排放限值》（DB44/27-2001）</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4"/>
              <w:gridCol w:w="1215"/>
              <w:gridCol w:w="1335"/>
              <w:gridCol w:w="1260"/>
              <w:gridCol w:w="1230"/>
              <w:gridCol w:w="1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6" w:type="pct"/>
                  <w:vMerge w:val="restar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污染物</w:t>
                  </w:r>
                </w:p>
              </w:tc>
              <w:tc>
                <w:tcPr>
                  <w:tcW w:w="724" w:type="pct"/>
                  <w:vMerge w:val="restar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最高允许排放浓度（mg/m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w:t>
                  </w:r>
                </w:p>
              </w:tc>
              <w:tc>
                <w:tcPr>
                  <w:tcW w:w="1548" w:type="pct"/>
                  <w:gridSpan w:val="2"/>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最高允许排放速率（kg/h）</w:t>
                  </w:r>
                </w:p>
              </w:tc>
              <w:tc>
                <w:tcPr>
                  <w:tcW w:w="1650" w:type="pct"/>
                  <w:gridSpan w:val="2"/>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无组织排放监控浓度限值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6" w:type="pct"/>
                  <w:vMerge w:val="continue"/>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p>
              </w:tc>
              <w:tc>
                <w:tcPr>
                  <w:tcW w:w="724" w:type="pct"/>
                  <w:vMerge w:val="continue"/>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p>
              </w:tc>
              <w:tc>
                <w:tcPr>
                  <w:tcW w:w="796"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排气筒高度（m）</w:t>
                  </w:r>
                </w:p>
              </w:tc>
              <w:tc>
                <w:tcPr>
                  <w:tcW w:w="751"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二级</w:t>
                  </w:r>
                </w:p>
              </w:tc>
              <w:tc>
                <w:tcPr>
                  <w:tcW w:w="733"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监控点</w:t>
                  </w:r>
                </w:p>
              </w:tc>
              <w:tc>
                <w:tcPr>
                  <w:tcW w:w="916"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浓度（mg/m</w:t>
                  </w:r>
                  <w:r>
                    <w:rPr>
                      <w:rFonts w:hint="default" w:ascii="Times New Roman" w:hAnsi="Times New Roman" w:cs="Times New Roman"/>
                      <w:color w:val="auto"/>
                      <w:sz w:val="21"/>
                      <w:szCs w:val="21"/>
                      <w:vertAlign w:val="superscript"/>
                      <w:lang w:val="en-US" w:eastAsia="zh-CN"/>
                    </w:rPr>
                    <w:t>3</w:t>
                  </w:r>
                  <w:r>
                    <w:rPr>
                      <w:rFonts w:hint="default" w:ascii="Times New Roman" w:hAnsi="Times New Roman"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76"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颗粒物（碳黑尘、染料尘）</w:t>
                  </w:r>
                </w:p>
              </w:tc>
              <w:tc>
                <w:tcPr>
                  <w:tcW w:w="724"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18</w:t>
                  </w:r>
                </w:p>
              </w:tc>
              <w:tc>
                <w:tcPr>
                  <w:tcW w:w="796"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24</w:t>
                  </w:r>
                </w:p>
              </w:tc>
              <w:tc>
                <w:tcPr>
                  <w:tcW w:w="751"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0.42</w:t>
                  </w:r>
                </w:p>
              </w:tc>
              <w:tc>
                <w:tcPr>
                  <w:tcW w:w="733"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周界外浓度最高点</w:t>
                  </w:r>
                </w:p>
              </w:tc>
              <w:tc>
                <w:tcPr>
                  <w:tcW w:w="916"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肉眼不可见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noWrap w:val="0"/>
                  <w:vAlign w:val="center"/>
                </w:tcPr>
                <w:p>
                  <w:pPr>
                    <w:snapToGrid w:val="0"/>
                    <w:jc w:val="both"/>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szCs w:val="21"/>
                      <w:lang w:val="en-US" w:eastAsia="zh-CN"/>
                    </w:rPr>
                    <w:t>注：项目废气拟设置的排气筒高度为24米，不能满足广东省《大气污染物排放限值》（DB44/27-2001）标准中“排气筒高度应高出周围的200m半径范围的建筑5m以上”的规定，非甲烷总烃最高允许排放速率应按其高度对应的排放速率限值的50%执行。</w:t>
                  </w:r>
                </w:p>
              </w:tc>
            </w:tr>
          </w:tbl>
          <w:p>
            <w:pPr>
              <w:adjustRightInd w:val="0"/>
              <w:snapToGrid w:val="0"/>
              <w:spacing w:before="120" w:beforeLines="50" w:line="360" w:lineRule="auto"/>
              <w:ind w:firstLine="480" w:firstLineChars="200"/>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w:t>
            </w:r>
            <w:r>
              <w:rPr>
                <w:rFonts w:hint="default" w:ascii="Times New Roman" w:hAnsi="Times New Roman" w:cs="Times New Roman"/>
                <w:color w:val="auto"/>
                <w:kern w:val="18"/>
                <w:sz w:val="24"/>
                <w:szCs w:val="24"/>
              </w:rPr>
              <w:t>厂区内挥发性有机物无组织排放执行</w:t>
            </w:r>
            <w:r>
              <w:rPr>
                <w:rFonts w:hint="default" w:ascii="Times New Roman" w:hAnsi="Times New Roman" w:cs="Times New Roman"/>
                <w:color w:val="auto"/>
                <w:sz w:val="24"/>
                <w:szCs w:val="24"/>
                <w:lang w:val="en-US" w:eastAsia="zh-CN"/>
              </w:rPr>
              <w:t>《固定污染源挥发性有机物综合排放标准》（DB44/2367-2022）</w:t>
            </w:r>
            <w:r>
              <w:rPr>
                <w:rFonts w:hint="default" w:ascii="Times New Roman" w:hAnsi="Times New Roman" w:eastAsia="宋体" w:cs="Times New Roman"/>
                <w:color w:val="auto"/>
                <w:sz w:val="24"/>
                <w:szCs w:val="32"/>
                <w:lang w:val="en-US" w:eastAsia="zh-CN"/>
              </w:rPr>
              <w:t>规定的无组织排放限值</w:t>
            </w:r>
            <w:r>
              <w:rPr>
                <w:rFonts w:hint="default" w:ascii="Times New Roman" w:hAnsi="Times New Roman" w:cs="Times New Roman"/>
                <w:color w:val="auto"/>
                <w:kern w:val="18"/>
                <w:sz w:val="24"/>
                <w:szCs w:val="24"/>
              </w:rPr>
              <w:t>。具体排放标准数据见下表</w:t>
            </w:r>
            <w:r>
              <w:rPr>
                <w:rFonts w:hint="default" w:ascii="Times New Roman" w:hAnsi="Times New Roman" w:cs="Times New Roman"/>
                <w:color w:val="auto"/>
                <w:kern w:val="0"/>
                <w:sz w:val="24"/>
                <w:szCs w:val="24"/>
              </w:rPr>
              <w:t>。</w:t>
            </w:r>
          </w:p>
          <w:p>
            <w:pPr>
              <w:adjustRightInd w:val="0"/>
              <w:snapToGrid w:val="0"/>
              <w:spacing w:before="120" w:beforeLines="50" w:line="360" w:lineRule="auto"/>
              <w:jc w:val="center"/>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表3-</w:t>
            </w:r>
            <w:r>
              <w:rPr>
                <w:rFonts w:hint="eastAsia" w:ascii="Times New Roman" w:hAnsi="Times New Roman" w:eastAsia="宋体" w:cs="Times New Roman"/>
                <w:b/>
                <w:bCs/>
                <w:color w:val="auto"/>
                <w:sz w:val="24"/>
                <w:szCs w:val="24"/>
                <w:lang w:val="en-US" w:eastAsia="zh-CN"/>
              </w:rPr>
              <w:t>9</w:t>
            </w:r>
            <w:r>
              <w:rPr>
                <w:rFonts w:hint="default" w:ascii="Times New Roman" w:hAnsi="Times New Roman" w:eastAsia="宋体" w:cs="Times New Roman"/>
                <w:b/>
                <w:bCs/>
                <w:color w:val="auto"/>
                <w:sz w:val="24"/>
                <w:szCs w:val="24"/>
                <w:lang w:val="en-US" w:eastAsia="zh-CN"/>
              </w:rPr>
              <w:t xml:space="preserve"> 厂区内非甲烷总烃无组织排放限值 单位：mg/m</w:t>
            </w:r>
            <w:r>
              <w:rPr>
                <w:rFonts w:hint="default" w:ascii="Times New Roman" w:hAnsi="Times New Roman" w:eastAsia="宋体" w:cs="Times New Roman"/>
                <w:b/>
                <w:bCs/>
                <w:color w:val="auto"/>
                <w:sz w:val="24"/>
                <w:szCs w:val="24"/>
                <w:vertAlign w:val="superscript"/>
                <w:lang w:val="en-US" w:eastAsia="zh-CN"/>
              </w:rPr>
              <w:t>3</w:t>
            </w:r>
          </w:p>
          <w:tbl>
            <w:tblPr>
              <w:tblStyle w:val="3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7"/>
              <w:gridCol w:w="1814"/>
              <w:gridCol w:w="2897"/>
              <w:gridCol w:w="2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7" w:type="dxa"/>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污染项目</w:t>
                  </w:r>
                </w:p>
              </w:tc>
              <w:tc>
                <w:tcPr>
                  <w:tcW w:w="1814" w:type="dxa"/>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特别排放限值</w:t>
                  </w:r>
                </w:p>
              </w:tc>
              <w:tc>
                <w:tcPr>
                  <w:tcW w:w="2897" w:type="dxa"/>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限值含义</w:t>
                  </w:r>
                </w:p>
              </w:tc>
              <w:tc>
                <w:tcPr>
                  <w:tcW w:w="2455" w:type="dxa"/>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267" w:type="dxa"/>
                  <w:vMerge w:val="restar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NMHC</w:t>
                  </w:r>
                </w:p>
              </w:tc>
              <w:tc>
                <w:tcPr>
                  <w:tcW w:w="1814"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w:t>
                  </w:r>
                </w:p>
              </w:tc>
              <w:tc>
                <w:tcPr>
                  <w:tcW w:w="2897"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监控点处1h平均浓度值</w:t>
                  </w:r>
                </w:p>
              </w:tc>
              <w:tc>
                <w:tcPr>
                  <w:tcW w:w="2455" w:type="dxa"/>
                  <w:vMerge w:val="restar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67" w:type="dxa"/>
                  <w:vMerge w:val="continue"/>
                  <w:noWrap w:val="0"/>
                  <w:vAlign w:val="center"/>
                </w:tcPr>
                <w:p>
                  <w:pPr>
                    <w:pStyle w:val="49"/>
                    <w:jc w:val="center"/>
                    <w:rPr>
                      <w:rFonts w:hint="default" w:ascii="Times New Roman" w:hAnsi="Times New Roman" w:cs="Times New Roman"/>
                      <w:color w:val="auto"/>
                      <w:sz w:val="21"/>
                      <w:szCs w:val="21"/>
                    </w:rPr>
                  </w:pPr>
                </w:p>
              </w:tc>
              <w:tc>
                <w:tcPr>
                  <w:tcW w:w="1814"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20</w:t>
                  </w:r>
                </w:p>
              </w:tc>
              <w:tc>
                <w:tcPr>
                  <w:tcW w:w="2897"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监控点处任意一次浓度值</w:t>
                  </w:r>
                </w:p>
              </w:tc>
              <w:tc>
                <w:tcPr>
                  <w:tcW w:w="2455" w:type="dxa"/>
                  <w:vMerge w:val="continue"/>
                  <w:noWrap w:val="0"/>
                  <w:vAlign w:val="center"/>
                </w:tcPr>
                <w:p>
                  <w:pPr>
                    <w:pStyle w:val="49"/>
                    <w:jc w:val="center"/>
                    <w:rPr>
                      <w:rFonts w:hint="default" w:ascii="Times New Roman" w:hAnsi="Times New Roman" w:cs="Times New Roman"/>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2"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b/>
                <w:bCs/>
                <w:color w:val="auto"/>
                <w:sz w:val="24"/>
                <w:szCs w:val="24"/>
              </w:rPr>
              <w:t>3.3.3 噪声排放标准</w:t>
            </w:r>
          </w:p>
          <w:p>
            <w:pPr>
              <w:spacing w:line="360" w:lineRule="auto"/>
              <w:ind w:firstLine="480" w:firstLineChars="200"/>
              <w:rPr>
                <w:rFonts w:hint="default" w:ascii="Times New Roman" w:hAnsi="Times New Roman" w:cs="Times New Roman"/>
                <w:b/>
                <w:color w:val="auto"/>
                <w:szCs w:val="21"/>
              </w:rPr>
            </w:pPr>
            <w:r>
              <w:rPr>
                <w:rFonts w:hint="default" w:ascii="Times New Roman" w:hAnsi="Times New Roman" w:cs="Times New Roman"/>
                <w:color w:val="auto"/>
                <w:sz w:val="24"/>
                <w:szCs w:val="24"/>
              </w:rPr>
              <w:t>项目营运期厂界噪声执行《工业企业厂界环境噪声排放标准》（GB12348-2008）</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类标准，具体标准值详见下表。</w:t>
            </w:r>
          </w:p>
          <w:p>
            <w:pPr>
              <w:adjustRightInd w:val="0"/>
              <w:snapToGrid w:val="0"/>
              <w:spacing w:line="360" w:lineRule="auto"/>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w:t>
            </w:r>
            <w:r>
              <w:rPr>
                <w:rFonts w:hint="default" w:ascii="Times New Roman" w:hAnsi="Times New Roman" w:cs="Times New Roman"/>
                <w:b/>
                <w:color w:val="auto"/>
                <w:sz w:val="24"/>
                <w:szCs w:val="24"/>
                <w:lang w:val="en-US" w:eastAsia="zh-CN"/>
              </w:rPr>
              <w:t>3-1</w:t>
            </w:r>
            <w:r>
              <w:rPr>
                <w:rFonts w:hint="eastAsia" w:ascii="Times New Roman" w:hAnsi="Times New Roman" w:cs="Times New Roman"/>
                <w:b/>
                <w:color w:val="auto"/>
                <w:sz w:val="24"/>
                <w:szCs w:val="24"/>
                <w:lang w:val="en-US" w:eastAsia="zh-CN"/>
              </w:rPr>
              <w:t>0</w:t>
            </w:r>
            <w:r>
              <w:rPr>
                <w:rFonts w:hint="default" w:ascii="Times New Roman" w:hAnsi="Times New Roman" w:cs="Times New Roman"/>
                <w:b/>
                <w:color w:val="auto"/>
                <w:sz w:val="24"/>
                <w:szCs w:val="24"/>
              </w:rPr>
              <w:t xml:space="preserve"> 《</w:t>
            </w:r>
            <w:r>
              <w:rPr>
                <w:rFonts w:hint="default" w:ascii="Times New Roman" w:hAnsi="Times New Roman" w:cs="Times New Roman"/>
                <w:b/>
                <w:bCs/>
                <w:color w:val="auto"/>
                <w:sz w:val="24"/>
                <w:szCs w:val="24"/>
              </w:rPr>
              <w:t>工业企业厂界环境噪声排放标准</w:t>
            </w:r>
            <w:r>
              <w:rPr>
                <w:rFonts w:hint="default" w:ascii="Times New Roman" w:hAnsi="Times New Roman" w:cs="Times New Roman"/>
                <w:b/>
                <w:color w:val="auto"/>
                <w:sz w:val="24"/>
                <w:szCs w:val="24"/>
              </w:rPr>
              <w:t>》</w:t>
            </w:r>
            <w:r>
              <w:rPr>
                <w:rFonts w:hint="default" w:ascii="Times New Roman" w:hAnsi="Times New Roman" w:cs="Times New Roman"/>
                <w:b/>
                <w:bCs/>
                <w:color w:val="auto"/>
                <w:sz w:val="24"/>
                <w:szCs w:val="24"/>
              </w:rPr>
              <w:t>(GB12348-2008)</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190"/>
              <w:gridCol w:w="2660"/>
              <w:gridCol w:w="26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190" w:type="dxa"/>
                  <w:vMerge w:val="restart"/>
                  <w:noWrap w:val="0"/>
                  <w:vAlign w:val="center"/>
                </w:tcPr>
                <w:p>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标准类别</w:t>
                  </w:r>
                </w:p>
              </w:tc>
              <w:tc>
                <w:tcPr>
                  <w:tcW w:w="5262" w:type="dxa"/>
                  <w:gridSpan w:val="2"/>
                  <w:noWrap w:val="0"/>
                  <w:vAlign w:val="center"/>
                </w:tcPr>
                <w:p>
                  <w:pPr>
                    <w:pStyle w:val="94"/>
                    <w:rPr>
                      <w:rFonts w:hint="default" w:ascii="Times New Roman" w:hAnsi="Times New Roman" w:cs="Times New Roman"/>
                      <w:b/>
                      <w:color w:val="auto"/>
                    </w:rPr>
                  </w:pPr>
                  <w:r>
                    <w:rPr>
                      <w:rFonts w:hint="default" w:ascii="Times New Roman" w:hAnsi="Times New Roman" w:cs="Times New Roman"/>
                      <w:b/>
                      <w:color w:val="auto"/>
                    </w:rPr>
                    <w:t>标准限值[dB(A)]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190" w:type="dxa"/>
                  <w:vMerge w:val="continue"/>
                  <w:noWrap w:val="0"/>
                  <w:vAlign w:val="center"/>
                </w:tcPr>
                <w:p>
                  <w:pPr>
                    <w:jc w:val="center"/>
                    <w:rPr>
                      <w:rFonts w:hint="default" w:ascii="Times New Roman" w:hAnsi="Times New Roman" w:cs="Times New Roman"/>
                      <w:b/>
                      <w:color w:val="auto"/>
                      <w:szCs w:val="21"/>
                    </w:rPr>
                  </w:pPr>
                </w:p>
              </w:tc>
              <w:tc>
                <w:tcPr>
                  <w:tcW w:w="2660" w:type="dxa"/>
                  <w:noWrap w:val="0"/>
                  <w:vAlign w:val="center"/>
                </w:tcPr>
                <w:p>
                  <w:pPr>
                    <w:pStyle w:val="94"/>
                    <w:rPr>
                      <w:rFonts w:hint="default" w:ascii="Times New Roman" w:hAnsi="Times New Roman" w:cs="Times New Roman"/>
                      <w:b/>
                      <w:color w:val="auto"/>
                    </w:rPr>
                  </w:pPr>
                  <w:r>
                    <w:rPr>
                      <w:rFonts w:hint="default" w:ascii="Times New Roman" w:hAnsi="Times New Roman" w:cs="Times New Roman"/>
                      <w:b/>
                      <w:color w:val="auto"/>
                    </w:rPr>
                    <w:t>昼间</w:t>
                  </w:r>
                </w:p>
              </w:tc>
              <w:tc>
                <w:tcPr>
                  <w:tcW w:w="2602" w:type="dxa"/>
                  <w:noWrap w:val="0"/>
                  <w:vAlign w:val="center"/>
                </w:tcPr>
                <w:p>
                  <w:pPr>
                    <w:pStyle w:val="94"/>
                    <w:rPr>
                      <w:rFonts w:hint="default" w:ascii="Times New Roman" w:hAnsi="Times New Roman" w:cs="Times New Roman"/>
                      <w:b/>
                      <w:color w:val="auto"/>
                    </w:rPr>
                  </w:pPr>
                  <w:r>
                    <w:rPr>
                      <w:rFonts w:hint="default" w:ascii="Times New Roman" w:hAnsi="Times New Roman" w:cs="Times New Roman"/>
                      <w:b/>
                      <w:color w:val="auto"/>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190" w:type="dxa"/>
                  <w:noWrap w:val="0"/>
                  <w:vAlign w:val="center"/>
                </w:tcPr>
                <w:p>
                  <w:pPr>
                    <w:jc w:val="center"/>
                    <w:rPr>
                      <w:rFonts w:hint="default" w:ascii="Times New Roman" w:hAnsi="Times New Roman" w:cs="Times New Roman"/>
                      <w:bCs/>
                      <w:color w:val="auto"/>
                      <w:szCs w:val="21"/>
                    </w:rPr>
                  </w:pPr>
                  <w:r>
                    <w:rPr>
                      <w:rFonts w:hint="default" w:ascii="Times New Roman" w:hAnsi="Times New Roman" w:cs="Times New Roman"/>
                      <w:bCs/>
                      <w:color w:val="auto"/>
                      <w:szCs w:val="21"/>
                      <w:lang w:val="en-US" w:eastAsia="zh-CN"/>
                    </w:rPr>
                    <w:t>2</w:t>
                  </w:r>
                  <w:r>
                    <w:rPr>
                      <w:rFonts w:hint="default" w:ascii="Times New Roman" w:hAnsi="Times New Roman" w:cs="Times New Roman"/>
                      <w:bCs/>
                      <w:color w:val="auto"/>
                      <w:szCs w:val="21"/>
                    </w:rPr>
                    <w:t>类</w:t>
                  </w:r>
                </w:p>
              </w:tc>
              <w:tc>
                <w:tcPr>
                  <w:tcW w:w="2660" w:type="dxa"/>
                  <w:noWrap w:val="0"/>
                  <w:vAlign w:val="center"/>
                </w:tcPr>
                <w:p>
                  <w:pPr>
                    <w:pStyle w:val="94"/>
                    <w:rPr>
                      <w:rFonts w:hint="default" w:ascii="Times New Roman" w:hAnsi="Times New Roman" w:eastAsia="宋体" w:cs="Times New Roman"/>
                      <w:bCs/>
                      <w:color w:val="auto"/>
                      <w:lang w:eastAsia="zh-CN"/>
                    </w:rPr>
                  </w:pPr>
                  <w:r>
                    <w:rPr>
                      <w:rFonts w:hint="default" w:ascii="Times New Roman" w:hAnsi="Times New Roman" w:cs="Times New Roman"/>
                      <w:bCs/>
                      <w:color w:val="auto"/>
                    </w:rPr>
                    <w:t>6</w:t>
                  </w:r>
                  <w:r>
                    <w:rPr>
                      <w:rFonts w:hint="default" w:ascii="Times New Roman" w:hAnsi="Times New Roman" w:cs="Times New Roman"/>
                      <w:bCs/>
                      <w:color w:val="auto"/>
                      <w:lang w:val="en-US" w:eastAsia="zh-CN"/>
                    </w:rPr>
                    <w:t>0</w:t>
                  </w:r>
                </w:p>
              </w:tc>
              <w:tc>
                <w:tcPr>
                  <w:tcW w:w="2602" w:type="dxa"/>
                  <w:noWrap w:val="0"/>
                  <w:vAlign w:val="center"/>
                </w:tcPr>
                <w:p>
                  <w:pPr>
                    <w:pStyle w:val="94"/>
                    <w:rPr>
                      <w:rFonts w:hint="default" w:ascii="Times New Roman" w:hAnsi="Times New Roman" w:eastAsia="宋体" w:cs="Times New Roman"/>
                      <w:bCs/>
                      <w:color w:val="auto"/>
                      <w:lang w:eastAsia="zh-CN"/>
                    </w:rPr>
                  </w:pPr>
                  <w:r>
                    <w:rPr>
                      <w:rFonts w:hint="default" w:ascii="Times New Roman" w:hAnsi="Times New Roman" w:cs="Times New Roman"/>
                      <w:bCs/>
                      <w:color w:val="auto"/>
                    </w:rPr>
                    <w:t>5</w:t>
                  </w:r>
                  <w:r>
                    <w:rPr>
                      <w:rFonts w:hint="default" w:ascii="Times New Roman" w:hAnsi="Times New Roman" w:cs="Times New Roman"/>
                      <w:bCs/>
                      <w:color w:val="auto"/>
                      <w:lang w:val="en-US" w:eastAsia="zh-CN"/>
                    </w:rPr>
                    <w:t>0</w:t>
                  </w:r>
                </w:p>
              </w:tc>
            </w:tr>
          </w:tbl>
          <w:p>
            <w:pPr>
              <w:adjustRightInd w:val="0"/>
              <w:snapToGrid w:val="0"/>
              <w:spacing w:before="120" w:beforeLines="50" w:line="360" w:lineRule="auto"/>
              <w:ind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rPr>
              <w:t>3.3.4 固体废物</w:t>
            </w:r>
            <w:r>
              <w:rPr>
                <w:rFonts w:hint="default" w:ascii="Times New Roman" w:hAnsi="Times New Roman" w:cs="Times New Roman"/>
                <w:b/>
                <w:bCs/>
                <w:color w:val="auto"/>
                <w:sz w:val="24"/>
                <w:szCs w:val="24"/>
                <w:lang w:val="en-US" w:eastAsia="zh-CN"/>
              </w:rPr>
              <w:t>控制标准</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一般工业固体废物的贮存场所应满足防渗漏、防雨淋、防扬尘的要求，一般工业固体废物分类应满足《一般固体废物分类与代码》（GB/T39198-2020）的要求。</w:t>
            </w:r>
          </w:p>
          <w:p>
            <w:pPr>
              <w:adjustRightInd w:val="0"/>
              <w:snapToGrid w:val="0"/>
              <w:spacing w:line="360" w:lineRule="auto"/>
              <w:ind w:firstLine="480" w:firstLineChars="200"/>
              <w:rPr>
                <w:rFonts w:hint="default" w:ascii="Times New Roman" w:hAnsi="Times New Roman" w:eastAsia="宋体" w:cs="Times New Roman"/>
                <w:color w:val="auto"/>
                <w:kern w:val="0"/>
                <w:szCs w:val="21"/>
                <w:lang w:eastAsia="zh-CN"/>
              </w:rPr>
            </w:pPr>
            <w:r>
              <w:rPr>
                <w:rFonts w:hint="default" w:ascii="Times New Roman" w:hAnsi="Times New Roman" w:cs="Times New Roman"/>
                <w:color w:val="auto"/>
                <w:sz w:val="24"/>
              </w:rPr>
              <w:t>危险固废存储执行《危险废物贮存污染控制标准》（GB18597-2023）的相关规定以及《危险废物收集、贮存、运输技术规范》（HJ2025-2012）</w:t>
            </w:r>
            <w:r>
              <w:rPr>
                <w:rFonts w:hint="default" w:ascii="Times New Roman" w:hAnsi="Times New Roman" w:cs="Times New Roman"/>
                <w:color w:val="auto"/>
                <w:sz w:val="24"/>
                <w:lang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71" w:hRule="atLeast"/>
          <w:jc w:val="center"/>
        </w:trPr>
        <w:tc>
          <w:tcPr>
            <w:tcW w:w="452" w:type="dxa"/>
            <w:noWrap w:val="0"/>
            <w:vAlign w:val="center"/>
          </w:tcPr>
          <w:p>
            <w:pPr>
              <w:adjustRightInd w:val="0"/>
              <w:snapToGrid w:val="0"/>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总量</w:t>
            </w:r>
          </w:p>
          <w:p>
            <w:pPr>
              <w:adjustRightInd w:val="0"/>
              <w:snapToGrid w:val="0"/>
              <w:jc w:val="center"/>
              <w:rPr>
                <w:rFonts w:hint="default" w:ascii="Times New Roman" w:hAnsi="Times New Roman" w:cs="Times New Roman"/>
                <w:color w:val="auto"/>
                <w:kern w:val="0"/>
                <w:sz w:val="24"/>
                <w:szCs w:val="24"/>
              </w:rPr>
            </w:pPr>
            <w:r>
              <w:rPr>
                <w:rFonts w:hint="default" w:ascii="Times New Roman" w:hAnsi="Times New Roman" w:cs="Times New Roman"/>
                <w:color w:val="auto"/>
                <w:kern w:val="0"/>
                <w:sz w:val="24"/>
                <w:szCs w:val="24"/>
              </w:rPr>
              <w:t>控制</w:t>
            </w:r>
          </w:p>
          <w:p>
            <w:pPr>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 w:val="24"/>
                <w:szCs w:val="24"/>
              </w:rPr>
              <w:t>指标</w:t>
            </w:r>
          </w:p>
        </w:tc>
        <w:tc>
          <w:tcPr>
            <w:tcW w:w="8609" w:type="dxa"/>
            <w:noWrap w:val="0"/>
            <w:vAlign w:val="center"/>
          </w:tcPr>
          <w:p>
            <w:pPr>
              <w:pStyle w:val="20"/>
              <w:widowControl/>
              <w:spacing w:before="120" w:beforeLines="50"/>
              <w:ind w:firstLine="480" w:firstLineChars="200"/>
              <w:jc w:val="left"/>
              <w:rPr>
                <w:rFonts w:hint="default" w:ascii="Times New Roman" w:hAnsi="Times New Roman" w:cs="Times New Roman"/>
                <w:color w:val="auto"/>
                <w:sz w:val="21"/>
                <w:szCs w:val="21"/>
              </w:rPr>
            </w:pPr>
            <w:r>
              <w:rPr>
                <w:rFonts w:hint="default" w:ascii="Times New Roman" w:hAnsi="Times New Roman" w:eastAsia="宋体" w:cs="Times New Roman"/>
                <w:color w:val="auto"/>
                <w:sz w:val="24"/>
                <w:szCs w:val="24"/>
              </w:rPr>
              <w:t>项目污染物排放总量控制指标建议如下。</w:t>
            </w:r>
          </w:p>
          <w:p>
            <w:pPr>
              <w:widowControl/>
              <w:spacing w:line="360" w:lineRule="auto"/>
              <w:jc w:val="center"/>
              <w:rPr>
                <w:rFonts w:hint="default" w:ascii="Times New Roman" w:hAnsi="Times New Roman" w:cs="Times New Roman"/>
                <w:b/>
                <w:color w:val="auto"/>
                <w:sz w:val="24"/>
                <w:szCs w:val="24"/>
              </w:rPr>
            </w:pPr>
            <w:r>
              <w:rPr>
                <w:rFonts w:hint="default" w:ascii="Times New Roman" w:hAnsi="Times New Roman" w:cs="Times New Roman"/>
                <w:b/>
                <w:color w:val="auto"/>
                <w:sz w:val="24"/>
                <w:szCs w:val="24"/>
              </w:rPr>
              <w:t>表3</w:t>
            </w:r>
            <w:r>
              <w:rPr>
                <w:rFonts w:hint="default" w:ascii="Times New Roman" w:hAnsi="Times New Roman" w:cs="Times New Roman"/>
                <w:b/>
                <w:color w:val="auto"/>
                <w:sz w:val="24"/>
                <w:szCs w:val="24"/>
                <w:lang w:val="en-US" w:eastAsia="zh-CN"/>
              </w:rPr>
              <w:t>-1</w:t>
            </w:r>
            <w:r>
              <w:rPr>
                <w:rFonts w:hint="eastAsia" w:ascii="Times New Roman" w:hAnsi="Times New Roman" w:cs="Times New Roman"/>
                <w:b/>
                <w:color w:val="auto"/>
                <w:sz w:val="24"/>
                <w:szCs w:val="24"/>
                <w:lang w:val="en-US" w:eastAsia="zh-CN"/>
              </w:rPr>
              <w:t>1</w:t>
            </w:r>
            <w:r>
              <w:rPr>
                <w:rFonts w:hint="default" w:ascii="Times New Roman" w:hAnsi="Times New Roman" w:cs="Times New Roman"/>
                <w:b/>
                <w:color w:val="auto"/>
                <w:sz w:val="24"/>
                <w:szCs w:val="24"/>
              </w:rPr>
              <w:t xml:space="preserve"> 本项目主要污染物排放总量控制指标</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gridCol w:w="1616"/>
              <w:gridCol w:w="2327"/>
              <w:gridCol w:w="2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6"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类别</w:t>
                  </w:r>
                </w:p>
              </w:tc>
              <w:tc>
                <w:tcPr>
                  <w:tcW w:w="2352" w:type="pct"/>
                  <w:gridSpan w:val="2"/>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控制指标</w:t>
                  </w:r>
                </w:p>
              </w:tc>
              <w:tc>
                <w:tcPr>
                  <w:tcW w:w="166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rPr>
                  </w:pPr>
                  <w:r>
                    <w:rPr>
                      <w:rFonts w:hint="default" w:ascii="Times New Roman" w:hAnsi="Times New Roman" w:cs="Times New Roman"/>
                      <w:b/>
                      <w:bCs/>
                      <w:color w:val="auto"/>
                    </w:rPr>
                    <w:t>排放量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6" w:type="pct"/>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r>
                    <w:rPr>
                      <w:rFonts w:hint="default" w:ascii="Times New Roman" w:hAnsi="Times New Roman" w:cs="Times New Roman"/>
                      <w:color w:val="auto"/>
                    </w:rPr>
                    <w:t>生活</w:t>
                  </w:r>
                </w:p>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r>
                    <w:rPr>
                      <w:rFonts w:hint="default" w:ascii="Times New Roman" w:hAnsi="Times New Roman" w:cs="Times New Roman"/>
                      <w:color w:val="auto"/>
                    </w:rPr>
                    <w:t>污水</w:t>
                  </w:r>
                </w:p>
              </w:tc>
              <w:tc>
                <w:tcPr>
                  <w:tcW w:w="2352" w:type="pct"/>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r>
                    <w:rPr>
                      <w:rFonts w:hint="default" w:ascii="Times New Roman" w:hAnsi="Times New Roman" w:cs="Times New Roman"/>
                      <w:color w:val="auto"/>
                    </w:rPr>
                    <w:t>废水量（t/a）</w:t>
                  </w:r>
                </w:p>
              </w:tc>
              <w:tc>
                <w:tcPr>
                  <w:tcW w:w="1660"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cs="Times New Roman"/>
                      <w:snapToGrid w:val="0"/>
                      <w:color w:val="auto"/>
                      <w:kern w:val="21"/>
                      <w:szCs w:val="21"/>
                      <w:lang w:val="en-US" w:eastAsia="zh-CN"/>
                    </w:rPr>
                    <w:t>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6"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color w:val="auto"/>
                    </w:rPr>
                  </w:pPr>
                </w:p>
              </w:tc>
              <w:tc>
                <w:tcPr>
                  <w:tcW w:w="2352" w:type="pct"/>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r>
                    <w:rPr>
                      <w:rFonts w:hint="default" w:ascii="Times New Roman" w:hAnsi="Times New Roman" w:cs="Times New Roman"/>
                      <w:color w:val="auto"/>
                    </w:rPr>
                    <w:t>COD</w:t>
                  </w:r>
                  <w:r>
                    <w:rPr>
                      <w:rFonts w:hint="default" w:ascii="Times New Roman" w:hAnsi="Times New Roman" w:cs="Times New Roman"/>
                      <w:color w:val="auto"/>
                      <w:vertAlign w:val="subscript"/>
                    </w:rPr>
                    <w:t>cr</w:t>
                  </w:r>
                  <w:r>
                    <w:rPr>
                      <w:rFonts w:hint="default" w:ascii="Times New Roman" w:hAnsi="Times New Roman" w:cs="Times New Roman"/>
                      <w:color w:val="auto"/>
                    </w:rPr>
                    <w:t>（t/a）</w:t>
                  </w:r>
                </w:p>
              </w:tc>
              <w:tc>
                <w:tcPr>
                  <w:tcW w:w="1660"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rPr>
                  </w:pPr>
                  <w:r>
                    <w:rPr>
                      <w:rFonts w:hint="default" w:ascii="Times New Roman" w:hAnsi="Times New Roman" w:cs="Times New Roman"/>
                      <w:snapToGrid w:val="0"/>
                      <w:color w:val="auto"/>
                      <w:kern w:val="21"/>
                      <w:szCs w:val="21"/>
                      <w:lang w:val="en-US" w:eastAsia="zh-CN"/>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6"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textAlignment w:val="auto"/>
                    <w:rPr>
                      <w:rFonts w:hint="default" w:ascii="Times New Roman" w:hAnsi="Times New Roman" w:cs="Times New Roman"/>
                      <w:color w:val="auto"/>
                    </w:rPr>
                  </w:pPr>
                </w:p>
              </w:tc>
              <w:tc>
                <w:tcPr>
                  <w:tcW w:w="2352" w:type="pct"/>
                  <w:gridSpan w:val="2"/>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r>
                    <w:rPr>
                      <w:rFonts w:hint="default" w:ascii="Times New Roman" w:hAnsi="Times New Roman" w:cs="Times New Roman"/>
                      <w:color w:val="auto"/>
                    </w:rPr>
                    <w:t>NH</w:t>
                  </w:r>
                  <w:r>
                    <w:rPr>
                      <w:rFonts w:hint="default" w:ascii="Times New Roman" w:hAnsi="Times New Roman" w:cs="Times New Roman"/>
                      <w:color w:val="auto"/>
                      <w:vertAlign w:val="subscript"/>
                    </w:rPr>
                    <w:t>3</w:t>
                  </w:r>
                  <w:r>
                    <w:rPr>
                      <w:rFonts w:hint="default" w:ascii="Times New Roman" w:hAnsi="Times New Roman" w:cs="Times New Roman"/>
                      <w:color w:val="auto"/>
                    </w:rPr>
                    <w:t>-N（t/a）</w:t>
                  </w:r>
                </w:p>
              </w:tc>
              <w:tc>
                <w:tcPr>
                  <w:tcW w:w="1660"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lang w:val="en-US"/>
                    </w:rPr>
                  </w:pPr>
                  <w:r>
                    <w:rPr>
                      <w:rFonts w:hint="default" w:ascii="Times New Roman" w:hAnsi="Times New Roman" w:eastAsia="宋体" w:cs="Times New Roman"/>
                      <w:color w:val="auto"/>
                      <w:szCs w:val="21"/>
                      <w:lang w:val="en-US" w:eastAsia="zh-CN"/>
                    </w:rPr>
                    <w:t>0.00</w:t>
                  </w:r>
                  <w:r>
                    <w:rPr>
                      <w:rFonts w:hint="eastAsia" w:ascii="Times New Roman" w:hAnsi="Times New Roman" w:eastAsia="宋体" w:cs="Times New Roman"/>
                      <w:color w:val="auto"/>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6" w:type="pct"/>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r>
                    <w:rPr>
                      <w:rFonts w:hint="default" w:ascii="Times New Roman" w:hAnsi="Times New Roman" w:cs="Times New Roman"/>
                      <w:color w:val="auto"/>
                    </w:rPr>
                    <w:t>废气</w:t>
                  </w:r>
                </w:p>
              </w:tc>
              <w:tc>
                <w:tcPr>
                  <w:tcW w:w="964" w:type="pct"/>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lang w:val="en-US" w:eastAsia="zh-CN"/>
                    </w:rPr>
                    <w:t>VOCs</w:t>
                  </w:r>
                  <w:r>
                    <w:rPr>
                      <w:rFonts w:hint="default" w:ascii="Times New Roman" w:hAnsi="Times New Roman" w:cs="Times New Roman"/>
                      <w:color w:val="auto"/>
                    </w:rPr>
                    <w:t>（t/a）</w:t>
                  </w:r>
                </w:p>
              </w:tc>
              <w:tc>
                <w:tcPr>
                  <w:tcW w:w="1387"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有组织</w:t>
                  </w:r>
                </w:p>
              </w:tc>
              <w:tc>
                <w:tcPr>
                  <w:tcW w:w="1660"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4"/>
                      <w:lang w:val="en-US" w:eastAsia="zh-CN" w:bidi="ar-SA"/>
                    </w:rPr>
                  </w:pPr>
                  <w:r>
                    <w:rPr>
                      <w:rFonts w:hint="default" w:ascii="Times New Roman" w:hAnsi="Times New Roman" w:cs="Times New Roman"/>
                      <w:color w:val="auto"/>
                      <w:kern w:val="2"/>
                      <w:sz w:val="21"/>
                      <w:szCs w:val="24"/>
                      <w:lang w:val="en-US" w:eastAsia="zh-CN" w:bidi="ar-SA"/>
                    </w:rPr>
                    <w:t>0</w:t>
                  </w:r>
                  <w:r>
                    <w:rPr>
                      <w:rFonts w:hint="eastAsia" w:ascii="Times New Roman" w:hAnsi="Times New Roman" w:cs="Times New Roman"/>
                      <w:color w:val="auto"/>
                      <w:kern w:val="2"/>
                      <w:sz w:val="21"/>
                      <w:szCs w:val="24"/>
                      <w:lang w:val="en-US" w:eastAsia="zh-CN" w:bidi="ar-SA"/>
                    </w:rPr>
                    <w:t>.449</w:t>
                  </w:r>
                  <w:r>
                    <w:rPr>
                      <w:rFonts w:hint="eastAsia" w:cs="Times New Roman"/>
                      <w:color w:val="auto"/>
                      <w:kern w:val="2"/>
                      <w:sz w:val="21"/>
                      <w:szCs w:val="24"/>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6"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964"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1387"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cs="Times New Roman"/>
                      <w:color w:val="auto"/>
                      <w:lang w:val="en-US" w:eastAsia="zh-CN"/>
                    </w:rPr>
                    <w:t>无组织</w:t>
                  </w:r>
                </w:p>
              </w:tc>
              <w:tc>
                <w:tcPr>
                  <w:tcW w:w="1660"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kern w:val="21"/>
                      <w:sz w:val="21"/>
                      <w:szCs w:val="21"/>
                      <w:lang w:val="en-US" w:eastAsia="zh-CN" w:bidi="ar-SA"/>
                    </w:rPr>
                  </w:pPr>
                  <w:r>
                    <w:rPr>
                      <w:rFonts w:hint="eastAsia" w:ascii="Times New Roman" w:hAnsi="Times New Roman" w:cs="Times New Roman"/>
                      <w:snapToGrid w:val="0"/>
                      <w:color w:val="auto"/>
                      <w:kern w:val="21"/>
                      <w:sz w:val="21"/>
                      <w:szCs w:val="21"/>
                      <w:lang w:val="en-US" w:eastAsia="zh-CN" w:bidi="ar-SA"/>
                    </w:rPr>
                    <w:t>1.176</w:t>
                  </w:r>
                  <w:r>
                    <w:rPr>
                      <w:rFonts w:hint="eastAsia" w:cs="Times New Roman"/>
                      <w:snapToGrid w:val="0"/>
                      <w:color w:val="auto"/>
                      <w:kern w:val="21"/>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86"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964"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rPr>
                  </w:pPr>
                </w:p>
              </w:tc>
              <w:tc>
                <w:tcPr>
                  <w:tcW w:w="1387"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合计</w:t>
                  </w:r>
                </w:p>
              </w:tc>
              <w:tc>
                <w:tcPr>
                  <w:tcW w:w="1660"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1.625</w:t>
                  </w:r>
                  <w:r>
                    <w:rPr>
                      <w:rFonts w:hint="eastAsia" w:cs="Times New Roman"/>
                      <w:snapToGrid w:val="0"/>
                      <w:color w:val="auto"/>
                      <w:kern w:val="21"/>
                      <w:szCs w:val="21"/>
                      <w:lang w:val="en-US" w:eastAsia="zh-CN"/>
                    </w:rPr>
                    <w:t>3</w:t>
                  </w:r>
                </w:p>
              </w:tc>
            </w:tr>
          </w:tbl>
          <w:p>
            <w:pPr>
              <w:spacing w:beforeLines="0" w:afterLines="0"/>
              <w:jc w:val="left"/>
              <w:rPr>
                <w:rFonts w:hint="default" w:ascii="Times New Roman" w:hAnsi="Times New Roman" w:eastAsia="宋体" w:cs="Times New Roman"/>
                <w:color w:val="auto"/>
                <w:sz w:val="21"/>
                <w:szCs w:val="24"/>
              </w:rPr>
            </w:pPr>
            <w:r>
              <w:rPr>
                <w:rFonts w:hint="default" w:ascii="Times New Roman" w:hAnsi="Times New Roman" w:eastAsia="宋体" w:cs="Times New Roman"/>
                <w:color w:val="auto"/>
                <w:sz w:val="21"/>
                <w:szCs w:val="24"/>
              </w:rPr>
              <w:t>注：</w:t>
            </w:r>
            <w:r>
              <w:rPr>
                <w:rFonts w:hint="default" w:ascii="Times New Roman" w:hAnsi="Times New Roman" w:eastAsia="TimesNewRomanPSMT" w:cs="Times New Roman"/>
                <w:color w:val="auto"/>
                <w:sz w:val="21"/>
                <w:szCs w:val="24"/>
              </w:rPr>
              <w:t>1</w:t>
            </w:r>
            <w:r>
              <w:rPr>
                <w:rFonts w:hint="default" w:ascii="Times New Roman" w:hAnsi="Times New Roman" w:eastAsia="宋体" w:cs="Times New Roman"/>
                <w:color w:val="auto"/>
                <w:sz w:val="21"/>
                <w:szCs w:val="24"/>
              </w:rPr>
              <w:t>、生活污水纳入</w:t>
            </w:r>
            <w:r>
              <w:rPr>
                <w:rFonts w:hint="eastAsia" w:ascii="Times New Roman" w:hAnsi="Times New Roman" w:cs="Times New Roman"/>
                <w:color w:val="auto"/>
                <w:sz w:val="21"/>
                <w:szCs w:val="21"/>
                <w:lang w:val="en-US" w:eastAsia="zh-CN"/>
              </w:rPr>
              <w:t>博罗县</w:t>
            </w:r>
            <w:r>
              <w:rPr>
                <w:rFonts w:hint="default" w:ascii="Times New Roman" w:hAnsi="Times New Roman" w:cs="Times New Roman"/>
                <w:color w:val="auto"/>
                <w:sz w:val="21"/>
                <w:szCs w:val="21"/>
              </w:rPr>
              <w:t>园洲镇第五污水处理厂</w:t>
            </w:r>
            <w:r>
              <w:rPr>
                <w:rFonts w:hint="default" w:ascii="Times New Roman" w:hAnsi="Times New Roman" w:eastAsia="宋体" w:cs="Times New Roman"/>
                <w:color w:val="auto"/>
                <w:sz w:val="21"/>
                <w:szCs w:val="24"/>
              </w:rPr>
              <w:t>，纳入该污水处理厂总量指标控制范围，不另行申请。</w:t>
            </w:r>
          </w:p>
          <w:p>
            <w:pPr>
              <w:adjustRightInd w:val="0"/>
              <w:snapToGrid w:val="0"/>
              <w:rPr>
                <w:rFonts w:hint="default" w:ascii="Times New Roman" w:hAnsi="Times New Roman" w:cs="Times New Roman"/>
                <w:color w:val="auto"/>
                <w:kern w:val="0"/>
                <w:szCs w:val="21"/>
              </w:rPr>
            </w:pPr>
            <w:r>
              <w:rPr>
                <w:rFonts w:hint="default" w:ascii="Times New Roman" w:hAnsi="Times New Roman" w:eastAsia="TimesNewRomanPSMT" w:cs="Times New Roman"/>
                <w:color w:val="auto"/>
                <w:sz w:val="21"/>
                <w:szCs w:val="24"/>
              </w:rPr>
              <w:t>2</w:t>
            </w:r>
            <w:r>
              <w:rPr>
                <w:rFonts w:hint="default" w:ascii="Times New Roman" w:hAnsi="Times New Roman" w:eastAsia="宋体" w:cs="Times New Roman"/>
                <w:color w:val="auto"/>
                <w:sz w:val="21"/>
                <w:szCs w:val="24"/>
              </w:rPr>
              <w:t>、</w:t>
            </w:r>
            <w:r>
              <w:rPr>
                <w:rFonts w:hint="default" w:ascii="Times New Roman" w:hAnsi="Times New Roman" w:eastAsia="宋体" w:cs="Times New Roman"/>
                <w:color w:val="auto"/>
                <w:sz w:val="21"/>
                <w:szCs w:val="24"/>
                <w:lang w:val="en-US" w:eastAsia="zh-CN"/>
              </w:rPr>
              <w:t>非甲烷总烃以VOCs表征，需由</w:t>
            </w:r>
            <w:r>
              <w:rPr>
                <w:rFonts w:hint="default" w:ascii="Times New Roman" w:hAnsi="Times New Roman" w:eastAsia="宋体" w:cs="Times New Roman"/>
                <w:color w:val="auto"/>
                <w:sz w:val="21"/>
                <w:szCs w:val="24"/>
              </w:rPr>
              <w:t>惠州市生态环境局</w:t>
            </w:r>
            <w:r>
              <w:rPr>
                <w:rFonts w:hint="default" w:ascii="Times New Roman" w:hAnsi="Times New Roman" w:eastAsia="宋体" w:cs="Times New Roman"/>
                <w:color w:val="auto"/>
                <w:sz w:val="21"/>
                <w:szCs w:val="24"/>
                <w:lang w:val="en-US" w:eastAsia="zh-CN"/>
              </w:rPr>
              <w:t>博罗</w:t>
            </w:r>
            <w:r>
              <w:rPr>
                <w:rFonts w:hint="default" w:ascii="Times New Roman" w:hAnsi="Times New Roman" w:eastAsia="宋体" w:cs="Times New Roman"/>
                <w:color w:val="auto"/>
                <w:sz w:val="21"/>
                <w:szCs w:val="24"/>
              </w:rPr>
              <w:t>分局调配</w:t>
            </w:r>
            <w:r>
              <w:rPr>
                <w:rFonts w:hint="default" w:ascii="Times New Roman" w:hAnsi="Times New Roman" w:eastAsia="宋体" w:cs="Times New Roman"/>
                <w:color w:val="auto"/>
                <w:sz w:val="21"/>
                <w:szCs w:val="24"/>
                <w:lang w:val="en-US" w:eastAsia="zh-CN"/>
              </w:rPr>
              <w:t>总量，颗粒物无需申请总量</w:t>
            </w:r>
            <w:r>
              <w:rPr>
                <w:rFonts w:hint="default" w:ascii="Times New Roman" w:hAnsi="Times New Roman" w:eastAsia="宋体" w:cs="Times New Roman"/>
                <w:color w:val="auto"/>
                <w:sz w:val="21"/>
                <w:szCs w:val="24"/>
              </w:rPr>
              <w:t>。</w:t>
            </w:r>
          </w:p>
        </w:tc>
      </w:tr>
    </w:tbl>
    <w:p>
      <w:pPr>
        <w:pStyle w:val="27"/>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6"/>
          <w:szCs w:val="36"/>
        </w:rPr>
        <w:br w:type="page"/>
      </w:r>
      <w:r>
        <w:rPr>
          <w:rFonts w:hint="default" w:ascii="Times New Roman" w:hAnsi="Times New Roman" w:eastAsia="黑体" w:cs="Times New Roman"/>
          <w:snapToGrid w:val="0"/>
          <w:color w:val="auto"/>
          <w:sz w:val="30"/>
          <w:szCs w:val="30"/>
        </w:rPr>
        <w:t>四、主要环境影响和保护措施</w:t>
      </w:r>
    </w:p>
    <w:tbl>
      <w:tblPr>
        <w:tblStyle w:val="32"/>
        <w:tblW w:w="91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363"/>
        <w:gridCol w:w="881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16" w:hRule="atLeast"/>
          <w:jc w:val="center"/>
        </w:trPr>
        <w:tc>
          <w:tcPr>
            <w:tcW w:w="363" w:type="dxa"/>
            <w:noWrap w:val="0"/>
            <w:tcMar>
              <w:left w:w="28" w:type="dxa"/>
              <w:right w:w="28" w:type="dxa"/>
            </w:tcMar>
            <w:vAlign w:val="center"/>
          </w:tcPr>
          <w:p>
            <w:pPr>
              <w:pStyle w:val="27"/>
              <w:adjustRightInd w:val="0"/>
              <w:snapToGrid w:val="0"/>
              <w:spacing w:before="0" w:beforeAutospacing="0" w:after="0" w:afterAutospacing="0"/>
              <w:jc w:val="center"/>
              <w:rPr>
                <w:rFonts w:hint="default" w:ascii="Times New Roman" w:hAnsi="Times New Roman" w:cs="Times New Roman"/>
                <w:bCs/>
                <w:color w:val="auto"/>
                <w:kern w:val="2"/>
                <w:sz w:val="24"/>
                <w:szCs w:val="24"/>
                <w:lang w:val="en-US" w:eastAsia="zh-CN"/>
              </w:rPr>
            </w:pPr>
            <w:r>
              <w:rPr>
                <w:rFonts w:hint="default" w:ascii="Times New Roman" w:hAnsi="Times New Roman" w:cs="Times New Roman"/>
                <w:color w:val="auto"/>
                <w:kern w:val="2"/>
                <w:sz w:val="24"/>
                <w:szCs w:val="24"/>
                <w:lang w:val="en-US" w:eastAsia="zh-CN"/>
              </w:rPr>
              <w:t>施工期环境保护措施</w:t>
            </w:r>
          </w:p>
        </w:tc>
        <w:tc>
          <w:tcPr>
            <w:tcW w:w="8819" w:type="dxa"/>
            <w:noWrap w:val="0"/>
            <w:vAlign w:val="center"/>
          </w:tcPr>
          <w:p>
            <w:pPr>
              <w:adjustRightInd w:val="0"/>
              <w:snapToGrid w:val="0"/>
              <w:spacing w:before="120" w:beforeLines="50" w:line="360" w:lineRule="auto"/>
              <w:ind w:firstLine="442" w:firstLineChars="200"/>
              <w:jc w:val="both"/>
              <w:rPr>
                <w:rFonts w:hint="default" w:ascii="Times New Roman" w:hAnsi="Times New Roman" w:cs="Times New Roman"/>
                <w:b/>
                <w:color w:val="auto"/>
                <w:spacing w:val="-10"/>
                <w:sz w:val="24"/>
                <w:szCs w:val="24"/>
              </w:rPr>
            </w:pPr>
            <w:r>
              <w:rPr>
                <w:rFonts w:hint="default" w:ascii="Times New Roman" w:hAnsi="Times New Roman" w:cs="Times New Roman"/>
                <w:b/>
                <w:color w:val="auto"/>
                <w:spacing w:val="-10"/>
                <w:sz w:val="24"/>
                <w:szCs w:val="24"/>
              </w:rPr>
              <w:t xml:space="preserve">4.1.1 </w:t>
            </w:r>
            <w:r>
              <w:rPr>
                <w:rFonts w:hint="default" w:ascii="Times New Roman" w:hAnsi="Times New Roman" w:cs="Times New Roman"/>
                <w:b/>
                <w:bCs/>
                <w:color w:val="auto"/>
                <w:sz w:val="24"/>
                <w:szCs w:val="24"/>
              </w:rPr>
              <w:t>施工期影响分析</w:t>
            </w:r>
          </w:p>
          <w:p>
            <w:pPr>
              <w:spacing w:line="360" w:lineRule="auto"/>
              <w:ind w:firstLine="480" w:firstLineChars="200"/>
              <w:jc w:val="both"/>
              <w:rPr>
                <w:rFonts w:hint="default" w:ascii="Times New Roman" w:hAnsi="Times New Roman" w:eastAsia="宋体" w:cs="Times New Roman"/>
                <w:bCs/>
                <w:color w:val="auto"/>
                <w:spacing w:val="-10"/>
                <w:sz w:val="24"/>
                <w:szCs w:val="24"/>
                <w:lang w:val="en-US" w:eastAsia="zh-CN"/>
              </w:rPr>
            </w:pPr>
            <w:r>
              <w:rPr>
                <w:rFonts w:hint="default" w:ascii="Times New Roman" w:hAnsi="Times New Roman" w:cs="Times New Roman"/>
                <w:color w:val="auto"/>
                <w:sz w:val="24"/>
                <w:szCs w:val="24"/>
              </w:rPr>
              <w:t>根据建设单位提供的资料及现场勘察，本项目为租用现有厂房进行项目建设，厂房主体工程及辅助工程等均已建设完成，故本项目无基础开挖等土建施工，无室内装修，施工期对环境造成的影响主要为设备</w:t>
            </w:r>
            <w:r>
              <w:rPr>
                <w:rFonts w:hint="default" w:ascii="Times New Roman" w:hAnsi="Times New Roman" w:cs="Times New Roman"/>
                <w:color w:val="auto"/>
                <w:sz w:val="24"/>
                <w:szCs w:val="24"/>
                <w:lang w:eastAsia="zh-CN"/>
              </w:rPr>
              <w:t>进场</w:t>
            </w:r>
            <w:r>
              <w:rPr>
                <w:rFonts w:hint="default" w:ascii="Times New Roman" w:hAnsi="Times New Roman" w:cs="Times New Roman"/>
                <w:color w:val="auto"/>
                <w:sz w:val="24"/>
                <w:szCs w:val="24"/>
              </w:rPr>
              <w:t>安装产生的噪声及垃圾。设备安装工期短影响较小，应合理安排施工时间，避免噪声扰民；施工期产生的垃圾及时清运，清运时适量洒水减少扬尘。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50" w:hRule="atLeast"/>
          <w:jc w:val="center"/>
        </w:trPr>
        <w:tc>
          <w:tcPr>
            <w:tcW w:w="363" w:type="dxa"/>
            <w:noWrap w:val="0"/>
            <w:tcMar>
              <w:left w:w="28" w:type="dxa"/>
              <w:right w:w="28" w:type="dxa"/>
            </w:tcMar>
            <w:vAlign w:val="center"/>
          </w:tcPr>
          <w:p>
            <w:pPr>
              <w:pStyle w:val="27"/>
              <w:adjustRightInd w:val="0"/>
              <w:snapToGrid w:val="0"/>
              <w:spacing w:before="0" w:beforeAutospacing="0" w:after="0" w:afterAutospacing="0"/>
              <w:jc w:val="center"/>
              <w:rPr>
                <w:rFonts w:hint="default" w:ascii="Times New Roman" w:hAnsi="Times New Roman" w:cs="Times New Roman"/>
                <w:color w:val="auto"/>
                <w:kern w:val="2"/>
                <w:sz w:val="24"/>
                <w:szCs w:val="24"/>
                <w:lang w:val="en-US" w:eastAsia="zh-CN"/>
              </w:rPr>
            </w:pPr>
            <w:r>
              <w:rPr>
                <w:rFonts w:hint="default" w:ascii="Times New Roman" w:hAnsi="Times New Roman" w:cs="Times New Roman"/>
                <w:bCs/>
                <w:color w:val="auto"/>
                <w:sz w:val="24"/>
                <w:szCs w:val="24"/>
              </w:rPr>
              <w:t>运营期环境影响和保护措施</w:t>
            </w:r>
          </w:p>
        </w:tc>
        <w:tc>
          <w:tcPr>
            <w:tcW w:w="8819" w:type="dxa"/>
            <w:noWrap w:val="0"/>
            <w:vAlign w:val="center"/>
          </w:tcPr>
          <w:p>
            <w:pPr>
              <w:spacing w:before="120" w:beforeLines="50" w:line="360" w:lineRule="auto"/>
              <w:ind w:firstLine="482" w:firstLineChars="200"/>
              <w:contextualSpacing/>
              <w:jc w:val="both"/>
              <w:rPr>
                <w:rFonts w:hint="default" w:ascii="Times New Roman" w:hAnsi="Times New Roman" w:cs="Times New Roman"/>
                <w:color w:val="auto"/>
                <w:sz w:val="24"/>
                <w:szCs w:val="24"/>
              </w:rPr>
            </w:pPr>
            <w:r>
              <w:rPr>
                <w:rFonts w:hint="default" w:ascii="Times New Roman" w:hAnsi="Times New Roman" w:cs="Times New Roman"/>
                <w:b/>
                <w:color w:val="auto"/>
                <w:sz w:val="24"/>
                <w:szCs w:val="24"/>
              </w:rPr>
              <w:t>4.2.1 废气</w:t>
            </w:r>
          </w:p>
          <w:p>
            <w:pPr>
              <w:spacing w:line="360" w:lineRule="auto"/>
              <w:ind w:firstLine="480" w:firstLineChars="200"/>
              <w:jc w:val="both"/>
              <w:rPr>
                <w:rFonts w:hint="eastAsia" w:ascii="Times New Roman" w:hAnsi="Times New Roman" w:eastAsia="宋体" w:cs="Times New Roman"/>
                <w:color w:val="auto"/>
                <w:sz w:val="24"/>
                <w:szCs w:val="24"/>
                <w:lang w:val="en-US" w:eastAsia="zh-CN"/>
              </w:rPr>
            </w:pPr>
            <w:r>
              <w:rPr>
                <w:rFonts w:hint="default" w:ascii="Times New Roman" w:hAnsi="Times New Roman" w:cs="Times New Roman"/>
                <w:color w:val="auto"/>
                <w:sz w:val="24"/>
              </w:rPr>
              <w:t>项目</w:t>
            </w:r>
            <w:r>
              <w:rPr>
                <w:rFonts w:hint="default" w:ascii="Times New Roman" w:hAnsi="Times New Roman" w:cs="Times New Roman"/>
                <w:color w:val="auto"/>
                <w:sz w:val="24"/>
                <w:szCs w:val="24"/>
              </w:rPr>
              <w:t>运营期大气污染物</w:t>
            </w:r>
            <w:r>
              <w:rPr>
                <w:rFonts w:hint="default" w:ascii="Times New Roman" w:hAnsi="Times New Roman" w:cs="Times New Roman"/>
                <w:color w:val="auto"/>
                <w:sz w:val="24"/>
              </w:rPr>
              <w:t>主要</w:t>
            </w:r>
            <w:r>
              <w:rPr>
                <w:rFonts w:hint="default" w:ascii="Times New Roman" w:hAnsi="Times New Roman" w:cs="Times New Roman"/>
                <w:color w:val="auto"/>
                <w:sz w:val="24"/>
                <w:lang w:val="en-US" w:eastAsia="zh-CN"/>
              </w:rPr>
              <w:t>为投料工序产生的</w:t>
            </w:r>
            <w:r>
              <w:rPr>
                <w:rFonts w:hint="default" w:ascii="Times New Roman" w:hAnsi="Times New Roman" w:cs="Times New Roman"/>
                <w:color w:val="auto"/>
                <w:sz w:val="24"/>
              </w:rPr>
              <w:t>粉尘、</w:t>
            </w:r>
            <w:r>
              <w:rPr>
                <w:rFonts w:hint="default" w:ascii="Times New Roman" w:hAnsi="Times New Roman" w:cs="Times New Roman"/>
                <w:color w:val="auto"/>
                <w:sz w:val="24"/>
                <w:lang w:val="en-US" w:eastAsia="zh-CN"/>
              </w:rPr>
              <w:t>涂布、烘干工序产生的有机废气</w:t>
            </w:r>
            <w:r>
              <w:rPr>
                <w:rFonts w:hint="default" w:ascii="Times New Roman" w:hAnsi="Times New Roman" w:cs="Times New Roman"/>
                <w:color w:val="auto"/>
                <w:sz w:val="24"/>
              </w:rPr>
              <w:t>、注液</w:t>
            </w:r>
            <w:r>
              <w:rPr>
                <w:rFonts w:hint="default" w:ascii="Times New Roman" w:hAnsi="Times New Roman" w:cs="Times New Roman"/>
                <w:color w:val="auto"/>
                <w:sz w:val="24"/>
                <w:lang w:val="en-US" w:eastAsia="zh-CN"/>
              </w:rPr>
              <w:t>工序、二封工序产生的有机</w:t>
            </w:r>
            <w:r>
              <w:rPr>
                <w:rFonts w:hint="default" w:ascii="Times New Roman" w:hAnsi="Times New Roman" w:cs="Times New Roman"/>
                <w:color w:val="auto"/>
                <w:sz w:val="24"/>
              </w:rPr>
              <w:t>废气。</w:t>
            </w:r>
          </w:p>
        </w:tc>
      </w:tr>
    </w:tbl>
    <w:p>
      <w:pPr>
        <w:spacing w:line="360" w:lineRule="auto"/>
        <w:jc w:val="center"/>
        <w:rPr>
          <w:rFonts w:hint="default" w:ascii="Times New Roman" w:hAnsi="Times New Roman" w:cs="Times New Roman"/>
          <w:b/>
          <w:bCs/>
          <w:color w:val="auto"/>
          <w:szCs w:val="21"/>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4"/>
        <w:gridCol w:w="128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2" w:hRule="atLeast"/>
        </w:trPr>
        <w:tc>
          <w:tcPr>
            <w:tcW w:w="354" w:type="dxa"/>
            <w:noWrap w:val="0"/>
            <w:vAlign w:val="top"/>
          </w:tcPr>
          <w:p>
            <w:pPr>
              <w:spacing w:line="360" w:lineRule="auto"/>
              <w:jc w:val="center"/>
              <w:rPr>
                <w:rFonts w:hint="default" w:ascii="Times New Roman" w:hAnsi="Times New Roman" w:cs="Times New Roman"/>
                <w:b/>
                <w:bCs/>
                <w:color w:val="auto"/>
                <w:szCs w:val="21"/>
                <w:vertAlign w:val="baseline"/>
              </w:rPr>
            </w:pPr>
          </w:p>
        </w:tc>
        <w:tc>
          <w:tcPr>
            <w:tcW w:w="12874" w:type="dxa"/>
            <w:noWrap w:val="0"/>
            <w:vAlign w:val="top"/>
          </w:tcPr>
          <w:p>
            <w:pPr>
              <w:spacing w:line="360" w:lineRule="auto"/>
              <w:jc w:val="center"/>
              <w:rPr>
                <w:rFonts w:hint="default" w:ascii="Times New Roman" w:hAnsi="Times New Roman" w:cs="Times New Roman"/>
                <w:b/>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4</w:t>
            </w:r>
            <w:r>
              <w:rPr>
                <w:rFonts w:hint="default" w:ascii="Times New Roman" w:hAnsi="Times New Roman" w:cs="Times New Roman"/>
                <w:b/>
                <w:bCs/>
                <w:color w:val="auto"/>
                <w:sz w:val="24"/>
                <w:szCs w:val="24"/>
              </w:rPr>
              <w:t>-</w:t>
            </w:r>
            <w:r>
              <w:rPr>
                <w:rFonts w:hint="default" w:ascii="Times New Roman" w:hAnsi="Times New Roman" w:cs="Times New Roman"/>
                <w:b/>
                <w:bCs/>
                <w:color w:val="auto"/>
                <w:sz w:val="24"/>
                <w:szCs w:val="24"/>
                <w:lang w:val="en-US" w:eastAsia="zh-CN"/>
              </w:rPr>
              <w:t>1</w:t>
            </w:r>
            <w:r>
              <w:rPr>
                <w:rFonts w:hint="default" w:ascii="Times New Roman" w:hAnsi="Times New Roman" w:cs="Times New Roman"/>
                <w:b/>
                <w:bCs/>
                <w:color w:val="auto"/>
                <w:sz w:val="24"/>
                <w:szCs w:val="24"/>
              </w:rPr>
              <w:t xml:space="preserve"> 废气源强核算结果及相关参数一览表</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8"/>
              <w:gridCol w:w="683"/>
              <w:gridCol w:w="661"/>
              <w:gridCol w:w="828"/>
              <w:gridCol w:w="848"/>
              <w:gridCol w:w="1046"/>
              <w:gridCol w:w="770"/>
              <w:gridCol w:w="770"/>
              <w:gridCol w:w="709"/>
              <w:gridCol w:w="653"/>
              <w:gridCol w:w="737"/>
              <w:gridCol w:w="294"/>
              <w:gridCol w:w="813"/>
              <w:gridCol w:w="1025"/>
              <w:gridCol w:w="1035"/>
              <w:gridCol w:w="570"/>
              <w:gridCol w:w="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2" w:hRule="atLeast"/>
              </w:trPr>
              <w:tc>
                <w:tcPr>
                  <w:tcW w:w="220"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污染源</w:t>
                  </w:r>
                </w:p>
              </w:tc>
              <w:tc>
                <w:tcPr>
                  <w:tcW w:w="270"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污染物</w:t>
                  </w:r>
                </w:p>
              </w:tc>
              <w:tc>
                <w:tcPr>
                  <w:tcW w:w="1337" w:type="pct"/>
                  <w:gridSpan w:val="4"/>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污染物产生情况</w:t>
                  </w:r>
                </w:p>
              </w:tc>
              <w:tc>
                <w:tcPr>
                  <w:tcW w:w="304"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排放形式</w:t>
                  </w:r>
                </w:p>
              </w:tc>
              <w:tc>
                <w:tcPr>
                  <w:tcW w:w="304"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核算方法</w:t>
                  </w:r>
                </w:p>
              </w:tc>
              <w:tc>
                <w:tcPr>
                  <w:tcW w:w="945" w:type="pct"/>
                  <w:gridSpan w:val="4"/>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治理措施</w:t>
                  </w:r>
                </w:p>
              </w:tc>
              <w:tc>
                <w:tcPr>
                  <w:tcW w:w="1135" w:type="pct"/>
                  <w:gridSpan w:val="3"/>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污染物排放情况</w:t>
                  </w:r>
                </w:p>
              </w:tc>
              <w:tc>
                <w:tcPr>
                  <w:tcW w:w="225"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排放时间（h）</w:t>
                  </w:r>
                </w:p>
              </w:tc>
              <w:tc>
                <w:tcPr>
                  <w:tcW w:w="256"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2" w:hRule="atLeast"/>
              </w:trPr>
              <w:tc>
                <w:tcPr>
                  <w:tcW w:w="220"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rPr>
                  </w:pPr>
                </w:p>
              </w:tc>
              <w:tc>
                <w:tcPr>
                  <w:tcW w:w="270"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rPr>
                  </w:pPr>
                </w:p>
              </w:tc>
              <w:tc>
                <w:tcPr>
                  <w:tcW w:w="26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收集效率（%）</w:t>
                  </w:r>
                </w:p>
              </w:tc>
              <w:tc>
                <w:tcPr>
                  <w:tcW w:w="327"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产生量（t/a）</w:t>
                  </w:r>
                </w:p>
              </w:tc>
              <w:tc>
                <w:tcPr>
                  <w:tcW w:w="33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产生速率（kg/h）</w:t>
                  </w:r>
                </w:p>
              </w:tc>
              <w:tc>
                <w:tcPr>
                  <w:tcW w:w="413"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产生浓度（mg/m³）</w:t>
                  </w:r>
                </w:p>
              </w:tc>
              <w:tc>
                <w:tcPr>
                  <w:tcW w:w="304"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rPr>
                  </w:pPr>
                </w:p>
              </w:tc>
              <w:tc>
                <w:tcPr>
                  <w:tcW w:w="304"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rPr>
                  </w:pPr>
                </w:p>
              </w:tc>
              <w:tc>
                <w:tcPr>
                  <w:tcW w:w="280"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设计风量（m</w:t>
                  </w:r>
                  <w:r>
                    <w:rPr>
                      <w:rFonts w:hint="default" w:ascii="Times New Roman" w:hAnsi="Times New Roman" w:cs="Times New Roman"/>
                      <w:b/>
                      <w:color w:val="auto"/>
                      <w:kern w:val="0"/>
                      <w:szCs w:val="21"/>
                      <w:vertAlign w:val="superscript"/>
                      <w:lang w:bidi="ar"/>
                    </w:rPr>
                    <w:t>3</w:t>
                  </w:r>
                  <w:r>
                    <w:rPr>
                      <w:rFonts w:hint="default" w:ascii="Times New Roman" w:hAnsi="Times New Roman" w:cs="Times New Roman"/>
                      <w:b/>
                      <w:color w:val="auto"/>
                      <w:kern w:val="0"/>
                      <w:szCs w:val="21"/>
                      <w:lang w:bidi="ar"/>
                    </w:rPr>
                    <w:t>/h）</w:t>
                  </w:r>
                </w:p>
              </w:tc>
              <w:tc>
                <w:tcPr>
                  <w:tcW w:w="25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设计处理效率（%）</w:t>
                  </w:r>
                </w:p>
              </w:tc>
              <w:tc>
                <w:tcPr>
                  <w:tcW w:w="29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工艺</w:t>
                  </w:r>
                </w:p>
              </w:tc>
              <w:tc>
                <w:tcPr>
                  <w:tcW w:w="11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是否为可行技术</w:t>
                  </w:r>
                </w:p>
              </w:tc>
              <w:tc>
                <w:tcPr>
                  <w:tcW w:w="32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排放量（t/a）</w:t>
                  </w:r>
                </w:p>
              </w:tc>
              <w:tc>
                <w:tcPr>
                  <w:tcW w:w="4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排放速率（kg/h）</w:t>
                  </w:r>
                </w:p>
              </w:tc>
              <w:tc>
                <w:tcPr>
                  <w:tcW w:w="40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排放浓度（mg/m³）</w:t>
                  </w:r>
                </w:p>
              </w:tc>
              <w:tc>
                <w:tcPr>
                  <w:tcW w:w="225"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rPr>
                  </w:pPr>
                </w:p>
              </w:tc>
              <w:tc>
                <w:tcPr>
                  <w:tcW w:w="256"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6" w:hRule="atLeast"/>
              </w:trPr>
              <w:tc>
                <w:tcPr>
                  <w:tcW w:w="220"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投料</w:t>
                  </w:r>
                  <w:r>
                    <w:rPr>
                      <w:rFonts w:hint="default" w:ascii="Times New Roman" w:hAnsi="Times New Roman" w:cs="Times New Roman"/>
                      <w:color w:val="auto"/>
                      <w:kern w:val="0"/>
                      <w:szCs w:val="21"/>
                      <w:lang w:val="en-US" w:eastAsia="zh-CN" w:bidi="ar"/>
                    </w:rPr>
                    <w:t>涂布、烘干、注液、二封</w:t>
                  </w:r>
                </w:p>
              </w:tc>
              <w:tc>
                <w:tcPr>
                  <w:tcW w:w="270"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颗粒物</w:t>
                  </w:r>
                </w:p>
              </w:tc>
              <w:tc>
                <w:tcPr>
                  <w:tcW w:w="26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40</w:t>
                  </w:r>
                </w:p>
              </w:tc>
              <w:tc>
                <w:tcPr>
                  <w:tcW w:w="327"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0.007</w:t>
                  </w:r>
                </w:p>
              </w:tc>
              <w:tc>
                <w:tcPr>
                  <w:tcW w:w="33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0.05</w:t>
                  </w:r>
                </w:p>
              </w:tc>
              <w:tc>
                <w:tcPr>
                  <w:tcW w:w="413"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4.545</w:t>
                  </w:r>
                </w:p>
              </w:tc>
              <w:tc>
                <w:tcPr>
                  <w:tcW w:w="304" w:type="pct"/>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有组织</w:t>
                  </w:r>
                </w:p>
              </w:tc>
              <w:tc>
                <w:tcPr>
                  <w:tcW w:w="30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产污系数法</w:t>
                  </w:r>
                </w:p>
              </w:tc>
              <w:tc>
                <w:tcPr>
                  <w:tcW w:w="280" w:type="pct"/>
                  <w:vMerge w:val="restart"/>
                  <w:noWrap w:val="0"/>
                  <w:tcMar>
                    <w:top w:w="15" w:type="dxa"/>
                    <w:left w:w="15" w:type="dxa"/>
                    <w:right w:w="15" w:type="dxa"/>
                  </w:tcMar>
                  <w:vAlign w:val="center"/>
                </w:tcPr>
                <w:p>
                  <w:pPr>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11000</w:t>
                  </w:r>
                </w:p>
              </w:tc>
              <w:tc>
                <w:tcPr>
                  <w:tcW w:w="25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80</w:t>
                  </w:r>
                </w:p>
              </w:tc>
              <w:tc>
                <w:tcPr>
                  <w:tcW w:w="291"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布袋除尘器+</w:t>
                  </w:r>
                  <w:r>
                    <w:rPr>
                      <w:rFonts w:hint="default" w:ascii="Times New Roman" w:hAnsi="Times New Roman" w:cs="Times New Roman"/>
                      <w:color w:val="auto"/>
                      <w:lang w:val="en-US" w:eastAsia="zh-CN"/>
                    </w:rPr>
                    <w:t>二级活性炭</w:t>
                  </w:r>
                </w:p>
              </w:tc>
              <w:tc>
                <w:tcPr>
                  <w:tcW w:w="116" w:type="pct"/>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是</w:t>
                  </w:r>
                </w:p>
              </w:tc>
              <w:tc>
                <w:tcPr>
                  <w:tcW w:w="32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w:t>
                  </w:r>
                </w:p>
              </w:tc>
              <w:tc>
                <w:tcPr>
                  <w:tcW w:w="4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0.007</w:t>
                  </w:r>
                </w:p>
              </w:tc>
              <w:tc>
                <w:tcPr>
                  <w:tcW w:w="40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0.649</w:t>
                  </w:r>
                </w:p>
              </w:tc>
              <w:tc>
                <w:tcPr>
                  <w:tcW w:w="22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140</w:t>
                  </w:r>
                </w:p>
              </w:tc>
              <w:tc>
                <w:tcPr>
                  <w:tcW w:w="256"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6" w:hRule="atLeast"/>
              </w:trPr>
              <w:tc>
                <w:tcPr>
                  <w:tcW w:w="220" w:type="pct"/>
                  <w:vMerge w:val="continue"/>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cs="Times New Roman"/>
                      <w:color w:val="auto"/>
                      <w:kern w:val="0"/>
                      <w:szCs w:val="21"/>
                      <w:lang w:val="en-US" w:eastAsia="zh-CN" w:bidi="ar"/>
                    </w:rPr>
                  </w:pPr>
                </w:p>
              </w:tc>
              <w:tc>
                <w:tcPr>
                  <w:tcW w:w="270"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碳黑</w:t>
                  </w:r>
                </w:p>
              </w:tc>
              <w:tc>
                <w:tcPr>
                  <w:tcW w:w="26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40</w:t>
                  </w:r>
                </w:p>
              </w:tc>
              <w:tc>
                <w:tcPr>
                  <w:tcW w:w="327"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0.0002</w:t>
                  </w:r>
                </w:p>
              </w:tc>
              <w:tc>
                <w:tcPr>
                  <w:tcW w:w="33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0.0014</w:t>
                  </w:r>
                </w:p>
              </w:tc>
              <w:tc>
                <w:tcPr>
                  <w:tcW w:w="413"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0.13</w:t>
                  </w:r>
                </w:p>
              </w:tc>
              <w:tc>
                <w:tcPr>
                  <w:tcW w:w="304" w:type="pct"/>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Cs w:val="21"/>
                      <w:lang w:val="en-US" w:eastAsia="zh-CN" w:bidi="ar"/>
                    </w:rPr>
                    <w:t>有组织</w:t>
                  </w:r>
                </w:p>
              </w:tc>
              <w:tc>
                <w:tcPr>
                  <w:tcW w:w="304" w:type="pct"/>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cs="Times New Roman"/>
                      <w:color w:val="auto"/>
                      <w:kern w:val="0"/>
                      <w:szCs w:val="21"/>
                      <w:lang w:val="en-US" w:eastAsia="zh-CN" w:bidi="ar"/>
                    </w:rPr>
                    <w:t>产污系数法</w:t>
                  </w:r>
                </w:p>
              </w:tc>
              <w:tc>
                <w:tcPr>
                  <w:tcW w:w="280" w:type="pct"/>
                  <w:vMerge w:val="continue"/>
                  <w:noWrap w:val="0"/>
                  <w:tcMar>
                    <w:top w:w="15" w:type="dxa"/>
                    <w:left w:w="15" w:type="dxa"/>
                    <w:right w:w="15" w:type="dxa"/>
                  </w:tcMar>
                  <w:vAlign w:val="center"/>
                </w:tcPr>
                <w:p>
                  <w:pPr>
                    <w:adjustRightInd w:val="0"/>
                    <w:snapToGrid w:val="0"/>
                    <w:jc w:val="center"/>
                    <w:textAlignment w:val="center"/>
                    <w:rPr>
                      <w:rFonts w:hint="eastAsia" w:ascii="Times New Roman" w:hAnsi="Times New Roman" w:cs="Times New Roman"/>
                      <w:color w:val="auto"/>
                      <w:kern w:val="0"/>
                      <w:szCs w:val="21"/>
                      <w:lang w:val="en-US" w:eastAsia="zh-CN" w:bidi="ar"/>
                    </w:rPr>
                  </w:pPr>
                </w:p>
              </w:tc>
              <w:tc>
                <w:tcPr>
                  <w:tcW w:w="25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80</w:t>
                  </w:r>
                </w:p>
              </w:tc>
              <w:tc>
                <w:tcPr>
                  <w:tcW w:w="291" w:type="pct"/>
                  <w:vMerge w:val="continue"/>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cs="Times New Roman"/>
                      <w:color w:val="auto"/>
                      <w:lang w:val="en-US" w:eastAsia="zh-CN"/>
                    </w:rPr>
                  </w:pPr>
                </w:p>
              </w:tc>
              <w:tc>
                <w:tcPr>
                  <w:tcW w:w="11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是</w:t>
                  </w:r>
                </w:p>
              </w:tc>
              <w:tc>
                <w:tcPr>
                  <w:tcW w:w="32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0.00004</w:t>
                  </w:r>
                </w:p>
              </w:tc>
              <w:tc>
                <w:tcPr>
                  <w:tcW w:w="4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0.0003</w:t>
                  </w:r>
                </w:p>
              </w:tc>
              <w:tc>
                <w:tcPr>
                  <w:tcW w:w="40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0.026</w:t>
                  </w:r>
                </w:p>
              </w:tc>
              <w:tc>
                <w:tcPr>
                  <w:tcW w:w="22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140</w:t>
                  </w:r>
                </w:p>
              </w:tc>
              <w:tc>
                <w:tcPr>
                  <w:tcW w:w="256"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6" w:hRule="atLeast"/>
              </w:trPr>
              <w:tc>
                <w:tcPr>
                  <w:tcW w:w="220"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p>
              </w:tc>
              <w:tc>
                <w:tcPr>
                  <w:tcW w:w="270"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非甲烷总烃</w:t>
                  </w:r>
                </w:p>
              </w:tc>
              <w:tc>
                <w:tcPr>
                  <w:tcW w:w="26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95</w:t>
                  </w:r>
                </w:p>
              </w:tc>
              <w:tc>
                <w:tcPr>
                  <w:tcW w:w="327"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2.24</w:t>
                  </w:r>
                  <w:r>
                    <w:rPr>
                      <w:rFonts w:hint="eastAsia" w:cs="Times New Roman"/>
                      <w:color w:val="auto"/>
                      <w:szCs w:val="21"/>
                      <w:lang w:val="en-US" w:eastAsia="zh-CN"/>
                    </w:rPr>
                    <w:t>6</w:t>
                  </w:r>
                </w:p>
              </w:tc>
              <w:tc>
                <w:tcPr>
                  <w:tcW w:w="33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0.8021</w:t>
                  </w:r>
                </w:p>
              </w:tc>
              <w:tc>
                <w:tcPr>
                  <w:tcW w:w="413"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72.9221</w:t>
                  </w:r>
                </w:p>
              </w:tc>
              <w:tc>
                <w:tcPr>
                  <w:tcW w:w="30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有组织</w:t>
                  </w:r>
                </w:p>
              </w:tc>
              <w:tc>
                <w:tcPr>
                  <w:tcW w:w="30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产污系数法</w:t>
                  </w:r>
                </w:p>
              </w:tc>
              <w:tc>
                <w:tcPr>
                  <w:tcW w:w="280" w:type="pct"/>
                  <w:vMerge w:val="continue"/>
                  <w:noWrap w:val="0"/>
                  <w:tcMar>
                    <w:top w:w="15" w:type="dxa"/>
                    <w:left w:w="15" w:type="dxa"/>
                    <w:right w:w="15" w:type="dxa"/>
                  </w:tcMar>
                  <w:vAlign w:val="center"/>
                </w:tcPr>
                <w:p>
                  <w:pPr>
                    <w:adjustRightInd w:val="0"/>
                    <w:snapToGrid w:val="0"/>
                    <w:jc w:val="center"/>
                    <w:textAlignment w:val="center"/>
                    <w:rPr>
                      <w:rFonts w:hint="default" w:ascii="Times New Roman" w:hAnsi="Times New Roman" w:cs="Times New Roman"/>
                      <w:color w:val="auto"/>
                      <w:kern w:val="0"/>
                      <w:szCs w:val="21"/>
                      <w:lang w:bidi="ar"/>
                    </w:rPr>
                  </w:pPr>
                </w:p>
              </w:tc>
              <w:tc>
                <w:tcPr>
                  <w:tcW w:w="25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eastAsia="zh-CN" w:bidi="ar"/>
                    </w:rPr>
                  </w:pPr>
                  <w:r>
                    <w:rPr>
                      <w:rFonts w:hint="default" w:ascii="Times New Roman" w:hAnsi="Times New Roman" w:cs="Times New Roman"/>
                      <w:color w:val="auto"/>
                      <w:kern w:val="0"/>
                      <w:szCs w:val="21"/>
                      <w:lang w:bidi="ar"/>
                    </w:rPr>
                    <w:t>8</w:t>
                  </w:r>
                  <w:r>
                    <w:rPr>
                      <w:rFonts w:hint="default" w:ascii="Times New Roman" w:hAnsi="Times New Roman" w:cs="Times New Roman"/>
                      <w:color w:val="auto"/>
                      <w:kern w:val="0"/>
                      <w:szCs w:val="21"/>
                      <w:lang w:val="en-US" w:eastAsia="zh-CN" w:bidi="ar"/>
                    </w:rPr>
                    <w:t>0</w:t>
                  </w:r>
                </w:p>
              </w:tc>
              <w:tc>
                <w:tcPr>
                  <w:tcW w:w="291"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lang w:val="en-US" w:eastAsia="zh-CN"/>
                    </w:rPr>
                  </w:pPr>
                </w:p>
              </w:tc>
              <w:tc>
                <w:tcPr>
                  <w:tcW w:w="11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是</w:t>
                  </w:r>
                </w:p>
              </w:tc>
              <w:tc>
                <w:tcPr>
                  <w:tcW w:w="32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0.4492</w:t>
                  </w:r>
                </w:p>
              </w:tc>
              <w:tc>
                <w:tcPr>
                  <w:tcW w:w="4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0.1604</w:t>
                  </w:r>
                </w:p>
              </w:tc>
              <w:tc>
                <w:tcPr>
                  <w:tcW w:w="40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14.5844</w:t>
                  </w:r>
                </w:p>
              </w:tc>
              <w:tc>
                <w:tcPr>
                  <w:tcW w:w="22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2</w:t>
                  </w:r>
                  <w:r>
                    <w:rPr>
                      <w:rFonts w:hint="default" w:ascii="Times New Roman" w:hAnsi="Times New Roman" w:cs="Times New Roman"/>
                      <w:color w:val="auto"/>
                      <w:kern w:val="0"/>
                      <w:szCs w:val="21"/>
                      <w:lang w:val="en-US" w:eastAsia="zh-CN" w:bidi="ar"/>
                    </w:rPr>
                    <w:t>8</w:t>
                  </w:r>
                  <w:r>
                    <w:rPr>
                      <w:rFonts w:hint="eastAsia" w:ascii="Times New Roman" w:hAnsi="Times New Roman" w:cs="Times New Roman"/>
                      <w:color w:val="auto"/>
                      <w:kern w:val="0"/>
                      <w:szCs w:val="21"/>
                      <w:lang w:val="en-US" w:eastAsia="zh-CN" w:bidi="ar"/>
                    </w:rPr>
                    <w:t>0</w:t>
                  </w:r>
                  <w:r>
                    <w:rPr>
                      <w:rFonts w:hint="default" w:ascii="Times New Roman" w:hAnsi="Times New Roman" w:cs="Times New Roman"/>
                      <w:color w:val="auto"/>
                      <w:kern w:val="0"/>
                      <w:szCs w:val="21"/>
                      <w:lang w:val="en-US" w:eastAsia="zh-CN" w:bidi="ar"/>
                    </w:rPr>
                    <w:t>0</w:t>
                  </w:r>
                </w:p>
              </w:tc>
              <w:tc>
                <w:tcPr>
                  <w:tcW w:w="256"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trPr>
              <w:tc>
                <w:tcPr>
                  <w:tcW w:w="220"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eastAsia="zh-CN" w:bidi="ar"/>
                    </w:rPr>
                  </w:pPr>
                  <w:r>
                    <w:rPr>
                      <w:rFonts w:hint="default" w:ascii="Times New Roman" w:hAnsi="Times New Roman" w:cs="Times New Roman"/>
                      <w:color w:val="auto"/>
                      <w:kern w:val="0"/>
                      <w:szCs w:val="21"/>
                      <w:lang w:val="en-US" w:eastAsia="zh-CN" w:bidi="ar"/>
                    </w:rPr>
                    <w:t>生产车间</w:t>
                  </w:r>
                </w:p>
              </w:tc>
              <w:tc>
                <w:tcPr>
                  <w:tcW w:w="270" w:type="pct"/>
                  <w:noWrap w:val="0"/>
                  <w:tcMar>
                    <w:top w:w="15" w:type="dxa"/>
                    <w:left w:w="15" w:type="dxa"/>
                    <w:right w:w="15" w:type="dxa"/>
                  </w:tcMar>
                  <w:vAlign w:val="center"/>
                </w:tcPr>
                <w:p>
                  <w:pPr>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非甲烷总烃</w:t>
                  </w:r>
                </w:p>
              </w:tc>
              <w:tc>
                <w:tcPr>
                  <w:tcW w:w="26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w:t>
                  </w:r>
                </w:p>
              </w:tc>
              <w:tc>
                <w:tcPr>
                  <w:tcW w:w="327"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1.176</w:t>
                  </w:r>
                  <w:r>
                    <w:rPr>
                      <w:rFonts w:hint="eastAsia" w:cs="Times New Roman"/>
                      <w:color w:val="auto"/>
                      <w:szCs w:val="21"/>
                      <w:lang w:val="en-US" w:eastAsia="zh-CN"/>
                    </w:rPr>
                    <w:t>1</w:t>
                  </w:r>
                </w:p>
              </w:tc>
              <w:tc>
                <w:tcPr>
                  <w:tcW w:w="33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0.42</w:t>
                  </w:r>
                </w:p>
              </w:tc>
              <w:tc>
                <w:tcPr>
                  <w:tcW w:w="413"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30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kern w:val="0"/>
                      <w:szCs w:val="21"/>
                      <w:lang w:bidi="ar"/>
                    </w:rPr>
                    <w:t>无组织</w:t>
                  </w:r>
                </w:p>
              </w:tc>
              <w:tc>
                <w:tcPr>
                  <w:tcW w:w="30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bidi="ar"/>
                    </w:rPr>
                  </w:pPr>
                  <w:r>
                    <w:rPr>
                      <w:rFonts w:hint="default" w:ascii="Times New Roman" w:hAnsi="Times New Roman" w:cs="Times New Roman"/>
                      <w:color w:val="auto"/>
                      <w:szCs w:val="21"/>
                    </w:rPr>
                    <w:t>产污系数法</w:t>
                  </w:r>
                </w:p>
              </w:tc>
              <w:tc>
                <w:tcPr>
                  <w:tcW w:w="280"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25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w:t>
                  </w:r>
                </w:p>
              </w:tc>
              <w:tc>
                <w:tcPr>
                  <w:tcW w:w="29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w:t>
                  </w:r>
                </w:p>
              </w:tc>
              <w:tc>
                <w:tcPr>
                  <w:tcW w:w="11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w:t>
                  </w:r>
                </w:p>
              </w:tc>
              <w:tc>
                <w:tcPr>
                  <w:tcW w:w="32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1.176</w:t>
                  </w:r>
                  <w:r>
                    <w:rPr>
                      <w:rFonts w:hint="eastAsia" w:cs="Times New Roman"/>
                      <w:color w:val="auto"/>
                      <w:kern w:val="2"/>
                      <w:sz w:val="21"/>
                      <w:szCs w:val="21"/>
                      <w:lang w:val="en-US" w:eastAsia="zh-CN" w:bidi="ar-SA"/>
                    </w:rPr>
                    <w:t>1</w:t>
                  </w:r>
                </w:p>
              </w:tc>
              <w:tc>
                <w:tcPr>
                  <w:tcW w:w="4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0.42</w:t>
                  </w:r>
                </w:p>
              </w:tc>
              <w:tc>
                <w:tcPr>
                  <w:tcW w:w="40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w:t>
                  </w:r>
                </w:p>
              </w:tc>
              <w:tc>
                <w:tcPr>
                  <w:tcW w:w="22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280</w:t>
                  </w:r>
                  <w:r>
                    <w:rPr>
                      <w:rFonts w:hint="default" w:ascii="Times New Roman" w:hAnsi="Times New Roman" w:cs="Times New Roman"/>
                      <w:color w:val="auto"/>
                      <w:kern w:val="0"/>
                      <w:szCs w:val="21"/>
                      <w:lang w:val="en-US" w:eastAsia="zh-CN" w:bidi="ar"/>
                    </w:rPr>
                    <w:t>0</w:t>
                  </w:r>
                </w:p>
              </w:tc>
              <w:tc>
                <w:tcPr>
                  <w:tcW w:w="25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rPr>
                  </w:pPr>
                  <w:r>
                    <w:rPr>
                      <w:rFonts w:hint="default" w:ascii="Times New Roman" w:hAnsi="Times New Roman" w:cs="Times New Roman"/>
                      <w:color w:val="auto"/>
                      <w:kern w:val="0"/>
                      <w:szCs w:val="21"/>
                      <w:lang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trPr>
              <w:tc>
                <w:tcPr>
                  <w:tcW w:w="220"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p>
              </w:tc>
              <w:tc>
                <w:tcPr>
                  <w:tcW w:w="270" w:type="pct"/>
                  <w:noWrap w:val="0"/>
                  <w:tcMar>
                    <w:top w:w="15" w:type="dxa"/>
                    <w:left w:w="15" w:type="dxa"/>
                    <w:right w:w="15" w:type="dxa"/>
                  </w:tcMar>
                  <w:vAlign w:val="center"/>
                </w:tcPr>
                <w:p>
                  <w:pPr>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颗粒物</w:t>
                  </w:r>
                </w:p>
              </w:tc>
              <w:tc>
                <w:tcPr>
                  <w:tcW w:w="26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w:t>
                  </w:r>
                </w:p>
              </w:tc>
              <w:tc>
                <w:tcPr>
                  <w:tcW w:w="327"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0.01</w:t>
                  </w:r>
                </w:p>
              </w:tc>
              <w:tc>
                <w:tcPr>
                  <w:tcW w:w="33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0.071</w:t>
                  </w:r>
                </w:p>
              </w:tc>
              <w:tc>
                <w:tcPr>
                  <w:tcW w:w="413"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w:t>
                  </w:r>
                </w:p>
              </w:tc>
              <w:tc>
                <w:tcPr>
                  <w:tcW w:w="30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kern w:val="0"/>
                      <w:szCs w:val="21"/>
                      <w:lang w:bidi="ar"/>
                    </w:rPr>
                    <w:t>无组织</w:t>
                  </w:r>
                </w:p>
              </w:tc>
              <w:tc>
                <w:tcPr>
                  <w:tcW w:w="30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 w:val="21"/>
                      <w:szCs w:val="21"/>
                      <w:lang w:val="en-US" w:eastAsia="zh-CN" w:bidi="ar"/>
                    </w:rPr>
                  </w:pPr>
                  <w:r>
                    <w:rPr>
                      <w:rFonts w:hint="default" w:ascii="Times New Roman" w:hAnsi="Times New Roman" w:cs="Times New Roman"/>
                      <w:color w:val="auto"/>
                      <w:szCs w:val="21"/>
                    </w:rPr>
                    <w:t>产污系数法</w:t>
                  </w:r>
                </w:p>
              </w:tc>
              <w:tc>
                <w:tcPr>
                  <w:tcW w:w="280"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25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29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11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32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0.01</w:t>
                  </w:r>
                </w:p>
              </w:tc>
              <w:tc>
                <w:tcPr>
                  <w:tcW w:w="4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0.071</w:t>
                  </w:r>
                </w:p>
              </w:tc>
              <w:tc>
                <w:tcPr>
                  <w:tcW w:w="40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w:t>
                  </w:r>
                </w:p>
              </w:tc>
              <w:tc>
                <w:tcPr>
                  <w:tcW w:w="22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140</w:t>
                  </w:r>
                </w:p>
              </w:tc>
              <w:tc>
                <w:tcPr>
                  <w:tcW w:w="25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 w:hRule="atLeast"/>
              </w:trPr>
              <w:tc>
                <w:tcPr>
                  <w:tcW w:w="220"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p>
              </w:tc>
              <w:tc>
                <w:tcPr>
                  <w:tcW w:w="270" w:type="pct"/>
                  <w:noWrap w:val="0"/>
                  <w:tcMar>
                    <w:top w:w="15" w:type="dxa"/>
                    <w:left w:w="15" w:type="dxa"/>
                    <w:right w:w="15" w:type="dxa"/>
                  </w:tcMar>
                  <w:vAlign w:val="center"/>
                </w:tcPr>
                <w:p>
                  <w:pPr>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碳黑</w:t>
                  </w:r>
                </w:p>
              </w:tc>
              <w:tc>
                <w:tcPr>
                  <w:tcW w:w="26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w:t>
                  </w:r>
                </w:p>
              </w:tc>
              <w:tc>
                <w:tcPr>
                  <w:tcW w:w="327"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0.0002</w:t>
                  </w:r>
                </w:p>
              </w:tc>
              <w:tc>
                <w:tcPr>
                  <w:tcW w:w="33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0.0014</w:t>
                  </w:r>
                </w:p>
              </w:tc>
              <w:tc>
                <w:tcPr>
                  <w:tcW w:w="413"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w:t>
                  </w:r>
                </w:p>
              </w:tc>
              <w:tc>
                <w:tcPr>
                  <w:tcW w:w="304" w:type="pct"/>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无组织</w:t>
                  </w:r>
                </w:p>
              </w:tc>
              <w:tc>
                <w:tcPr>
                  <w:tcW w:w="30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rPr>
                  </w:pPr>
                  <w:r>
                    <w:rPr>
                      <w:rFonts w:hint="default" w:ascii="Times New Roman" w:hAnsi="Times New Roman" w:cs="Times New Roman"/>
                      <w:color w:val="auto"/>
                      <w:szCs w:val="21"/>
                    </w:rPr>
                    <w:t>产污系数法</w:t>
                  </w:r>
                </w:p>
              </w:tc>
              <w:tc>
                <w:tcPr>
                  <w:tcW w:w="280"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5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29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11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w:t>
                  </w:r>
                </w:p>
              </w:tc>
              <w:tc>
                <w:tcPr>
                  <w:tcW w:w="32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0.0002</w:t>
                  </w:r>
                </w:p>
              </w:tc>
              <w:tc>
                <w:tcPr>
                  <w:tcW w:w="4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0.0014</w:t>
                  </w:r>
                </w:p>
              </w:tc>
              <w:tc>
                <w:tcPr>
                  <w:tcW w:w="40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w:t>
                  </w:r>
                </w:p>
              </w:tc>
              <w:tc>
                <w:tcPr>
                  <w:tcW w:w="22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140</w:t>
                  </w:r>
                </w:p>
              </w:tc>
              <w:tc>
                <w:tcPr>
                  <w:tcW w:w="25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w:t>
                  </w:r>
                </w:p>
              </w:tc>
            </w:tr>
          </w:tbl>
          <w:p>
            <w:pPr>
              <w:spacing w:line="360" w:lineRule="auto"/>
              <w:jc w:val="both"/>
              <w:rPr>
                <w:rFonts w:hint="default" w:ascii="Times New Roman" w:hAnsi="Times New Roman" w:eastAsia="宋体" w:cs="Times New Roman"/>
                <w:b/>
                <w:bCs/>
                <w:color w:val="auto"/>
                <w:szCs w:val="21"/>
                <w:vertAlign w:val="baseline"/>
                <w:lang w:val="en-US" w:eastAsia="zh-CN"/>
              </w:rPr>
            </w:pPr>
            <w:r>
              <w:rPr>
                <w:rFonts w:hint="default" w:ascii="Times New Roman" w:hAnsi="Times New Roman" w:cs="Times New Roman"/>
                <w:b w:val="0"/>
                <w:bCs w:val="0"/>
                <w:color w:val="auto"/>
                <w:szCs w:val="21"/>
                <w:vertAlign w:val="baseline"/>
                <w:lang w:val="en-US" w:eastAsia="zh-CN"/>
              </w:rPr>
              <w:t>注：项目</w:t>
            </w:r>
            <w:r>
              <w:rPr>
                <w:rFonts w:hint="default" w:ascii="Times New Roman" w:hAnsi="Times New Roman" w:cs="Times New Roman"/>
                <w:color w:val="auto"/>
                <w:lang w:val="en-US" w:eastAsia="zh-CN"/>
              </w:rPr>
              <w:t>烘干工序初段、中段产生的有机废气进入冷凝回收装置（冷凝回收装置处理效率为90%）后，</w:t>
            </w:r>
            <w:r>
              <w:rPr>
                <w:rFonts w:hint="default" w:ascii="Times New Roman" w:hAnsi="Times New Roman" w:cs="Times New Roman"/>
                <w:b w:val="0"/>
                <w:bCs w:val="0"/>
                <w:color w:val="auto"/>
                <w:sz w:val="21"/>
                <w:szCs w:val="21"/>
                <w:lang w:val="en-US" w:eastAsia="zh-CN"/>
              </w:rPr>
              <w:t>未回收的</w:t>
            </w:r>
            <w:r>
              <w:rPr>
                <w:rFonts w:hint="eastAsia" w:ascii="Times New Roman" w:hAnsi="Times New Roman" w:cs="Times New Roman"/>
                <w:b w:val="0"/>
                <w:bCs w:val="0"/>
                <w:color w:val="auto"/>
                <w:sz w:val="21"/>
                <w:szCs w:val="21"/>
                <w:lang w:val="en-US" w:eastAsia="zh-CN"/>
              </w:rPr>
              <w:t>1.556</w:t>
            </w:r>
            <w:r>
              <w:rPr>
                <w:rFonts w:hint="default" w:ascii="Times New Roman" w:hAnsi="Times New Roman" w:cs="Times New Roman"/>
                <w:b w:val="0"/>
                <w:bCs w:val="0"/>
                <w:color w:val="auto"/>
                <w:sz w:val="21"/>
                <w:szCs w:val="21"/>
                <w:lang w:val="en-US" w:eastAsia="zh-CN"/>
              </w:rPr>
              <w:t>t/a的有机废气与</w:t>
            </w:r>
            <w:r>
              <w:rPr>
                <w:rFonts w:hint="default" w:ascii="Times New Roman" w:hAnsi="Times New Roman" w:cs="Times New Roman"/>
                <w:b w:val="0"/>
                <w:bCs w:val="0"/>
                <w:color w:val="auto"/>
                <w:lang w:val="en-US" w:eastAsia="zh-CN"/>
              </w:rPr>
              <w:t>涂布、</w:t>
            </w:r>
            <w:r>
              <w:rPr>
                <w:rFonts w:hint="default" w:ascii="Times New Roman" w:hAnsi="Times New Roman" w:cs="Times New Roman"/>
                <w:b w:val="0"/>
                <w:bCs w:val="0"/>
                <w:color w:val="auto"/>
                <w:sz w:val="21"/>
                <w:szCs w:val="21"/>
                <w:lang w:val="en-US" w:eastAsia="zh-CN"/>
              </w:rPr>
              <w:t>烘烤工序尾段、注液工序、二封工序产生的有机废气一同进入二级活性炭吸附装置处理。</w:t>
            </w:r>
          </w:p>
        </w:tc>
      </w:tr>
    </w:tbl>
    <w:p>
      <w:pPr>
        <w:rPr>
          <w:rFonts w:hint="default" w:ascii="Times New Roman" w:hAnsi="Times New Roman" w:cs="Times New Roman"/>
          <w:color w:val="auto"/>
        </w:rPr>
        <w:sectPr>
          <w:type w:val="continuous"/>
          <w:pgSz w:w="16840" w:h="11907" w:orient="landscape"/>
          <w:pgMar w:top="1531" w:right="1701" w:bottom="1531" w:left="2127" w:header="851" w:footer="850" w:gutter="0"/>
          <w:pgBorders>
            <w:top w:val="none" w:sz="0" w:space="0"/>
            <w:left w:val="none" w:sz="0" w:space="0"/>
            <w:bottom w:val="none" w:sz="0" w:space="0"/>
            <w:right w:val="none" w:sz="0" w:space="0"/>
          </w:pgBorders>
          <w:pgNumType w:fmt="decimal"/>
          <w:cols w:space="720" w:num="1"/>
          <w:rtlGutter w:val="0"/>
          <w:docGrid w:linePitch="312" w:charSpace="0"/>
        </w:sectPr>
      </w:pPr>
    </w:p>
    <w:tbl>
      <w:tblPr>
        <w:tblStyle w:val="32"/>
        <w:tblW w:w="898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86"/>
        <w:gridCol w:w="869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33" w:hRule="atLeast"/>
          <w:jc w:val="center"/>
        </w:trPr>
        <w:tc>
          <w:tcPr>
            <w:tcW w:w="286" w:type="dxa"/>
            <w:noWrap w:val="0"/>
            <w:tcMar>
              <w:left w:w="28" w:type="dxa"/>
              <w:right w:w="28" w:type="dxa"/>
            </w:tcMar>
            <w:vAlign w:val="center"/>
          </w:tcPr>
          <w:p>
            <w:pPr>
              <w:adjustRightInd w:val="0"/>
              <w:snapToGrid w:val="0"/>
              <w:jc w:val="center"/>
              <w:rPr>
                <w:rFonts w:hint="default" w:ascii="Times New Roman" w:hAnsi="Times New Roman" w:cs="Times New Roman"/>
                <w:bCs/>
                <w:color w:val="auto"/>
                <w:sz w:val="24"/>
                <w:szCs w:val="24"/>
              </w:rPr>
            </w:pPr>
            <w:r>
              <w:rPr>
                <w:rFonts w:hint="default" w:ascii="Times New Roman" w:hAnsi="Times New Roman" w:cs="Times New Roman"/>
                <w:bCs/>
                <w:color w:val="auto"/>
                <w:sz w:val="24"/>
                <w:szCs w:val="24"/>
              </w:rPr>
              <w:t>运营期环境影响和保护措施</w:t>
            </w:r>
          </w:p>
        </w:tc>
        <w:tc>
          <w:tcPr>
            <w:tcW w:w="8695" w:type="dxa"/>
            <w:noWrap w:val="0"/>
            <w:vAlign w:val="center"/>
          </w:tcPr>
          <w:p>
            <w:pPr>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4.2.1.1废气源强核算</w:t>
            </w:r>
          </w:p>
          <w:p>
            <w:pPr>
              <w:pStyle w:val="49"/>
              <w:spacing w:line="360" w:lineRule="auto"/>
              <w:ind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1、投料工序</w:t>
            </w:r>
          </w:p>
          <w:p>
            <w:pPr>
              <w:pStyle w:val="63"/>
              <w:autoSpaceDE/>
              <w:autoSpaceDN/>
              <w:snapToGrid w:val="0"/>
              <w:spacing w:line="360" w:lineRule="auto"/>
              <w:ind w:firstLine="476" w:firstLineChars="200"/>
              <w:textAlignment w:val="baseline"/>
              <w:rPr>
                <w:rFonts w:hint="default" w:ascii="Times New Roman" w:hAnsi="Times New Roman" w:cs="Times New Roman"/>
                <w:color w:val="auto"/>
                <w:szCs w:val="24"/>
                <w:lang w:val="en-US" w:eastAsia="zh-CN"/>
              </w:rPr>
            </w:pPr>
            <w:r>
              <w:rPr>
                <w:rFonts w:hint="default" w:ascii="Times New Roman" w:hAnsi="Times New Roman" w:cs="Times New Roman"/>
                <w:color w:val="auto"/>
                <w:sz w:val="24"/>
              </w:rPr>
              <w:t>项目三元材料、</w:t>
            </w:r>
            <w:r>
              <w:rPr>
                <w:rFonts w:hint="default" w:ascii="Times New Roman" w:hAnsi="Times New Roman" w:cs="Times New Roman"/>
                <w:color w:val="auto"/>
                <w:sz w:val="24"/>
                <w:lang w:val="en-US" w:eastAsia="zh-CN"/>
              </w:rPr>
              <w:t>锰酸锂</w:t>
            </w:r>
            <w:r>
              <w:rPr>
                <w:rFonts w:hint="default" w:ascii="Times New Roman" w:hAnsi="Times New Roman" w:cs="Times New Roman"/>
                <w:color w:val="auto"/>
                <w:sz w:val="24"/>
              </w:rPr>
              <w:t>、石墨</w:t>
            </w:r>
            <w:r>
              <w:rPr>
                <w:rFonts w:hint="default" w:ascii="Times New Roman" w:hAnsi="Times New Roman" w:cs="Times New Roman"/>
                <w:color w:val="auto"/>
                <w:sz w:val="24"/>
                <w:lang w:val="en-US" w:eastAsia="zh-CN"/>
              </w:rPr>
              <w:t>和SP碳</w:t>
            </w:r>
            <w:r>
              <w:rPr>
                <w:rFonts w:hint="default" w:ascii="Times New Roman" w:hAnsi="Times New Roman" w:cs="Times New Roman"/>
                <w:color w:val="auto"/>
                <w:sz w:val="24"/>
              </w:rPr>
              <w:t>黑等粉料在称量后</w:t>
            </w:r>
            <w:r>
              <w:rPr>
                <w:rFonts w:hint="default" w:ascii="Times New Roman" w:hAnsi="Times New Roman" w:cs="Times New Roman"/>
                <w:bCs/>
                <w:color w:val="auto"/>
                <w:sz w:val="24"/>
              </w:rPr>
              <w:t>由</w:t>
            </w:r>
            <w:r>
              <w:rPr>
                <w:rFonts w:hint="default" w:ascii="Times New Roman" w:hAnsi="Times New Roman" w:cs="Times New Roman"/>
                <w:bCs/>
                <w:color w:val="auto"/>
                <w:sz w:val="24"/>
                <w:lang w:val="en-US" w:eastAsia="zh-CN"/>
              </w:rPr>
              <w:t>人工</w:t>
            </w:r>
            <w:r>
              <w:rPr>
                <w:rFonts w:hint="default" w:ascii="Times New Roman" w:hAnsi="Times New Roman" w:cs="Times New Roman"/>
                <w:color w:val="auto"/>
                <w:sz w:val="24"/>
              </w:rPr>
              <w:t>投入搅拌机，</w:t>
            </w:r>
            <w:r>
              <w:rPr>
                <w:rFonts w:hint="default" w:ascii="Times New Roman" w:hAnsi="Times New Roman" w:cs="Times New Roman"/>
                <w:color w:val="auto"/>
                <w:sz w:val="24"/>
                <w:lang w:val="en-US" w:eastAsia="zh-CN"/>
              </w:rPr>
              <w:t>搅拌机搅拌过程密闭，</w:t>
            </w:r>
            <w:r>
              <w:rPr>
                <w:rFonts w:hint="default" w:ascii="Times New Roman" w:hAnsi="Times New Roman" w:cs="Times New Roman"/>
                <w:color w:val="auto"/>
                <w:sz w:val="24"/>
              </w:rPr>
              <w:t>投料过程中会有粉尘产生。</w:t>
            </w:r>
            <w:r>
              <w:rPr>
                <w:rFonts w:hint="default" w:ascii="Times New Roman" w:hAnsi="Times New Roman" w:cs="Times New Roman"/>
                <w:color w:val="auto"/>
                <w:sz w:val="24"/>
                <w:highlight w:val="none"/>
              </w:rPr>
              <w:t>粉尘的产生系数</w:t>
            </w:r>
            <w:r>
              <w:rPr>
                <w:rFonts w:hint="default" w:ascii="Times New Roman" w:hAnsi="Times New Roman" w:cs="Times New Roman"/>
                <w:color w:val="auto"/>
                <w:kern w:val="0"/>
                <w:sz w:val="24"/>
                <w:highlight w:val="none"/>
              </w:rPr>
              <w:t>参考《逸散性工业粉尘控制技术》（中国环境科学出版社）粒料加工中筛选、运输和搬运产生的粉尘排放因子为0.15kg/t（搬运料）。</w:t>
            </w:r>
            <w:r>
              <w:rPr>
                <w:rFonts w:hint="default" w:ascii="Times New Roman" w:hAnsi="Times New Roman" w:cs="Times New Roman"/>
                <w:color w:val="auto"/>
                <w:sz w:val="24"/>
              </w:rPr>
              <w:t>项目正极、负极粉</w:t>
            </w:r>
            <w:r>
              <w:rPr>
                <w:rFonts w:hint="default" w:ascii="Times New Roman" w:hAnsi="Times New Roman" w:cs="Times New Roman"/>
                <w:color w:val="auto"/>
                <w:sz w:val="24"/>
                <w:lang w:val="en-US" w:eastAsia="zh-CN"/>
              </w:rPr>
              <w:t>状</w:t>
            </w:r>
            <w:r>
              <w:rPr>
                <w:rFonts w:hint="default" w:ascii="Times New Roman" w:hAnsi="Times New Roman" w:cs="Times New Roman"/>
                <w:color w:val="auto"/>
                <w:sz w:val="24"/>
              </w:rPr>
              <w:t>原材料投加量为1</w:t>
            </w:r>
            <w:r>
              <w:rPr>
                <w:rFonts w:hint="default" w:ascii="Times New Roman" w:hAnsi="Times New Roman" w:cs="Times New Roman"/>
                <w:color w:val="auto"/>
                <w:sz w:val="24"/>
                <w:lang w:val="en-US" w:eastAsia="zh-CN"/>
              </w:rPr>
              <w:t>1</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rPr>
              <w:t>t/a</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SP碳黑的投加量为3t/a</w:t>
            </w:r>
            <w:r>
              <w:rPr>
                <w:rFonts w:hint="default" w:ascii="Times New Roman" w:hAnsi="Times New Roman" w:cs="Times New Roman"/>
                <w:color w:val="auto"/>
                <w:sz w:val="24"/>
              </w:rPr>
              <w:t>，可计算得出项目</w:t>
            </w:r>
            <w:r>
              <w:rPr>
                <w:rFonts w:hint="eastAsia" w:ascii="Times New Roman" w:hAnsi="Times New Roman" w:cs="Times New Roman"/>
                <w:color w:val="auto"/>
                <w:sz w:val="24"/>
                <w:lang w:val="en-US" w:eastAsia="zh-CN"/>
              </w:rPr>
              <w:t>颗粒物</w:t>
            </w:r>
            <w:r>
              <w:rPr>
                <w:rFonts w:hint="default" w:ascii="Times New Roman" w:hAnsi="Times New Roman" w:cs="Times New Roman"/>
                <w:color w:val="auto"/>
                <w:sz w:val="24"/>
              </w:rPr>
              <w:t>产生量为0.</w:t>
            </w:r>
            <w:r>
              <w:rPr>
                <w:rFonts w:hint="default" w:ascii="Times New Roman" w:hAnsi="Times New Roman" w:cs="Times New Roman"/>
                <w:color w:val="auto"/>
                <w:sz w:val="24"/>
                <w:lang w:val="en-US" w:eastAsia="zh-CN"/>
              </w:rPr>
              <w:t>017</w:t>
            </w:r>
            <w:r>
              <w:rPr>
                <w:rFonts w:hint="default" w:ascii="Times New Roman" w:hAnsi="Times New Roman" w:cs="Times New Roman"/>
                <w:color w:val="auto"/>
                <w:sz w:val="24"/>
              </w:rPr>
              <w:t>t/a</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碳黑的产生量为0.0004t/a</w:t>
            </w:r>
            <w:r>
              <w:rPr>
                <w:rFonts w:hint="default"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投料</w:t>
            </w:r>
            <w:r>
              <w:rPr>
                <w:rFonts w:hint="default" w:ascii="Times New Roman" w:hAnsi="Times New Roman" w:cs="Times New Roman"/>
                <w:color w:val="auto"/>
                <w:sz w:val="24"/>
                <w:lang w:val="en-US" w:eastAsia="zh-CN"/>
              </w:rPr>
              <w:t>工序每天工作</w:t>
            </w:r>
            <w:r>
              <w:rPr>
                <w:rFonts w:hint="eastAsia" w:ascii="Times New Roman" w:hAnsi="Times New Roman" w:cs="Times New Roman"/>
                <w:color w:val="auto"/>
                <w:sz w:val="24"/>
                <w:lang w:val="en-US" w:eastAsia="zh-CN"/>
              </w:rPr>
              <w:t>半</w:t>
            </w:r>
            <w:r>
              <w:rPr>
                <w:rFonts w:hint="default" w:ascii="Times New Roman" w:hAnsi="Times New Roman" w:cs="Times New Roman"/>
                <w:color w:val="auto"/>
                <w:sz w:val="24"/>
                <w:lang w:val="en-US" w:eastAsia="zh-CN"/>
              </w:rPr>
              <w:t>小时，年工作280天，则产生速率为</w:t>
            </w:r>
            <w:r>
              <w:rPr>
                <w:rFonts w:hint="default" w:ascii="Times New Roman" w:hAnsi="Times New Roman" w:cs="Times New Roman"/>
                <w:color w:val="auto"/>
                <w:sz w:val="24"/>
              </w:rPr>
              <w:t>0.</w:t>
            </w:r>
            <w:r>
              <w:rPr>
                <w:rFonts w:hint="eastAsia" w:ascii="Times New Roman" w:hAnsi="Times New Roman" w:cs="Times New Roman"/>
                <w:color w:val="auto"/>
                <w:sz w:val="24"/>
                <w:lang w:val="en-US" w:eastAsia="zh-CN"/>
              </w:rPr>
              <w:t>1214</w:t>
            </w:r>
            <w:r>
              <w:rPr>
                <w:rFonts w:hint="default" w:ascii="Times New Roman" w:hAnsi="Times New Roman" w:cs="Times New Roman"/>
                <w:color w:val="auto"/>
                <w:sz w:val="24"/>
              </w:rPr>
              <w:t>kg/h。</w:t>
            </w:r>
          </w:p>
          <w:p>
            <w:pPr>
              <w:pStyle w:val="49"/>
              <w:spacing w:line="360" w:lineRule="auto"/>
              <w:ind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2、涂布、烘干工序</w:t>
            </w:r>
          </w:p>
          <w:p>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w:t>
            </w:r>
            <w:r>
              <w:rPr>
                <w:rFonts w:hint="eastAsia" w:ascii="Times New Roman" w:hAnsi="Times New Roman" w:cs="Times New Roman"/>
                <w:color w:val="auto"/>
                <w:sz w:val="24"/>
                <w:highlight w:val="none"/>
                <w:lang w:val="en-US" w:eastAsia="zh-CN"/>
              </w:rPr>
              <w:t>正极</w:t>
            </w:r>
            <w:r>
              <w:rPr>
                <w:rFonts w:hint="default" w:ascii="Times New Roman" w:hAnsi="Times New Roman" w:cs="Times New Roman"/>
                <w:color w:val="auto"/>
                <w:sz w:val="24"/>
                <w:highlight w:val="none"/>
                <w:lang w:val="en-US" w:eastAsia="zh-CN"/>
              </w:rPr>
              <w:t>涂布、烘干工序会产生有机废气。参考</w:t>
            </w:r>
            <w:r>
              <w:rPr>
                <w:rFonts w:hint="default" w:ascii="Times New Roman" w:hAnsi="Times New Roman" w:cs="Times New Roman"/>
                <w:color w:val="auto"/>
                <w:sz w:val="24"/>
                <w:highlight w:val="none"/>
              </w:rPr>
              <w:t>生态环境部《排放源统计调查产排污核算方法和系数手册》中“</w:t>
            </w:r>
            <w:r>
              <w:rPr>
                <w:rFonts w:hint="default" w:ascii="Times New Roman" w:hAnsi="Times New Roman" w:cs="Times New Roman"/>
                <w:color w:val="auto"/>
                <w:sz w:val="24"/>
                <w:highlight w:val="none"/>
                <w:lang w:val="en-US" w:eastAsia="zh-CN"/>
              </w:rPr>
              <w:t>384电池制造行业系数</w:t>
            </w:r>
            <w:r>
              <w:rPr>
                <w:rFonts w:hint="default" w:ascii="Times New Roman" w:hAnsi="Times New Roman" w:cs="Times New Roman"/>
                <w:color w:val="auto"/>
                <w:sz w:val="24"/>
                <w:highlight w:val="none"/>
              </w:rPr>
              <w:t>手册”-“</w:t>
            </w:r>
            <w:r>
              <w:rPr>
                <w:rFonts w:hint="default" w:ascii="Times New Roman" w:hAnsi="Times New Roman" w:cs="Times New Roman"/>
                <w:color w:val="auto"/>
                <w:sz w:val="24"/>
                <w:highlight w:val="none"/>
                <w:lang w:val="en-US" w:eastAsia="zh-CN"/>
              </w:rPr>
              <w:t>3841锂离子电池制造行业系数表</w:t>
            </w:r>
            <w:r>
              <w:rPr>
                <w:rFonts w:hint="default" w:ascii="Times New Roman" w:hAnsi="Times New Roman" w:cs="Times New Roman"/>
                <w:color w:val="auto"/>
                <w:sz w:val="24"/>
                <w:highlight w:val="none"/>
              </w:rPr>
              <w:t>”-中</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软包</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的</w:t>
            </w:r>
            <w:r>
              <w:rPr>
                <w:rFonts w:hint="default" w:ascii="Times New Roman" w:hAnsi="Times New Roman" w:cs="Times New Roman"/>
                <w:color w:val="auto"/>
                <w:sz w:val="24"/>
                <w:highlight w:val="none"/>
                <w:lang w:val="en-US" w:eastAsia="zh-CN"/>
              </w:rPr>
              <w:t>挥发性有机物</w:t>
            </w:r>
            <w:r>
              <w:rPr>
                <w:rFonts w:hint="default" w:ascii="Times New Roman" w:hAnsi="Times New Roman" w:cs="Times New Roman"/>
                <w:color w:val="auto"/>
                <w:sz w:val="24"/>
                <w:highlight w:val="none"/>
              </w:rPr>
              <w:t>的产污系数为</w:t>
            </w:r>
            <w:r>
              <w:rPr>
                <w:rFonts w:hint="eastAsia" w:ascii="Times New Roman" w:hAnsi="Times New Roman" w:cs="Times New Roman"/>
                <w:color w:val="auto"/>
                <w:sz w:val="24"/>
                <w:highlight w:val="none"/>
                <w:lang w:val="en-US" w:eastAsia="zh-CN"/>
              </w:rPr>
              <w:t>7..92</w:t>
            </w:r>
            <w:r>
              <w:rPr>
                <w:rFonts w:hint="default" w:ascii="Times New Roman" w:hAnsi="Times New Roman" w:cs="Times New Roman"/>
                <w:color w:val="auto"/>
                <w:sz w:val="24"/>
                <w:highlight w:val="none"/>
                <w:lang w:val="en-US" w:eastAsia="zh-CN"/>
              </w:rPr>
              <w:t>×10</w:t>
            </w:r>
            <w:r>
              <w:rPr>
                <w:rFonts w:hint="eastAsia" w:ascii="Times New Roman" w:hAnsi="Times New Roman" w:cs="Times New Roman"/>
                <w:color w:val="auto"/>
                <w:sz w:val="24"/>
                <w:highlight w:val="none"/>
                <w:vertAlign w:val="superscript"/>
                <w:lang w:val="en-US" w:eastAsia="zh-CN"/>
              </w:rPr>
              <w:t>2</w:t>
            </w:r>
            <w:r>
              <w:rPr>
                <w:rFonts w:hint="default" w:ascii="Times New Roman" w:hAnsi="Times New Roman" w:cs="Times New Roman"/>
                <w:color w:val="auto"/>
                <w:sz w:val="24"/>
                <w:highlight w:val="none"/>
              </w:rPr>
              <w:t>克/吨-</w:t>
            </w:r>
            <w:r>
              <w:rPr>
                <w:rFonts w:hint="default" w:ascii="Times New Roman" w:hAnsi="Times New Roman" w:cs="Times New Roman"/>
                <w:color w:val="auto"/>
                <w:sz w:val="24"/>
                <w:highlight w:val="none"/>
                <w:lang w:val="en-US" w:eastAsia="zh-CN"/>
              </w:rPr>
              <w:t>产品</w:t>
            </w:r>
            <w:r>
              <w:rPr>
                <w:rFonts w:hint="default" w:ascii="Times New Roman" w:hAnsi="Times New Roman" w:cs="Times New Roman"/>
                <w:color w:val="auto"/>
                <w:sz w:val="24"/>
                <w:highlight w:val="none"/>
              </w:rPr>
              <w:t>。</w:t>
            </w:r>
          </w:p>
          <w:p>
            <w:pPr>
              <w:adjustRightInd w:val="0"/>
              <w:snapToGrid w:val="0"/>
              <w:spacing w:line="360" w:lineRule="auto"/>
              <w:jc w:val="center"/>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表4</w:t>
            </w:r>
            <w:r>
              <w:rPr>
                <w:rFonts w:hint="default"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highlight w:val="none"/>
              </w:rPr>
              <w:t xml:space="preserve"> 工艺产污系数一览表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
              <w:gridCol w:w="2011"/>
              <w:gridCol w:w="779"/>
              <w:gridCol w:w="794"/>
              <w:gridCol w:w="1050"/>
              <w:gridCol w:w="1020"/>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19" w:type="pct"/>
                  <w:noWrap w:val="0"/>
                  <w:vAlign w:val="center"/>
                </w:tcPr>
                <w:p>
                  <w:pPr>
                    <w:spacing w:before="50" w:after="50"/>
                    <w:jc w:val="center"/>
                    <w:rPr>
                      <w:rFonts w:hint="default" w:ascii="Times New Roman" w:hAnsi="Times New Roman" w:cs="Times New Roman"/>
                      <w:b/>
                      <w:color w:val="auto"/>
                      <w:szCs w:val="18"/>
                      <w:highlight w:val="none"/>
                    </w:rPr>
                  </w:pPr>
                  <w:r>
                    <w:rPr>
                      <w:rFonts w:hint="default" w:ascii="Times New Roman" w:hAnsi="Times New Roman" w:cs="Times New Roman"/>
                      <w:b/>
                      <w:color w:val="auto"/>
                      <w:szCs w:val="18"/>
                      <w:highlight w:val="none"/>
                    </w:rPr>
                    <w:t>产品名称</w:t>
                  </w:r>
                </w:p>
              </w:tc>
              <w:tc>
                <w:tcPr>
                  <w:tcW w:w="1187" w:type="pct"/>
                  <w:noWrap w:val="0"/>
                  <w:vAlign w:val="center"/>
                </w:tcPr>
                <w:p>
                  <w:pPr>
                    <w:spacing w:before="50" w:after="50"/>
                    <w:jc w:val="center"/>
                    <w:rPr>
                      <w:rFonts w:hint="default" w:ascii="Times New Roman" w:hAnsi="Times New Roman" w:cs="Times New Roman"/>
                      <w:b/>
                      <w:color w:val="auto"/>
                      <w:szCs w:val="18"/>
                      <w:highlight w:val="none"/>
                    </w:rPr>
                  </w:pPr>
                  <w:r>
                    <w:rPr>
                      <w:rFonts w:hint="default" w:ascii="Times New Roman" w:hAnsi="Times New Roman" w:cs="Times New Roman"/>
                      <w:b/>
                      <w:color w:val="auto"/>
                      <w:szCs w:val="18"/>
                      <w:highlight w:val="none"/>
                    </w:rPr>
                    <w:t>原料名称</w:t>
                  </w:r>
                </w:p>
              </w:tc>
              <w:tc>
                <w:tcPr>
                  <w:tcW w:w="460" w:type="pct"/>
                  <w:noWrap w:val="0"/>
                  <w:vAlign w:val="center"/>
                </w:tcPr>
                <w:p>
                  <w:pPr>
                    <w:spacing w:before="50" w:after="50"/>
                    <w:jc w:val="center"/>
                    <w:rPr>
                      <w:rFonts w:hint="default" w:ascii="Times New Roman" w:hAnsi="Times New Roman" w:cs="Times New Roman"/>
                      <w:b/>
                      <w:color w:val="auto"/>
                      <w:szCs w:val="18"/>
                      <w:highlight w:val="none"/>
                    </w:rPr>
                  </w:pPr>
                  <w:r>
                    <w:rPr>
                      <w:rFonts w:hint="default" w:ascii="Times New Roman" w:hAnsi="Times New Roman" w:cs="Times New Roman"/>
                      <w:b/>
                      <w:color w:val="auto"/>
                      <w:szCs w:val="18"/>
                      <w:highlight w:val="none"/>
                    </w:rPr>
                    <w:t>工艺名称</w:t>
                  </w:r>
                </w:p>
              </w:tc>
              <w:tc>
                <w:tcPr>
                  <w:tcW w:w="469" w:type="pct"/>
                  <w:noWrap w:val="0"/>
                  <w:vAlign w:val="center"/>
                </w:tcPr>
                <w:p>
                  <w:pPr>
                    <w:spacing w:before="50" w:after="50"/>
                    <w:jc w:val="center"/>
                    <w:rPr>
                      <w:rFonts w:hint="default" w:ascii="Times New Roman" w:hAnsi="Times New Roman" w:cs="Times New Roman"/>
                      <w:b/>
                      <w:color w:val="auto"/>
                      <w:szCs w:val="18"/>
                      <w:highlight w:val="none"/>
                    </w:rPr>
                  </w:pPr>
                  <w:r>
                    <w:rPr>
                      <w:rFonts w:hint="default" w:ascii="Times New Roman" w:hAnsi="Times New Roman" w:cs="Times New Roman"/>
                      <w:b/>
                      <w:color w:val="auto"/>
                      <w:szCs w:val="18"/>
                      <w:highlight w:val="none"/>
                    </w:rPr>
                    <w:t>规模等级</w:t>
                  </w:r>
                </w:p>
              </w:tc>
              <w:tc>
                <w:tcPr>
                  <w:tcW w:w="620" w:type="pct"/>
                  <w:noWrap w:val="0"/>
                  <w:vAlign w:val="center"/>
                </w:tcPr>
                <w:p>
                  <w:pPr>
                    <w:spacing w:before="50" w:after="50"/>
                    <w:jc w:val="center"/>
                    <w:rPr>
                      <w:rFonts w:hint="default" w:ascii="Times New Roman" w:hAnsi="Times New Roman" w:cs="Times New Roman"/>
                      <w:b/>
                      <w:color w:val="auto"/>
                      <w:szCs w:val="18"/>
                      <w:highlight w:val="none"/>
                    </w:rPr>
                  </w:pPr>
                  <w:r>
                    <w:rPr>
                      <w:rFonts w:hint="default" w:ascii="Times New Roman" w:hAnsi="Times New Roman" w:cs="Times New Roman"/>
                      <w:b/>
                      <w:color w:val="auto"/>
                      <w:szCs w:val="18"/>
                      <w:highlight w:val="none"/>
                    </w:rPr>
                    <w:t>污染物指标</w:t>
                  </w:r>
                </w:p>
              </w:tc>
              <w:tc>
                <w:tcPr>
                  <w:tcW w:w="602" w:type="pct"/>
                  <w:noWrap w:val="0"/>
                  <w:vAlign w:val="center"/>
                </w:tcPr>
                <w:p>
                  <w:pPr>
                    <w:spacing w:before="50" w:after="50"/>
                    <w:jc w:val="center"/>
                    <w:rPr>
                      <w:rFonts w:hint="default" w:ascii="Times New Roman" w:hAnsi="Times New Roman" w:cs="Times New Roman"/>
                      <w:b/>
                      <w:color w:val="auto"/>
                      <w:szCs w:val="18"/>
                      <w:highlight w:val="none"/>
                    </w:rPr>
                  </w:pPr>
                  <w:r>
                    <w:rPr>
                      <w:rFonts w:hint="default" w:ascii="Times New Roman" w:hAnsi="Times New Roman" w:cs="Times New Roman"/>
                      <w:b/>
                      <w:color w:val="auto"/>
                      <w:szCs w:val="18"/>
                      <w:highlight w:val="none"/>
                    </w:rPr>
                    <w:t>单位</w:t>
                  </w:r>
                </w:p>
              </w:tc>
              <w:tc>
                <w:tcPr>
                  <w:tcW w:w="740" w:type="pct"/>
                  <w:noWrap w:val="0"/>
                  <w:vAlign w:val="center"/>
                </w:tcPr>
                <w:p>
                  <w:pPr>
                    <w:spacing w:before="50" w:after="50"/>
                    <w:jc w:val="center"/>
                    <w:rPr>
                      <w:rFonts w:hint="default" w:ascii="Times New Roman" w:hAnsi="Times New Roman" w:cs="Times New Roman"/>
                      <w:b/>
                      <w:color w:val="auto"/>
                      <w:szCs w:val="18"/>
                      <w:highlight w:val="none"/>
                    </w:rPr>
                  </w:pPr>
                  <w:r>
                    <w:rPr>
                      <w:rFonts w:hint="default" w:ascii="Times New Roman" w:hAnsi="Times New Roman" w:cs="Times New Roman"/>
                      <w:b/>
                      <w:color w:val="auto"/>
                      <w:szCs w:val="18"/>
                      <w:highlight w:val="none"/>
                    </w:rPr>
                    <w:t>产污系数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9" w:type="pct"/>
                  <w:noWrap w:val="0"/>
                  <w:vAlign w:val="center"/>
                </w:tcPr>
                <w:p>
                  <w:pPr>
                    <w:spacing w:before="50" w:after="50"/>
                    <w:jc w:val="center"/>
                    <w:rPr>
                      <w:rFonts w:hint="default" w:ascii="Times New Roman" w:hAnsi="Times New Roman" w:eastAsia="宋体" w:cs="Times New Roman"/>
                      <w:bCs/>
                      <w:color w:val="auto"/>
                      <w:szCs w:val="18"/>
                      <w:highlight w:val="none"/>
                      <w:lang w:val="en-US" w:eastAsia="zh-CN"/>
                    </w:rPr>
                  </w:pPr>
                  <w:r>
                    <w:rPr>
                      <w:rFonts w:hint="default" w:ascii="Times New Roman" w:hAnsi="Times New Roman" w:cs="Times New Roman"/>
                      <w:bCs/>
                      <w:color w:val="auto"/>
                      <w:szCs w:val="18"/>
                      <w:highlight w:val="none"/>
                      <w:lang w:val="en-US" w:eastAsia="zh-CN"/>
                    </w:rPr>
                    <w:t>锂离子电池单体</w:t>
                  </w:r>
                </w:p>
              </w:tc>
              <w:tc>
                <w:tcPr>
                  <w:tcW w:w="1187" w:type="pct"/>
                  <w:noWrap w:val="0"/>
                  <w:vAlign w:val="center"/>
                </w:tcPr>
                <w:p>
                  <w:pPr>
                    <w:adjustRightInd w:val="0"/>
                    <w:snapToGrid w:val="0"/>
                    <w:rPr>
                      <w:rFonts w:hint="default" w:ascii="Times New Roman" w:hAnsi="Times New Roman" w:eastAsia="宋体" w:cs="Times New Roman"/>
                      <w:bCs/>
                      <w:color w:val="auto"/>
                      <w:szCs w:val="18"/>
                      <w:highlight w:val="none"/>
                      <w:lang w:val="en-US" w:eastAsia="zh-CN"/>
                    </w:rPr>
                  </w:pPr>
                  <w:r>
                    <w:rPr>
                      <w:rFonts w:hint="default" w:ascii="Times New Roman" w:hAnsi="Times New Roman" w:cs="Times New Roman"/>
                      <w:bCs/>
                      <w:color w:val="auto"/>
                      <w:szCs w:val="18"/>
                      <w:highlight w:val="none"/>
                      <w:lang w:val="en-US" w:eastAsia="zh-CN"/>
                    </w:rPr>
                    <w:t>钴酸锂及多元正极材料</w:t>
                  </w:r>
                </w:p>
              </w:tc>
              <w:tc>
                <w:tcPr>
                  <w:tcW w:w="460" w:type="pct"/>
                  <w:noWrap w:val="0"/>
                  <w:vAlign w:val="center"/>
                </w:tcPr>
                <w:p>
                  <w:pPr>
                    <w:spacing w:before="50" w:after="50"/>
                    <w:jc w:val="center"/>
                    <w:rPr>
                      <w:rFonts w:hint="default" w:ascii="Times New Roman" w:hAnsi="Times New Roman" w:eastAsia="宋体" w:cs="Times New Roman"/>
                      <w:bCs/>
                      <w:color w:val="auto"/>
                      <w:szCs w:val="18"/>
                      <w:highlight w:val="none"/>
                      <w:lang w:eastAsia="zh-CN"/>
                    </w:rPr>
                  </w:pPr>
                  <w:r>
                    <w:rPr>
                      <w:rFonts w:hint="default" w:ascii="Times New Roman" w:hAnsi="Times New Roman" w:cs="Times New Roman"/>
                      <w:bCs/>
                      <w:color w:val="auto"/>
                      <w:szCs w:val="18"/>
                      <w:highlight w:val="none"/>
                      <w:lang w:val="en-US" w:eastAsia="zh-CN"/>
                    </w:rPr>
                    <w:t>软包</w:t>
                  </w:r>
                </w:p>
              </w:tc>
              <w:tc>
                <w:tcPr>
                  <w:tcW w:w="469" w:type="pct"/>
                  <w:noWrap w:val="0"/>
                  <w:vAlign w:val="center"/>
                </w:tcPr>
                <w:p>
                  <w:pPr>
                    <w:spacing w:before="50" w:after="50"/>
                    <w:jc w:val="center"/>
                    <w:rPr>
                      <w:rFonts w:hint="default" w:ascii="Times New Roman" w:hAnsi="Times New Roman" w:cs="Times New Roman"/>
                      <w:bCs/>
                      <w:color w:val="auto"/>
                      <w:szCs w:val="18"/>
                      <w:highlight w:val="none"/>
                    </w:rPr>
                  </w:pPr>
                  <w:r>
                    <w:rPr>
                      <w:rFonts w:hint="default" w:ascii="Times New Roman" w:hAnsi="Times New Roman" w:cs="Times New Roman"/>
                      <w:bCs/>
                      <w:color w:val="auto"/>
                      <w:szCs w:val="18"/>
                      <w:highlight w:val="none"/>
                    </w:rPr>
                    <w:t>所有规模</w:t>
                  </w:r>
                </w:p>
              </w:tc>
              <w:tc>
                <w:tcPr>
                  <w:tcW w:w="620" w:type="pct"/>
                  <w:noWrap w:val="0"/>
                  <w:vAlign w:val="center"/>
                </w:tcPr>
                <w:p>
                  <w:pPr>
                    <w:spacing w:before="50" w:after="50"/>
                    <w:jc w:val="center"/>
                    <w:rPr>
                      <w:rFonts w:hint="default" w:ascii="Times New Roman" w:hAnsi="Times New Roman" w:cs="Times New Roman"/>
                      <w:bCs/>
                      <w:color w:val="auto"/>
                      <w:szCs w:val="18"/>
                      <w:highlight w:val="none"/>
                    </w:rPr>
                  </w:pPr>
                  <w:r>
                    <w:rPr>
                      <w:rFonts w:hint="default" w:ascii="Times New Roman" w:hAnsi="Times New Roman" w:cs="Times New Roman"/>
                      <w:bCs/>
                      <w:color w:val="auto"/>
                      <w:szCs w:val="18"/>
                      <w:highlight w:val="none"/>
                    </w:rPr>
                    <w:t>挥发性有机物</w:t>
                  </w:r>
                </w:p>
              </w:tc>
              <w:tc>
                <w:tcPr>
                  <w:tcW w:w="602" w:type="pct"/>
                  <w:noWrap w:val="0"/>
                  <w:vAlign w:val="center"/>
                </w:tcPr>
                <w:p>
                  <w:pPr>
                    <w:spacing w:before="50" w:after="50"/>
                    <w:jc w:val="center"/>
                    <w:rPr>
                      <w:rFonts w:hint="default" w:ascii="Times New Roman" w:hAnsi="Times New Roman" w:eastAsia="宋体" w:cs="Times New Roman"/>
                      <w:bCs/>
                      <w:color w:val="auto"/>
                      <w:szCs w:val="18"/>
                      <w:highlight w:val="none"/>
                      <w:lang w:eastAsia="zh-CN"/>
                    </w:rPr>
                  </w:pPr>
                  <w:r>
                    <w:rPr>
                      <w:rFonts w:hint="default" w:ascii="Times New Roman" w:hAnsi="Times New Roman" w:cs="Times New Roman"/>
                      <w:bCs/>
                      <w:color w:val="auto"/>
                      <w:szCs w:val="18"/>
                      <w:highlight w:val="none"/>
                    </w:rPr>
                    <w:t>克/</w:t>
                  </w:r>
                  <w:r>
                    <w:rPr>
                      <w:rFonts w:hint="default" w:ascii="Times New Roman" w:hAnsi="Times New Roman" w:cs="Times New Roman"/>
                      <w:bCs/>
                      <w:color w:val="auto"/>
                      <w:szCs w:val="18"/>
                      <w:highlight w:val="none"/>
                      <w:lang w:val="en-US" w:eastAsia="zh-CN"/>
                    </w:rPr>
                    <w:t>千瓦时</w:t>
                  </w:r>
                  <w:r>
                    <w:rPr>
                      <w:rFonts w:hint="default" w:ascii="Times New Roman" w:hAnsi="Times New Roman" w:cs="Times New Roman"/>
                      <w:bCs/>
                      <w:color w:val="auto"/>
                      <w:szCs w:val="18"/>
                      <w:highlight w:val="none"/>
                    </w:rPr>
                    <w:t>-</w:t>
                  </w:r>
                  <w:r>
                    <w:rPr>
                      <w:rFonts w:hint="default" w:ascii="Times New Roman" w:hAnsi="Times New Roman" w:cs="Times New Roman"/>
                      <w:bCs/>
                      <w:color w:val="auto"/>
                      <w:szCs w:val="18"/>
                      <w:highlight w:val="none"/>
                      <w:lang w:val="en-US" w:eastAsia="zh-CN"/>
                    </w:rPr>
                    <w:t>产品</w:t>
                  </w:r>
                </w:p>
              </w:tc>
              <w:tc>
                <w:tcPr>
                  <w:tcW w:w="740" w:type="pct"/>
                  <w:noWrap w:val="0"/>
                  <w:vAlign w:val="center"/>
                </w:tcPr>
                <w:p>
                  <w:pPr>
                    <w:spacing w:before="50" w:after="50"/>
                    <w:jc w:val="center"/>
                    <w:rPr>
                      <w:rFonts w:hint="default" w:ascii="Times New Roman" w:hAnsi="Times New Roman" w:eastAsia="宋体" w:cs="Times New Roman"/>
                      <w:bCs/>
                      <w:color w:val="auto"/>
                      <w:szCs w:val="18"/>
                      <w:highlight w:val="none"/>
                      <w:lang w:val="en-US" w:eastAsia="zh-CN"/>
                    </w:rPr>
                  </w:pPr>
                  <w:r>
                    <w:rPr>
                      <w:rFonts w:hint="default" w:ascii="Times New Roman" w:hAnsi="Times New Roman" w:cs="Times New Roman"/>
                      <w:bCs/>
                      <w:color w:val="auto"/>
                      <w:szCs w:val="18"/>
                      <w:highlight w:val="none"/>
                      <w:lang w:val="en-US" w:eastAsia="zh-CN"/>
                    </w:rPr>
                    <w:t>7.92×10</w:t>
                  </w:r>
                  <w:r>
                    <w:rPr>
                      <w:rFonts w:hint="default" w:ascii="Times New Roman" w:hAnsi="Times New Roman" w:cs="Times New Roman"/>
                      <w:bCs/>
                      <w:color w:val="auto"/>
                      <w:szCs w:val="18"/>
                      <w:highlight w:val="none"/>
                      <w:vertAlign w:val="superscript"/>
                      <w:lang w:val="en-US" w:eastAsia="zh-CN"/>
                    </w:rPr>
                    <w:t>2</w:t>
                  </w:r>
                </w:p>
              </w:tc>
            </w:tr>
          </w:tbl>
          <w:p>
            <w:pPr>
              <w:adjustRightInd w:val="0"/>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项目年产22000kwh电池，故项目涂布、烘干的挥发性有机物的产生量为</w:t>
            </w:r>
            <w:r>
              <w:rPr>
                <w:rFonts w:hint="eastAsia" w:ascii="Times New Roman" w:hAnsi="Times New Roman" w:cs="Times New Roman"/>
                <w:color w:val="auto"/>
                <w:sz w:val="24"/>
                <w:highlight w:val="none"/>
                <w:lang w:val="en-US" w:eastAsia="zh-CN"/>
              </w:rPr>
              <w:t>17.424</w:t>
            </w:r>
            <w:r>
              <w:rPr>
                <w:rFonts w:hint="default" w:ascii="Times New Roman" w:hAnsi="Times New Roman" w:cs="Times New Roman"/>
                <w:color w:val="auto"/>
                <w:sz w:val="24"/>
                <w:highlight w:val="none"/>
                <w:lang w:val="en-US" w:eastAsia="zh-CN"/>
              </w:rPr>
              <w:t>t/a。</w:t>
            </w:r>
          </w:p>
          <w:p>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正极</w:t>
            </w:r>
            <w:r>
              <w:rPr>
                <w:rFonts w:hint="default" w:ascii="Times New Roman" w:hAnsi="Times New Roman" w:eastAsia="宋体" w:cs="Times New Roman"/>
                <w:color w:val="auto"/>
                <w:sz w:val="24"/>
                <w:highlight w:val="none"/>
                <w:lang w:val="en-US" w:eastAsia="zh-CN"/>
              </w:rPr>
              <w:t>涂布工序设置密闭车间内进行操作，烤炉的</w:t>
            </w:r>
            <w:r>
              <w:rPr>
                <w:rFonts w:hint="eastAsia" w:ascii="Times New Roman" w:hAnsi="Times New Roman" w:eastAsia="宋体" w:cs="Times New Roman"/>
                <w:color w:val="auto"/>
                <w:sz w:val="24"/>
                <w:highlight w:val="none"/>
                <w:lang w:val="en-US" w:eastAsia="zh-CN"/>
              </w:rPr>
              <w:t>初段、</w:t>
            </w:r>
            <w:r>
              <w:rPr>
                <w:rFonts w:hint="default" w:ascii="Times New Roman" w:hAnsi="Times New Roman" w:eastAsia="宋体" w:cs="Times New Roman"/>
                <w:color w:val="auto"/>
                <w:sz w:val="24"/>
                <w:highlight w:val="none"/>
                <w:lang w:val="en-US" w:eastAsia="zh-CN"/>
              </w:rPr>
              <w:t>中段设有管道直接连接烤炉，烤炉的出口设有集气罩收集废气。项目烤炉初段与中段产生的废气一同收集后进入冷凝系统，涂布工序产生的废气、烤炉尾端设集气罩收集后直接进入“二级活性炭吸附装置”处理。</w:t>
            </w:r>
          </w:p>
          <w:p>
            <w:pPr>
              <w:adjustRightInd w:val="0"/>
              <w:snapToGrid w:val="0"/>
              <w:spacing w:line="360" w:lineRule="auto"/>
              <w:ind w:firstLine="480" w:firstLineChars="200"/>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根据NMP化学性质，在常温下挥发较缓慢，NMP在常温下的损耗量约占1%。本项目进行NMP涂布时产生有机废气的比例取1%，</w:t>
            </w:r>
            <w:r>
              <w:rPr>
                <w:rFonts w:hint="eastAsia" w:ascii="Times New Roman" w:hAnsi="Times New Roman" w:eastAsia="宋体" w:cs="Times New Roman"/>
                <w:color w:val="auto"/>
                <w:sz w:val="24"/>
                <w:highlight w:val="none"/>
                <w:lang w:val="en-US" w:eastAsia="zh-CN"/>
              </w:rPr>
              <w:t>即涂布过程中有机废气的产生量为0.174t/a，</w:t>
            </w:r>
            <w:r>
              <w:rPr>
                <w:rFonts w:hint="default" w:ascii="Times New Roman" w:hAnsi="Times New Roman" w:eastAsia="宋体" w:cs="Times New Roman"/>
                <w:color w:val="auto"/>
                <w:sz w:val="24"/>
                <w:highlight w:val="none"/>
                <w:lang w:val="en-US" w:eastAsia="zh-CN"/>
              </w:rPr>
              <w:t>烘干工序的初段及中段产生的有机废气量为</w:t>
            </w:r>
            <w:r>
              <w:rPr>
                <w:rFonts w:hint="eastAsia" w:ascii="Times New Roman" w:hAnsi="Times New Roman" w:eastAsia="宋体" w:cs="Times New Roman"/>
                <w:color w:val="auto"/>
                <w:sz w:val="24"/>
                <w:highlight w:val="none"/>
                <w:lang w:val="en-US" w:eastAsia="zh-CN"/>
              </w:rPr>
              <w:t>16.379</w:t>
            </w:r>
            <w:r>
              <w:rPr>
                <w:rFonts w:hint="default" w:ascii="Times New Roman" w:hAnsi="Times New Roman" w:eastAsia="宋体" w:cs="Times New Roman"/>
                <w:color w:val="auto"/>
                <w:sz w:val="24"/>
                <w:highlight w:val="none"/>
                <w:lang w:val="en-US" w:eastAsia="zh-CN"/>
              </w:rPr>
              <w:t>t/a。烤炉尾端的有机废气约占涂布、烘烤工序产生有机废气的5%，即尾端的有机废气的产生量为</w:t>
            </w:r>
            <w:r>
              <w:rPr>
                <w:rFonts w:hint="eastAsia" w:ascii="Times New Roman" w:hAnsi="Times New Roman" w:eastAsia="宋体" w:cs="Times New Roman"/>
                <w:color w:val="auto"/>
                <w:sz w:val="24"/>
                <w:highlight w:val="none"/>
                <w:lang w:val="en-US" w:eastAsia="zh-CN"/>
              </w:rPr>
              <w:t>0.871</w:t>
            </w:r>
            <w:r>
              <w:rPr>
                <w:rFonts w:hint="default" w:ascii="Times New Roman" w:hAnsi="Times New Roman" w:eastAsia="宋体" w:cs="Times New Roman"/>
                <w:color w:val="auto"/>
                <w:sz w:val="24"/>
                <w:highlight w:val="none"/>
                <w:lang w:val="en-US" w:eastAsia="zh-CN"/>
              </w:rPr>
              <w:t>t/a。</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firstLine="482" w:firstLineChars="200"/>
              <w:textAlignment w:val="auto"/>
              <w:rPr>
                <w:rFonts w:hint="default" w:ascii="Times New Roman" w:hAnsi="Times New Roman" w:cs="Times New Roman"/>
                <w:b/>
                <w:bCs/>
                <w:color w:val="auto"/>
                <w:sz w:val="24"/>
              </w:rPr>
            </w:pPr>
            <w:r>
              <w:rPr>
                <w:rFonts w:hint="default" w:ascii="Times New Roman" w:hAnsi="Times New Roman" w:cs="Times New Roman"/>
                <w:b/>
                <w:bCs/>
                <w:color w:val="auto"/>
                <w:sz w:val="24"/>
              </w:rPr>
              <w:t>注液</w:t>
            </w:r>
            <w:r>
              <w:rPr>
                <w:rFonts w:hint="eastAsia" w:cs="Times New Roman"/>
                <w:b/>
                <w:bCs/>
                <w:color w:val="auto"/>
                <w:sz w:val="24"/>
                <w:lang w:eastAsia="zh-CN"/>
              </w:rPr>
              <w:t>、</w:t>
            </w:r>
            <w:r>
              <w:rPr>
                <w:rFonts w:hint="eastAsia" w:cs="Times New Roman"/>
                <w:b/>
                <w:bCs/>
                <w:color w:val="auto"/>
                <w:sz w:val="24"/>
                <w:lang w:val="en-US" w:eastAsia="zh-CN"/>
              </w:rPr>
              <w:t>二封</w:t>
            </w:r>
            <w:r>
              <w:rPr>
                <w:rFonts w:hint="default" w:ascii="Times New Roman" w:hAnsi="Times New Roman" w:cs="Times New Roman"/>
                <w:b/>
                <w:bCs/>
                <w:color w:val="auto"/>
                <w:sz w:val="24"/>
              </w:rPr>
              <w:t>工序</w:t>
            </w:r>
          </w:p>
          <w:p>
            <w:pPr>
              <w:autoSpaceDE w:val="0"/>
              <w:autoSpaceDN w:val="0"/>
              <w:adjustRightInd w:val="0"/>
              <w:spacing w:line="360" w:lineRule="auto"/>
              <w:ind w:firstLine="480" w:firstLineChars="200"/>
              <w:rPr>
                <w:rFonts w:hint="eastAsia" w:cs="Times New Roman"/>
                <w:color w:val="auto"/>
                <w:sz w:val="24"/>
                <w:highlight w:val="none"/>
                <w:lang w:val="en-US" w:eastAsia="zh-CN"/>
              </w:rPr>
            </w:pPr>
            <w:r>
              <w:rPr>
                <w:rFonts w:hint="default" w:ascii="Times New Roman" w:hAnsi="Times New Roman" w:eastAsia="宋体" w:cs="Times New Roman"/>
                <w:bCs/>
                <w:color w:val="auto"/>
                <w:sz w:val="24"/>
                <w:highlight w:val="none"/>
                <w:lang w:val="en-US" w:eastAsia="zh-CN"/>
              </w:rPr>
              <w:t>项目注液工序均在注液机内进行操作，电解液为管道自动输送，注液后直接封口，</w:t>
            </w:r>
            <w:r>
              <w:rPr>
                <w:rFonts w:hint="eastAsia" w:ascii="Times New Roman" w:hAnsi="Times New Roman" w:eastAsia="宋体" w:cs="Times New Roman"/>
                <w:bCs/>
                <w:color w:val="auto"/>
                <w:sz w:val="24"/>
                <w:highlight w:val="none"/>
                <w:lang w:val="en-US" w:eastAsia="zh-CN"/>
              </w:rPr>
              <w:t>注液机为密闭设备，产生的挥发性有机物在注液机中收集</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bCs/>
                <w:color w:val="auto"/>
                <w:sz w:val="24"/>
                <w:highlight w:val="none"/>
                <w:lang w:val="en-US" w:eastAsia="zh-CN"/>
              </w:rPr>
              <w:t>正常操作下，电解液挥发量较小。锂离子电池电解液属于低挥发性有机溶剂。</w:t>
            </w:r>
            <w:r>
              <w:rPr>
                <w:rFonts w:hint="default" w:ascii="Times New Roman" w:hAnsi="Times New Roman" w:eastAsia="宋体" w:cs="Times New Roman"/>
                <w:color w:val="auto"/>
                <w:sz w:val="24"/>
                <w:highlight w:val="none"/>
                <w:lang w:val="en-US" w:eastAsia="zh-CN"/>
              </w:rPr>
              <w:t>项目电芯注液完成后，进行老化测试、化成、分容等工序，然后使用二封机对电芯进行二次封口，二封过程无可避免会有极少量电解液挥发废气</w:t>
            </w:r>
            <w:r>
              <w:rPr>
                <w:rFonts w:hint="eastAsia" w:cs="Times New Roman"/>
                <w:color w:val="auto"/>
                <w:sz w:val="24"/>
                <w:highlight w:val="none"/>
                <w:lang w:val="en-US" w:eastAsia="zh-CN"/>
              </w:rPr>
              <w:t>。</w:t>
            </w:r>
          </w:p>
          <w:p>
            <w:pPr>
              <w:autoSpaceDE w:val="0"/>
              <w:autoSpaceDN w:val="0"/>
              <w:adjustRightInd w:val="0"/>
              <w:spacing w:line="360" w:lineRule="auto"/>
              <w:ind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b w:val="0"/>
                <w:bCs w:val="0"/>
                <w:color w:val="auto"/>
                <w:sz w:val="24"/>
                <w:szCs w:val="24"/>
                <w:highlight w:val="none"/>
                <w:vertAlign w:val="baseline"/>
                <w:lang w:val="en-US" w:eastAsia="zh-CN"/>
              </w:rPr>
              <w:t>本报告选择类比法对注液工序产污进行计算。</w:t>
            </w:r>
            <w:r>
              <w:rPr>
                <w:rFonts w:hint="default" w:ascii="Times New Roman" w:hAnsi="Times New Roman" w:cs="Times New Roman"/>
                <w:color w:val="auto"/>
                <w:sz w:val="24"/>
                <w:highlight w:val="none"/>
                <w:lang w:val="en-US" w:eastAsia="zh-CN"/>
              </w:rPr>
              <w:t>针对项目产品及生产工艺，本报告选取《</w:t>
            </w:r>
            <w:r>
              <w:rPr>
                <w:rFonts w:hint="eastAsia" w:cs="Times New Roman"/>
                <w:color w:val="auto"/>
                <w:sz w:val="24"/>
                <w:highlight w:val="none"/>
                <w:lang w:val="en-US" w:eastAsia="zh-CN"/>
              </w:rPr>
              <w:t>东莞锂威能源科技有限公司</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中的检测报告</w:t>
            </w:r>
            <w:r>
              <w:rPr>
                <w:rFonts w:hint="eastAsia"/>
                <w:color w:val="auto"/>
                <w:sz w:val="24"/>
                <w:szCs w:val="32"/>
                <w:highlight w:val="none"/>
                <w:lang w:eastAsia="zh-CN"/>
              </w:rPr>
              <w:t>（</w:t>
            </w:r>
            <w:r>
              <w:rPr>
                <w:rFonts w:hint="eastAsia"/>
                <w:color w:val="auto"/>
                <w:sz w:val="24"/>
                <w:szCs w:val="32"/>
                <w:highlight w:val="none"/>
                <w:lang w:val="en-US" w:eastAsia="zh-CN"/>
              </w:rPr>
              <w:t>DCHJ20214003</w:t>
            </w:r>
            <w:r>
              <w:rPr>
                <w:rFonts w:hint="eastAsia"/>
                <w:color w:val="auto"/>
                <w:sz w:val="24"/>
                <w:szCs w:val="32"/>
                <w:highlight w:val="none"/>
                <w:lang w:eastAsia="zh-CN"/>
              </w:rPr>
              <w:t>）</w:t>
            </w:r>
            <w:r>
              <w:rPr>
                <w:rFonts w:hint="default" w:ascii="Times New Roman" w:hAnsi="Times New Roman" w:cs="Times New Roman"/>
                <w:color w:val="auto"/>
                <w:sz w:val="24"/>
                <w:highlight w:val="none"/>
                <w:lang w:val="en-US" w:eastAsia="zh-CN"/>
              </w:rPr>
              <w:t>的实测数据进行类比，监测结果如下。</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color w:val="auto"/>
                <w:sz w:val="24"/>
                <w:highlight w:val="none"/>
                <w:lang w:val="en-US" w:eastAsia="zh-CN"/>
              </w:rPr>
            </w:pPr>
            <w:r>
              <w:rPr>
                <w:rFonts w:hint="default" w:ascii="Times New Roman" w:hAnsi="Times New Roman" w:cs="Times New Roman"/>
                <w:b/>
                <w:color w:val="auto"/>
                <w:sz w:val="24"/>
                <w:highlight w:val="none"/>
                <w:lang w:val="en-US" w:eastAsia="zh-CN"/>
              </w:rPr>
              <w:t>表</w:t>
            </w:r>
            <w:r>
              <w:rPr>
                <w:rFonts w:hint="eastAsia" w:ascii="Times New Roman" w:hAnsi="Times New Roman" w:cs="Times New Roman"/>
                <w:b/>
                <w:color w:val="auto"/>
                <w:sz w:val="24"/>
                <w:highlight w:val="none"/>
                <w:lang w:val="en-US" w:eastAsia="zh-CN"/>
              </w:rPr>
              <w:t>4-3</w:t>
            </w:r>
            <w:r>
              <w:rPr>
                <w:rFonts w:hint="default" w:ascii="Times New Roman" w:hAnsi="Times New Roman" w:cs="Times New Roman"/>
                <w:b/>
                <w:color w:val="auto"/>
                <w:sz w:val="24"/>
                <w:highlight w:val="none"/>
                <w:lang w:val="en-US" w:eastAsia="zh-CN"/>
              </w:rPr>
              <w:t xml:space="preserve"> 监测结果</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1035"/>
              <w:gridCol w:w="960"/>
              <w:gridCol w:w="1328"/>
              <w:gridCol w:w="1433"/>
              <w:gridCol w:w="1311"/>
              <w:gridCol w:w="13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1" w:type="pct"/>
                  <w:gridSpan w:val="2"/>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监测点位置</w:t>
                  </w:r>
                </w:p>
              </w:tc>
              <w:tc>
                <w:tcPr>
                  <w:tcW w:w="567" w:type="pct"/>
                  <w:noWrap w:val="0"/>
                  <w:vAlign w:val="center"/>
                </w:tcPr>
                <w:p>
                  <w:pPr>
                    <w:jc w:val="center"/>
                    <w:rPr>
                      <w:rFonts w:hint="eastAsia" w:ascii="Times New Roman" w:hAnsi="Times New Roman" w:eastAsia="宋体"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工况</w:t>
                  </w:r>
                  <w:r>
                    <w:rPr>
                      <w:rFonts w:hint="eastAsia"/>
                      <w:color w:val="auto"/>
                      <w:highlight w:val="none"/>
                      <w:lang w:eastAsia="zh-CN"/>
                    </w:rPr>
                    <w:t>（</w:t>
                  </w:r>
                  <w:r>
                    <w:rPr>
                      <w:rFonts w:hint="eastAsia"/>
                      <w:color w:val="auto"/>
                      <w:highlight w:val="none"/>
                      <w:lang w:val="en-US" w:eastAsia="zh-CN"/>
                    </w:rPr>
                    <w:t>%</w:t>
                  </w:r>
                  <w:r>
                    <w:rPr>
                      <w:rFonts w:hint="eastAsia"/>
                      <w:color w:val="auto"/>
                      <w:highlight w:val="none"/>
                      <w:lang w:eastAsia="zh-CN"/>
                    </w:rPr>
                    <w:t>）</w:t>
                  </w:r>
                </w:p>
              </w:tc>
              <w:tc>
                <w:tcPr>
                  <w:tcW w:w="784"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速率（kg/h）</w:t>
                  </w:r>
                </w:p>
              </w:tc>
              <w:tc>
                <w:tcPr>
                  <w:tcW w:w="846"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排放浓度（mg/m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w:t>
                  </w:r>
                </w:p>
              </w:tc>
              <w:tc>
                <w:tcPr>
                  <w:tcW w:w="774"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风量（m</w:t>
                  </w:r>
                  <w:r>
                    <w:rPr>
                      <w:rFonts w:hint="default"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vertAlign w:val="baseline"/>
                      <w:lang w:val="en-US" w:eastAsia="zh-CN"/>
                    </w:rPr>
                    <w:t>/h）</w:t>
                  </w:r>
                </w:p>
              </w:tc>
              <w:tc>
                <w:tcPr>
                  <w:tcW w:w="786"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全年工作时长(h)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630"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DA001注液工序废气排放口</w:t>
                  </w:r>
                </w:p>
              </w:tc>
              <w:tc>
                <w:tcPr>
                  <w:tcW w:w="611"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非甲烷总烃</w:t>
                  </w:r>
                </w:p>
              </w:tc>
              <w:tc>
                <w:tcPr>
                  <w:tcW w:w="567"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100</w:t>
                  </w:r>
                </w:p>
              </w:tc>
              <w:tc>
                <w:tcPr>
                  <w:tcW w:w="784"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8.</w:t>
                  </w:r>
                  <w:r>
                    <w:rPr>
                      <w:rFonts w:hint="eastAsia" w:ascii="Times New Roman" w:hAnsi="Times New Roman" w:cs="Times New Roman"/>
                      <w:color w:val="auto"/>
                      <w:sz w:val="21"/>
                      <w:szCs w:val="21"/>
                      <w:highlight w:val="none"/>
                      <w:vertAlign w:val="baseline"/>
                      <w:lang w:val="en-US" w:eastAsia="zh-CN"/>
                    </w:rPr>
                    <w:t>5×10</w:t>
                  </w:r>
                  <w:r>
                    <w:rPr>
                      <w:rFonts w:hint="eastAsia" w:ascii="Times New Roman" w:hAnsi="Times New Roman" w:cs="Times New Roman"/>
                      <w:color w:val="auto"/>
                      <w:sz w:val="21"/>
                      <w:szCs w:val="21"/>
                      <w:highlight w:val="none"/>
                      <w:vertAlign w:val="superscript"/>
                      <w:lang w:val="en-US" w:eastAsia="zh-CN"/>
                    </w:rPr>
                    <w:t>-</w:t>
                  </w:r>
                  <w:r>
                    <w:rPr>
                      <w:rFonts w:hint="eastAsia" w:cs="Times New Roman"/>
                      <w:color w:val="auto"/>
                      <w:sz w:val="21"/>
                      <w:szCs w:val="21"/>
                      <w:highlight w:val="none"/>
                      <w:vertAlign w:val="superscript"/>
                      <w:lang w:val="en-US" w:eastAsia="zh-CN"/>
                    </w:rPr>
                    <w:t>3</w:t>
                  </w:r>
                </w:p>
              </w:tc>
              <w:tc>
                <w:tcPr>
                  <w:tcW w:w="846"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1.35</w:t>
                  </w:r>
                </w:p>
              </w:tc>
              <w:tc>
                <w:tcPr>
                  <w:tcW w:w="774"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6269</w:t>
                  </w:r>
                </w:p>
              </w:tc>
              <w:tc>
                <w:tcPr>
                  <w:tcW w:w="786" w:type="pct"/>
                  <w:noWrap w:val="0"/>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5280</w:t>
                  </w:r>
                </w:p>
              </w:tc>
            </w:tr>
          </w:tbl>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由上表数据可知，</w:t>
            </w:r>
            <w:r>
              <w:rPr>
                <w:rFonts w:hint="eastAsia" w:ascii="Times New Roman" w:hAnsi="Times New Roman" w:cs="Times New Roman"/>
                <w:color w:val="auto"/>
                <w:sz w:val="24"/>
                <w:highlight w:val="none"/>
                <w:lang w:val="en-US" w:eastAsia="zh-CN"/>
              </w:rPr>
              <w:t>注液、二封工序的</w:t>
            </w:r>
            <w:r>
              <w:rPr>
                <w:rFonts w:hint="default" w:ascii="Times New Roman" w:hAnsi="Times New Roman" w:cs="Times New Roman"/>
                <w:color w:val="auto"/>
                <w:sz w:val="24"/>
                <w:highlight w:val="none"/>
                <w:lang w:val="en-US" w:eastAsia="zh-CN"/>
              </w:rPr>
              <w:t>排气筒处理</w:t>
            </w:r>
            <w:r>
              <w:rPr>
                <w:rFonts w:hint="eastAsia" w:ascii="Times New Roman" w:hAnsi="Times New Roman" w:cs="Times New Roman"/>
                <w:color w:val="auto"/>
                <w:sz w:val="24"/>
                <w:highlight w:val="none"/>
                <w:lang w:val="en-US" w:eastAsia="zh-CN"/>
              </w:rPr>
              <w:t>后</w:t>
            </w:r>
            <w:r>
              <w:rPr>
                <w:rFonts w:hint="default" w:ascii="Times New Roman" w:hAnsi="Times New Roman" w:cs="Times New Roman"/>
                <w:color w:val="auto"/>
                <w:sz w:val="24"/>
                <w:highlight w:val="none"/>
                <w:lang w:val="en-US" w:eastAsia="zh-CN"/>
              </w:rPr>
              <w:t>采样口的</w:t>
            </w:r>
            <w:r>
              <w:rPr>
                <w:rFonts w:hint="eastAsia" w:ascii="Times New Roman" w:hAnsi="Times New Roman" w:cs="Times New Roman"/>
                <w:color w:val="auto"/>
                <w:sz w:val="24"/>
                <w:highlight w:val="none"/>
                <w:lang w:val="en-US" w:eastAsia="zh-CN"/>
              </w:rPr>
              <w:t>非甲烷总烃</w:t>
            </w:r>
            <w:r>
              <w:rPr>
                <w:rFonts w:hint="default" w:ascii="Times New Roman" w:hAnsi="Times New Roman" w:cs="Times New Roman"/>
                <w:color w:val="auto"/>
                <w:sz w:val="24"/>
                <w:highlight w:val="none"/>
                <w:lang w:val="en-US" w:eastAsia="zh-CN"/>
              </w:rPr>
              <w:t>有组织</w:t>
            </w:r>
            <w:r>
              <w:rPr>
                <w:rFonts w:hint="eastAsia" w:ascii="Times New Roman" w:hAnsi="Times New Roman" w:cs="Times New Roman"/>
                <w:color w:val="auto"/>
                <w:sz w:val="24"/>
                <w:highlight w:val="none"/>
                <w:lang w:val="en-US" w:eastAsia="zh-CN"/>
              </w:rPr>
              <w:t>排放量</w:t>
            </w:r>
            <w:r>
              <w:rPr>
                <w:rFonts w:hint="default" w:ascii="Times New Roman" w:hAnsi="Times New Roman" w:cs="Times New Roman"/>
                <w:color w:val="auto"/>
                <w:sz w:val="24"/>
                <w:highlight w:val="none"/>
                <w:lang w:val="en-US" w:eastAsia="zh-CN"/>
              </w:rPr>
              <w:t>为0.</w:t>
            </w:r>
            <w:r>
              <w:rPr>
                <w:rFonts w:hint="eastAsia" w:ascii="Times New Roman" w:hAnsi="Times New Roman" w:cs="Times New Roman"/>
                <w:color w:val="auto"/>
                <w:sz w:val="24"/>
                <w:highlight w:val="none"/>
                <w:lang w:val="en-US" w:eastAsia="zh-CN"/>
              </w:rPr>
              <w:t>0085</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5280</w:t>
            </w:r>
            <w:r>
              <w:rPr>
                <w:rFonts w:hint="default" w:ascii="Times New Roman" w:hAnsi="Times New Roman" w:cs="Times New Roman"/>
                <w:color w:val="auto"/>
                <w:sz w:val="24"/>
                <w:highlight w:val="none"/>
                <w:lang w:val="en-US" w:eastAsia="zh-CN"/>
              </w:rPr>
              <w:t>÷10</w:t>
            </w:r>
            <w:r>
              <w:rPr>
                <w:rFonts w:hint="eastAsia" w:ascii="Times New Roman" w:hAnsi="Times New Roman" w:cs="Times New Roman"/>
                <w:color w:val="auto"/>
                <w:sz w:val="24"/>
                <w:highlight w:val="none"/>
                <w:lang w:val="en-US" w:eastAsia="zh-CN"/>
              </w:rPr>
              <w:t>00</w:t>
            </w:r>
            <w:r>
              <w:rPr>
                <w:rFonts w:hint="default" w:ascii="Times New Roman" w:hAnsi="Times New Roman" w:cs="Times New Roman"/>
                <w:color w:val="auto"/>
                <w:sz w:val="24"/>
                <w:highlight w:val="none"/>
                <w:lang w:val="en-US" w:eastAsia="zh-CN"/>
              </w:rPr>
              <w:t>=0.0</w:t>
            </w:r>
            <w:r>
              <w:rPr>
                <w:rFonts w:hint="eastAsia" w:ascii="Times New Roman" w:hAnsi="Times New Roman" w:cs="Times New Roman"/>
                <w:color w:val="auto"/>
                <w:sz w:val="24"/>
                <w:highlight w:val="none"/>
                <w:lang w:val="en-US" w:eastAsia="zh-CN"/>
              </w:rPr>
              <w:t>449</w:t>
            </w:r>
            <w:r>
              <w:rPr>
                <w:rFonts w:hint="default" w:ascii="Times New Roman" w:hAnsi="Times New Roman" w:cs="Times New Roman"/>
                <w:color w:val="auto"/>
                <w:sz w:val="24"/>
                <w:highlight w:val="none"/>
                <w:lang w:val="en-US" w:eastAsia="zh-CN"/>
              </w:rPr>
              <w:t>t/a。</w:t>
            </w:r>
            <w:r>
              <w:rPr>
                <w:rFonts w:hint="eastAsia" w:ascii="Times New Roman" w:hAnsi="Times New Roman" w:cs="Times New Roman"/>
                <w:color w:val="auto"/>
                <w:sz w:val="24"/>
                <w:highlight w:val="none"/>
                <w:lang w:val="en-US" w:eastAsia="zh-CN"/>
              </w:rPr>
              <w:t>电解液注液、二封的非甲烷总烃由车间工位风罩机密闭收集后经排气筒高空排放，</w:t>
            </w:r>
            <w:r>
              <w:rPr>
                <w:rFonts w:hint="default" w:ascii="Times New Roman" w:hAnsi="Times New Roman" w:cs="Times New Roman"/>
                <w:color w:val="auto"/>
                <w:sz w:val="24"/>
                <w:highlight w:val="none"/>
                <w:lang w:val="en-US" w:eastAsia="zh-CN"/>
              </w:rPr>
              <w:t>根据</w:t>
            </w:r>
            <w:r>
              <w:rPr>
                <w:rFonts w:hint="default" w:ascii="Times New Roman" w:hAnsi="Times New Roman" w:cs="Times New Roman"/>
                <w:color w:val="auto"/>
                <w:sz w:val="24"/>
                <w:highlight w:val="none"/>
              </w:rPr>
              <w:t>《广东省工业源挥发性有机物减排量核算方法（试行）》（粤环办﹝2021﹞92号）表4.5-1废气收集的集气效率参考</w:t>
            </w:r>
            <w:r>
              <w:rPr>
                <w:rFonts w:hint="default" w:ascii="Times New Roman" w:hAnsi="Times New Roman" w:cs="Times New Roman"/>
                <w:color w:val="auto"/>
                <w:sz w:val="24"/>
                <w:highlight w:val="none"/>
                <w:lang w:val="en-US" w:eastAsia="zh-CN"/>
              </w:rPr>
              <w:t>值可得</w:t>
            </w:r>
            <w:r>
              <w:rPr>
                <w:rFonts w:hint="eastAsia" w:ascii="Times New Roman" w:hAnsi="Times New Roman" w:cs="Times New Roman"/>
                <w:color w:val="auto"/>
                <w:sz w:val="24"/>
                <w:highlight w:val="none"/>
                <w:lang w:val="en-US" w:eastAsia="zh-CN"/>
              </w:rPr>
              <w:t>收集率大于90%（按90%核算），故核算可得无组织废气排放量为0.005t/a。故注液二封工序的非甲烷总烃的产生量为0.0499t/a。</w:t>
            </w:r>
            <w:r>
              <w:rPr>
                <w:rFonts w:hint="eastAsia" w:cs="Times New Roman"/>
                <w:color w:val="auto"/>
                <w:sz w:val="24"/>
                <w:highlight w:val="none"/>
                <w:lang w:val="en-US" w:eastAsia="zh-CN"/>
              </w:rPr>
              <w:t>东莞锂威能源科技有限公司</w:t>
            </w:r>
            <w:r>
              <w:rPr>
                <w:rFonts w:hint="eastAsia" w:ascii="Times New Roman" w:hAnsi="Times New Roman" w:cs="Times New Roman"/>
                <w:color w:val="auto"/>
                <w:sz w:val="24"/>
                <w:highlight w:val="none"/>
                <w:lang w:val="en-US" w:eastAsia="zh-CN"/>
              </w:rPr>
              <w:t>电解液每年的使用量为</w:t>
            </w:r>
            <w:r>
              <w:rPr>
                <w:rFonts w:hint="eastAsia" w:cs="Times New Roman"/>
                <w:color w:val="auto"/>
                <w:sz w:val="24"/>
                <w:highlight w:val="none"/>
                <w:lang w:val="en-US" w:eastAsia="zh-CN"/>
              </w:rPr>
              <w:t>240</w:t>
            </w:r>
            <w:r>
              <w:rPr>
                <w:rFonts w:hint="eastAsia" w:ascii="Times New Roman" w:hAnsi="Times New Roman" w:cs="Times New Roman"/>
                <w:color w:val="auto"/>
                <w:sz w:val="24"/>
                <w:highlight w:val="none"/>
                <w:lang w:val="en-US" w:eastAsia="zh-CN"/>
              </w:rPr>
              <w:t>t/a，</w:t>
            </w:r>
            <w:r>
              <w:rPr>
                <w:rFonts w:hint="default" w:ascii="Times New Roman" w:hAnsi="Times New Roman" w:cs="Times New Roman"/>
                <w:color w:val="auto"/>
                <w:sz w:val="24"/>
                <w:highlight w:val="none"/>
                <w:lang w:val="en-US" w:eastAsia="zh-CN"/>
              </w:rPr>
              <w:t>故可得</w:t>
            </w:r>
            <w:r>
              <w:rPr>
                <w:rFonts w:hint="eastAsia" w:cs="Times New Roman"/>
                <w:color w:val="auto"/>
                <w:sz w:val="24"/>
                <w:highlight w:val="none"/>
                <w:lang w:val="en-US" w:eastAsia="zh-CN"/>
              </w:rPr>
              <w:t>东莞锂威能源科技有限公司</w:t>
            </w:r>
            <w:r>
              <w:rPr>
                <w:rFonts w:hint="eastAsia" w:ascii="Times New Roman" w:hAnsi="Times New Roman" w:cs="Times New Roman"/>
                <w:color w:val="auto"/>
                <w:sz w:val="24"/>
                <w:highlight w:val="none"/>
                <w:lang w:val="en-US" w:eastAsia="zh-CN"/>
              </w:rPr>
              <w:t>电解液</w:t>
            </w:r>
            <w:r>
              <w:rPr>
                <w:rFonts w:hint="default"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val="en-US" w:eastAsia="zh-CN"/>
              </w:rPr>
              <w:t>非甲烷总烃</w:t>
            </w:r>
            <w:r>
              <w:rPr>
                <w:rFonts w:hint="default" w:ascii="Times New Roman" w:hAnsi="Times New Roman" w:cs="Times New Roman"/>
                <w:color w:val="auto"/>
                <w:sz w:val="24"/>
                <w:highlight w:val="none"/>
                <w:lang w:val="en-US" w:eastAsia="zh-CN"/>
              </w:rPr>
              <w:t>产污系数为</w:t>
            </w:r>
            <w:r>
              <w:rPr>
                <w:rFonts w:hint="eastAsia" w:cs="Times New Roman"/>
                <w:color w:val="auto"/>
                <w:sz w:val="24"/>
                <w:highlight w:val="none"/>
                <w:lang w:val="en-US" w:eastAsia="zh-CN"/>
              </w:rPr>
              <w:t>0.2079k</w:t>
            </w:r>
            <w:r>
              <w:rPr>
                <w:rFonts w:hint="default" w:ascii="Times New Roman" w:hAnsi="Times New Roman" w:cs="Times New Roman"/>
                <w:color w:val="auto"/>
                <w:sz w:val="24"/>
                <w:highlight w:val="none"/>
                <w:lang w:val="en-US" w:eastAsia="zh-CN"/>
              </w:rPr>
              <w:t>g/t-原料。</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eastAsia" w:ascii="Times New Roman" w:hAnsi="Times New Roman" w:cs="Times New Roman"/>
                <w:color w:val="auto"/>
                <w:sz w:val="24"/>
                <w:highlight w:val="none"/>
                <w:lang w:val="en-US" w:eastAsia="zh-CN"/>
              </w:rPr>
            </w:pPr>
            <w:r>
              <w:rPr>
                <w:rFonts w:hint="default" w:ascii="Times New Roman" w:hAnsi="Times New Roman" w:cs="Times New Roman"/>
                <w:color w:val="auto"/>
                <w:sz w:val="24"/>
                <w:highlight w:val="none"/>
                <w:lang w:val="en-US" w:eastAsia="zh-CN"/>
              </w:rPr>
              <w:t>故本项目的</w:t>
            </w:r>
            <w:r>
              <w:rPr>
                <w:rFonts w:hint="eastAsia" w:ascii="Times New Roman" w:hAnsi="Times New Roman" w:cs="Times New Roman"/>
                <w:color w:val="auto"/>
                <w:sz w:val="24"/>
                <w:highlight w:val="none"/>
                <w:lang w:val="en-US" w:eastAsia="zh-CN"/>
              </w:rPr>
              <w:t>注液</w:t>
            </w:r>
            <w:r>
              <w:rPr>
                <w:rFonts w:hint="eastAsia" w:cs="Times New Roman"/>
                <w:color w:val="auto"/>
                <w:sz w:val="24"/>
                <w:highlight w:val="none"/>
                <w:lang w:val="en-US" w:eastAsia="zh-CN"/>
              </w:rPr>
              <w:t>、二封</w:t>
            </w:r>
            <w:r>
              <w:rPr>
                <w:rFonts w:hint="eastAsia" w:ascii="Times New Roman" w:hAnsi="Times New Roman" w:cs="Times New Roman"/>
                <w:color w:val="auto"/>
                <w:sz w:val="24"/>
                <w:highlight w:val="none"/>
                <w:lang w:val="en-US" w:eastAsia="zh-CN"/>
              </w:rPr>
              <w:t>工序的非甲烷总烃</w:t>
            </w:r>
            <w:r>
              <w:rPr>
                <w:rFonts w:hint="default" w:ascii="Times New Roman" w:hAnsi="Times New Roman" w:cs="Times New Roman"/>
                <w:color w:val="auto"/>
                <w:sz w:val="24"/>
                <w:highlight w:val="none"/>
                <w:lang w:val="en-US" w:eastAsia="zh-CN"/>
              </w:rPr>
              <w:t>产生量为</w:t>
            </w:r>
            <w:r>
              <w:rPr>
                <w:rFonts w:hint="eastAsia"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lang w:val="en-US" w:eastAsia="zh-CN"/>
              </w:rPr>
              <w:t>0*</w:t>
            </w:r>
            <w:r>
              <w:rPr>
                <w:rFonts w:hint="eastAsia" w:cs="Times New Roman"/>
                <w:color w:val="auto"/>
                <w:sz w:val="24"/>
                <w:highlight w:val="none"/>
                <w:lang w:val="en-US" w:eastAsia="zh-CN"/>
              </w:rPr>
              <w:t>0.2079</w:t>
            </w:r>
            <w:r>
              <w:rPr>
                <w:rFonts w:hint="default" w:ascii="Times New Roman" w:hAnsi="Times New Roman" w:cs="Times New Roman"/>
                <w:color w:val="auto"/>
                <w:sz w:val="24"/>
                <w:highlight w:val="none"/>
                <w:lang w:val="en-US" w:eastAsia="zh-CN"/>
              </w:rPr>
              <w:t>*10</w:t>
            </w:r>
            <w:r>
              <w:rPr>
                <w:rFonts w:hint="default" w:ascii="Times New Roman" w:hAnsi="Times New Roman" w:cs="Times New Roman"/>
                <w:color w:val="auto"/>
                <w:sz w:val="24"/>
                <w:highlight w:val="none"/>
                <w:vertAlign w:val="superscript"/>
                <w:lang w:val="en-US" w:eastAsia="zh-CN"/>
              </w:rPr>
              <w:t>-</w:t>
            </w:r>
            <w:r>
              <w:rPr>
                <w:rFonts w:hint="eastAsia" w:cs="Times New Roman"/>
                <w:color w:val="auto"/>
                <w:sz w:val="24"/>
                <w:highlight w:val="none"/>
                <w:vertAlign w:val="superscript"/>
                <w:lang w:val="en-US" w:eastAsia="zh-CN"/>
              </w:rPr>
              <w:t>3</w:t>
            </w:r>
            <w:r>
              <w:rPr>
                <w:rFonts w:hint="default" w:ascii="Times New Roman" w:hAnsi="Times New Roman" w:cs="Times New Roman"/>
                <w:color w:val="auto"/>
                <w:sz w:val="24"/>
                <w:highlight w:val="none"/>
                <w:lang w:val="en-US" w:eastAsia="zh-CN"/>
              </w:rPr>
              <w:t>=0.00</w:t>
            </w:r>
            <w:r>
              <w:rPr>
                <w:rFonts w:hint="eastAsia" w:ascii="Times New Roman" w:hAnsi="Times New Roman" w:cs="Times New Roman"/>
                <w:color w:val="auto"/>
                <w:sz w:val="24"/>
                <w:highlight w:val="none"/>
                <w:lang w:val="en-US" w:eastAsia="zh-CN"/>
              </w:rPr>
              <w:t>2</w:t>
            </w:r>
            <w:r>
              <w:rPr>
                <w:rFonts w:hint="eastAsia" w:cs="Times New Roman"/>
                <w:color w:val="auto"/>
                <w:sz w:val="24"/>
                <w:highlight w:val="none"/>
                <w:lang w:val="en-US" w:eastAsia="zh-CN"/>
              </w:rPr>
              <w:t>1</w:t>
            </w:r>
            <w:r>
              <w:rPr>
                <w:rFonts w:hint="eastAsia" w:ascii="Times New Roman" w:hAnsi="Times New Roman" w:cs="Times New Roman"/>
                <w:color w:val="auto"/>
                <w:sz w:val="24"/>
                <w:highlight w:val="none"/>
                <w:lang w:val="en-US" w:eastAsia="zh-CN"/>
              </w:rPr>
              <w:t>t</w:t>
            </w:r>
            <w:r>
              <w:rPr>
                <w:rFonts w:hint="default" w:ascii="Times New Roman" w:hAnsi="Times New Roman" w:cs="Times New Roman"/>
                <w:color w:val="auto"/>
                <w:sz w:val="24"/>
                <w:highlight w:val="none"/>
                <w:lang w:val="en-US" w:eastAsia="zh-CN"/>
              </w:rPr>
              <w:t>/a。项目每天</w:t>
            </w:r>
            <w:r>
              <w:rPr>
                <w:rFonts w:hint="eastAsia" w:ascii="Times New Roman" w:hAnsi="Times New Roman" w:cs="Times New Roman"/>
                <w:color w:val="auto"/>
                <w:sz w:val="24"/>
                <w:highlight w:val="none"/>
                <w:lang w:val="en-US" w:eastAsia="zh-CN"/>
              </w:rPr>
              <w:t>注液</w:t>
            </w:r>
            <w:r>
              <w:rPr>
                <w:rFonts w:hint="eastAsia" w:cs="Times New Roman"/>
                <w:color w:val="auto"/>
                <w:sz w:val="24"/>
                <w:highlight w:val="none"/>
                <w:lang w:val="en-US" w:eastAsia="zh-CN"/>
              </w:rPr>
              <w:t>、二封的</w:t>
            </w:r>
            <w:r>
              <w:rPr>
                <w:rFonts w:hint="default" w:ascii="Times New Roman" w:hAnsi="Times New Roman" w:cs="Times New Roman"/>
                <w:color w:val="auto"/>
                <w:sz w:val="24"/>
                <w:highlight w:val="none"/>
                <w:lang w:val="en-US" w:eastAsia="zh-CN"/>
              </w:rPr>
              <w:t>时间为</w:t>
            </w:r>
            <w:r>
              <w:rPr>
                <w:rFonts w:hint="eastAsia" w:cs="Times New Roman"/>
                <w:color w:val="auto"/>
                <w:sz w:val="24"/>
                <w:highlight w:val="none"/>
                <w:lang w:val="en-US" w:eastAsia="zh-CN"/>
              </w:rPr>
              <w:t>10</w:t>
            </w:r>
            <w:r>
              <w:rPr>
                <w:rFonts w:hint="default" w:ascii="Times New Roman" w:hAnsi="Times New Roman" w:cs="Times New Roman"/>
                <w:color w:val="auto"/>
                <w:sz w:val="24"/>
                <w:highlight w:val="none"/>
                <w:lang w:val="en-US" w:eastAsia="zh-CN"/>
              </w:rPr>
              <w:t>小时，每年工作</w:t>
            </w:r>
            <w:r>
              <w:rPr>
                <w:rFonts w:hint="eastAsia" w:ascii="Times New Roman" w:hAnsi="Times New Roman" w:cs="Times New Roman"/>
                <w:color w:val="auto"/>
                <w:sz w:val="24"/>
                <w:highlight w:val="none"/>
                <w:lang w:val="en-US" w:eastAsia="zh-CN"/>
              </w:rPr>
              <w:t>28</w:t>
            </w:r>
            <w:r>
              <w:rPr>
                <w:rFonts w:hint="default" w:ascii="Times New Roman" w:hAnsi="Times New Roman" w:cs="Times New Roman"/>
                <w:color w:val="auto"/>
                <w:sz w:val="24"/>
                <w:highlight w:val="none"/>
                <w:lang w:val="en-US" w:eastAsia="zh-CN"/>
              </w:rPr>
              <w:t>0天</w:t>
            </w:r>
            <w:r>
              <w:rPr>
                <w:rFonts w:hint="eastAsia" w:ascii="Times New Roman" w:hAnsi="Times New Roman" w:cs="Times New Roman"/>
                <w:color w:val="auto"/>
                <w:sz w:val="24"/>
                <w:highlight w:val="none"/>
                <w:lang w:val="en-US" w:eastAsia="zh-CN"/>
              </w:rPr>
              <w:t>。</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eastAsia" w:ascii="Times New Roman" w:hAnsi="Times New Roman" w:cs="Times New Roman"/>
                <w:b/>
                <w:bCs/>
                <w:color w:val="auto"/>
                <w:sz w:val="24"/>
                <w:highlight w:val="none"/>
                <w:lang w:val="en-US" w:eastAsia="zh-CN"/>
              </w:rPr>
            </w:pPr>
            <w:r>
              <w:rPr>
                <w:rFonts w:hint="eastAsia" w:cs="Times New Roman"/>
                <w:color w:val="auto"/>
                <w:sz w:val="24"/>
                <w:highlight w:val="none"/>
                <w:lang w:val="en-US" w:eastAsia="zh-CN"/>
              </w:rPr>
              <w:t>东莞锂威能源科技有限公司</w:t>
            </w:r>
            <w:r>
              <w:rPr>
                <w:rFonts w:hint="eastAsia" w:ascii="Times New Roman" w:hAnsi="Times New Roman" w:cs="Times New Roman"/>
                <w:color w:val="auto"/>
                <w:sz w:val="24"/>
                <w:highlight w:val="none"/>
                <w:lang w:val="en-US" w:eastAsia="zh-CN"/>
              </w:rPr>
              <w:t>所</w:t>
            </w:r>
            <w:r>
              <w:rPr>
                <w:rFonts w:hint="default" w:ascii="Times New Roman" w:hAnsi="Times New Roman" w:cs="Times New Roman"/>
                <w:color w:val="auto"/>
                <w:sz w:val="24"/>
                <w:highlight w:val="none"/>
              </w:rPr>
              <w:t>用原料跟项目情况</w:t>
            </w:r>
            <w:r>
              <w:rPr>
                <w:rFonts w:hint="default" w:ascii="Times New Roman" w:hAnsi="Times New Roman" w:cs="Times New Roman"/>
                <w:color w:val="auto"/>
                <w:sz w:val="24"/>
                <w:highlight w:val="none"/>
                <w:lang w:val="en-US" w:eastAsia="zh-CN"/>
              </w:rPr>
              <w:t>相似</w:t>
            </w:r>
            <w:r>
              <w:rPr>
                <w:rFonts w:hint="default" w:ascii="Times New Roman" w:hAnsi="Times New Roman" w:cs="Times New Roman"/>
                <w:color w:val="auto"/>
                <w:sz w:val="24"/>
                <w:highlight w:val="none"/>
              </w:rPr>
              <w:t>、所用设备相似，工艺基本跟本项目</w:t>
            </w:r>
            <w:r>
              <w:rPr>
                <w:rFonts w:hint="eastAsia" w:ascii="Times New Roman" w:hAnsi="Times New Roman" w:cs="Times New Roman"/>
                <w:color w:val="auto"/>
                <w:sz w:val="24"/>
                <w:highlight w:val="none"/>
                <w:lang w:val="en-US" w:eastAsia="zh-CN"/>
              </w:rPr>
              <w:t>相似</w:t>
            </w:r>
            <w:r>
              <w:rPr>
                <w:rFonts w:hint="default" w:ascii="Times New Roman" w:hAnsi="Times New Roman" w:cs="Times New Roman"/>
                <w:color w:val="auto"/>
                <w:sz w:val="24"/>
                <w:highlight w:val="none"/>
              </w:rPr>
              <w:t>。因此项目类比具有可行性，具体参数如下表。</w:t>
            </w:r>
          </w:p>
          <w:p>
            <w:pPr>
              <w:autoSpaceDE w:val="0"/>
              <w:autoSpaceDN w:val="0"/>
              <w:adjustRightInd w:val="0"/>
              <w:spacing w:line="360" w:lineRule="auto"/>
              <w:jc w:val="center"/>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表</w:t>
            </w:r>
            <w:r>
              <w:rPr>
                <w:rFonts w:hint="eastAsia" w:ascii="Times New Roman" w:hAnsi="Times New Roman" w:cs="Times New Roman"/>
                <w:b/>
                <w:bCs/>
                <w:color w:val="auto"/>
                <w:sz w:val="24"/>
                <w:highlight w:val="none"/>
                <w:lang w:val="en-US" w:eastAsia="zh-CN"/>
              </w:rPr>
              <w:t>4-4</w:t>
            </w:r>
            <w:r>
              <w:rPr>
                <w:rFonts w:hint="default" w:ascii="Times New Roman" w:hAnsi="Times New Roman" w:cs="Times New Roman"/>
                <w:b/>
                <w:bCs/>
                <w:color w:val="auto"/>
                <w:sz w:val="24"/>
                <w:highlight w:val="none"/>
              </w:rPr>
              <w:t xml:space="preserve"> 项目类比参数表</w:t>
            </w:r>
          </w:p>
          <w:tbl>
            <w:tblPr>
              <w:tblStyle w:val="3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3091"/>
              <w:gridCol w:w="2909"/>
              <w:gridCol w:w="1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9"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项目参数</w:t>
                  </w:r>
                </w:p>
              </w:tc>
              <w:tc>
                <w:tcPr>
                  <w:tcW w:w="1824"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lang w:val="en-US"/>
                    </w:rPr>
                  </w:pPr>
                  <w:r>
                    <w:rPr>
                      <w:rFonts w:hint="eastAsia" w:ascii="Times New Roman" w:hAnsi="Times New Roman" w:eastAsia="宋体" w:cs="Times New Roman"/>
                      <w:color w:val="auto"/>
                      <w:szCs w:val="21"/>
                      <w:highlight w:val="none"/>
                      <w:lang w:val="en-US" w:eastAsia="zh-CN"/>
                    </w:rPr>
                    <w:t>东莞锂威能源科技有限公司扩建项目</w:t>
                  </w:r>
                </w:p>
              </w:tc>
              <w:tc>
                <w:tcPr>
                  <w:tcW w:w="1717"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本项目</w:t>
                  </w:r>
                </w:p>
              </w:tc>
              <w:tc>
                <w:tcPr>
                  <w:tcW w:w="808"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类比可行性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9"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建设规模</w:t>
                  </w:r>
                </w:p>
              </w:tc>
              <w:tc>
                <w:tcPr>
                  <w:tcW w:w="1824"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锂离子电芯3600万Ah/年、锂离子电池1800万Ah/年、扣式锂电池1800万Ah/年</w:t>
                  </w:r>
                </w:p>
              </w:tc>
              <w:tc>
                <w:tcPr>
                  <w:tcW w:w="1717"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锂离子电池1200万Ah/年</w:t>
                  </w:r>
                </w:p>
              </w:tc>
              <w:tc>
                <w:tcPr>
                  <w:tcW w:w="808"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相似，具备可</w:t>
                  </w:r>
                  <w:r>
                    <w:rPr>
                      <w:rFonts w:hint="default" w:ascii="Times New Roman" w:hAnsi="Times New Roman" w:eastAsia="宋体" w:cs="Times New Roman"/>
                      <w:color w:val="auto"/>
                      <w:szCs w:val="21"/>
                      <w:highlight w:val="none"/>
                      <w:lang w:val="en-US" w:eastAsia="zh-CN"/>
                    </w:rPr>
                    <w:t>比</w:t>
                  </w:r>
                  <w:r>
                    <w:rPr>
                      <w:rFonts w:hint="default" w:ascii="Times New Roman" w:hAnsi="Times New Roman" w:eastAsia="宋体" w:cs="Times New Roman"/>
                      <w:color w:val="auto"/>
                      <w:szCs w:val="21"/>
                      <w:highlight w:val="none"/>
                    </w:rPr>
                    <w:t>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9"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rPr>
                    <w:t>原料</w:t>
                  </w:r>
                  <w:r>
                    <w:rPr>
                      <w:rFonts w:hint="default" w:ascii="Times New Roman" w:hAnsi="Times New Roman" w:eastAsia="宋体" w:cs="Times New Roman"/>
                      <w:color w:val="auto"/>
                      <w:szCs w:val="21"/>
                      <w:highlight w:val="none"/>
                      <w:lang w:val="en-US" w:eastAsia="zh-CN"/>
                    </w:rPr>
                    <w:t>种类</w:t>
                  </w:r>
                </w:p>
              </w:tc>
              <w:tc>
                <w:tcPr>
                  <w:tcW w:w="1824"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锰酸锂、钴酸锂、石墨、电解液、隔离膜、铜箔、铝箔、水性油墨、PVDF、SBR、CMC、去离子水、导电碳粉、NMP、极耳（铝条）</w:t>
                  </w:r>
                </w:p>
              </w:tc>
              <w:tc>
                <w:tcPr>
                  <w:tcW w:w="1717"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三元材料、锰酸锂、铝箔、铝极耳、NMP、PVDF、石墨、铜箔、镍极耳、纯水、SBR、SP炭黑、隔膜、电解液</w:t>
                  </w:r>
                </w:p>
              </w:tc>
              <w:tc>
                <w:tcPr>
                  <w:tcW w:w="808" w:type="pct"/>
                  <w:noWrap w:val="0"/>
                  <w:vAlign w:val="center"/>
                </w:tcPr>
                <w:p>
                  <w:pPr>
                    <w:autoSpaceDE w:val="0"/>
                    <w:autoSpaceDN w:val="0"/>
                    <w:adjustRightInd w:val="0"/>
                    <w:jc w:val="both"/>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lang w:val="en-US" w:eastAsia="zh-CN"/>
                    </w:rPr>
                    <w:t>相似</w:t>
                  </w:r>
                  <w:r>
                    <w:rPr>
                      <w:rFonts w:hint="default" w:ascii="Times New Roman" w:hAnsi="Times New Roman" w:eastAsia="宋体" w:cs="Times New Roman"/>
                      <w:color w:val="auto"/>
                      <w:szCs w:val="21"/>
                      <w:highlight w:val="none"/>
                    </w:rPr>
                    <w:t>，具备可比性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9"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主要生产设备</w:t>
                  </w:r>
                </w:p>
              </w:tc>
              <w:tc>
                <w:tcPr>
                  <w:tcW w:w="1824"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lang w:val="en-US"/>
                    </w:rPr>
                  </w:pPr>
                  <w:r>
                    <w:rPr>
                      <w:rFonts w:hint="eastAsia" w:cs="Times New Roman"/>
                      <w:color w:val="auto"/>
                      <w:szCs w:val="21"/>
                      <w:highlight w:val="none"/>
                      <w:lang w:val="en-US" w:eastAsia="zh-CN"/>
                    </w:rPr>
                    <w:t>搅拌机、涂布机、辊压机、分条机、点焊机、焊接机、制片机、卷绕机、顶侧封机、注液线等</w:t>
                  </w:r>
                </w:p>
              </w:tc>
              <w:tc>
                <w:tcPr>
                  <w:tcW w:w="1717"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搅拌机、涂布机、烤炉、辊压机、分条机、制片机、卷绕机、冲壳机、注液机、二封机等</w:t>
                  </w:r>
                </w:p>
              </w:tc>
              <w:tc>
                <w:tcPr>
                  <w:tcW w:w="808"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相似，具备可行性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49"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主要工艺</w:t>
                  </w:r>
                </w:p>
              </w:tc>
              <w:tc>
                <w:tcPr>
                  <w:tcW w:w="1824"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eastAsia" w:cs="Times New Roman"/>
                      <w:color w:val="auto"/>
                      <w:kern w:val="2"/>
                      <w:sz w:val="21"/>
                      <w:szCs w:val="21"/>
                      <w:highlight w:val="none"/>
                      <w:vertAlign w:val="baseline"/>
                      <w:lang w:val="en-US" w:eastAsia="zh-CN" w:bidi="ar-SA"/>
                    </w:rPr>
                    <w:t>搅拌</w:t>
                  </w:r>
                  <w:r>
                    <w:rPr>
                      <w:rFonts w:hint="default" w:ascii="Times New Roman" w:hAnsi="Times New Roman" w:cs="Times New Roman"/>
                      <w:color w:val="auto"/>
                      <w:kern w:val="2"/>
                      <w:sz w:val="21"/>
                      <w:szCs w:val="21"/>
                      <w:highlight w:val="none"/>
                      <w:vertAlign w:val="baseline"/>
                      <w:lang w:val="en-US" w:eastAsia="zh-CN" w:bidi="ar-SA"/>
                    </w:rPr>
                    <w:t>-涂布</w:t>
                  </w:r>
                  <w:r>
                    <w:rPr>
                      <w:rFonts w:hint="eastAsia" w:cs="Times New Roman"/>
                      <w:color w:val="auto"/>
                      <w:kern w:val="2"/>
                      <w:sz w:val="21"/>
                      <w:szCs w:val="21"/>
                      <w:highlight w:val="none"/>
                      <w:vertAlign w:val="baseline"/>
                      <w:lang w:val="en-US" w:eastAsia="zh-CN" w:bidi="ar-SA"/>
                    </w:rPr>
                    <w:t>烘干</w:t>
                  </w:r>
                  <w:r>
                    <w:rPr>
                      <w:rFonts w:hint="default" w:ascii="Times New Roman" w:hAnsi="Times New Roman" w:cs="Times New Roman"/>
                      <w:color w:val="auto"/>
                      <w:kern w:val="2"/>
                      <w:sz w:val="21"/>
                      <w:szCs w:val="21"/>
                      <w:highlight w:val="none"/>
                      <w:vertAlign w:val="baseline"/>
                      <w:lang w:val="en-US" w:eastAsia="zh-CN" w:bidi="ar-SA"/>
                    </w:rPr>
                    <w:t>-</w:t>
                  </w:r>
                  <w:r>
                    <w:rPr>
                      <w:rFonts w:hint="eastAsia" w:cs="Times New Roman"/>
                      <w:color w:val="auto"/>
                      <w:kern w:val="2"/>
                      <w:sz w:val="21"/>
                      <w:szCs w:val="21"/>
                      <w:highlight w:val="none"/>
                      <w:vertAlign w:val="baseline"/>
                      <w:lang w:val="en-US" w:eastAsia="zh-CN" w:bidi="ar-SA"/>
                    </w:rPr>
                    <w:t>辊压</w:t>
                  </w:r>
                  <w:r>
                    <w:rPr>
                      <w:rFonts w:hint="default" w:ascii="Times New Roman" w:hAnsi="Times New Roman" w:cs="Times New Roman"/>
                      <w:color w:val="auto"/>
                      <w:kern w:val="2"/>
                      <w:sz w:val="21"/>
                      <w:szCs w:val="21"/>
                      <w:highlight w:val="none"/>
                      <w:vertAlign w:val="baseline"/>
                      <w:lang w:val="en-US" w:eastAsia="zh-CN" w:bidi="ar-SA"/>
                    </w:rPr>
                    <w:t>-分条-</w:t>
                  </w:r>
                  <w:r>
                    <w:rPr>
                      <w:rFonts w:hint="eastAsia" w:cs="Times New Roman"/>
                      <w:color w:val="auto"/>
                      <w:kern w:val="2"/>
                      <w:sz w:val="21"/>
                      <w:szCs w:val="21"/>
                      <w:highlight w:val="none"/>
                      <w:vertAlign w:val="baseline"/>
                      <w:lang w:val="en-US" w:eastAsia="zh-CN" w:bidi="ar-SA"/>
                    </w:rPr>
                    <w:t>制片</w:t>
                  </w:r>
                  <w:r>
                    <w:rPr>
                      <w:rFonts w:hint="default" w:ascii="Times New Roman" w:hAnsi="Times New Roman" w:cs="Times New Roman"/>
                      <w:color w:val="auto"/>
                      <w:kern w:val="2"/>
                      <w:sz w:val="21"/>
                      <w:szCs w:val="21"/>
                      <w:highlight w:val="none"/>
                      <w:vertAlign w:val="baseline"/>
                      <w:lang w:val="en-US" w:eastAsia="zh-CN" w:bidi="ar-SA"/>
                    </w:rPr>
                    <w:t>-</w:t>
                  </w:r>
                  <w:r>
                    <w:rPr>
                      <w:rFonts w:hint="eastAsia" w:cs="Times New Roman"/>
                      <w:color w:val="auto"/>
                      <w:kern w:val="2"/>
                      <w:sz w:val="21"/>
                      <w:szCs w:val="21"/>
                      <w:highlight w:val="none"/>
                      <w:vertAlign w:val="baseline"/>
                      <w:lang w:val="en-US" w:eastAsia="zh-CN" w:bidi="ar-SA"/>
                    </w:rPr>
                    <w:t>卷绕-冷压-X-ray检测-顶侧封-喷码-贴膜-注液-热压冷处理-化成-老化-烘烤-二封-分容-检验-焊接-清洗烘烤-检测</w:t>
                  </w:r>
                </w:p>
              </w:tc>
              <w:tc>
                <w:tcPr>
                  <w:tcW w:w="1717"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配料-涂布-辊压-分条-制片-卷绕-冲壳-烘烤-注液、封口-高温静置-化成-二封-老化测试-分容-分选包容</w:t>
                  </w:r>
                </w:p>
              </w:tc>
              <w:tc>
                <w:tcPr>
                  <w:tcW w:w="808" w:type="pct"/>
                  <w:noWrap w:val="0"/>
                  <w:vAlign w:val="center"/>
                </w:tcPr>
                <w:p>
                  <w:pPr>
                    <w:autoSpaceDE w:val="0"/>
                    <w:autoSpaceDN w:val="0"/>
                    <w:adjustRightInd w:val="0"/>
                    <w:jc w:val="center"/>
                    <w:rPr>
                      <w:rFonts w:hint="default"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lang w:val="en-US" w:eastAsia="zh-CN"/>
                    </w:rPr>
                    <w:t>相似</w:t>
                  </w:r>
                  <w:r>
                    <w:rPr>
                      <w:rFonts w:hint="default" w:ascii="Times New Roman" w:hAnsi="Times New Roman" w:eastAsia="宋体" w:cs="Times New Roman"/>
                      <w:color w:val="auto"/>
                      <w:szCs w:val="21"/>
                      <w:highlight w:val="none"/>
                    </w:rPr>
                    <w:t>，具备可比性</w:t>
                  </w:r>
                </w:p>
              </w:tc>
            </w:tr>
          </w:tbl>
          <w:p>
            <w:pPr>
              <w:adjustRightInd w:val="0"/>
              <w:snapToGrid w:val="0"/>
              <w:spacing w:line="360" w:lineRule="auto"/>
              <w:ind w:firstLine="482" w:firstLineChars="200"/>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w:t>
            </w:r>
            <w:r>
              <w:rPr>
                <w:rFonts w:hint="eastAsia" w:ascii="Times New Roman" w:hAnsi="Times New Roman" w:cs="Times New Roman"/>
                <w:b/>
                <w:bCs/>
                <w:color w:val="auto"/>
                <w:sz w:val="24"/>
                <w:lang w:val="en-US" w:eastAsia="zh-CN"/>
              </w:rPr>
              <w:t>6</w:t>
            </w:r>
            <w:r>
              <w:rPr>
                <w:rFonts w:hint="default" w:ascii="Times New Roman" w:hAnsi="Times New Roman" w:cs="Times New Roman"/>
                <w:b/>
                <w:bCs/>
                <w:color w:val="auto"/>
                <w:sz w:val="24"/>
              </w:rPr>
              <w:t xml:space="preserve"> 各工序废气产生源强汇总表</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9"/>
              <w:gridCol w:w="3032"/>
              <w:gridCol w:w="1528"/>
              <w:gridCol w:w="1318"/>
              <w:gridCol w:w="1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1790"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产污工序</w:t>
                  </w:r>
                </w:p>
              </w:tc>
              <w:tc>
                <w:tcPr>
                  <w:tcW w:w="902"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778"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产生量（t/a）</w:t>
                  </w:r>
                </w:p>
              </w:tc>
              <w:tc>
                <w:tcPr>
                  <w:tcW w:w="950"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核算方法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vMerge w:val="restar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1790" w:type="pct"/>
                  <w:vMerge w:val="restar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投料工序</w:t>
                  </w:r>
                </w:p>
              </w:tc>
              <w:tc>
                <w:tcPr>
                  <w:tcW w:w="902"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颗粒物</w:t>
                  </w:r>
                </w:p>
              </w:tc>
              <w:tc>
                <w:tcPr>
                  <w:tcW w:w="77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0.0</w:t>
                  </w:r>
                  <w:r>
                    <w:rPr>
                      <w:rFonts w:hint="default" w:ascii="Times New Roman" w:hAnsi="Times New Roman" w:cs="Times New Roman"/>
                      <w:color w:val="auto"/>
                      <w:szCs w:val="21"/>
                      <w:lang w:val="en-US" w:eastAsia="zh-CN"/>
                    </w:rPr>
                    <w:t>17</w:t>
                  </w:r>
                </w:p>
              </w:tc>
              <w:tc>
                <w:tcPr>
                  <w:tcW w:w="950"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产污系数法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vMerge w:val="continue"/>
                  <w:noWrap w:val="0"/>
                  <w:vAlign w:val="center"/>
                </w:tcPr>
                <w:p>
                  <w:pPr>
                    <w:adjustRightInd w:val="0"/>
                    <w:snapToGrid w:val="0"/>
                    <w:jc w:val="center"/>
                    <w:rPr>
                      <w:rFonts w:hint="default" w:ascii="Times New Roman" w:hAnsi="Times New Roman" w:cs="Times New Roman"/>
                      <w:color w:val="auto"/>
                      <w:szCs w:val="21"/>
                    </w:rPr>
                  </w:pPr>
                </w:p>
              </w:tc>
              <w:tc>
                <w:tcPr>
                  <w:tcW w:w="1790" w:type="pct"/>
                  <w:vMerge w:val="continue"/>
                  <w:noWrap w:val="0"/>
                  <w:vAlign w:val="center"/>
                </w:tcPr>
                <w:p>
                  <w:pPr>
                    <w:adjustRightInd w:val="0"/>
                    <w:snapToGrid w:val="0"/>
                    <w:jc w:val="center"/>
                    <w:rPr>
                      <w:rFonts w:hint="default" w:ascii="Times New Roman" w:hAnsi="Times New Roman" w:cs="Times New Roman"/>
                      <w:color w:val="auto"/>
                      <w:szCs w:val="21"/>
                      <w:lang w:val="en-US" w:eastAsia="zh-CN"/>
                    </w:rPr>
                  </w:pPr>
                </w:p>
              </w:tc>
              <w:tc>
                <w:tcPr>
                  <w:tcW w:w="902"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碳黑</w:t>
                  </w:r>
                </w:p>
              </w:tc>
              <w:tc>
                <w:tcPr>
                  <w:tcW w:w="77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0.0004</w:t>
                  </w:r>
                </w:p>
              </w:tc>
              <w:tc>
                <w:tcPr>
                  <w:tcW w:w="950"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产污系数法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noWrap w:val="0"/>
                  <w:vAlign w:val="center"/>
                </w:tcPr>
                <w:p>
                  <w:pPr>
                    <w:adjustRightInd w:val="0"/>
                    <w:snapToGrid w:val="0"/>
                    <w:jc w:val="center"/>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w:t>
                  </w:r>
                </w:p>
              </w:tc>
              <w:tc>
                <w:tcPr>
                  <w:tcW w:w="1790"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涂布</w:t>
                  </w:r>
                  <w:r>
                    <w:rPr>
                      <w:rFonts w:hint="eastAsia" w:ascii="Times New Roman" w:hAnsi="Times New Roman" w:cs="Times New Roman"/>
                      <w:color w:val="auto"/>
                      <w:szCs w:val="21"/>
                      <w:lang w:val="en-US" w:eastAsia="zh-CN"/>
                    </w:rPr>
                    <w:t>工序</w:t>
                  </w:r>
                </w:p>
              </w:tc>
              <w:tc>
                <w:tcPr>
                  <w:tcW w:w="902"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非甲烷总烃</w:t>
                  </w:r>
                </w:p>
              </w:tc>
              <w:tc>
                <w:tcPr>
                  <w:tcW w:w="77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0.174</w:t>
                  </w:r>
                </w:p>
              </w:tc>
              <w:tc>
                <w:tcPr>
                  <w:tcW w:w="950"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产污系数法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noWrap w:val="0"/>
                  <w:vAlign w:val="center"/>
                </w:tcPr>
                <w:p>
                  <w:pPr>
                    <w:adjustRightInd w:val="0"/>
                    <w:snapToGrid w:val="0"/>
                    <w:jc w:val="center"/>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lang w:val="en-US" w:eastAsia="zh-CN"/>
                    </w:rPr>
                    <w:t>3</w:t>
                  </w:r>
                </w:p>
              </w:tc>
              <w:tc>
                <w:tcPr>
                  <w:tcW w:w="1790"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烘干工序的初、中段</w:t>
                  </w:r>
                </w:p>
              </w:tc>
              <w:tc>
                <w:tcPr>
                  <w:tcW w:w="902" w:type="pct"/>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非甲烷总烃</w:t>
                  </w:r>
                </w:p>
              </w:tc>
              <w:tc>
                <w:tcPr>
                  <w:tcW w:w="77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16.379</w:t>
                  </w:r>
                </w:p>
              </w:tc>
              <w:tc>
                <w:tcPr>
                  <w:tcW w:w="950"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产污系数法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78" w:type="pct"/>
                  <w:noWrap w:val="0"/>
                  <w:vAlign w:val="center"/>
                </w:tcPr>
                <w:p>
                  <w:pPr>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szCs w:val="21"/>
                      <w:lang w:val="en-US" w:eastAsia="zh-CN"/>
                    </w:rPr>
                    <w:t>4</w:t>
                  </w:r>
                </w:p>
              </w:tc>
              <w:tc>
                <w:tcPr>
                  <w:tcW w:w="1790"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烘干工序的尾段</w:t>
                  </w:r>
                </w:p>
              </w:tc>
              <w:tc>
                <w:tcPr>
                  <w:tcW w:w="902"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非甲烷总烃</w:t>
                  </w:r>
                </w:p>
              </w:tc>
              <w:tc>
                <w:tcPr>
                  <w:tcW w:w="778"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0.871</w:t>
                  </w:r>
                </w:p>
              </w:tc>
              <w:tc>
                <w:tcPr>
                  <w:tcW w:w="950"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产污系数法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8" w:type="pct"/>
                  <w:noWrap w:val="0"/>
                  <w:vAlign w:val="center"/>
                </w:tcPr>
                <w:p>
                  <w:pPr>
                    <w:adjustRightInd w:val="0"/>
                    <w:snapToGrid w:val="0"/>
                    <w:jc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szCs w:val="21"/>
                      <w:lang w:val="en-US" w:eastAsia="zh-CN"/>
                    </w:rPr>
                    <w:t>5</w:t>
                  </w:r>
                </w:p>
              </w:tc>
              <w:tc>
                <w:tcPr>
                  <w:tcW w:w="1790"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注液</w:t>
                  </w:r>
                  <w:r>
                    <w:rPr>
                      <w:rFonts w:hint="eastAsia" w:cs="Times New Roman"/>
                      <w:color w:val="auto"/>
                      <w:szCs w:val="21"/>
                      <w:lang w:val="en-US" w:eastAsia="zh-CN"/>
                    </w:rPr>
                    <w:t>、二封</w:t>
                  </w:r>
                  <w:r>
                    <w:rPr>
                      <w:rFonts w:hint="default" w:ascii="Times New Roman" w:hAnsi="Times New Roman" w:cs="Times New Roman"/>
                      <w:color w:val="auto"/>
                      <w:szCs w:val="21"/>
                      <w:lang w:val="en-US" w:eastAsia="zh-CN"/>
                    </w:rPr>
                    <w:t>工序</w:t>
                  </w:r>
                </w:p>
              </w:tc>
              <w:tc>
                <w:tcPr>
                  <w:tcW w:w="902"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非甲烷总烃</w:t>
                  </w:r>
                </w:p>
              </w:tc>
              <w:tc>
                <w:tcPr>
                  <w:tcW w:w="77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0.00</w:t>
                  </w:r>
                  <w:r>
                    <w:rPr>
                      <w:rFonts w:hint="eastAsia" w:cs="Times New Roman"/>
                      <w:color w:val="auto"/>
                      <w:szCs w:val="21"/>
                      <w:lang w:val="en-US" w:eastAsia="zh-CN"/>
                    </w:rPr>
                    <w:t>21</w:t>
                  </w:r>
                </w:p>
              </w:tc>
              <w:tc>
                <w:tcPr>
                  <w:tcW w:w="950" w:type="pct"/>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类比法</w:t>
                  </w:r>
                </w:p>
              </w:tc>
            </w:tr>
          </w:tbl>
          <w:p>
            <w:pPr>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4.2.1.</w:t>
            </w:r>
            <w:r>
              <w:rPr>
                <w:rFonts w:hint="default"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rPr>
              <w:t>废气源强核算</w:t>
            </w:r>
          </w:p>
          <w:p>
            <w:pPr>
              <w:spacing w:line="360" w:lineRule="auto"/>
              <w:ind w:firstLine="480" w:firstLineChars="200"/>
              <w:rPr>
                <w:rFonts w:hint="default" w:ascii="Times New Roman" w:hAnsi="Times New Roman" w:cs="Times New Roman"/>
                <w:color w:val="auto"/>
                <w:sz w:val="24"/>
                <w:lang w:val="en-US"/>
              </w:rPr>
            </w:pPr>
            <w:r>
              <w:rPr>
                <w:rFonts w:hint="default" w:ascii="Times New Roman" w:hAnsi="Times New Roman" w:cs="Times New Roman"/>
                <w:color w:val="auto"/>
                <w:sz w:val="24"/>
              </w:rPr>
              <w:t>项目</w:t>
            </w:r>
            <w:r>
              <w:rPr>
                <w:rFonts w:hint="default" w:ascii="Times New Roman" w:hAnsi="Times New Roman" w:cs="Times New Roman"/>
                <w:color w:val="auto"/>
                <w:sz w:val="24"/>
                <w:lang w:val="en-US" w:eastAsia="zh-CN"/>
              </w:rPr>
              <w:t>拟将烘干工序的初段与中段产生废气经冷凝装置处理后；再与</w:t>
            </w:r>
            <w:r>
              <w:rPr>
                <w:rFonts w:hint="eastAsia" w:ascii="Times New Roman" w:hAnsi="Times New Roman" w:cs="Times New Roman"/>
                <w:color w:val="auto"/>
                <w:sz w:val="24"/>
                <w:lang w:val="en-US" w:eastAsia="zh-CN"/>
              </w:rPr>
              <w:t>投料、</w:t>
            </w:r>
            <w:r>
              <w:rPr>
                <w:rFonts w:hint="default" w:ascii="Times New Roman" w:hAnsi="Times New Roman" w:cs="Times New Roman"/>
                <w:color w:val="auto"/>
                <w:sz w:val="24"/>
                <w:lang w:val="en-US" w:eastAsia="zh-CN"/>
              </w:rPr>
              <w:t>涂布、烘干工序的尾段、注液工序、二封工序产生的有机废气一同汇入集气干管，经“</w:t>
            </w:r>
            <w:r>
              <w:rPr>
                <w:rFonts w:hint="eastAsia" w:ascii="Times New Roman" w:hAnsi="Times New Roman" w:cs="Times New Roman"/>
                <w:color w:val="auto"/>
                <w:sz w:val="24"/>
                <w:lang w:val="en-US" w:eastAsia="zh-CN"/>
              </w:rPr>
              <w:t>布袋除尘器+</w:t>
            </w:r>
            <w:r>
              <w:rPr>
                <w:rFonts w:hint="default" w:ascii="Times New Roman" w:hAnsi="Times New Roman" w:cs="Times New Roman"/>
                <w:color w:val="auto"/>
                <w:sz w:val="24"/>
                <w:lang w:val="en-US" w:eastAsia="zh-CN"/>
              </w:rPr>
              <w:t>二级活性炭吸附装置”处理后由排气筒DA001排放。</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1、风量计算</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（1）</w:t>
            </w:r>
            <w:r>
              <w:rPr>
                <w:rFonts w:hint="eastAsia" w:ascii="Times New Roman" w:hAnsi="Times New Roman" w:eastAsia="宋体" w:cs="Times New Roman"/>
                <w:b/>
                <w:bCs/>
                <w:color w:val="auto"/>
                <w:sz w:val="24"/>
                <w:szCs w:val="24"/>
                <w:vertAlign w:val="baseline"/>
                <w:lang w:val="en-US" w:eastAsia="zh-CN"/>
              </w:rPr>
              <w:t>投料工序</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结合车间产污工段的规格大小和参照根据《环境工程设计手册 废气卷》中的集气罩风量核算公式。</w:t>
            </w:r>
          </w:p>
          <w:p>
            <w:pPr>
              <w:pStyle w:val="113"/>
              <w:adjustRightInd w:val="0"/>
              <w:snapToGrid w:val="0"/>
              <w:spacing w:line="360" w:lineRule="auto"/>
              <w:jc w:val="center"/>
              <w:rPr>
                <w:rFonts w:hint="default" w:ascii="Times New Roman" w:hAnsi="Times New Roman" w:cs="Times New Roman"/>
                <w:color w:val="auto"/>
              </w:rPr>
            </w:pPr>
            <w:r>
              <w:rPr>
                <w:rFonts w:hint="default" w:ascii="Times New Roman" w:hAnsi="Times New Roman" w:cs="Times New Roman"/>
                <w:color w:val="auto"/>
              </w:rPr>
              <w:t>L=3600（5X</w:t>
            </w:r>
            <w:r>
              <w:rPr>
                <w:rFonts w:hint="default" w:ascii="Times New Roman" w:hAnsi="Times New Roman" w:cs="Times New Roman"/>
                <w:color w:val="auto"/>
                <w:vertAlign w:val="superscript"/>
              </w:rPr>
              <w:t>2</w:t>
            </w:r>
            <w:r>
              <w:rPr>
                <w:rFonts w:hint="default" w:ascii="Times New Roman" w:hAnsi="Times New Roman" w:cs="Times New Roman"/>
                <w:color w:val="auto"/>
              </w:rPr>
              <w:t>+F）×Vx</w:t>
            </w:r>
          </w:p>
          <w:p>
            <w:pPr>
              <w:pStyle w:val="113"/>
              <w:adjustRightInd w:val="0"/>
              <w:snapToGrid w:val="0"/>
              <w:spacing w:line="360" w:lineRule="auto"/>
              <w:jc w:val="left"/>
              <w:rPr>
                <w:rFonts w:hint="default" w:ascii="Times New Roman" w:hAnsi="Times New Roman" w:cs="Times New Roman"/>
                <w:color w:val="auto"/>
              </w:rPr>
            </w:pPr>
            <w:r>
              <w:rPr>
                <w:rFonts w:hint="default" w:ascii="Times New Roman" w:hAnsi="Times New Roman" w:cs="Times New Roman"/>
                <w:color w:val="auto"/>
              </w:rPr>
              <w:t>其中：</w:t>
            </w:r>
          </w:p>
          <w:p>
            <w:pPr>
              <w:pStyle w:val="113"/>
              <w:adjustRightInd w:val="0"/>
              <w:snapToGrid w:val="0"/>
              <w:spacing w:line="360" w:lineRule="auto"/>
              <w:jc w:val="left"/>
              <w:rPr>
                <w:rFonts w:hint="default" w:ascii="Times New Roman" w:hAnsi="Times New Roman" w:cs="Times New Roman"/>
                <w:color w:val="auto"/>
              </w:rPr>
            </w:pPr>
            <w:r>
              <w:rPr>
                <w:rFonts w:hint="default" w:ascii="Times New Roman" w:hAnsi="Times New Roman" w:cs="Times New Roman"/>
                <w:color w:val="auto"/>
              </w:rPr>
              <w:t>X----集气罩至污染源的距离；</w:t>
            </w:r>
          </w:p>
          <w:p>
            <w:pPr>
              <w:pStyle w:val="113"/>
              <w:numPr>
                <w:ilvl w:val="0"/>
                <w:numId w:val="4"/>
              </w:numPr>
              <w:adjustRightInd w:val="0"/>
              <w:snapToGrid w:val="0"/>
              <w:spacing w:line="360" w:lineRule="auto"/>
              <w:jc w:val="left"/>
              <w:rPr>
                <w:rFonts w:hint="default" w:ascii="Times New Roman" w:hAnsi="Times New Roman" w:cs="Times New Roman"/>
                <w:color w:val="auto"/>
              </w:rPr>
            </w:pPr>
            <w:r>
              <w:rPr>
                <w:rFonts w:hint="default" w:ascii="Times New Roman" w:hAnsi="Times New Roman" w:cs="Times New Roman"/>
                <w:color w:val="auto"/>
              </w:rPr>
              <w:t>---集气罩口面积；</w:t>
            </w:r>
          </w:p>
          <w:p>
            <w:pPr>
              <w:pStyle w:val="113"/>
              <w:adjustRightInd w:val="0"/>
              <w:snapToGrid w:val="0"/>
              <w:spacing w:line="360" w:lineRule="auto"/>
              <w:jc w:val="left"/>
              <w:rPr>
                <w:rFonts w:hint="default" w:ascii="Times New Roman" w:hAnsi="Times New Roman" w:cs="Times New Roman"/>
                <w:color w:val="auto"/>
              </w:rPr>
            </w:pPr>
            <w:r>
              <w:rPr>
                <w:rFonts w:hint="default" w:ascii="Times New Roman" w:hAnsi="Times New Roman" w:cs="Times New Roman"/>
                <w:color w:val="auto"/>
              </w:rPr>
              <w:t>V</w:t>
            </w:r>
            <w:r>
              <w:rPr>
                <w:rFonts w:hint="default" w:ascii="Times New Roman" w:hAnsi="Times New Roman" w:cs="Times New Roman"/>
                <w:color w:val="auto"/>
                <w:vertAlign w:val="subscript"/>
              </w:rPr>
              <w:t>X</w:t>
            </w:r>
            <w:r>
              <w:rPr>
                <w:rFonts w:hint="default" w:ascii="Times New Roman" w:hAnsi="Times New Roman" w:cs="Times New Roman"/>
                <w:color w:val="auto"/>
              </w:rPr>
              <w:t>----集气罩罩面控制风速，（取0.5m/s）。</w:t>
            </w:r>
          </w:p>
          <w:p>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表4-</w:t>
            </w:r>
            <w:r>
              <w:rPr>
                <w:rFonts w:hint="eastAsia" w:ascii="Times New Roman" w:hAnsi="Times New Roman" w:cs="Times New Roman"/>
                <w:b/>
                <w:color w:val="auto"/>
                <w:sz w:val="24"/>
                <w:lang w:val="en-US" w:eastAsia="zh-CN"/>
              </w:rPr>
              <w:t>7</w:t>
            </w:r>
            <w:r>
              <w:rPr>
                <w:rFonts w:hint="default" w:ascii="Times New Roman" w:hAnsi="Times New Roman" w:cs="Times New Roman"/>
                <w:b/>
                <w:color w:val="auto"/>
                <w:sz w:val="24"/>
              </w:rPr>
              <w:t xml:space="preserve"> 集气罩设计参数一览表</w:t>
            </w:r>
          </w:p>
          <w:tbl>
            <w:tblPr>
              <w:tblStyle w:val="32"/>
              <w:tblW w:w="4997" w:type="pct"/>
              <w:tblInd w:w="0" w:type="dxa"/>
              <w:tblLayout w:type="fixed"/>
              <w:tblCellMar>
                <w:top w:w="0" w:type="dxa"/>
                <w:left w:w="0" w:type="dxa"/>
                <w:bottom w:w="0" w:type="dxa"/>
                <w:right w:w="0" w:type="dxa"/>
              </w:tblCellMar>
            </w:tblPr>
            <w:tblGrid>
              <w:gridCol w:w="550"/>
              <w:gridCol w:w="1320"/>
              <w:gridCol w:w="707"/>
              <w:gridCol w:w="1236"/>
              <w:gridCol w:w="868"/>
              <w:gridCol w:w="875"/>
              <w:gridCol w:w="858"/>
              <w:gridCol w:w="1056"/>
              <w:gridCol w:w="1004"/>
            </w:tblGrid>
            <w:tr>
              <w:tblPrEx>
                <w:tblCellMar>
                  <w:top w:w="0" w:type="dxa"/>
                  <w:left w:w="0" w:type="dxa"/>
                  <w:bottom w:w="0" w:type="dxa"/>
                  <w:right w:w="0" w:type="dxa"/>
                </w:tblCellMar>
              </w:tblPrEx>
              <w:trPr>
                <w:trHeight w:val="874" w:hRule="atLeast"/>
              </w:trPr>
              <w:tc>
                <w:tcPr>
                  <w:tcW w:w="325" w:type="pct"/>
                  <w:tcBorders>
                    <w:top w:val="single" w:color="auto" w:sz="8" w:space="0"/>
                    <w:left w:val="single" w:color="auto" w:sz="8" w:space="0"/>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序号</w:t>
                  </w:r>
                </w:p>
              </w:tc>
              <w:tc>
                <w:tcPr>
                  <w:tcW w:w="779"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污染源</w:t>
                  </w:r>
                </w:p>
              </w:tc>
              <w:tc>
                <w:tcPr>
                  <w:tcW w:w="417"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罩口距离x</w:t>
                  </w:r>
                  <w:r>
                    <w:rPr>
                      <w:rFonts w:hint="default" w:ascii="Times New Roman" w:hAnsi="Times New Roman" w:cs="Times New Roman"/>
                      <w:color w:val="auto"/>
                      <w:kern w:val="0"/>
                      <w:szCs w:val="21"/>
                      <w:lang w:bidi="ar"/>
                    </w:rPr>
                    <w:t xml:space="preserve"> （m</w:t>
                  </w:r>
                  <w:r>
                    <w:rPr>
                      <w:rStyle w:val="114"/>
                      <w:rFonts w:hint="default" w:ascii="Times New Roman" w:hAnsi="Times New Roman" w:cs="Times New Roman"/>
                      <w:color w:val="auto"/>
                      <w:lang w:bidi="ar"/>
                    </w:rPr>
                    <w:t>）</w:t>
                  </w:r>
                </w:p>
              </w:tc>
              <w:tc>
                <w:tcPr>
                  <w:tcW w:w="729"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b/>
                      <w:color w:val="auto"/>
                      <w:kern w:val="0"/>
                      <w:szCs w:val="21"/>
                      <w:lang w:val="en-US" w:eastAsia="zh-CN" w:bidi="ar"/>
                    </w:rPr>
                  </w:pPr>
                  <w:r>
                    <w:rPr>
                      <w:rFonts w:hint="default" w:ascii="Times New Roman" w:hAnsi="Times New Roman" w:cs="Times New Roman"/>
                      <w:b/>
                      <w:color w:val="auto"/>
                      <w:kern w:val="0"/>
                      <w:szCs w:val="21"/>
                      <w:lang w:val="en-US" w:eastAsia="zh-CN" w:bidi="ar"/>
                    </w:rPr>
                    <w:t>集气罩尺寸（m）</w:t>
                  </w:r>
                </w:p>
              </w:tc>
              <w:tc>
                <w:tcPr>
                  <w:tcW w:w="512"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罩口面积A</w:t>
                  </w:r>
                  <w:r>
                    <w:rPr>
                      <w:rFonts w:hint="default" w:ascii="Times New Roman" w:hAnsi="Times New Roman" w:cs="Times New Roman"/>
                      <w:color w:val="auto"/>
                      <w:kern w:val="0"/>
                      <w:szCs w:val="21"/>
                      <w:lang w:bidi="ar"/>
                    </w:rPr>
                    <w:t xml:space="preserve"> （m</w:t>
                  </w:r>
                  <w:r>
                    <w:rPr>
                      <w:rStyle w:val="115"/>
                      <w:rFonts w:hint="default" w:ascii="Times New Roman" w:hAnsi="Times New Roman" w:cs="Times New Roman"/>
                      <w:color w:val="auto"/>
                      <w:vertAlign w:val="superscript"/>
                      <w:lang w:bidi="ar"/>
                    </w:rPr>
                    <w:t>2</w:t>
                  </w:r>
                  <w:r>
                    <w:rPr>
                      <w:rFonts w:hint="default" w:ascii="Times New Roman" w:hAnsi="Times New Roman" w:cs="Times New Roman"/>
                      <w:color w:val="auto"/>
                      <w:kern w:val="0"/>
                      <w:szCs w:val="21"/>
                      <w:lang w:bidi="ar"/>
                    </w:rPr>
                    <w:t>）</w:t>
                  </w:r>
                </w:p>
              </w:tc>
              <w:tc>
                <w:tcPr>
                  <w:tcW w:w="516"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罩口数量（个）</w:t>
                  </w:r>
                </w:p>
              </w:tc>
              <w:tc>
                <w:tcPr>
                  <w:tcW w:w="506"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最小控制风速V</w:t>
                  </w:r>
                  <w:r>
                    <w:rPr>
                      <w:rStyle w:val="116"/>
                      <w:rFonts w:hint="default" w:ascii="Times New Roman" w:hAnsi="Times New Roman" w:cs="Times New Roman"/>
                      <w:color w:val="auto"/>
                      <w:vertAlign w:val="subscript"/>
                      <w:lang w:bidi="ar"/>
                    </w:rPr>
                    <w:t>x</w:t>
                  </w:r>
                  <w:r>
                    <w:rPr>
                      <w:rFonts w:hint="default" w:ascii="Times New Roman" w:hAnsi="Times New Roman" w:cs="Times New Roman"/>
                      <w:color w:val="auto"/>
                      <w:kern w:val="0"/>
                      <w:szCs w:val="21"/>
                      <w:lang w:bidi="ar"/>
                    </w:rPr>
                    <w:t xml:space="preserve"> （m/s</w:t>
                  </w:r>
                  <w:r>
                    <w:rPr>
                      <w:rStyle w:val="114"/>
                      <w:rFonts w:hint="default" w:ascii="Times New Roman" w:hAnsi="Times New Roman" w:cs="Times New Roman"/>
                      <w:color w:val="auto"/>
                      <w:lang w:bidi="ar"/>
                    </w:rPr>
                    <w:t>）</w:t>
                  </w:r>
                </w:p>
              </w:tc>
              <w:tc>
                <w:tcPr>
                  <w:tcW w:w="622"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单个排气罩</w:t>
                  </w:r>
                  <w:r>
                    <w:rPr>
                      <w:rStyle w:val="117"/>
                      <w:rFonts w:hint="default" w:ascii="Times New Roman" w:hAnsi="Times New Roman" w:cs="Times New Roman"/>
                      <w:color w:val="auto"/>
                      <w:lang w:bidi="ar"/>
                    </w:rPr>
                    <w:t>风量Q</w:t>
                  </w:r>
                  <w:r>
                    <w:rPr>
                      <w:rFonts w:hint="default" w:ascii="Times New Roman" w:hAnsi="Times New Roman" w:cs="Times New Roman"/>
                      <w:b/>
                      <w:color w:val="auto"/>
                      <w:kern w:val="0"/>
                      <w:szCs w:val="21"/>
                      <w:lang w:bidi="ar"/>
                    </w:rPr>
                    <w:t>（</w:t>
                  </w:r>
                  <w:r>
                    <w:rPr>
                      <w:rFonts w:hint="default" w:ascii="Times New Roman" w:hAnsi="Times New Roman" w:cs="Times New Roman"/>
                      <w:color w:val="auto"/>
                      <w:kern w:val="0"/>
                      <w:szCs w:val="21"/>
                      <w:lang w:bidi="ar"/>
                    </w:rPr>
                    <w:t>m</w:t>
                  </w:r>
                  <w:r>
                    <w:rPr>
                      <w:rStyle w:val="115"/>
                      <w:rFonts w:hint="default" w:ascii="Times New Roman" w:hAnsi="Times New Roman" w:cs="Times New Roman"/>
                      <w:color w:val="auto"/>
                      <w:vertAlign w:val="superscript"/>
                      <w:lang w:bidi="ar"/>
                    </w:rPr>
                    <w:t>3</w:t>
                  </w:r>
                  <w:r>
                    <w:rPr>
                      <w:rFonts w:hint="default" w:ascii="Times New Roman" w:hAnsi="Times New Roman" w:cs="Times New Roman"/>
                      <w:color w:val="auto"/>
                      <w:kern w:val="0"/>
                      <w:szCs w:val="21"/>
                      <w:lang w:bidi="ar"/>
                    </w:rPr>
                    <w:t>/h</w:t>
                  </w:r>
                  <w:r>
                    <w:rPr>
                      <w:rStyle w:val="117"/>
                      <w:rFonts w:hint="default" w:ascii="Times New Roman" w:hAnsi="Times New Roman" w:cs="Times New Roman"/>
                      <w:color w:val="auto"/>
                      <w:lang w:bidi="ar"/>
                    </w:rPr>
                    <w:t>）</w:t>
                  </w:r>
                </w:p>
              </w:tc>
              <w:tc>
                <w:tcPr>
                  <w:tcW w:w="592"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总风量（</w:t>
                  </w:r>
                  <w:r>
                    <w:rPr>
                      <w:rStyle w:val="117"/>
                      <w:rFonts w:hint="default" w:ascii="Times New Roman" w:hAnsi="Times New Roman" w:cs="Times New Roman"/>
                      <w:color w:val="auto"/>
                      <w:lang w:bidi="ar"/>
                    </w:rPr>
                    <w:t>m</w:t>
                  </w:r>
                  <w:r>
                    <w:rPr>
                      <w:rFonts w:hint="default" w:ascii="Times New Roman" w:hAnsi="Times New Roman" w:cs="Times New Roman"/>
                      <w:b/>
                      <w:color w:val="auto"/>
                      <w:kern w:val="0"/>
                      <w:szCs w:val="21"/>
                      <w:vertAlign w:val="superscript"/>
                      <w:lang w:bidi="ar"/>
                    </w:rPr>
                    <w:t>3</w:t>
                  </w:r>
                  <w:r>
                    <w:rPr>
                      <w:rStyle w:val="117"/>
                      <w:rFonts w:hint="default" w:ascii="Times New Roman" w:hAnsi="Times New Roman" w:cs="Times New Roman"/>
                      <w:color w:val="auto"/>
                      <w:lang w:bidi="ar"/>
                    </w:rPr>
                    <w:t>/h</w:t>
                  </w:r>
                  <w:r>
                    <w:rPr>
                      <w:rFonts w:hint="default" w:ascii="Times New Roman" w:hAnsi="Times New Roman" w:cs="Times New Roman"/>
                      <w:b/>
                      <w:color w:val="auto"/>
                      <w:kern w:val="0"/>
                      <w:szCs w:val="21"/>
                      <w:lang w:bidi="ar"/>
                    </w:rPr>
                    <w:t>）</w:t>
                  </w:r>
                </w:p>
              </w:tc>
            </w:tr>
            <w:tr>
              <w:tblPrEx>
                <w:tblCellMar>
                  <w:top w:w="0" w:type="dxa"/>
                  <w:left w:w="0" w:type="dxa"/>
                  <w:bottom w:w="0" w:type="dxa"/>
                  <w:right w:w="0" w:type="dxa"/>
                </w:tblCellMar>
              </w:tblPrEx>
              <w:trPr>
                <w:trHeight w:val="90" w:hRule="atLeast"/>
              </w:trPr>
              <w:tc>
                <w:tcPr>
                  <w:tcW w:w="325"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kern w:val="0"/>
                      <w:szCs w:val="21"/>
                      <w:lang w:val="en-US" w:eastAsia="zh-CN" w:bidi="ar"/>
                    </w:rPr>
                    <w:t>1</w:t>
                  </w:r>
                </w:p>
              </w:tc>
              <w:tc>
                <w:tcPr>
                  <w:tcW w:w="779"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搅拌</w:t>
                  </w:r>
                  <w:r>
                    <w:rPr>
                      <w:rFonts w:hint="default" w:ascii="Times New Roman" w:hAnsi="Times New Roman" w:cs="Times New Roman"/>
                      <w:color w:val="auto"/>
                      <w:szCs w:val="21"/>
                      <w:lang w:val="en-US" w:eastAsia="zh-CN"/>
                    </w:rPr>
                    <w:t>机</w:t>
                  </w:r>
                </w:p>
              </w:tc>
              <w:tc>
                <w:tcPr>
                  <w:tcW w:w="417"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eastAsia" w:ascii="Times New Roman" w:hAnsi="Times New Roman" w:eastAsia="宋体" w:cs="Times New Roman"/>
                      <w:color w:val="auto"/>
                      <w:szCs w:val="21"/>
                      <w:lang w:val="en-US" w:eastAsia="zh-CN"/>
                    </w:rPr>
                  </w:pPr>
                  <w:r>
                    <w:rPr>
                      <w:rFonts w:hint="default" w:ascii="Times New Roman" w:hAnsi="Times New Roman" w:cs="Times New Roman"/>
                      <w:color w:val="auto"/>
                      <w:szCs w:val="21"/>
                    </w:rPr>
                    <w:t>0.</w:t>
                  </w:r>
                  <w:r>
                    <w:rPr>
                      <w:rFonts w:hint="eastAsia" w:ascii="Times New Roman" w:hAnsi="Times New Roman" w:cs="Times New Roman"/>
                      <w:color w:val="auto"/>
                      <w:szCs w:val="21"/>
                      <w:lang w:val="en-US" w:eastAsia="zh-CN"/>
                    </w:rPr>
                    <w:t>3</w:t>
                  </w:r>
                </w:p>
              </w:tc>
              <w:tc>
                <w:tcPr>
                  <w:tcW w:w="729"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w:t>
                  </w:r>
                  <w:r>
                    <w:rPr>
                      <w:rFonts w:hint="eastAsia" w:ascii="Times New Roman" w:hAnsi="Times New Roman" w:cs="Times New Roman"/>
                      <w:color w:val="auto"/>
                      <w:szCs w:val="21"/>
                      <w:lang w:val="en-US" w:eastAsia="zh-CN"/>
                    </w:rPr>
                    <w:t>3</w:t>
                  </w:r>
                  <w:r>
                    <w:rPr>
                      <w:rFonts w:hint="default" w:ascii="Times New Roman" w:hAnsi="Times New Roman" w:cs="Times New Roman"/>
                      <w:color w:val="auto"/>
                      <w:szCs w:val="21"/>
                      <w:lang w:val="en-US" w:eastAsia="zh-CN"/>
                    </w:rPr>
                    <w:t>×0.</w:t>
                  </w:r>
                  <w:r>
                    <w:rPr>
                      <w:rFonts w:hint="eastAsia" w:ascii="Times New Roman" w:hAnsi="Times New Roman" w:cs="Times New Roman"/>
                      <w:color w:val="auto"/>
                      <w:szCs w:val="21"/>
                      <w:lang w:val="en-US" w:eastAsia="zh-CN"/>
                    </w:rPr>
                    <w:t>3</w:t>
                  </w:r>
                </w:p>
              </w:tc>
              <w:tc>
                <w:tcPr>
                  <w:tcW w:w="512"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0.</w:t>
                  </w:r>
                  <w:r>
                    <w:rPr>
                      <w:rFonts w:hint="eastAsia" w:ascii="Times New Roman" w:hAnsi="Times New Roman" w:cs="Times New Roman"/>
                      <w:color w:val="auto"/>
                      <w:szCs w:val="21"/>
                      <w:lang w:val="en-US" w:eastAsia="zh-CN"/>
                    </w:rPr>
                    <w:t>09</w:t>
                  </w:r>
                </w:p>
              </w:tc>
              <w:tc>
                <w:tcPr>
                  <w:tcW w:w="516"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w:t>
                  </w:r>
                </w:p>
              </w:tc>
              <w:tc>
                <w:tcPr>
                  <w:tcW w:w="506"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color w:val="auto"/>
                      <w:szCs w:val="21"/>
                    </w:rPr>
                  </w:pPr>
                  <w:r>
                    <w:rPr>
                      <w:rFonts w:hint="default" w:ascii="Times New Roman" w:hAnsi="Times New Roman" w:cs="Times New Roman"/>
                      <w:color w:val="auto"/>
                      <w:kern w:val="0"/>
                      <w:szCs w:val="21"/>
                      <w:lang w:bidi="ar"/>
                    </w:rPr>
                    <w:t>0.5</w:t>
                  </w:r>
                </w:p>
              </w:tc>
              <w:tc>
                <w:tcPr>
                  <w:tcW w:w="622"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972</w:t>
                  </w:r>
                </w:p>
              </w:tc>
              <w:tc>
                <w:tcPr>
                  <w:tcW w:w="592"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auto"/>
                      <w:szCs w:val="21"/>
                      <w:lang w:val="en-US"/>
                    </w:rPr>
                  </w:pPr>
                  <w:r>
                    <w:rPr>
                      <w:rFonts w:hint="eastAsia" w:ascii="Times New Roman" w:hAnsi="Times New Roman" w:eastAsia="宋体" w:cs="Times New Roman"/>
                      <w:i w:val="0"/>
                      <w:iCs w:val="0"/>
                      <w:color w:val="auto"/>
                      <w:kern w:val="0"/>
                      <w:sz w:val="21"/>
                      <w:szCs w:val="21"/>
                      <w:u w:val="none"/>
                      <w:lang w:val="en-US" w:eastAsia="zh-CN" w:bidi="ar"/>
                    </w:rPr>
                    <w:t>3888</w:t>
                  </w:r>
                </w:p>
              </w:tc>
            </w:tr>
            <w:tr>
              <w:tblPrEx>
                <w:tblCellMar>
                  <w:top w:w="0" w:type="dxa"/>
                  <w:left w:w="0" w:type="dxa"/>
                  <w:bottom w:w="0" w:type="dxa"/>
                  <w:right w:w="0" w:type="dxa"/>
                </w:tblCellMar>
              </w:tblPrEx>
              <w:trPr>
                <w:trHeight w:val="90" w:hRule="atLeast"/>
              </w:trPr>
              <w:tc>
                <w:tcPr>
                  <w:tcW w:w="4407" w:type="pct"/>
                  <w:gridSpan w:val="8"/>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合计</w:t>
                  </w:r>
                </w:p>
              </w:tc>
              <w:tc>
                <w:tcPr>
                  <w:tcW w:w="592"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3888</w:t>
                  </w:r>
                </w:p>
              </w:tc>
            </w:tr>
          </w:tbl>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bCs/>
                <w:color w:val="auto"/>
                <w:sz w:val="24"/>
                <w:szCs w:val="24"/>
                <w:vertAlign w:val="baseline"/>
                <w:lang w:val="en-US" w:eastAsia="zh-CN"/>
              </w:rPr>
            </w:pPr>
            <w:r>
              <w:rPr>
                <w:rFonts w:hint="eastAsia" w:cs="Times New Roman"/>
                <w:color w:val="auto"/>
                <w:sz w:val="24"/>
                <w:lang w:val="en-US" w:eastAsia="zh-CN"/>
              </w:rPr>
              <w:t>故</w:t>
            </w:r>
            <w:r>
              <w:rPr>
                <w:rFonts w:hint="eastAsia" w:ascii="Times New Roman" w:hAnsi="Times New Roman" w:cs="Times New Roman"/>
                <w:color w:val="auto"/>
                <w:sz w:val="24"/>
                <w:lang w:val="en-US" w:eastAsia="zh-CN"/>
              </w:rPr>
              <w:t>投料</w:t>
            </w:r>
            <w:r>
              <w:rPr>
                <w:rFonts w:hint="default" w:ascii="Times New Roman" w:hAnsi="Times New Roman" w:cs="Times New Roman"/>
                <w:color w:val="auto"/>
                <w:sz w:val="24"/>
                <w:lang w:val="en-US" w:eastAsia="zh-CN"/>
              </w:rPr>
              <w:t>工序的风量为</w:t>
            </w:r>
            <w:r>
              <w:rPr>
                <w:rFonts w:hint="eastAsia" w:ascii="Times New Roman" w:hAnsi="Times New Roman" w:cs="Times New Roman"/>
                <w:color w:val="auto"/>
                <w:sz w:val="24"/>
                <w:lang w:val="en-US" w:eastAsia="zh-CN"/>
              </w:rPr>
              <w:t>3888</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/h。</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vertAlign w:val="baseline"/>
                <w:lang w:val="en-US" w:eastAsia="zh-CN"/>
              </w:rPr>
            </w:pPr>
            <w:r>
              <w:rPr>
                <w:rFonts w:hint="eastAsia" w:ascii="Times New Roman" w:hAnsi="Times New Roman" w:eastAsia="宋体" w:cs="Times New Roman"/>
                <w:b/>
                <w:bCs/>
                <w:color w:val="auto"/>
                <w:sz w:val="24"/>
                <w:szCs w:val="24"/>
                <w:vertAlign w:val="baseline"/>
                <w:lang w:val="en-US" w:eastAsia="zh-CN"/>
              </w:rPr>
              <w:t>（2）正极</w:t>
            </w:r>
            <w:r>
              <w:rPr>
                <w:rFonts w:hint="default" w:ascii="Times New Roman" w:hAnsi="Times New Roman" w:eastAsia="宋体" w:cs="Times New Roman"/>
                <w:b/>
                <w:bCs/>
                <w:color w:val="auto"/>
                <w:sz w:val="24"/>
                <w:szCs w:val="24"/>
                <w:vertAlign w:val="baseline"/>
                <w:lang w:val="en-US" w:eastAsia="zh-CN"/>
              </w:rPr>
              <w:t>涂布工序</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val="0"/>
                <w:bCs w:val="0"/>
                <w:color w:val="auto"/>
                <w:sz w:val="24"/>
                <w:szCs w:val="24"/>
                <w:vertAlign w:val="baseline"/>
                <w:lang w:val="en-US" w:eastAsia="zh-CN"/>
              </w:rPr>
              <w:t>项目</w:t>
            </w:r>
            <w:r>
              <w:rPr>
                <w:rFonts w:hint="eastAsia" w:ascii="Times New Roman" w:hAnsi="Times New Roman" w:eastAsia="宋体" w:cs="Times New Roman"/>
                <w:b w:val="0"/>
                <w:bCs w:val="0"/>
                <w:color w:val="auto"/>
                <w:sz w:val="24"/>
                <w:szCs w:val="24"/>
                <w:vertAlign w:val="baseline"/>
                <w:lang w:val="en-US" w:eastAsia="zh-CN"/>
              </w:rPr>
              <w:t>正极</w:t>
            </w:r>
            <w:r>
              <w:rPr>
                <w:rFonts w:hint="default" w:ascii="Times New Roman" w:hAnsi="Times New Roman" w:eastAsia="宋体" w:cs="Times New Roman"/>
                <w:b w:val="0"/>
                <w:bCs w:val="0"/>
                <w:color w:val="auto"/>
                <w:sz w:val="24"/>
                <w:szCs w:val="24"/>
                <w:vertAlign w:val="baseline"/>
                <w:lang w:val="en-US" w:eastAsia="zh-CN"/>
              </w:rPr>
              <w:t>涂布车间为全密闭车间，</w:t>
            </w:r>
            <w:r>
              <w:rPr>
                <w:rFonts w:hint="default" w:ascii="Times New Roman" w:hAnsi="Times New Roman" w:eastAsia="宋体" w:cs="Times New Roman"/>
                <w:color w:val="auto"/>
                <w:sz w:val="24"/>
                <w:szCs w:val="24"/>
                <w:highlight w:val="none"/>
                <w:lang w:val="en-US" w:eastAsia="zh-CN"/>
              </w:rPr>
              <w:t>参考《废气处理工程技术手册》（王纯、张殷印主编，化学工业出版社，2013年1月第1版）中表17-1，涂装室的换气次数为20次/h。各种场合的换风次数见下表。</w:t>
            </w:r>
          </w:p>
          <w:p>
            <w:pPr>
              <w:widowControl/>
              <w:jc w:val="center"/>
              <w:rPr>
                <w:rFonts w:hint="default" w:ascii="Times New Roman" w:hAnsi="Times New Roman" w:cs="Times New Roman"/>
                <w:b/>
                <w:bCs/>
                <w:color w:val="auto"/>
                <w:sz w:val="24"/>
                <w:szCs w:val="24"/>
                <w:highlight w:val="none"/>
              </w:rPr>
            </w:pPr>
            <w:r>
              <w:rPr>
                <w:rFonts w:hint="default" w:ascii="Times New Roman" w:hAnsi="Times New Roman" w:cs="Times New Roman"/>
                <w:b/>
                <w:bCs/>
                <w:snapToGrid w:val="0"/>
                <w:color w:val="auto"/>
                <w:kern w:val="0"/>
                <w:sz w:val="24"/>
                <w:szCs w:val="24"/>
                <w:highlight w:val="none"/>
                <w:lang w:bidi="ar"/>
              </w:rPr>
              <w:t>表</w:t>
            </w:r>
            <w:r>
              <w:rPr>
                <w:rFonts w:hint="default" w:ascii="Times New Roman" w:hAnsi="Times New Roman" w:cs="Times New Roman"/>
                <w:b/>
                <w:bCs/>
                <w:color w:val="auto"/>
                <w:kern w:val="0"/>
                <w:sz w:val="24"/>
                <w:szCs w:val="24"/>
                <w:highlight w:val="none"/>
              </w:rPr>
              <w:t>4-</w:t>
            </w:r>
            <w:r>
              <w:rPr>
                <w:rFonts w:hint="eastAsia" w:ascii="Times New Roman" w:hAnsi="Times New Roman" w:cs="Times New Roman"/>
                <w:b/>
                <w:bCs/>
                <w:color w:val="auto"/>
                <w:kern w:val="0"/>
                <w:sz w:val="24"/>
                <w:szCs w:val="24"/>
                <w:highlight w:val="none"/>
                <w:lang w:val="en-US" w:eastAsia="zh-CN"/>
              </w:rPr>
              <w:t>8</w:t>
            </w:r>
            <w:r>
              <w:rPr>
                <w:rFonts w:hint="default" w:ascii="Times New Roman" w:hAnsi="Times New Roman" w:cs="Times New Roman"/>
                <w:b/>
                <w:bCs/>
                <w:snapToGrid w:val="0"/>
                <w:color w:val="auto"/>
                <w:kern w:val="0"/>
                <w:sz w:val="24"/>
                <w:szCs w:val="24"/>
                <w:highlight w:val="none"/>
                <w:lang w:bidi="ar"/>
              </w:rPr>
              <w:t xml:space="preserve"> </w:t>
            </w:r>
            <w:r>
              <w:rPr>
                <w:rFonts w:hint="default" w:ascii="Times New Roman" w:hAnsi="Times New Roman" w:cs="Times New Roman"/>
                <w:b/>
                <w:bCs/>
                <w:color w:val="auto"/>
                <w:sz w:val="24"/>
                <w:szCs w:val="24"/>
                <w:highlight w:val="none"/>
                <w:lang w:val="en-US" w:eastAsia="zh-CN"/>
              </w:rPr>
              <w:t>每小时各种场所换气次数</w:t>
            </w:r>
            <w:r>
              <w:rPr>
                <w:rFonts w:hint="default" w:ascii="Times New Roman" w:hAnsi="Times New Roman" w:cs="Times New Roman"/>
                <w:b/>
                <w:bCs/>
                <w:color w:val="auto"/>
                <w:sz w:val="24"/>
                <w:szCs w:val="24"/>
                <w:highlight w:val="none"/>
                <w:lang w:eastAsia="zh-CN"/>
              </w:rPr>
              <w:t>一览表（单位：次/h）</w:t>
            </w:r>
          </w:p>
          <w:tbl>
            <w:tblPr>
              <w:tblStyle w:val="32"/>
              <w:tblW w:w="4992" w:type="pct"/>
              <w:jc w:val="center"/>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6"/>
              <w:gridCol w:w="1084"/>
              <w:gridCol w:w="1057"/>
              <w:gridCol w:w="1304"/>
              <w:gridCol w:w="1404"/>
              <w:gridCol w:w="1750"/>
            </w:tblGrid>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738" w:type="pct"/>
                  <w:gridSpan w:val="2"/>
                  <w:noWrap w:val="0"/>
                  <w:vAlign w:val="center"/>
                </w:tcPr>
                <w:p>
                  <w:pPr>
                    <w:spacing w:line="240" w:lineRule="auto"/>
                    <w:jc w:val="center"/>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lang w:val="en-US" w:eastAsia="zh-CN"/>
                    </w:rPr>
                    <w:t>场所种类</w:t>
                  </w:r>
                </w:p>
              </w:tc>
              <w:tc>
                <w:tcPr>
                  <w:tcW w:w="625" w:type="pct"/>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次数</w:t>
                  </w:r>
                </w:p>
              </w:tc>
              <w:tc>
                <w:tcPr>
                  <w:tcW w:w="1601" w:type="pct"/>
                  <w:gridSpan w:val="2"/>
                  <w:noWrap w:val="0"/>
                  <w:vAlign w:val="center"/>
                </w:tcPr>
                <w:p>
                  <w:pPr>
                    <w:jc w:val="center"/>
                    <w:rPr>
                      <w:rFonts w:hint="default" w:ascii="Times New Roman" w:hAnsi="Times New Roman"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lang w:val="en-US" w:eastAsia="zh-CN"/>
                    </w:rPr>
                    <w:t>场所种类</w:t>
                  </w:r>
                </w:p>
              </w:tc>
              <w:tc>
                <w:tcPr>
                  <w:tcW w:w="1034" w:type="pct"/>
                  <w:noWrap w:val="0"/>
                  <w:vAlign w:val="center"/>
                </w:tcPr>
                <w:p>
                  <w:pPr>
                    <w:widowControl/>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次数</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97" w:type="pct"/>
                  <w:vMerge w:val="restart"/>
                  <w:noWrap w:val="0"/>
                  <w:vAlign w:val="center"/>
                </w:tcPr>
                <w:p>
                  <w:pPr>
                    <w:spacing w:line="240" w:lineRule="auto"/>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医院</w:t>
                  </w:r>
                </w:p>
              </w:tc>
              <w:tc>
                <w:tcPr>
                  <w:tcW w:w="641" w:type="pct"/>
                  <w:noWrap w:val="0"/>
                  <w:vAlign w:val="center"/>
                </w:tcPr>
                <w:p>
                  <w:pPr>
                    <w:spacing w:line="240" w:lineRule="auto"/>
                    <w:jc w:val="center"/>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rPr>
                    <w:t>诊疗室</w:t>
                  </w:r>
                </w:p>
              </w:tc>
              <w:tc>
                <w:tcPr>
                  <w:tcW w:w="625" w:type="pct"/>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6</w:t>
                  </w:r>
                </w:p>
              </w:tc>
              <w:tc>
                <w:tcPr>
                  <w:tcW w:w="771" w:type="pct"/>
                  <w:vMerge w:val="restart"/>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工厂</w:t>
                  </w:r>
                </w:p>
              </w:tc>
              <w:tc>
                <w:tcPr>
                  <w:tcW w:w="830" w:type="pct"/>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一般作业室</w:t>
                  </w:r>
                </w:p>
              </w:tc>
              <w:tc>
                <w:tcPr>
                  <w:tcW w:w="1034" w:type="pct"/>
                  <w:noWrap w:val="0"/>
                  <w:vAlign w:val="center"/>
                </w:tcPr>
                <w:p>
                  <w:pPr>
                    <w:widowControl/>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6</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097" w:type="pct"/>
                  <w:vMerge w:val="continue"/>
                  <w:noWrap w:val="0"/>
                  <w:vAlign w:val="center"/>
                </w:tcPr>
                <w:p>
                  <w:pPr>
                    <w:spacing w:line="240" w:lineRule="auto"/>
                    <w:jc w:val="center"/>
                    <w:rPr>
                      <w:rFonts w:hint="default" w:ascii="Times New Roman" w:hAnsi="Times New Roman" w:cs="Times New Roman"/>
                      <w:b w:val="0"/>
                      <w:bCs/>
                      <w:color w:val="auto"/>
                      <w:sz w:val="21"/>
                      <w:szCs w:val="21"/>
                      <w:highlight w:val="none"/>
                      <w:lang w:val="en-US" w:eastAsia="zh-CN"/>
                    </w:rPr>
                  </w:pPr>
                </w:p>
              </w:tc>
              <w:tc>
                <w:tcPr>
                  <w:tcW w:w="641" w:type="pct"/>
                  <w:noWrap w:val="0"/>
                  <w:vAlign w:val="center"/>
                </w:tcPr>
                <w:p>
                  <w:pPr>
                    <w:spacing w:line="240" w:lineRule="auto"/>
                    <w:jc w:val="center"/>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rPr>
                    <w:t>手术室</w:t>
                  </w:r>
                </w:p>
              </w:tc>
              <w:tc>
                <w:tcPr>
                  <w:tcW w:w="625" w:type="pct"/>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15</w:t>
                  </w:r>
                </w:p>
              </w:tc>
              <w:tc>
                <w:tcPr>
                  <w:tcW w:w="771" w:type="pct"/>
                  <w:vMerge w:val="continue"/>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p>
              </w:tc>
              <w:tc>
                <w:tcPr>
                  <w:tcW w:w="830" w:type="pct"/>
                  <w:noWrap w:val="0"/>
                  <w:vAlign w:val="center"/>
                </w:tcPr>
                <w:p>
                  <w:pPr>
                    <w:jc w:val="center"/>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rPr>
                    <w:t>涂装室</w:t>
                  </w:r>
                </w:p>
              </w:tc>
              <w:tc>
                <w:tcPr>
                  <w:tcW w:w="1034" w:type="pct"/>
                  <w:noWrap w:val="0"/>
                  <w:vAlign w:val="center"/>
                </w:tcPr>
                <w:p>
                  <w:pPr>
                    <w:widowControl/>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20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097" w:type="pct"/>
                  <w:vMerge w:val="continue"/>
                  <w:noWrap w:val="0"/>
                  <w:vAlign w:val="center"/>
                </w:tcPr>
                <w:p>
                  <w:pPr>
                    <w:spacing w:line="240" w:lineRule="auto"/>
                    <w:jc w:val="center"/>
                    <w:rPr>
                      <w:rFonts w:hint="default" w:ascii="Times New Roman" w:hAnsi="Times New Roman" w:cs="Times New Roman"/>
                      <w:b w:val="0"/>
                      <w:bCs/>
                      <w:color w:val="auto"/>
                      <w:sz w:val="21"/>
                      <w:szCs w:val="21"/>
                      <w:highlight w:val="none"/>
                      <w:lang w:val="en-US" w:eastAsia="zh-CN"/>
                    </w:rPr>
                  </w:pPr>
                </w:p>
              </w:tc>
              <w:tc>
                <w:tcPr>
                  <w:tcW w:w="641" w:type="pct"/>
                  <w:noWrap w:val="0"/>
                  <w:vAlign w:val="center"/>
                </w:tcPr>
                <w:p>
                  <w:pPr>
                    <w:spacing w:line="240" w:lineRule="auto"/>
                    <w:jc w:val="center"/>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rPr>
                    <w:t>消毒室</w:t>
                  </w:r>
                </w:p>
              </w:tc>
              <w:tc>
                <w:tcPr>
                  <w:tcW w:w="625" w:type="pct"/>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12</w:t>
                  </w:r>
                </w:p>
              </w:tc>
              <w:tc>
                <w:tcPr>
                  <w:tcW w:w="771" w:type="pct"/>
                  <w:vMerge w:val="continue"/>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p>
              </w:tc>
              <w:tc>
                <w:tcPr>
                  <w:tcW w:w="830" w:type="pct"/>
                  <w:noWrap w:val="0"/>
                  <w:vAlign w:val="center"/>
                </w:tcPr>
                <w:p>
                  <w:pPr>
                    <w:jc w:val="center"/>
                    <w:rPr>
                      <w:rFonts w:hint="default" w:ascii="Times New Roman" w:hAnsi="Times New Roman" w:cs="Times New Roman"/>
                      <w:b w:val="0"/>
                      <w:bCs/>
                      <w:color w:val="auto"/>
                      <w:sz w:val="21"/>
                      <w:szCs w:val="21"/>
                      <w:highlight w:val="none"/>
                    </w:rPr>
                  </w:pPr>
                  <w:r>
                    <w:rPr>
                      <w:rFonts w:hint="default" w:ascii="Times New Roman" w:hAnsi="Times New Roman" w:cs="Times New Roman"/>
                      <w:b w:val="0"/>
                      <w:bCs/>
                      <w:color w:val="auto"/>
                      <w:sz w:val="21"/>
                      <w:szCs w:val="21"/>
                      <w:highlight w:val="none"/>
                    </w:rPr>
                    <w:t>变电室</w:t>
                  </w:r>
                </w:p>
              </w:tc>
              <w:tc>
                <w:tcPr>
                  <w:tcW w:w="1034" w:type="pct"/>
                  <w:noWrap w:val="0"/>
                  <w:vAlign w:val="center"/>
                </w:tcPr>
                <w:p>
                  <w:pPr>
                    <w:widowControl/>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20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097" w:type="pct"/>
                  <w:vMerge w:val="restart"/>
                  <w:noWrap w:val="0"/>
                  <w:vAlign w:val="center"/>
                </w:tcPr>
                <w:p>
                  <w:pPr>
                    <w:spacing w:line="240" w:lineRule="auto"/>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学校</w:t>
                  </w:r>
                </w:p>
              </w:tc>
              <w:tc>
                <w:tcPr>
                  <w:tcW w:w="641" w:type="pct"/>
                  <w:noWrap w:val="0"/>
                  <w:vAlign w:val="center"/>
                </w:tcPr>
                <w:p>
                  <w:pPr>
                    <w:spacing w:line="240" w:lineRule="auto"/>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礼堂</w:t>
                  </w:r>
                </w:p>
              </w:tc>
              <w:tc>
                <w:tcPr>
                  <w:tcW w:w="625" w:type="pct"/>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6</w:t>
                  </w:r>
                </w:p>
              </w:tc>
              <w:tc>
                <w:tcPr>
                  <w:tcW w:w="1601" w:type="pct"/>
                  <w:gridSpan w:val="2"/>
                  <w:noWrap w:val="0"/>
                  <w:vAlign w:val="center"/>
                </w:tcPr>
                <w:p>
                  <w:pPr>
                    <w:jc w:val="center"/>
                    <w:rPr>
                      <w:rFonts w:hint="default" w:ascii="Times New Roman" w:hAnsi="Times New Roman"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lang w:val="en-US" w:eastAsia="zh-CN"/>
                    </w:rPr>
                    <w:t>放映室</w:t>
                  </w:r>
                </w:p>
              </w:tc>
              <w:tc>
                <w:tcPr>
                  <w:tcW w:w="1034" w:type="pct"/>
                  <w:noWrap w:val="0"/>
                  <w:vAlign w:val="center"/>
                </w:tcPr>
                <w:p>
                  <w:pPr>
                    <w:widowControl/>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15</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097" w:type="pct"/>
                  <w:vMerge w:val="continue"/>
                  <w:noWrap w:val="0"/>
                  <w:vAlign w:val="center"/>
                </w:tcPr>
                <w:p>
                  <w:pPr>
                    <w:spacing w:line="240" w:lineRule="auto"/>
                    <w:jc w:val="center"/>
                    <w:rPr>
                      <w:rFonts w:hint="default" w:ascii="Times New Roman" w:hAnsi="Times New Roman" w:cs="Times New Roman"/>
                      <w:b w:val="0"/>
                      <w:bCs/>
                      <w:color w:val="auto"/>
                      <w:sz w:val="21"/>
                      <w:szCs w:val="21"/>
                      <w:highlight w:val="none"/>
                      <w:lang w:val="en-US" w:eastAsia="zh-CN"/>
                    </w:rPr>
                  </w:pPr>
                </w:p>
              </w:tc>
              <w:tc>
                <w:tcPr>
                  <w:tcW w:w="641" w:type="pct"/>
                  <w:noWrap w:val="0"/>
                  <w:vAlign w:val="center"/>
                </w:tcPr>
                <w:p>
                  <w:pPr>
                    <w:spacing w:line="240" w:lineRule="auto"/>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教室</w:t>
                  </w:r>
                </w:p>
              </w:tc>
              <w:tc>
                <w:tcPr>
                  <w:tcW w:w="625" w:type="pct"/>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4~6</w:t>
                  </w:r>
                </w:p>
              </w:tc>
              <w:tc>
                <w:tcPr>
                  <w:tcW w:w="1601" w:type="pct"/>
                  <w:gridSpan w:val="2"/>
                  <w:noWrap w:val="0"/>
                  <w:vAlign w:val="center"/>
                </w:tcPr>
                <w:p>
                  <w:pPr>
                    <w:jc w:val="center"/>
                    <w:rPr>
                      <w:rFonts w:hint="default" w:ascii="Times New Roman" w:hAnsi="Times New Roman"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lang w:val="en-US" w:eastAsia="zh-CN"/>
                    </w:rPr>
                    <w:t>卫生间</w:t>
                  </w:r>
                </w:p>
              </w:tc>
              <w:tc>
                <w:tcPr>
                  <w:tcW w:w="1034" w:type="pct"/>
                  <w:noWrap w:val="0"/>
                  <w:vAlign w:val="center"/>
                </w:tcPr>
                <w:p>
                  <w:pPr>
                    <w:widowControl/>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10</w:t>
                  </w:r>
                </w:p>
              </w:tc>
            </w:tr>
            <w:tr>
              <w:tblPrEx>
                <w:tblBorders>
                  <w:top w:val="single" w:color="auto" w:sz="12" w:space="0"/>
                  <w:left w:val="single" w:color="auto" w:sz="4" w:space="0"/>
                  <w:bottom w:val="single" w:color="auto" w:sz="12"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 w:hRule="atLeast"/>
                <w:jc w:val="center"/>
              </w:trPr>
              <w:tc>
                <w:tcPr>
                  <w:tcW w:w="1097" w:type="pct"/>
                  <w:vMerge w:val="continue"/>
                  <w:noWrap w:val="0"/>
                  <w:vAlign w:val="center"/>
                </w:tcPr>
                <w:p>
                  <w:pPr>
                    <w:spacing w:line="240" w:lineRule="auto"/>
                    <w:jc w:val="center"/>
                    <w:rPr>
                      <w:rFonts w:hint="default" w:ascii="Times New Roman" w:hAnsi="Times New Roman" w:cs="Times New Roman"/>
                      <w:b w:val="0"/>
                      <w:bCs/>
                      <w:color w:val="auto"/>
                      <w:sz w:val="21"/>
                      <w:szCs w:val="21"/>
                      <w:highlight w:val="none"/>
                      <w:lang w:val="en-US" w:eastAsia="zh-CN"/>
                    </w:rPr>
                  </w:pPr>
                </w:p>
              </w:tc>
              <w:tc>
                <w:tcPr>
                  <w:tcW w:w="641" w:type="pct"/>
                  <w:noWrap w:val="0"/>
                  <w:vAlign w:val="center"/>
                </w:tcPr>
                <w:p>
                  <w:pPr>
                    <w:spacing w:line="240" w:lineRule="auto"/>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实验室</w:t>
                  </w:r>
                </w:p>
              </w:tc>
              <w:tc>
                <w:tcPr>
                  <w:tcW w:w="625" w:type="pct"/>
                  <w:noWrap w:val="0"/>
                  <w:vAlign w:val="center"/>
                </w:tcPr>
                <w:p>
                  <w:pPr>
                    <w:jc w:val="center"/>
                    <w:rPr>
                      <w:rFonts w:hint="default" w:ascii="Times New Roman" w:hAnsi="Times New Roman" w:eastAsia="宋体" w:cs="Times New Roman"/>
                      <w:b w:val="0"/>
                      <w:bCs/>
                      <w:color w:val="auto"/>
                      <w:sz w:val="21"/>
                      <w:szCs w:val="21"/>
                      <w:highlight w:val="none"/>
                      <w:lang w:val="en-US" w:eastAsia="zh-CN"/>
                    </w:rPr>
                  </w:pPr>
                  <w:r>
                    <w:rPr>
                      <w:rFonts w:hint="default" w:ascii="Times New Roman" w:hAnsi="Times New Roman" w:eastAsia="宋体" w:cs="Times New Roman"/>
                      <w:b w:val="0"/>
                      <w:bCs/>
                      <w:color w:val="auto"/>
                      <w:sz w:val="21"/>
                      <w:szCs w:val="21"/>
                      <w:highlight w:val="none"/>
                      <w:lang w:val="en-US" w:eastAsia="zh-CN"/>
                    </w:rPr>
                    <w:t>10</w:t>
                  </w:r>
                </w:p>
              </w:tc>
              <w:tc>
                <w:tcPr>
                  <w:tcW w:w="1601" w:type="pct"/>
                  <w:gridSpan w:val="2"/>
                  <w:noWrap w:val="0"/>
                  <w:vAlign w:val="center"/>
                </w:tcPr>
                <w:p>
                  <w:pPr>
                    <w:jc w:val="center"/>
                    <w:rPr>
                      <w:rFonts w:hint="default" w:ascii="Times New Roman" w:hAnsi="Times New Roman" w:cs="Times New Roman"/>
                      <w:b w:val="0"/>
                      <w:bCs/>
                      <w:color w:val="auto"/>
                      <w:sz w:val="21"/>
                      <w:szCs w:val="21"/>
                      <w:highlight w:val="none"/>
                    </w:rPr>
                  </w:pPr>
                  <w:r>
                    <w:rPr>
                      <w:rFonts w:hint="default" w:ascii="Times New Roman" w:hAnsi="Times New Roman" w:eastAsia="宋体" w:cs="Times New Roman"/>
                      <w:b w:val="0"/>
                      <w:bCs/>
                      <w:color w:val="auto"/>
                      <w:sz w:val="21"/>
                      <w:szCs w:val="21"/>
                      <w:highlight w:val="none"/>
                      <w:lang w:val="en-US" w:eastAsia="zh-CN"/>
                    </w:rPr>
                    <w:t>有害气体尘埃发出地</w:t>
                  </w:r>
                </w:p>
              </w:tc>
              <w:tc>
                <w:tcPr>
                  <w:tcW w:w="1034" w:type="pct"/>
                  <w:noWrap w:val="0"/>
                  <w:vAlign w:val="center"/>
                </w:tcPr>
                <w:p>
                  <w:pPr>
                    <w:widowControl/>
                    <w:jc w:val="center"/>
                    <w:rPr>
                      <w:rFonts w:hint="default" w:ascii="Times New Roman" w:hAnsi="Times New Roman" w:cs="Times New Roman"/>
                      <w:b w:val="0"/>
                      <w:bCs/>
                      <w:color w:val="auto"/>
                      <w:sz w:val="21"/>
                      <w:szCs w:val="21"/>
                      <w:highlight w:val="none"/>
                      <w:lang w:val="en-US" w:eastAsia="zh-CN"/>
                    </w:rPr>
                  </w:pPr>
                  <w:r>
                    <w:rPr>
                      <w:rFonts w:hint="default" w:ascii="Times New Roman" w:hAnsi="Times New Roman" w:cs="Times New Roman"/>
                      <w:b w:val="0"/>
                      <w:bCs/>
                      <w:color w:val="auto"/>
                      <w:sz w:val="21"/>
                      <w:szCs w:val="21"/>
                      <w:highlight w:val="none"/>
                      <w:lang w:val="en-US" w:eastAsia="zh-CN"/>
                    </w:rPr>
                    <w:t>20以上</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根据《机械工业采暖通风与空调设计手册》，</w:t>
            </w:r>
            <w:r>
              <w:rPr>
                <w:rFonts w:hint="default" w:ascii="Times New Roman" w:hAnsi="Times New Roman" w:eastAsia="宋体" w:cs="Times New Roman"/>
                <w:color w:val="auto"/>
                <w:sz w:val="24"/>
                <w:szCs w:val="24"/>
                <w:highlight w:val="none"/>
                <w:lang w:val="en-US" w:eastAsia="zh-CN"/>
              </w:rPr>
              <w:t>涂布车间</w:t>
            </w:r>
            <w:r>
              <w:rPr>
                <w:rFonts w:hint="default" w:ascii="Times New Roman" w:hAnsi="Times New Roman" w:eastAsia="宋体" w:cs="Times New Roman"/>
                <w:color w:val="auto"/>
                <w:sz w:val="24"/>
                <w:szCs w:val="24"/>
                <w:highlight w:val="none"/>
                <w:lang w:eastAsia="zh-CN"/>
              </w:rPr>
              <w:t>全面通风量可按照换气次数法确定。</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L=</w:t>
            </w:r>
            <w:r>
              <w:rPr>
                <w:rFonts w:hint="default" w:ascii="Times New Roman" w:hAnsi="Times New Roman" w:eastAsia="宋体" w:cs="Times New Roman"/>
                <w:color w:val="auto"/>
                <w:sz w:val="24"/>
                <w:szCs w:val="24"/>
                <w:highlight w:val="none"/>
                <w:lang w:val="en-US" w:eastAsia="zh-CN"/>
              </w:rPr>
              <w:t>nV</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式中：</w:t>
            </w:r>
            <w:r>
              <w:rPr>
                <w:rFonts w:hint="default" w:ascii="Times New Roman" w:hAnsi="Times New Roman" w:eastAsia="宋体" w:cs="Times New Roman"/>
                <w:color w:val="auto"/>
                <w:sz w:val="24"/>
                <w:szCs w:val="24"/>
                <w:highlight w:val="none"/>
                <w:lang w:val="en-US" w:eastAsia="zh-CN"/>
              </w:rPr>
              <w:t>L</w:t>
            </w:r>
            <w:r>
              <w:rPr>
                <w:rFonts w:hint="default" w:ascii="Times New Roman" w:hAnsi="Times New Roman" w:cs="Times New Roman"/>
                <w:snapToGrid w:val="0"/>
                <w:color w:val="auto"/>
                <w:kern w:val="0"/>
                <w:sz w:val="24"/>
                <w:highlight w:val="none"/>
                <w:lang w:val="en-US" w:eastAsia="zh-CN" w:bidi="ar"/>
              </w:rPr>
              <w:t>——</w:t>
            </w:r>
            <w:r>
              <w:rPr>
                <w:rFonts w:hint="default" w:ascii="Times New Roman" w:hAnsi="Times New Roman" w:eastAsia="宋体" w:cs="Times New Roman"/>
                <w:color w:val="auto"/>
                <w:sz w:val="24"/>
                <w:szCs w:val="24"/>
                <w:highlight w:val="none"/>
                <w:lang w:eastAsia="zh-CN"/>
              </w:rPr>
              <w:t>全面通风量（m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/h）；</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1200" w:firstLineChars="500"/>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n</w:t>
            </w:r>
            <w:r>
              <w:rPr>
                <w:rFonts w:hint="default" w:ascii="Times New Roman" w:hAnsi="Times New Roman" w:eastAsia="宋体" w:cs="Times New Roman"/>
                <w:color w:val="auto"/>
                <w:sz w:val="24"/>
                <w:szCs w:val="24"/>
                <w:highlight w:val="none"/>
                <w:lang w:eastAsia="zh-CN"/>
              </w:rPr>
              <w:t>——通风换气次数（次/h）；</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1200" w:firstLineChars="500"/>
              <w:jc w:val="both"/>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sz w:val="24"/>
                <w:szCs w:val="24"/>
                <w:highlight w:val="none"/>
                <w:lang w:eastAsia="zh-CN"/>
              </w:rPr>
              <w:t>V——通风车间体积（m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根据建设单位提供的数据，</w:t>
            </w:r>
            <w:r>
              <w:rPr>
                <w:rFonts w:hint="eastAsia" w:ascii="Times New Roman" w:hAnsi="Times New Roman" w:eastAsia="宋体" w:cs="Times New Roman"/>
                <w:b w:val="0"/>
                <w:bCs w:val="0"/>
                <w:color w:val="auto"/>
                <w:sz w:val="24"/>
                <w:szCs w:val="24"/>
                <w:vertAlign w:val="baseline"/>
                <w:lang w:val="en-US" w:eastAsia="zh-CN"/>
              </w:rPr>
              <w:t>正极</w:t>
            </w:r>
            <w:r>
              <w:rPr>
                <w:rFonts w:hint="default" w:ascii="Times New Roman" w:hAnsi="Times New Roman" w:eastAsia="宋体" w:cs="Times New Roman"/>
                <w:b w:val="0"/>
                <w:bCs w:val="0"/>
                <w:color w:val="auto"/>
                <w:sz w:val="24"/>
                <w:szCs w:val="24"/>
                <w:vertAlign w:val="baseline"/>
                <w:lang w:val="en-US" w:eastAsia="zh-CN"/>
              </w:rPr>
              <w:t>涂布车间密闭的体积为</w:t>
            </w:r>
            <w:r>
              <w:rPr>
                <w:rFonts w:hint="eastAsia" w:ascii="Times New Roman" w:hAnsi="Times New Roman" w:eastAsia="宋体" w:cs="Times New Roman"/>
                <w:b w:val="0"/>
                <w:bCs w:val="0"/>
                <w:color w:val="auto"/>
                <w:sz w:val="24"/>
                <w:szCs w:val="24"/>
                <w:vertAlign w:val="baseline"/>
                <w:lang w:val="en-US" w:eastAsia="zh-CN"/>
              </w:rPr>
              <w:t>84</w:t>
            </w:r>
            <w:r>
              <w:rPr>
                <w:rFonts w:hint="default" w:ascii="Times New Roman" w:hAnsi="Times New Roman" w:eastAsia="宋体" w:cs="Times New Roman"/>
                <w:b w:val="0"/>
                <w:bCs w:val="0"/>
                <w:color w:val="auto"/>
                <w:sz w:val="24"/>
                <w:szCs w:val="24"/>
                <w:vertAlign w:val="baseline"/>
                <w:lang w:val="en-US" w:eastAsia="zh-CN"/>
              </w:rPr>
              <w:t>m</w:t>
            </w:r>
            <w:r>
              <w:rPr>
                <w:rFonts w:hint="default" w:ascii="Times New Roman" w:hAnsi="Times New Roman" w:eastAsia="宋体" w:cs="Times New Roman"/>
                <w:b w:val="0"/>
                <w:bCs w:val="0"/>
                <w:color w:val="auto"/>
                <w:sz w:val="24"/>
                <w:szCs w:val="24"/>
                <w:vertAlign w:val="superscript"/>
                <w:lang w:val="en-US" w:eastAsia="zh-CN"/>
              </w:rPr>
              <w:t>3</w:t>
            </w:r>
            <w:r>
              <w:rPr>
                <w:rFonts w:hint="default" w:ascii="Times New Roman" w:hAnsi="Times New Roman" w:eastAsia="宋体" w:cs="Times New Roman"/>
                <w:b w:val="0"/>
                <w:bCs w:val="0"/>
                <w:color w:val="auto"/>
                <w:sz w:val="24"/>
                <w:szCs w:val="24"/>
                <w:vertAlign w:val="baseline"/>
                <w:lang w:val="en-US" w:eastAsia="zh-CN"/>
              </w:rPr>
              <w:t>，则所需风量为</w:t>
            </w:r>
            <w:r>
              <w:rPr>
                <w:rFonts w:hint="eastAsia" w:ascii="Times New Roman" w:hAnsi="Times New Roman" w:eastAsia="宋体" w:cs="Times New Roman"/>
                <w:b w:val="0"/>
                <w:bCs w:val="0"/>
                <w:color w:val="auto"/>
                <w:sz w:val="24"/>
                <w:szCs w:val="24"/>
                <w:vertAlign w:val="baseline"/>
                <w:lang w:val="en-US" w:eastAsia="zh-CN"/>
              </w:rPr>
              <w:t>1680</w:t>
            </w:r>
            <w:r>
              <w:rPr>
                <w:rFonts w:hint="default" w:ascii="Times New Roman" w:hAnsi="Times New Roman" w:eastAsia="宋体" w:cs="Times New Roman"/>
                <w:b w:val="0"/>
                <w:bCs w:val="0"/>
                <w:color w:val="auto"/>
                <w:sz w:val="24"/>
                <w:szCs w:val="24"/>
                <w:vertAlign w:val="baseline"/>
                <w:lang w:val="en-US" w:eastAsia="zh-CN"/>
              </w:rPr>
              <w:t>m</w:t>
            </w:r>
            <w:r>
              <w:rPr>
                <w:rFonts w:hint="default" w:ascii="Times New Roman" w:hAnsi="Times New Roman" w:eastAsia="宋体" w:cs="Times New Roman"/>
                <w:b w:val="0"/>
                <w:bCs w:val="0"/>
                <w:color w:val="auto"/>
                <w:sz w:val="24"/>
                <w:szCs w:val="24"/>
                <w:vertAlign w:val="superscript"/>
                <w:lang w:val="en-US" w:eastAsia="zh-CN"/>
              </w:rPr>
              <w:t>3</w:t>
            </w:r>
            <w:r>
              <w:rPr>
                <w:rFonts w:hint="default" w:ascii="Times New Roman" w:hAnsi="Times New Roman" w:eastAsia="宋体" w:cs="Times New Roman"/>
                <w:b w:val="0"/>
                <w:bCs w:val="0"/>
                <w:color w:val="auto"/>
                <w:sz w:val="24"/>
                <w:szCs w:val="24"/>
                <w:vertAlign w:val="baseline"/>
                <w:lang w:val="en-US" w:eastAsia="zh-CN"/>
              </w:rPr>
              <w:t>/h。</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（2）</w:t>
            </w:r>
            <w:r>
              <w:rPr>
                <w:rFonts w:hint="eastAsia" w:ascii="Times New Roman" w:hAnsi="Times New Roman" w:eastAsia="宋体" w:cs="Times New Roman"/>
                <w:b/>
                <w:bCs/>
                <w:color w:val="auto"/>
                <w:sz w:val="24"/>
                <w:szCs w:val="24"/>
                <w:vertAlign w:val="baseline"/>
                <w:lang w:val="en-US" w:eastAsia="zh-CN"/>
              </w:rPr>
              <w:t>正极</w:t>
            </w:r>
            <w:r>
              <w:rPr>
                <w:rFonts w:hint="default" w:ascii="Times New Roman" w:hAnsi="Times New Roman" w:eastAsia="宋体" w:cs="Times New Roman"/>
                <w:b/>
                <w:bCs/>
                <w:color w:val="auto"/>
                <w:sz w:val="24"/>
                <w:szCs w:val="24"/>
                <w:vertAlign w:val="baseline"/>
                <w:lang w:val="en-US" w:eastAsia="zh-CN"/>
              </w:rPr>
              <w:t>烘烤工序初段、中段</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项目烤炉为密闭设备，设备顶部设置集气管，收集风量参考《环境工程设计手册》中圆形风管内的风量计算公式计算：</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jc w:val="center"/>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L=3600×（π/4）×D</w:t>
            </w:r>
            <w:r>
              <w:rPr>
                <w:rFonts w:hint="default" w:ascii="Times New Roman" w:hAnsi="Times New Roman" w:eastAsia="宋体" w:cs="Times New Roman"/>
                <w:b w:val="0"/>
                <w:bCs w:val="0"/>
                <w:color w:val="auto"/>
                <w:sz w:val="24"/>
                <w:szCs w:val="24"/>
                <w:vertAlign w:val="superscript"/>
                <w:lang w:val="en-US" w:eastAsia="zh-CN"/>
              </w:rPr>
              <w:t>2</w:t>
            </w:r>
            <w:r>
              <w:rPr>
                <w:rFonts w:hint="default" w:ascii="Times New Roman" w:hAnsi="Times New Roman" w:eastAsia="宋体" w:cs="Times New Roman"/>
                <w:b w:val="0"/>
                <w:bCs w:val="0"/>
                <w:color w:val="auto"/>
                <w:sz w:val="24"/>
                <w:szCs w:val="24"/>
                <w:vertAlign w:val="baseline"/>
                <w:lang w:val="en-US" w:eastAsia="zh-CN"/>
              </w:rPr>
              <w:t>×V</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其中：L—风量，m</w:t>
            </w:r>
            <w:r>
              <w:rPr>
                <w:rFonts w:hint="default" w:ascii="Times New Roman" w:hAnsi="Times New Roman" w:eastAsia="宋体" w:cs="Times New Roman"/>
                <w:b w:val="0"/>
                <w:bCs w:val="0"/>
                <w:color w:val="auto"/>
                <w:sz w:val="24"/>
                <w:szCs w:val="24"/>
                <w:vertAlign w:val="superscript"/>
                <w:lang w:val="en-US" w:eastAsia="zh-CN"/>
              </w:rPr>
              <w:t>3</w:t>
            </w:r>
            <w:r>
              <w:rPr>
                <w:rFonts w:hint="default" w:ascii="Times New Roman" w:hAnsi="Times New Roman" w:eastAsia="宋体" w:cs="Times New Roman"/>
                <w:b w:val="0"/>
                <w:bCs w:val="0"/>
                <w:color w:val="auto"/>
                <w:sz w:val="24"/>
                <w:szCs w:val="24"/>
                <w:vertAlign w:val="baseline"/>
                <w:lang w:val="en-US" w:eastAsia="zh-CN"/>
              </w:rPr>
              <w:t>/h；</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1200" w:firstLineChars="5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D—风管直径，m。根据建设单位提供资料，烤炉风管直径为0.2m；</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1200" w:firstLineChars="500"/>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V—断面平均风速，m/s。参照洁净厂房总风管风速要求为6m/s~10m/s，本项目取8m/s。</w:t>
            </w:r>
          </w:p>
          <w:p>
            <w:pPr>
              <w:keepNext w:val="0"/>
              <w:keepLines w:val="0"/>
              <w:pageBreakBefore w:val="0"/>
              <w:suppressLineNumbers w:val="0"/>
              <w:kinsoku/>
              <w:wordWrap/>
              <w:topLinePunct w:val="0"/>
              <w:bidi w:val="0"/>
              <w:adjustRightInd/>
              <w:snapToGrid/>
              <w:spacing w:before="0" w:beforeAutospacing="0" w:after="0" w:afterAutospacing="0" w:line="360" w:lineRule="auto"/>
              <w:ind w:right="0"/>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表4-</w:t>
            </w:r>
            <w:r>
              <w:rPr>
                <w:rFonts w:hint="eastAsia" w:ascii="Times New Roman" w:hAnsi="Times New Roman" w:eastAsia="宋体" w:cs="Times New Roman"/>
                <w:b/>
                <w:bCs/>
                <w:color w:val="auto"/>
                <w:sz w:val="24"/>
                <w:szCs w:val="24"/>
                <w:vertAlign w:val="baseline"/>
                <w:lang w:val="en-US" w:eastAsia="zh-CN"/>
              </w:rPr>
              <w:t>9</w:t>
            </w:r>
            <w:r>
              <w:rPr>
                <w:rFonts w:hint="default" w:ascii="Times New Roman" w:hAnsi="Times New Roman" w:eastAsia="宋体" w:cs="Times New Roman"/>
                <w:b/>
                <w:bCs/>
                <w:color w:val="auto"/>
                <w:sz w:val="24"/>
                <w:szCs w:val="24"/>
                <w:vertAlign w:val="baseline"/>
                <w:lang w:val="en-US" w:eastAsia="zh-CN"/>
              </w:rPr>
              <w:t xml:space="preserve"> 项目</w:t>
            </w:r>
            <w:r>
              <w:rPr>
                <w:rFonts w:hint="eastAsia" w:ascii="Times New Roman" w:hAnsi="Times New Roman" w:eastAsia="宋体" w:cs="Times New Roman"/>
                <w:b/>
                <w:bCs/>
                <w:color w:val="auto"/>
                <w:sz w:val="24"/>
                <w:szCs w:val="24"/>
                <w:vertAlign w:val="baseline"/>
                <w:lang w:val="en-US" w:eastAsia="zh-CN"/>
              </w:rPr>
              <w:t>烤炉</w:t>
            </w:r>
            <w:r>
              <w:rPr>
                <w:rFonts w:hint="default" w:ascii="Times New Roman" w:hAnsi="Times New Roman" w:eastAsia="宋体" w:cs="Times New Roman"/>
                <w:b/>
                <w:bCs/>
                <w:color w:val="auto"/>
                <w:sz w:val="24"/>
                <w:szCs w:val="24"/>
                <w:vertAlign w:val="baseline"/>
                <w:lang w:val="en-US" w:eastAsia="zh-CN"/>
              </w:rPr>
              <w:t>收集风量核算</w:t>
            </w:r>
          </w:p>
          <w:tbl>
            <w:tblPr>
              <w:tblStyle w:val="32"/>
              <w:tblW w:w="8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12"/>
              <w:gridCol w:w="1368"/>
              <w:gridCol w:w="1164"/>
              <w:gridCol w:w="1727"/>
              <w:gridCol w:w="1561"/>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snapToGrid w:val="0"/>
                      <w:color w:val="auto"/>
                      <w:sz w:val="21"/>
                      <w:szCs w:val="21"/>
                      <w:lang w:eastAsia="zh-CN"/>
                    </w:rPr>
                  </w:pPr>
                  <w:r>
                    <w:rPr>
                      <w:rFonts w:hint="default" w:ascii="Times New Roman" w:hAnsi="Times New Roman" w:eastAsia="宋体" w:cs="Times New Roman"/>
                      <w:b/>
                      <w:bCs/>
                      <w:snapToGrid w:val="0"/>
                      <w:color w:val="auto"/>
                      <w:sz w:val="21"/>
                      <w:szCs w:val="21"/>
                      <w:lang w:eastAsia="zh-CN"/>
                    </w:rPr>
                    <w:t>设备名称</w:t>
                  </w:r>
                </w:p>
              </w:tc>
              <w:tc>
                <w:tcPr>
                  <w:tcW w:w="13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设备数量（台）</w:t>
                  </w:r>
                </w:p>
              </w:tc>
              <w:tc>
                <w:tcPr>
                  <w:tcW w:w="116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收集措施</w:t>
                  </w:r>
                </w:p>
              </w:tc>
              <w:tc>
                <w:tcPr>
                  <w:tcW w:w="17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集气管数量（根）</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每台风量</w:t>
                  </w:r>
                  <w:r>
                    <w:rPr>
                      <w:rFonts w:hint="default" w:ascii="Times New Roman" w:hAnsi="Times New Roman" w:cs="Times New Roman"/>
                      <w:b/>
                      <w:bCs/>
                      <w:color w:val="auto"/>
                      <w:kern w:val="2"/>
                      <w:sz w:val="21"/>
                      <w:szCs w:val="21"/>
                      <w:lang w:val="en-US" w:eastAsia="zh-CN" w:bidi="ar-SA"/>
                    </w:rPr>
                    <w:t>（m</w:t>
                  </w:r>
                  <w:r>
                    <w:rPr>
                      <w:rFonts w:hint="default" w:ascii="Times New Roman" w:hAnsi="Times New Roman" w:cs="Times New Roman"/>
                      <w:b/>
                      <w:bCs/>
                      <w:color w:val="auto"/>
                      <w:kern w:val="2"/>
                      <w:sz w:val="21"/>
                      <w:szCs w:val="21"/>
                      <w:vertAlign w:val="superscript"/>
                      <w:lang w:val="en-US" w:eastAsia="zh-CN" w:bidi="ar-SA"/>
                    </w:rPr>
                    <w:t>3</w:t>
                  </w:r>
                  <w:r>
                    <w:rPr>
                      <w:rFonts w:hint="default" w:ascii="Times New Roman" w:hAnsi="Times New Roman" w:cs="Times New Roman"/>
                      <w:b/>
                      <w:bCs/>
                      <w:color w:val="auto"/>
                      <w:kern w:val="2"/>
                      <w:sz w:val="21"/>
                      <w:szCs w:val="21"/>
                      <w:lang w:val="en-US" w:eastAsia="zh-CN" w:bidi="ar-SA"/>
                    </w:rPr>
                    <w:t>/h）</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所需风量（m</w:t>
                  </w:r>
                  <w:r>
                    <w:rPr>
                      <w:rFonts w:hint="default" w:ascii="Times New Roman" w:hAnsi="Times New Roman" w:cs="Times New Roman"/>
                      <w:b/>
                      <w:bCs/>
                      <w:color w:val="auto"/>
                      <w:kern w:val="2"/>
                      <w:sz w:val="21"/>
                      <w:szCs w:val="21"/>
                      <w:vertAlign w:val="superscript"/>
                      <w:lang w:val="en-US" w:eastAsia="zh-CN" w:bidi="ar-SA"/>
                    </w:rPr>
                    <w:t>3</w:t>
                  </w:r>
                  <w:r>
                    <w:rPr>
                      <w:rFonts w:hint="default" w:ascii="Times New Roman" w:hAnsi="Times New Roman" w:cs="Times New Roman"/>
                      <w:b/>
                      <w:bCs/>
                      <w:color w:val="auto"/>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正极</w:t>
                  </w:r>
                  <w:r>
                    <w:rPr>
                      <w:rFonts w:hint="default" w:ascii="Times New Roman" w:hAnsi="Times New Roman" w:cs="Times New Roman"/>
                      <w:color w:val="auto"/>
                      <w:kern w:val="2"/>
                      <w:sz w:val="21"/>
                      <w:szCs w:val="21"/>
                      <w:lang w:val="en-US" w:eastAsia="zh-CN" w:bidi="ar-SA"/>
                    </w:rPr>
                    <w:t>烤炉</w:t>
                  </w:r>
                </w:p>
              </w:tc>
              <w:tc>
                <w:tcPr>
                  <w:tcW w:w="13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16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密闭负压</w:t>
                  </w:r>
                </w:p>
              </w:tc>
              <w:tc>
                <w:tcPr>
                  <w:tcW w:w="17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lang w:val="en-US" w:eastAsia="zh-CN"/>
                    </w:rPr>
                  </w:pPr>
                  <w:r>
                    <w:rPr>
                      <w:rFonts w:hint="eastAsia" w:cs="Times New Roman"/>
                      <w:b w:val="0"/>
                      <w:bCs w:val="0"/>
                      <w:color w:val="auto"/>
                      <w:sz w:val="21"/>
                      <w:szCs w:val="21"/>
                      <w:lang w:val="en-US" w:eastAsia="zh-CN"/>
                    </w:rPr>
                    <w:t>2</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904.32</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napToGrid w:val="0"/>
                      <w:color w:val="auto"/>
                      <w:sz w:val="21"/>
                      <w:szCs w:val="21"/>
                      <w:lang w:val="en-US" w:eastAsia="zh-CN"/>
                    </w:rPr>
                  </w:pPr>
                  <w:r>
                    <w:rPr>
                      <w:rFonts w:hint="eastAsia" w:cs="Times New Roman"/>
                      <w:b w:val="0"/>
                      <w:bCs w:val="0"/>
                      <w:snapToGrid w:val="0"/>
                      <w:color w:val="auto"/>
                      <w:sz w:val="21"/>
                      <w:szCs w:val="21"/>
                      <w:lang w:val="en-US" w:eastAsia="zh-CN"/>
                    </w:rPr>
                    <w:t>1808.64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8593"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b w:val="0"/>
                      <w:bCs w:val="0"/>
                      <w:snapToGrid w:val="0"/>
                      <w:color w:val="auto"/>
                      <w:sz w:val="21"/>
                      <w:szCs w:val="21"/>
                      <w:lang w:val="en-US" w:eastAsia="zh-CN"/>
                    </w:rPr>
                  </w:pPr>
                  <w:r>
                    <w:rPr>
                      <w:rFonts w:hint="default" w:ascii="Times New Roman" w:hAnsi="Times New Roman" w:eastAsia="宋体" w:cs="Times New Roman"/>
                      <w:b w:val="0"/>
                      <w:bCs w:val="0"/>
                      <w:snapToGrid w:val="0"/>
                      <w:color w:val="auto"/>
                      <w:sz w:val="21"/>
                      <w:szCs w:val="21"/>
                      <w:lang w:val="en-US" w:eastAsia="zh-CN"/>
                    </w:rPr>
                    <w:t>注：项目</w:t>
                  </w:r>
                  <w:r>
                    <w:rPr>
                      <w:rFonts w:hint="eastAsia" w:ascii="Times New Roman" w:hAnsi="Times New Roman" w:cs="Times New Roman"/>
                      <w:color w:val="auto"/>
                      <w:kern w:val="2"/>
                      <w:sz w:val="21"/>
                      <w:szCs w:val="21"/>
                      <w:lang w:val="en-US" w:eastAsia="zh-CN" w:bidi="ar-SA"/>
                    </w:rPr>
                    <w:t>烤炉</w:t>
                  </w:r>
                  <w:r>
                    <w:rPr>
                      <w:rFonts w:hint="default" w:ascii="Times New Roman" w:hAnsi="Times New Roman" w:cs="Times New Roman"/>
                      <w:color w:val="auto"/>
                      <w:sz w:val="21"/>
                      <w:szCs w:val="21"/>
                      <w:lang w:eastAsia="zh-CN"/>
                    </w:rPr>
                    <w:t>设备设有</w:t>
                  </w:r>
                  <w:r>
                    <w:rPr>
                      <w:rFonts w:hint="default" w:ascii="Times New Roman" w:hAnsi="Times New Roman" w:cs="Times New Roman"/>
                      <w:color w:val="auto"/>
                      <w:sz w:val="21"/>
                      <w:szCs w:val="21"/>
                      <w:lang w:val="en-US" w:eastAsia="zh-CN"/>
                    </w:rPr>
                    <w:t>1根集气管。</w:t>
                  </w:r>
                </w:p>
              </w:tc>
            </w:tr>
          </w:tbl>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由上表可知，项目</w:t>
            </w:r>
            <w:r>
              <w:rPr>
                <w:rFonts w:hint="eastAsia" w:ascii="Times New Roman" w:hAnsi="Times New Roman" w:eastAsia="宋体" w:cs="Times New Roman"/>
                <w:b w:val="0"/>
                <w:bCs w:val="0"/>
                <w:color w:val="auto"/>
                <w:sz w:val="24"/>
                <w:szCs w:val="24"/>
                <w:vertAlign w:val="baseline"/>
                <w:lang w:val="en-US" w:eastAsia="zh-CN"/>
              </w:rPr>
              <w:t>正极</w:t>
            </w:r>
            <w:r>
              <w:rPr>
                <w:rFonts w:hint="default" w:ascii="Times New Roman" w:hAnsi="Times New Roman" w:eastAsia="宋体" w:cs="Times New Roman"/>
                <w:b w:val="0"/>
                <w:bCs w:val="0"/>
                <w:color w:val="auto"/>
                <w:sz w:val="24"/>
                <w:szCs w:val="24"/>
                <w:vertAlign w:val="baseline"/>
                <w:lang w:val="en-US" w:eastAsia="zh-CN"/>
              </w:rPr>
              <w:t>烤炉的理论收集风量为</w:t>
            </w:r>
            <w:r>
              <w:rPr>
                <w:rFonts w:hint="eastAsia" w:cs="Times New Roman"/>
                <w:b w:val="0"/>
                <w:bCs w:val="0"/>
                <w:color w:val="auto"/>
                <w:sz w:val="24"/>
                <w:szCs w:val="24"/>
                <w:vertAlign w:val="baseline"/>
                <w:lang w:val="en-US" w:eastAsia="zh-CN"/>
              </w:rPr>
              <w:t>1808.64</w:t>
            </w:r>
            <w:r>
              <w:rPr>
                <w:rFonts w:hint="default" w:ascii="Times New Roman" w:hAnsi="Times New Roman" w:eastAsia="宋体" w:cs="Times New Roman"/>
                <w:b w:val="0"/>
                <w:bCs w:val="0"/>
                <w:color w:val="auto"/>
                <w:sz w:val="24"/>
                <w:szCs w:val="24"/>
                <w:vertAlign w:val="baseline"/>
                <w:lang w:val="en-US" w:eastAsia="zh-CN"/>
              </w:rPr>
              <w:t>m</w:t>
            </w:r>
            <w:r>
              <w:rPr>
                <w:rFonts w:hint="default" w:ascii="Times New Roman" w:hAnsi="Times New Roman" w:eastAsia="宋体" w:cs="Times New Roman"/>
                <w:b w:val="0"/>
                <w:bCs w:val="0"/>
                <w:color w:val="auto"/>
                <w:sz w:val="24"/>
                <w:szCs w:val="24"/>
                <w:vertAlign w:val="superscript"/>
                <w:lang w:val="en-US" w:eastAsia="zh-CN"/>
              </w:rPr>
              <w:t>3</w:t>
            </w:r>
            <w:r>
              <w:rPr>
                <w:rFonts w:hint="default" w:ascii="Times New Roman" w:hAnsi="Times New Roman" w:eastAsia="宋体" w:cs="Times New Roman"/>
                <w:b w:val="0"/>
                <w:bCs w:val="0"/>
                <w:color w:val="auto"/>
                <w:sz w:val="24"/>
                <w:szCs w:val="24"/>
                <w:vertAlign w:val="baseline"/>
                <w:lang w:val="en-US" w:eastAsia="zh-CN"/>
              </w:rPr>
              <w:t>/h。</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（3）</w:t>
            </w:r>
            <w:r>
              <w:rPr>
                <w:rFonts w:hint="eastAsia" w:ascii="Times New Roman" w:hAnsi="Times New Roman" w:eastAsia="宋体" w:cs="Times New Roman"/>
                <w:b/>
                <w:bCs/>
                <w:color w:val="auto"/>
                <w:sz w:val="24"/>
                <w:szCs w:val="24"/>
                <w:vertAlign w:val="baseline"/>
                <w:lang w:val="en-US" w:eastAsia="zh-CN"/>
              </w:rPr>
              <w:t>正极</w:t>
            </w:r>
            <w:r>
              <w:rPr>
                <w:rFonts w:hint="default" w:ascii="Times New Roman" w:hAnsi="Times New Roman" w:eastAsia="宋体" w:cs="Times New Roman"/>
                <w:b/>
                <w:bCs/>
                <w:color w:val="auto"/>
                <w:sz w:val="24"/>
                <w:szCs w:val="24"/>
                <w:vertAlign w:val="baseline"/>
                <w:lang w:val="en-US" w:eastAsia="zh-CN"/>
              </w:rPr>
              <w:t>烘烤工序尾段</w:t>
            </w:r>
          </w:p>
          <w:p>
            <w:pPr>
              <w:adjustRightInd w:val="0"/>
              <w:snapToGrid w:val="0"/>
              <w:spacing w:line="360" w:lineRule="auto"/>
              <w:ind w:firstLine="480" w:firstLineChars="200"/>
              <w:rPr>
                <w:rFonts w:hint="default" w:ascii="Times New Roman" w:hAnsi="Times New Roman" w:cs="Times New Roman"/>
                <w:color w:val="auto"/>
                <w:sz w:val="24"/>
              </w:rPr>
            </w:pPr>
            <w:r>
              <w:rPr>
                <w:rFonts w:hint="eastAsia" w:ascii="Times New Roman" w:hAnsi="Times New Roman" w:eastAsia="宋体" w:cs="Times New Roman"/>
                <w:b w:val="0"/>
                <w:bCs w:val="0"/>
                <w:color w:val="auto"/>
                <w:sz w:val="24"/>
                <w:szCs w:val="24"/>
                <w:vertAlign w:val="baseline"/>
                <w:lang w:val="en-US" w:eastAsia="zh-CN"/>
              </w:rPr>
              <w:t>正极</w:t>
            </w:r>
            <w:r>
              <w:rPr>
                <w:rFonts w:hint="default" w:ascii="Times New Roman" w:hAnsi="Times New Roman" w:eastAsia="宋体" w:cs="Times New Roman"/>
                <w:b w:val="0"/>
                <w:bCs w:val="0"/>
                <w:color w:val="auto"/>
                <w:sz w:val="24"/>
                <w:szCs w:val="24"/>
                <w:vertAlign w:val="baseline"/>
                <w:lang w:val="en-US" w:eastAsia="zh-CN"/>
              </w:rPr>
              <w:t>烘烤工序尾段设置集气罩在出口上方，并对设备工作区域设置软质垂帘进行围挡，形成包围型设备收集，</w:t>
            </w:r>
            <w:r>
              <w:rPr>
                <w:rFonts w:hint="default" w:ascii="Times New Roman" w:hAnsi="Times New Roman" w:cs="Times New Roman"/>
                <w:color w:val="auto"/>
                <w:sz w:val="24"/>
              </w:rPr>
              <w:t>结合车间产污工段的规格大小和参照根据《环境工程设计手册 废气卷》中的集气罩风量核算公式。</w:t>
            </w:r>
          </w:p>
          <w:p>
            <w:pPr>
              <w:pStyle w:val="113"/>
              <w:adjustRightInd w:val="0"/>
              <w:snapToGrid w:val="0"/>
              <w:spacing w:line="360" w:lineRule="auto"/>
              <w:jc w:val="center"/>
              <w:rPr>
                <w:rFonts w:hint="default" w:ascii="Times New Roman" w:hAnsi="Times New Roman" w:cs="Times New Roman"/>
                <w:color w:val="auto"/>
              </w:rPr>
            </w:pPr>
            <w:r>
              <w:rPr>
                <w:rFonts w:hint="default" w:ascii="Times New Roman" w:hAnsi="Times New Roman" w:cs="Times New Roman"/>
                <w:color w:val="auto"/>
              </w:rPr>
              <w:t>L=3600（5X</w:t>
            </w:r>
            <w:r>
              <w:rPr>
                <w:rFonts w:hint="default" w:ascii="Times New Roman" w:hAnsi="Times New Roman" w:cs="Times New Roman"/>
                <w:color w:val="auto"/>
                <w:vertAlign w:val="superscript"/>
              </w:rPr>
              <w:t>2</w:t>
            </w:r>
            <w:r>
              <w:rPr>
                <w:rFonts w:hint="default" w:ascii="Times New Roman" w:hAnsi="Times New Roman" w:cs="Times New Roman"/>
                <w:color w:val="auto"/>
              </w:rPr>
              <w:t>+F）×Vx</w:t>
            </w:r>
          </w:p>
          <w:p>
            <w:pPr>
              <w:pStyle w:val="113"/>
              <w:adjustRightInd w:val="0"/>
              <w:snapToGrid w:val="0"/>
              <w:spacing w:line="360" w:lineRule="auto"/>
              <w:jc w:val="left"/>
              <w:rPr>
                <w:rFonts w:hint="default" w:ascii="Times New Roman" w:hAnsi="Times New Roman" w:cs="Times New Roman"/>
                <w:color w:val="auto"/>
              </w:rPr>
            </w:pPr>
            <w:r>
              <w:rPr>
                <w:rFonts w:hint="default" w:ascii="Times New Roman" w:hAnsi="Times New Roman" w:cs="Times New Roman"/>
                <w:color w:val="auto"/>
              </w:rPr>
              <w:t>其中：</w:t>
            </w:r>
          </w:p>
          <w:p>
            <w:pPr>
              <w:pStyle w:val="113"/>
              <w:adjustRightInd w:val="0"/>
              <w:snapToGrid w:val="0"/>
              <w:spacing w:line="360" w:lineRule="auto"/>
              <w:jc w:val="left"/>
              <w:rPr>
                <w:rFonts w:hint="default" w:ascii="Times New Roman" w:hAnsi="Times New Roman" w:cs="Times New Roman"/>
                <w:color w:val="auto"/>
              </w:rPr>
            </w:pPr>
            <w:r>
              <w:rPr>
                <w:rFonts w:hint="default" w:ascii="Times New Roman" w:hAnsi="Times New Roman" w:cs="Times New Roman"/>
                <w:color w:val="auto"/>
              </w:rPr>
              <w:t>X----集气罩至污染源的距离；</w:t>
            </w:r>
          </w:p>
          <w:p>
            <w:pPr>
              <w:pStyle w:val="113"/>
              <w:numPr>
                <w:ilvl w:val="0"/>
                <w:numId w:val="4"/>
              </w:numPr>
              <w:adjustRightInd w:val="0"/>
              <w:snapToGrid w:val="0"/>
              <w:spacing w:line="360" w:lineRule="auto"/>
              <w:jc w:val="left"/>
              <w:rPr>
                <w:rFonts w:hint="default" w:ascii="Times New Roman" w:hAnsi="Times New Roman" w:cs="Times New Roman"/>
                <w:color w:val="auto"/>
              </w:rPr>
            </w:pPr>
            <w:r>
              <w:rPr>
                <w:rFonts w:hint="default" w:ascii="Times New Roman" w:hAnsi="Times New Roman" w:cs="Times New Roman"/>
                <w:color w:val="auto"/>
              </w:rPr>
              <w:t>---集气罩口面积；</w:t>
            </w:r>
          </w:p>
          <w:p>
            <w:pPr>
              <w:pStyle w:val="113"/>
              <w:adjustRightInd w:val="0"/>
              <w:snapToGrid w:val="0"/>
              <w:spacing w:line="360" w:lineRule="auto"/>
              <w:jc w:val="left"/>
              <w:rPr>
                <w:rFonts w:hint="default" w:ascii="Times New Roman" w:hAnsi="Times New Roman" w:cs="Times New Roman"/>
                <w:color w:val="auto"/>
              </w:rPr>
            </w:pPr>
            <w:r>
              <w:rPr>
                <w:rFonts w:hint="default" w:ascii="Times New Roman" w:hAnsi="Times New Roman" w:cs="Times New Roman"/>
                <w:color w:val="auto"/>
              </w:rPr>
              <w:t>V</w:t>
            </w:r>
            <w:r>
              <w:rPr>
                <w:rFonts w:hint="default" w:ascii="Times New Roman" w:hAnsi="Times New Roman" w:cs="Times New Roman"/>
                <w:color w:val="auto"/>
                <w:vertAlign w:val="subscript"/>
              </w:rPr>
              <w:t>X</w:t>
            </w:r>
            <w:r>
              <w:rPr>
                <w:rFonts w:hint="default" w:ascii="Times New Roman" w:hAnsi="Times New Roman" w:cs="Times New Roman"/>
                <w:color w:val="auto"/>
              </w:rPr>
              <w:t>----集气罩罩面控制风速，（取0.5m/s）。</w:t>
            </w:r>
          </w:p>
          <w:p>
            <w:pPr>
              <w:jc w:val="center"/>
              <w:rPr>
                <w:rFonts w:hint="default" w:ascii="Times New Roman" w:hAnsi="Times New Roman" w:cs="Times New Roman"/>
                <w:b/>
                <w:color w:val="auto"/>
                <w:sz w:val="24"/>
              </w:rPr>
            </w:pPr>
            <w:r>
              <w:rPr>
                <w:rFonts w:hint="default" w:ascii="Times New Roman" w:hAnsi="Times New Roman" w:cs="Times New Roman"/>
                <w:b/>
                <w:color w:val="auto"/>
                <w:sz w:val="24"/>
              </w:rPr>
              <w:t>表4-</w:t>
            </w:r>
            <w:r>
              <w:rPr>
                <w:rFonts w:hint="eastAsia" w:ascii="Times New Roman" w:hAnsi="Times New Roman" w:cs="Times New Roman"/>
                <w:b/>
                <w:color w:val="auto"/>
                <w:sz w:val="24"/>
                <w:lang w:val="en-US" w:eastAsia="zh-CN"/>
              </w:rPr>
              <w:t>10</w:t>
            </w:r>
            <w:r>
              <w:rPr>
                <w:rFonts w:hint="default" w:ascii="Times New Roman" w:hAnsi="Times New Roman" w:cs="Times New Roman"/>
                <w:b/>
                <w:color w:val="auto"/>
                <w:sz w:val="24"/>
              </w:rPr>
              <w:t xml:space="preserve"> 集气罩设计参数一览表</w:t>
            </w:r>
          </w:p>
          <w:tbl>
            <w:tblPr>
              <w:tblStyle w:val="32"/>
              <w:tblW w:w="4902" w:type="pct"/>
              <w:tblInd w:w="0" w:type="dxa"/>
              <w:tblLayout w:type="fixed"/>
              <w:tblCellMar>
                <w:top w:w="0" w:type="dxa"/>
                <w:left w:w="0" w:type="dxa"/>
                <w:bottom w:w="0" w:type="dxa"/>
                <w:right w:w="0" w:type="dxa"/>
              </w:tblCellMar>
            </w:tblPr>
            <w:tblGrid>
              <w:gridCol w:w="540"/>
              <w:gridCol w:w="1295"/>
              <w:gridCol w:w="694"/>
              <w:gridCol w:w="1213"/>
              <w:gridCol w:w="852"/>
              <w:gridCol w:w="857"/>
              <w:gridCol w:w="842"/>
              <w:gridCol w:w="1035"/>
              <w:gridCol w:w="985"/>
            </w:tblGrid>
            <w:tr>
              <w:tblPrEx>
                <w:tblCellMar>
                  <w:top w:w="0" w:type="dxa"/>
                  <w:left w:w="0" w:type="dxa"/>
                  <w:bottom w:w="0" w:type="dxa"/>
                  <w:right w:w="0" w:type="dxa"/>
                </w:tblCellMar>
              </w:tblPrEx>
              <w:trPr>
                <w:trHeight w:val="874" w:hRule="atLeast"/>
              </w:trPr>
              <w:tc>
                <w:tcPr>
                  <w:tcW w:w="325" w:type="pct"/>
                  <w:tcBorders>
                    <w:top w:val="single" w:color="auto" w:sz="8" w:space="0"/>
                    <w:left w:val="single" w:color="auto" w:sz="8" w:space="0"/>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序号</w:t>
                  </w:r>
                </w:p>
              </w:tc>
              <w:tc>
                <w:tcPr>
                  <w:tcW w:w="779"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污染源</w:t>
                  </w:r>
                </w:p>
              </w:tc>
              <w:tc>
                <w:tcPr>
                  <w:tcW w:w="417"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罩口距离x</w:t>
                  </w:r>
                  <w:r>
                    <w:rPr>
                      <w:rFonts w:hint="default" w:ascii="Times New Roman" w:hAnsi="Times New Roman" w:cs="Times New Roman"/>
                      <w:color w:val="auto"/>
                      <w:kern w:val="0"/>
                      <w:szCs w:val="21"/>
                      <w:lang w:bidi="ar"/>
                    </w:rPr>
                    <w:t xml:space="preserve"> （m</w:t>
                  </w:r>
                  <w:r>
                    <w:rPr>
                      <w:rStyle w:val="114"/>
                      <w:rFonts w:hint="default" w:ascii="Times New Roman" w:hAnsi="Times New Roman" w:cs="Times New Roman"/>
                      <w:color w:val="auto"/>
                      <w:lang w:bidi="ar"/>
                    </w:rPr>
                    <w:t>）</w:t>
                  </w:r>
                </w:p>
              </w:tc>
              <w:tc>
                <w:tcPr>
                  <w:tcW w:w="729"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b/>
                      <w:color w:val="auto"/>
                      <w:kern w:val="0"/>
                      <w:szCs w:val="21"/>
                      <w:lang w:val="en-US" w:eastAsia="zh-CN" w:bidi="ar"/>
                    </w:rPr>
                  </w:pPr>
                  <w:r>
                    <w:rPr>
                      <w:rFonts w:hint="default" w:ascii="Times New Roman" w:hAnsi="Times New Roman" w:cs="Times New Roman"/>
                      <w:b/>
                      <w:color w:val="auto"/>
                      <w:kern w:val="0"/>
                      <w:szCs w:val="21"/>
                      <w:lang w:val="en-US" w:eastAsia="zh-CN" w:bidi="ar"/>
                    </w:rPr>
                    <w:t>集气罩尺寸（m）</w:t>
                  </w:r>
                </w:p>
              </w:tc>
              <w:tc>
                <w:tcPr>
                  <w:tcW w:w="512"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罩口面积A</w:t>
                  </w:r>
                  <w:r>
                    <w:rPr>
                      <w:rFonts w:hint="default" w:ascii="Times New Roman" w:hAnsi="Times New Roman" w:cs="Times New Roman"/>
                      <w:color w:val="auto"/>
                      <w:kern w:val="0"/>
                      <w:szCs w:val="21"/>
                      <w:lang w:bidi="ar"/>
                    </w:rPr>
                    <w:t xml:space="preserve"> （m</w:t>
                  </w:r>
                  <w:r>
                    <w:rPr>
                      <w:rStyle w:val="115"/>
                      <w:rFonts w:hint="default" w:ascii="Times New Roman" w:hAnsi="Times New Roman" w:cs="Times New Roman"/>
                      <w:color w:val="auto"/>
                      <w:vertAlign w:val="superscript"/>
                      <w:lang w:bidi="ar"/>
                    </w:rPr>
                    <w:t>2</w:t>
                  </w:r>
                  <w:r>
                    <w:rPr>
                      <w:rFonts w:hint="default" w:ascii="Times New Roman" w:hAnsi="Times New Roman" w:cs="Times New Roman"/>
                      <w:color w:val="auto"/>
                      <w:kern w:val="0"/>
                      <w:szCs w:val="21"/>
                      <w:lang w:bidi="ar"/>
                    </w:rPr>
                    <w:t>）</w:t>
                  </w:r>
                </w:p>
              </w:tc>
              <w:tc>
                <w:tcPr>
                  <w:tcW w:w="515"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罩口数量（个）</w:t>
                  </w:r>
                </w:p>
              </w:tc>
              <w:tc>
                <w:tcPr>
                  <w:tcW w:w="506"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最小控制风速V</w:t>
                  </w:r>
                  <w:r>
                    <w:rPr>
                      <w:rStyle w:val="116"/>
                      <w:rFonts w:hint="default" w:ascii="Times New Roman" w:hAnsi="Times New Roman" w:cs="Times New Roman"/>
                      <w:color w:val="auto"/>
                      <w:vertAlign w:val="subscript"/>
                      <w:lang w:bidi="ar"/>
                    </w:rPr>
                    <w:t>x</w:t>
                  </w:r>
                  <w:r>
                    <w:rPr>
                      <w:rFonts w:hint="default" w:ascii="Times New Roman" w:hAnsi="Times New Roman" w:cs="Times New Roman"/>
                      <w:color w:val="auto"/>
                      <w:kern w:val="0"/>
                      <w:szCs w:val="21"/>
                      <w:lang w:bidi="ar"/>
                    </w:rPr>
                    <w:t xml:space="preserve"> （m/s</w:t>
                  </w:r>
                  <w:r>
                    <w:rPr>
                      <w:rStyle w:val="114"/>
                      <w:rFonts w:hint="default" w:ascii="Times New Roman" w:hAnsi="Times New Roman" w:cs="Times New Roman"/>
                      <w:color w:val="auto"/>
                      <w:lang w:bidi="ar"/>
                    </w:rPr>
                    <w:t>）</w:t>
                  </w:r>
                </w:p>
              </w:tc>
              <w:tc>
                <w:tcPr>
                  <w:tcW w:w="622"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单个排气罩</w:t>
                  </w:r>
                  <w:r>
                    <w:rPr>
                      <w:rStyle w:val="117"/>
                      <w:rFonts w:hint="default" w:ascii="Times New Roman" w:hAnsi="Times New Roman" w:cs="Times New Roman"/>
                      <w:color w:val="auto"/>
                      <w:lang w:bidi="ar"/>
                    </w:rPr>
                    <w:t>风量Q</w:t>
                  </w:r>
                  <w:r>
                    <w:rPr>
                      <w:rFonts w:hint="default" w:ascii="Times New Roman" w:hAnsi="Times New Roman" w:cs="Times New Roman"/>
                      <w:b/>
                      <w:color w:val="auto"/>
                      <w:kern w:val="0"/>
                      <w:szCs w:val="21"/>
                      <w:lang w:bidi="ar"/>
                    </w:rPr>
                    <w:t>（</w:t>
                  </w:r>
                  <w:r>
                    <w:rPr>
                      <w:rFonts w:hint="default" w:ascii="Times New Roman" w:hAnsi="Times New Roman" w:cs="Times New Roman"/>
                      <w:color w:val="auto"/>
                      <w:kern w:val="0"/>
                      <w:szCs w:val="21"/>
                      <w:lang w:bidi="ar"/>
                    </w:rPr>
                    <w:t>m</w:t>
                  </w:r>
                  <w:r>
                    <w:rPr>
                      <w:rStyle w:val="115"/>
                      <w:rFonts w:hint="default" w:ascii="Times New Roman" w:hAnsi="Times New Roman" w:cs="Times New Roman"/>
                      <w:color w:val="auto"/>
                      <w:vertAlign w:val="superscript"/>
                      <w:lang w:bidi="ar"/>
                    </w:rPr>
                    <w:t>3</w:t>
                  </w:r>
                  <w:r>
                    <w:rPr>
                      <w:rFonts w:hint="default" w:ascii="Times New Roman" w:hAnsi="Times New Roman" w:cs="Times New Roman"/>
                      <w:color w:val="auto"/>
                      <w:kern w:val="0"/>
                      <w:szCs w:val="21"/>
                      <w:lang w:bidi="ar"/>
                    </w:rPr>
                    <w:t>/h</w:t>
                  </w:r>
                  <w:r>
                    <w:rPr>
                      <w:rStyle w:val="117"/>
                      <w:rFonts w:hint="default" w:ascii="Times New Roman" w:hAnsi="Times New Roman" w:cs="Times New Roman"/>
                      <w:color w:val="auto"/>
                      <w:lang w:bidi="ar"/>
                    </w:rPr>
                    <w:t>）</w:t>
                  </w:r>
                </w:p>
              </w:tc>
              <w:tc>
                <w:tcPr>
                  <w:tcW w:w="592" w:type="pct"/>
                  <w:tcBorders>
                    <w:top w:val="single" w:color="auto" w:sz="8" w:space="0"/>
                    <w:left w:val="nil"/>
                    <w:bottom w:val="single" w:color="auto" w:sz="8" w:space="0"/>
                    <w:right w:val="single" w:color="auto" w:sz="8"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b/>
                      <w:color w:val="auto"/>
                      <w:szCs w:val="21"/>
                    </w:rPr>
                  </w:pPr>
                  <w:r>
                    <w:rPr>
                      <w:rFonts w:hint="default" w:ascii="Times New Roman" w:hAnsi="Times New Roman" w:cs="Times New Roman"/>
                      <w:b/>
                      <w:color w:val="auto"/>
                      <w:kern w:val="0"/>
                      <w:szCs w:val="21"/>
                      <w:lang w:bidi="ar"/>
                    </w:rPr>
                    <w:t>总风量（</w:t>
                  </w:r>
                  <w:r>
                    <w:rPr>
                      <w:rStyle w:val="117"/>
                      <w:rFonts w:hint="default" w:ascii="Times New Roman" w:hAnsi="Times New Roman" w:cs="Times New Roman"/>
                      <w:color w:val="auto"/>
                      <w:lang w:bidi="ar"/>
                    </w:rPr>
                    <w:t>m</w:t>
                  </w:r>
                  <w:r>
                    <w:rPr>
                      <w:rFonts w:hint="default" w:ascii="Times New Roman" w:hAnsi="Times New Roman" w:cs="Times New Roman"/>
                      <w:b/>
                      <w:color w:val="auto"/>
                      <w:kern w:val="0"/>
                      <w:szCs w:val="21"/>
                      <w:vertAlign w:val="superscript"/>
                      <w:lang w:bidi="ar"/>
                    </w:rPr>
                    <w:t>3</w:t>
                  </w:r>
                  <w:r>
                    <w:rPr>
                      <w:rStyle w:val="117"/>
                      <w:rFonts w:hint="default" w:ascii="Times New Roman" w:hAnsi="Times New Roman" w:cs="Times New Roman"/>
                      <w:color w:val="auto"/>
                      <w:lang w:bidi="ar"/>
                    </w:rPr>
                    <w:t>/h</w:t>
                  </w:r>
                  <w:r>
                    <w:rPr>
                      <w:rFonts w:hint="default" w:ascii="Times New Roman" w:hAnsi="Times New Roman" w:cs="Times New Roman"/>
                      <w:b/>
                      <w:color w:val="auto"/>
                      <w:kern w:val="0"/>
                      <w:szCs w:val="21"/>
                      <w:lang w:bidi="ar"/>
                    </w:rPr>
                    <w:t>）</w:t>
                  </w:r>
                </w:p>
              </w:tc>
            </w:tr>
            <w:tr>
              <w:tblPrEx>
                <w:tblCellMar>
                  <w:top w:w="0" w:type="dxa"/>
                  <w:left w:w="0" w:type="dxa"/>
                  <w:bottom w:w="0" w:type="dxa"/>
                  <w:right w:w="0" w:type="dxa"/>
                </w:tblCellMar>
              </w:tblPrEx>
              <w:trPr>
                <w:trHeight w:val="90" w:hRule="atLeast"/>
              </w:trPr>
              <w:tc>
                <w:tcPr>
                  <w:tcW w:w="325"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1</w:t>
                  </w:r>
                </w:p>
              </w:tc>
              <w:tc>
                <w:tcPr>
                  <w:tcW w:w="779"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cs="Times New Roman"/>
                      <w:color w:val="auto"/>
                      <w:kern w:val="0"/>
                      <w:szCs w:val="21"/>
                      <w:lang w:val="en-US" w:eastAsia="zh-CN" w:bidi="ar"/>
                    </w:rPr>
                  </w:pPr>
                  <w:r>
                    <w:rPr>
                      <w:rFonts w:hint="eastAsia" w:ascii="Times New Roman" w:hAnsi="Times New Roman" w:cs="Times New Roman"/>
                      <w:color w:val="auto"/>
                      <w:kern w:val="0"/>
                      <w:szCs w:val="21"/>
                      <w:lang w:val="en-US" w:eastAsia="zh-CN" w:bidi="ar"/>
                    </w:rPr>
                    <w:t>正极</w:t>
                  </w:r>
                  <w:r>
                    <w:rPr>
                      <w:rFonts w:hint="default" w:ascii="Times New Roman" w:hAnsi="Times New Roman" w:cs="Times New Roman"/>
                      <w:color w:val="auto"/>
                      <w:kern w:val="0"/>
                      <w:szCs w:val="21"/>
                      <w:lang w:val="en-US" w:eastAsia="zh-CN" w:bidi="ar"/>
                    </w:rPr>
                    <w:t>烤炉尾段</w:t>
                  </w:r>
                </w:p>
              </w:tc>
              <w:tc>
                <w:tcPr>
                  <w:tcW w:w="417"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0.2</w:t>
                  </w:r>
                </w:p>
              </w:tc>
              <w:tc>
                <w:tcPr>
                  <w:tcW w:w="729"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0.6×0.2</w:t>
                  </w:r>
                </w:p>
              </w:tc>
              <w:tc>
                <w:tcPr>
                  <w:tcW w:w="512"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0.12</w:t>
                  </w:r>
                </w:p>
              </w:tc>
              <w:tc>
                <w:tcPr>
                  <w:tcW w:w="515"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1</w:t>
                  </w:r>
                </w:p>
              </w:tc>
              <w:tc>
                <w:tcPr>
                  <w:tcW w:w="506"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widowControl/>
                    <w:jc w:val="center"/>
                    <w:textAlignment w:val="center"/>
                    <w:rPr>
                      <w:rFonts w:hint="default" w:ascii="Times New Roman" w:hAnsi="Times New Roman" w:eastAsia="宋体" w:cs="Times New Roman"/>
                      <w:color w:val="auto"/>
                      <w:kern w:val="0"/>
                      <w:szCs w:val="21"/>
                      <w:lang w:val="en-US" w:eastAsia="zh-CN" w:bidi="ar"/>
                    </w:rPr>
                  </w:pPr>
                  <w:r>
                    <w:rPr>
                      <w:rFonts w:hint="default" w:ascii="Times New Roman" w:hAnsi="Times New Roman" w:cs="Times New Roman"/>
                      <w:color w:val="auto"/>
                      <w:kern w:val="0"/>
                      <w:szCs w:val="21"/>
                      <w:lang w:val="en-US" w:eastAsia="zh-CN" w:bidi="ar"/>
                    </w:rPr>
                    <w:t>0.5</w:t>
                  </w:r>
                </w:p>
              </w:tc>
              <w:tc>
                <w:tcPr>
                  <w:tcW w:w="622"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bidi="ar"/>
                    </w:rPr>
                  </w:pPr>
                  <w:r>
                    <w:rPr>
                      <w:rFonts w:hint="default" w:ascii="Times New Roman" w:hAnsi="Times New Roman" w:eastAsia="宋体" w:cs="Times New Roman"/>
                      <w:i w:val="0"/>
                      <w:iCs w:val="0"/>
                      <w:color w:val="auto"/>
                      <w:kern w:val="0"/>
                      <w:sz w:val="21"/>
                      <w:szCs w:val="21"/>
                      <w:u w:val="none"/>
                      <w:lang w:val="en-US" w:eastAsia="zh-CN" w:bidi="ar"/>
                    </w:rPr>
                    <w:t>576</w:t>
                  </w:r>
                </w:p>
              </w:tc>
              <w:tc>
                <w:tcPr>
                  <w:tcW w:w="592" w:type="pct"/>
                  <w:tcBorders>
                    <w:top w:val="single" w:color="auto" w:sz="4" w:space="0"/>
                    <w:left w:val="single" w:color="auto" w:sz="4" w:space="0"/>
                    <w:bottom w:val="single" w:color="auto" w:sz="4" w:space="0"/>
                    <w:right w:val="single" w:color="auto"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cs="Times New Roman"/>
                      <w:color w:val="auto"/>
                      <w:kern w:val="0"/>
                      <w:szCs w:val="21"/>
                      <w:lang w:val="en-US" w:bidi="ar"/>
                    </w:rPr>
                  </w:pPr>
                  <w:r>
                    <w:rPr>
                      <w:rFonts w:hint="eastAsia" w:ascii="Times New Roman" w:hAnsi="Times New Roman" w:eastAsia="宋体" w:cs="Times New Roman"/>
                      <w:i w:val="0"/>
                      <w:iCs w:val="0"/>
                      <w:color w:val="auto"/>
                      <w:kern w:val="0"/>
                      <w:sz w:val="21"/>
                      <w:szCs w:val="21"/>
                      <w:u w:val="none"/>
                      <w:lang w:val="en-US" w:eastAsia="zh-CN" w:bidi="ar"/>
                    </w:rPr>
                    <w:t>576</w:t>
                  </w:r>
                </w:p>
              </w:tc>
            </w:tr>
          </w:tbl>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由上表可知，项目烤炉尾段的理论收集风量为</w:t>
            </w:r>
            <w:r>
              <w:rPr>
                <w:rFonts w:hint="eastAsia" w:ascii="Times New Roman" w:hAnsi="Times New Roman" w:eastAsia="宋体" w:cs="Times New Roman"/>
                <w:b w:val="0"/>
                <w:bCs w:val="0"/>
                <w:color w:val="auto"/>
                <w:sz w:val="24"/>
                <w:szCs w:val="24"/>
                <w:vertAlign w:val="baseline"/>
                <w:lang w:val="en-US" w:eastAsia="zh-CN"/>
              </w:rPr>
              <w:t>576</w:t>
            </w:r>
            <w:r>
              <w:rPr>
                <w:rFonts w:hint="default" w:ascii="Times New Roman" w:hAnsi="Times New Roman" w:eastAsia="宋体" w:cs="Times New Roman"/>
                <w:b w:val="0"/>
                <w:bCs w:val="0"/>
                <w:color w:val="auto"/>
                <w:sz w:val="24"/>
                <w:szCs w:val="24"/>
                <w:vertAlign w:val="baseline"/>
                <w:lang w:val="en-US" w:eastAsia="zh-CN"/>
              </w:rPr>
              <w:t>m</w:t>
            </w:r>
            <w:r>
              <w:rPr>
                <w:rFonts w:hint="default" w:ascii="Times New Roman" w:hAnsi="Times New Roman" w:eastAsia="宋体" w:cs="Times New Roman"/>
                <w:b w:val="0"/>
                <w:bCs w:val="0"/>
                <w:color w:val="auto"/>
                <w:sz w:val="24"/>
                <w:szCs w:val="24"/>
                <w:vertAlign w:val="superscript"/>
                <w:lang w:val="en-US" w:eastAsia="zh-CN"/>
              </w:rPr>
              <w:t>3</w:t>
            </w:r>
            <w:r>
              <w:rPr>
                <w:rFonts w:hint="default" w:ascii="Times New Roman" w:hAnsi="Times New Roman" w:eastAsia="宋体" w:cs="Times New Roman"/>
                <w:b w:val="0"/>
                <w:bCs w:val="0"/>
                <w:color w:val="auto"/>
                <w:sz w:val="24"/>
                <w:szCs w:val="24"/>
                <w:vertAlign w:val="baseline"/>
                <w:lang w:val="en-US" w:eastAsia="zh-CN"/>
              </w:rPr>
              <w:t>/h。</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（4）注液工序、二封工序</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项目注液工序设置在注液机中，注液机为密闭设备，顶部设置集气管直接连接设备；二封工序在二封机中完成，二封机为密闭设备，顶部设置集气管直接连接设备；收集风量参考《环境工程设计手册》中圆形风管内的风量计算公式计算：</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jc w:val="center"/>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L=3600×（π/4）×D</w:t>
            </w:r>
            <w:r>
              <w:rPr>
                <w:rFonts w:hint="default" w:ascii="Times New Roman" w:hAnsi="Times New Roman" w:eastAsia="宋体" w:cs="Times New Roman"/>
                <w:b w:val="0"/>
                <w:bCs w:val="0"/>
                <w:color w:val="auto"/>
                <w:sz w:val="24"/>
                <w:szCs w:val="24"/>
                <w:vertAlign w:val="superscript"/>
                <w:lang w:val="en-US" w:eastAsia="zh-CN"/>
              </w:rPr>
              <w:t>2</w:t>
            </w:r>
            <w:r>
              <w:rPr>
                <w:rFonts w:hint="default" w:ascii="Times New Roman" w:hAnsi="Times New Roman" w:eastAsia="宋体" w:cs="Times New Roman"/>
                <w:b w:val="0"/>
                <w:bCs w:val="0"/>
                <w:color w:val="auto"/>
                <w:sz w:val="24"/>
                <w:szCs w:val="24"/>
                <w:vertAlign w:val="baseline"/>
                <w:lang w:val="en-US" w:eastAsia="zh-CN"/>
              </w:rPr>
              <w:t>×V</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其中：L—风量，m</w:t>
            </w:r>
            <w:r>
              <w:rPr>
                <w:rFonts w:hint="default" w:ascii="Times New Roman" w:hAnsi="Times New Roman" w:eastAsia="宋体" w:cs="Times New Roman"/>
                <w:b w:val="0"/>
                <w:bCs w:val="0"/>
                <w:color w:val="auto"/>
                <w:sz w:val="24"/>
                <w:szCs w:val="24"/>
                <w:vertAlign w:val="superscript"/>
                <w:lang w:val="en-US" w:eastAsia="zh-CN"/>
              </w:rPr>
              <w:t>3</w:t>
            </w:r>
            <w:r>
              <w:rPr>
                <w:rFonts w:hint="default" w:ascii="Times New Roman" w:hAnsi="Times New Roman" w:eastAsia="宋体" w:cs="Times New Roman"/>
                <w:b w:val="0"/>
                <w:bCs w:val="0"/>
                <w:color w:val="auto"/>
                <w:sz w:val="24"/>
                <w:szCs w:val="24"/>
                <w:vertAlign w:val="baseline"/>
                <w:lang w:val="en-US" w:eastAsia="zh-CN"/>
              </w:rPr>
              <w:t>/h；</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D—风管直径，m。根据建设单位提供资料，注液机风管直径为0.1m；</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V—断面平均风速，m/s。参照洁净厂房总风管风速要求为6m/s~10m/s，本项目取10m/s。</w:t>
            </w:r>
          </w:p>
          <w:p>
            <w:pPr>
              <w:keepNext w:val="0"/>
              <w:keepLines w:val="0"/>
              <w:pageBreakBefore w:val="0"/>
              <w:suppressLineNumbers w:val="0"/>
              <w:kinsoku/>
              <w:wordWrap/>
              <w:topLinePunct w:val="0"/>
              <w:bidi w:val="0"/>
              <w:adjustRightInd/>
              <w:snapToGrid/>
              <w:spacing w:before="0" w:beforeAutospacing="0" w:after="0" w:afterAutospacing="0" w:line="360" w:lineRule="auto"/>
              <w:ind w:right="0"/>
              <w:jc w:val="center"/>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表4-</w:t>
            </w:r>
            <w:r>
              <w:rPr>
                <w:rFonts w:hint="eastAsia" w:ascii="Times New Roman" w:hAnsi="Times New Roman" w:eastAsia="宋体" w:cs="Times New Roman"/>
                <w:b/>
                <w:bCs/>
                <w:color w:val="auto"/>
                <w:sz w:val="24"/>
                <w:szCs w:val="24"/>
                <w:vertAlign w:val="baseline"/>
                <w:lang w:val="en-US" w:eastAsia="zh-CN"/>
              </w:rPr>
              <w:t>11</w:t>
            </w:r>
            <w:r>
              <w:rPr>
                <w:rFonts w:hint="default" w:ascii="Times New Roman" w:hAnsi="Times New Roman" w:eastAsia="宋体" w:cs="Times New Roman"/>
                <w:b/>
                <w:bCs/>
                <w:color w:val="auto"/>
                <w:sz w:val="24"/>
                <w:szCs w:val="24"/>
                <w:vertAlign w:val="baseline"/>
                <w:lang w:val="en-US" w:eastAsia="zh-CN"/>
              </w:rPr>
              <w:t xml:space="preserve"> 项目注液机收集风量核算</w:t>
            </w:r>
          </w:p>
          <w:tbl>
            <w:tblPr>
              <w:tblStyle w:val="32"/>
              <w:tblW w:w="85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212"/>
              <w:gridCol w:w="1368"/>
              <w:gridCol w:w="1164"/>
              <w:gridCol w:w="1727"/>
              <w:gridCol w:w="1561"/>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snapToGrid w:val="0"/>
                      <w:color w:val="auto"/>
                      <w:sz w:val="21"/>
                      <w:szCs w:val="21"/>
                      <w:lang w:eastAsia="zh-CN"/>
                    </w:rPr>
                  </w:pPr>
                  <w:r>
                    <w:rPr>
                      <w:rFonts w:hint="default" w:ascii="Times New Roman" w:hAnsi="Times New Roman" w:eastAsia="宋体" w:cs="Times New Roman"/>
                      <w:b/>
                      <w:bCs/>
                      <w:snapToGrid w:val="0"/>
                      <w:color w:val="auto"/>
                      <w:sz w:val="21"/>
                      <w:szCs w:val="21"/>
                      <w:lang w:eastAsia="zh-CN"/>
                    </w:rPr>
                    <w:t>设备名称</w:t>
                  </w:r>
                </w:p>
              </w:tc>
              <w:tc>
                <w:tcPr>
                  <w:tcW w:w="13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设备数量（台）</w:t>
                  </w:r>
                </w:p>
              </w:tc>
              <w:tc>
                <w:tcPr>
                  <w:tcW w:w="116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收集措施</w:t>
                  </w:r>
                </w:p>
              </w:tc>
              <w:tc>
                <w:tcPr>
                  <w:tcW w:w="17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集气管数量（根）</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kern w:val="2"/>
                      <w:sz w:val="21"/>
                      <w:szCs w:val="21"/>
                      <w:lang w:val="en-US" w:eastAsia="zh-CN" w:bidi="ar-SA"/>
                    </w:rPr>
                    <w:t>每台风量</w:t>
                  </w:r>
                  <w:r>
                    <w:rPr>
                      <w:rFonts w:hint="default" w:ascii="Times New Roman" w:hAnsi="Times New Roman" w:cs="Times New Roman"/>
                      <w:b/>
                      <w:bCs/>
                      <w:color w:val="auto"/>
                      <w:kern w:val="2"/>
                      <w:sz w:val="21"/>
                      <w:szCs w:val="21"/>
                      <w:lang w:val="en-US" w:eastAsia="zh-CN" w:bidi="ar-SA"/>
                    </w:rPr>
                    <w:t>（m</w:t>
                  </w:r>
                  <w:r>
                    <w:rPr>
                      <w:rFonts w:hint="default" w:ascii="Times New Roman" w:hAnsi="Times New Roman" w:cs="Times New Roman"/>
                      <w:b/>
                      <w:bCs/>
                      <w:color w:val="auto"/>
                      <w:kern w:val="2"/>
                      <w:sz w:val="21"/>
                      <w:szCs w:val="21"/>
                      <w:vertAlign w:val="superscript"/>
                      <w:lang w:val="en-US" w:eastAsia="zh-CN" w:bidi="ar-SA"/>
                    </w:rPr>
                    <w:t>3</w:t>
                  </w:r>
                  <w:r>
                    <w:rPr>
                      <w:rFonts w:hint="default" w:ascii="Times New Roman" w:hAnsi="Times New Roman" w:cs="Times New Roman"/>
                      <w:b/>
                      <w:bCs/>
                      <w:color w:val="auto"/>
                      <w:kern w:val="2"/>
                      <w:sz w:val="21"/>
                      <w:szCs w:val="21"/>
                      <w:lang w:val="en-US" w:eastAsia="zh-CN" w:bidi="ar-SA"/>
                    </w:rPr>
                    <w:t>/h）</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bCs/>
                      <w:color w:val="auto"/>
                      <w:kern w:val="2"/>
                      <w:sz w:val="21"/>
                      <w:szCs w:val="21"/>
                      <w:lang w:val="en-US" w:eastAsia="zh-CN" w:bidi="ar-SA"/>
                    </w:rPr>
                  </w:pPr>
                  <w:r>
                    <w:rPr>
                      <w:rFonts w:hint="default" w:ascii="Times New Roman" w:hAnsi="Times New Roman" w:cs="Times New Roman"/>
                      <w:b/>
                      <w:bCs/>
                      <w:color w:val="auto"/>
                      <w:kern w:val="2"/>
                      <w:sz w:val="21"/>
                      <w:szCs w:val="21"/>
                      <w:lang w:val="en-US" w:eastAsia="zh-CN" w:bidi="ar-SA"/>
                    </w:rPr>
                    <w:t>所需风量（m</w:t>
                  </w:r>
                  <w:r>
                    <w:rPr>
                      <w:rFonts w:hint="default" w:ascii="Times New Roman" w:hAnsi="Times New Roman" w:cs="Times New Roman"/>
                      <w:b/>
                      <w:bCs/>
                      <w:color w:val="auto"/>
                      <w:kern w:val="2"/>
                      <w:sz w:val="21"/>
                      <w:szCs w:val="21"/>
                      <w:vertAlign w:val="superscript"/>
                      <w:lang w:val="en-US" w:eastAsia="zh-CN" w:bidi="ar-SA"/>
                    </w:rPr>
                    <w:t>3</w:t>
                  </w:r>
                  <w:r>
                    <w:rPr>
                      <w:rFonts w:hint="default" w:ascii="Times New Roman" w:hAnsi="Times New Roman" w:cs="Times New Roman"/>
                      <w:b/>
                      <w:bCs/>
                      <w:color w:val="auto"/>
                      <w:kern w:val="2"/>
                      <w:sz w:val="21"/>
                      <w:szCs w:val="21"/>
                      <w:lang w:val="en-US" w:eastAsia="zh-CN" w:bidi="ar-SA"/>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注液机</w:t>
                  </w:r>
                </w:p>
              </w:tc>
              <w:tc>
                <w:tcPr>
                  <w:tcW w:w="13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p>
              </w:tc>
              <w:tc>
                <w:tcPr>
                  <w:tcW w:w="116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密闭负压</w:t>
                  </w:r>
                </w:p>
              </w:tc>
              <w:tc>
                <w:tcPr>
                  <w:tcW w:w="17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5</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282.6</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napToGrid w:val="0"/>
                      <w:color w:val="auto"/>
                      <w:sz w:val="21"/>
                      <w:szCs w:val="21"/>
                      <w:lang w:val="en-US" w:eastAsia="zh-CN"/>
                    </w:rPr>
                  </w:pPr>
                  <w:r>
                    <w:rPr>
                      <w:rFonts w:hint="default" w:ascii="Times New Roman" w:hAnsi="Times New Roman" w:eastAsia="宋体" w:cs="Times New Roman"/>
                      <w:b w:val="0"/>
                      <w:bCs w:val="0"/>
                      <w:snapToGrid w:val="0"/>
                      <w:color w:val="auto"/>
                      <w:sz w:val="21"/>
                      <w:szCs w:val="21"/>
                      <w:lang w:val="en-US" w:eastAsia="zh-CN"/>
                    </w:rPr>
                    <w:t>1413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1212"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二封机</w:t>
                  </w:r>
                </w:p>
              </w:tc>
              <w:tc>
                <w:tcPr>
                  <w:tcW w:w="1368"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5</w:t>
                  </w:r>
                </w:p>
              </w:tc>
              <w:tc>
                <w:tcPr>
                  <w:tcW w:w="1164"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密闭负压</w:t>
                  </w:r>
                </w:p>
              </w:tc>
              <w:tc>
                <w:tcPr>
                  <w:tcW w:w="172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5</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en-US" w:eastAsia="zh-CN"/>
                    </w:rPr>
                    <w:t>282.6</w:t>
                  </w:r>
                </w:p>
              </w:tc>
              <w:tc>
                <w:tcPr>
                  <w:tcW w:w="156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napToGrid w:val="0"/>
                      <w:color w:val="auto"/>
                      <w:kern w:val="2"/>
                      <w:sz w:val="21"/>
                      <w:szCs w:val="21"/>
                      <w:lang w:val="en-US" w:eastAsia="zh-CN" w:bidi="ar-SA"/>
                    </w:rPr>
                  </w:pPr>
                  <w:r>
                    <w:rPr>
                      <w:rFonts w:hint="default" w:ascii="Times New Roman" w:hAnsi="Times New Roman" w:eastAsia="宋体" w:cs="Times New Roman"/>
                      <w:b w:val="0"/>
                      <w:bCs w:val="0"/>
                      <w:snapToGrid w:val="0"/>
                      <w:color w:val="auto"/>
                      <w:sz w:val="21"/>
                      <w:szCs w:val="21"/>
                      <w:lang w:val="en-US" w:eastAsia="zh-CN"/>
                    </w:rPr>
                    <w:t>1413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0" w:hRule="atLeast"/>
                <w:jc w:val="center"/>
              </w:trPr>
              <w:tc>
                <w:tcPr>
                  <w:tcW w:w="8593" w:type="dxa"/>
                  <w:gridSpan w:val="6"/>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宋体" w:cs="Times New Roman"/>
                      <w:b w:val="0"/>
                      <w:bCs w:val="0"/>
                      <w:snapToGrid w:val="0"/>
                      <w:color w:val="auto"/>
                      <w:sz w:val="21"/>
                      <w:szCs w:val="21"/>
                      <w:lang w:val="en-US" w:eastAsia="zh-CN"/>
                    </w:rPr>
                  </w:pPr>
                  <w:r>
                    <w:rPr>
                      <w:rFonts w:hint="default" w:ascii="Times New Roman" w:hAnsi="Times New Roman" w:eastAsia="宋体" w:cs="Times New Roman"/>
                      <w:b w:val="0"/>
                      <w:bCs w:val="0"/>
                      <w:snapToGrid w:val="0"/>
                      <w:color w:val="auto"/>
                      <w:sz w:val="21"/>
                      <w:szCs w:val="21"/>
                      <w:lang w:val="en-US" w:eastAsia="zh-CN"/>
                    </w:rPr>
                    <w:t>注：项目</w:t>
                  </w:r>
                  <w:r>
                    <w:rPr>
                      <w:rFonts w:hint="default" w:ascii="Times New Roman" w:hAnsi="Times New Roman" w:cs="Times New Roman"/>
                      <w:color w:val="auto"/>
                      <w:kern w:val="2"/>
                      <w:sz w:val="21"/>
                      <w:szCs w:val="21"/>
                      <w:lang w:val="en-US" w:eastAsia="zh-CN" w:bidi="ar-SA"/>
                    </w:rPr>
                    <w:t>注液机、二封机</w:t>
                  </w:r>
                  <w:r>
                    <w:rPr>
                      <w:rFonts w:hint="default" w:ascii="Times New Roman" w:hAnsi="Times New Roman" w:cs="Times New Roman"/>
                      <w:color w:val="auto"/>
                      <w:sz w:val="21"/>
                      <w:szCs w:val="21"/>
                      <w:lang w:eastAsia="zh-CN"/>
                    </w:rPr>
                    <w:t>每台设备均设有</w:t>
                  </w:r>
                  <w:r>
                    <w:rPr>
                      <w:rFonts w:hint="default" w:ascii="Times New Roman" w:hAnsi="Times New Roman" w:cs="Times New Roman"/>
                      <w:color w:val="auto"/>
                      <w:sz w:val="21"/>
                      <w:szCs w:val="21"/>
                      <w:lang w:val="en-US" w:eastAsia="zh-CN"/>
                    </w:rPr>
                    <w:t>1根集气管。</w:t>
                  </w:r>
                </w:p>
              </w:tc>
            </w:tr>
          </w:tbl>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0" w:firstLineChars="200"/>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eastAsia="宋体" w:cs="Times New Roman"/>
                <w:b w:val="0"/>
                <w:bCs w:val="0"/>
                <w:color w:val="auto"/>
                <w:sz w:val="24"/>
                <w:szCs w:val="24"/>
                <w:vertAlign w:val="baseline"/>
                <w:lang w:val="en-US" w:eastAsia="zh-CN"/>
              </w:rPr>
              <w:t>由上表可知，项目注液工序的理论收集风量为1413m</w:t>
            </w:r>
            <w:r>
              <w:rPr>
                <w:rFonts w:hint="default" w:ascii="Times New Roman" w:hAnsi="Times New Roman" w:eastAsia="宋体" w:cs="Times New Roman"/>
                <w:b w:val="0"/>
                <w:bCs w:val="0"/>
                <w:color w:val="auto"/>
                <w:sz w:val="24"/>
                <w:szCs w:val="24"/>
                <w:vertAlign w:val="superscript"/>
                <w:lang w:val="en-US" w:eastAsia="zh-CN"/>
              </w:rPr>
              <w:t>3</w:t>
            </w:r>
            <w:r>
              <w:rPr>
                <w:rFonts w:hint="default" w:ascii="Times New Roman" w:hAnsi="Times New Roman" w:eastAsia="宋体" w:cs="Times New Roman"/>
                <w:b w:val="0"/>
                <w:bCs w:val="0"/>
                <w:color w:val="auto"/>
                <w:sz w:val="24"/>
                <w:szCs w:val="24"/>
                <w:vertAlign w:val="baseline"/>
                <w:lang w:val="en-US" w:eastAsia="zh-CN"/>
              </w:rPr>
              <w:t>/h；二封工序的理论收集风量为1413m</w:t>
            </w:r>
            <w:r>
              <w:rPr>
                <w:rFonts w:hint="default" w:ascii="Times New Roman" w:hAnsi="Times New Roman" w:eastAsia="宋体" w:cs="Times New Roman"/>
                <w:b w:val="0"/>
                <w:bCs w:val="0"/>
                <w:color w:val="auto"/>
                <w:sz w:val="24"/>
                <w:szCs w:val="24"/>
                <w:vertAlign w:val="superscript"/>
                <w:lang w:val="en-US" w:eastAsia="zh-CN"/>
              </w:rPr>
              <w:t>3</w:t>
            </w:r>
            <w:r>
              <w:rPr>
                <w:rFonts w:hint="default" w:ascii="Times New Roman" w:hAnsi="Times New Roman" w:eastAsia="宋体" w:cs="Times New Roman"/>
                <w:b w:val="0"/>
                <w:bCs w:val="0"/>
                <w:color w:val="auto"/>
                <w:sz w:val="24"/>
                <w:szCs w:val="24"/>
                <w:vertAlign w:val="baseline"/>
                <w:lang w:val="en-US" w:eastAsia="zh-CN"/>
              </w:rPr>
              <w:t>/h。</w:t>
            </w:r>
          </w:p>
          <w:p>
            <w:pPr>
              <w:pStyle w:val="10"/>
              <w:adjustRightInd w:val="0"/>
              <w:spacing w:line="360" w:lineRule="auto"/>
              <w:ind w:firstLine="480" w:firstLineChars="200"/>
              <w:jc w:val="both"/>
              <w:rPr>
                <w:rFonts w:hint="default" w:ascii="Times New Roman" w:hAnsi="Times New Roman" w:eastAsia="宋体" w:cs="Times New Roman"/>
                <w:color w:val="auto"/>
                <w:szCs w:val="24"/>
                <w:highlight w:val="none"/>
                <w:lang w:val="en-US" w:eastAsia="zh-CN"/>
              </w:rPr>
            </w:pPr>
            <w:r>
              <w:rPr>
                <w:rFonts w:hint="default" w:ascii="Times New Roman" w:hAnsi="Times New Roman" w:cs="Times New Roman"/>
                <w:color w:val="auto"/>
                <w:sz w:val="24"/>
              </w:rPr>
              <w:t>项目</w:t>
            </w:r>
            <w:r>
              <w:rPr>
                <w:rFonts w:hint="default" w:ascii="Times New Roman" w:hAnsi="Times New Roman" w:cs="Times New Roman"/>
                <w:color w:val="auto"/>
                <w:sz w:val="24"/>
                <w:lang w:val="en-US" w:eastAsia="zh-CN"/>
              </w:rPr>
              <w:t>拟将烘干工序的初段、中段在密闭车间中收集的有机废气经冷凝装置处理后，再与涂布工序、烘干工序尾段收集的废气、注液工序、二封工序密闭收集的有机废气一同汇入集气干管，经“二级活性炭吸附装置”处理。</w:t>
            </w:r>
            <w:r>
              <w:rPr>
                <w:rFonts w:hint="eastAsia" w:ascii="Times New Roman" w:hAnsi="Times New Roman" w:cs="Times New Roman"/>
                <w:color w:val="auto"/>
                <w:sz w:val="24"/>
                <w:lang w:val="en-US" w:eastAsia="zh-CN"/>
              </w:rPr>
              <w:t>经上述计算可得项目理论所需风量为</w:t>
            </w:r>
            <w:r>
              <w:rPr>
                <w:rFonts w:hint="eastAsia" w:cs="Times New Roman"/>
                <w:color w:val="auto"/>
                <w:sz w:val="24"/>
                <w:lang w:val="en-US" w:eastAsia="zh-CN"/>
              </w:rPr>
              <w:t>10778.64</w:t>
            </w:r>
            <w:r>
              <w:rPr>
                <w:rFonts w:hint="default" w:ascii="Times New Roman" w:hAnsi="Times New Roman" w:cs="Times New Roman"/>
                <w:color w:val="auto"/>
                <w:szCs w:val="24"/>
                <w:highlight w:val="none"/>
              </w:rPr>
              <w:t>m³/h</w:t>
            </w:r>
            <w:r>
              <w:rPr>
                <w:rFonts w:hint="eastAsia" w:ascii="Times New Roman" w:hAnsi="Times New Roman" w:cs="Times New Roman"/>
                <w:color w:val="auto"/>
                <w:szCs w:val="24"/>
                <w:highlight w:val="none"/>
                <w:lang w:eastAsia="zh-CN"/>
              </w:rPr>
              <w:t>，</w:t>
            </w:r>
            <w:r>
              <w:rPr>
                <w:rFonts w:hint="default" w:ascii="Times New Roman" w:hAnsi="Times New Roman" w:cs="Times New Roman"/>
                <w:color w:val="auto"/>
                <w:szCs w:val="24"/>
                <w:highlight w:val="none"/>
                <w:lang w:val="en-US" w:eastAsia="zh-CN"/>
              </w:rPr>
              <w:t>考虑到风量损耗，排气筒设计风量为1</w:t>
            </w:r>
            <w:r>
              <w:rPr>
                <w:rFonts w:hint="eastAsia" w:ascii="Times New Roman" w:hAnsi="Times New Roman" w:cs="Times New Roman"/>
                <w:color w:val="auto"/>
                <w:szCs w:val="24"/>
                <w:highlight w:val="none"/>
                <w:lang w:val="en-US" w:eastAsia="zh-CN"/>
              </w:rPr>
              <w:t>1</w:t>
            </w:r>
            <w:r>
              <w:rPr>
                <w:rFonts w:hint="default" w:ascii="Times New Roman" w:hAnsi="Times New Roman" w:cs="Times New Roman"/>
                <w:color w:val="auto"/>
                <w:szCs w:val="24"/>
                <w:highlight w:val="none"/>
                <w:lang w:val="en-US" w:eastAsia="zh-CN"/>
              </w:rPr>
              <w:t>000</w:t>
            </w:r>
            <w:r>
              <w:rPr>
                <w:rFonts w:hint="default" w:ascii="Times New Roman" w:hAnsi="Times New Roman" w:cs="Times New Roman"/>
                <w:color w:val="auto"/>
                <w:szCs w:val="24"/>
                <w:highlight w:val="none"/>
              </w:rPr>
              <w:t>m³/h</w:t>
            </w:r>
            <w:r>
              <w:rPr>
                <w:rFonts w:hint="default" w:ascii="Times New Roman" w:hAnsi="Times New Roman" w:cs="Times New Roman"/>
                <w:color w:val="auto"/>
                <w:szCs w:val="24"/>
                <w:highlight w:val="none"/>
                <w:lang w:eastAsia="zh-CN"/>
              </w:rPr>
              <w:t>。</w:t>
            </w:r>
          </w:p>
          <w:p>
            <w:pPr>
              <w:keepNext w:val="0"/>
              <w:keepLines w:val="0"/>
              <w:pageBreakBefore w:val="0"/>
              <w:suppressLineNumbers w:val="0"/>
              <w:kinsoku/>
              <w:wordWrap/>
              <w:topLinePunct w:val="0"/>
              <w:bidi w:val="0"/>
              <w:adjustRightInd/>
              <w:snapToGrid/>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2、收集效率</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结合本项目各工序废气收集情况，参照《广东省工业源挥发性有机物减排量核算方法（试行）》（粤环办﹝2021﹞92号）表4.5-1废气收集的集气效率参考值，本项目废气收集效率取值如下表所示。</w:t>
            </w:r>
          </w:p>
          <w:p>
            <w:pPr>
              <w:adjustRightInd w:val="0"/>
              <w:snapToGrid w:val="0"/>
              <w:spacing w:line="360" w:lineRule="auto"/>
              <w:ind w:firstLine="482" w:firstLineChars="200"/>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w:t>
            </w:r>
            <w:r>
              <w:rPr>
                <w:rFonts w:hint="eastAsia" w:ascii="Times New Roman" w:hAnsi="Times New Roman" w:cs="Times New Roman"/>
                <w:b/>
                <w:bCs/>
                <w:color w:val="auto"/>
                <w:sz w:val="24"/>
                <w:lang w:val="en-US" w:eastAsia="zh-CN"/>
              </w:rPr>
              <w:t>12</w:t>
            </w:r>
            <w:r>
              <w:rPr>
                <w:rFonts w:hint="default" w:ascii="Times New Roman" w:hAnsi="Times New Roman" w:cs="Times New Roman"/>
                <w:b/>
                <w:bCs/>
                <w:color w:val="auto"/>
                <w:sz w:val="24"/>
              </w:rPr>
              <w:t xml:space="preserve"> 项目各工序废气收集效率取值一览表</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57" w:type="dxa"/>
                <w:bottom w:w="28" w:type="dxa"/>
                <w:right w:w="57" w:type="dxa"/>
              </w:tblCellMar>
            </w:tblPr>
            <w:tblGrid>
              <w:gridCol w:w="713"/>
              <w:gridCol w:w="957"/>
              <w:gridCol w:w="2493"/>
              <w:gridCol w:w="777"/>
              <w:gridCol w:w="886"/>
              <w:gridCol w:w="1692"/>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c>
                <w:tcPr>
                  <w:tcW w:w="2917" w:type="pct"/>
                  <w:gridSpan w:val="4"/>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粤环办﹝2021﹞92号表4.5-1</w:t>
                  </w:r>
                </w:p>
              </w:tc>
              <w:tc>
                <w:tcPr>
                  <w:tcW w:w="2082" w:type="pct"/>
                  <w:gridSpan w:val="3"/>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c>
                <w:tcPr>
                  <w:tcW w:w="421"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废气收集类型</w:t>
                  </w:r>
                </w:p>
              </w:tc>
              <w:tc>
                <w:tcPr>
                  <w:tcW w:w="565"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废气收集方式</w:t>
                  </w:r>
                </w:p>
              </w:tc>
              <w:tc>
                <w:tcPr>
                  <w:tcW w:w="1472"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情况说明</w:t>
                  </w:r>
                </w:p>
              </w:tc>
              <w:tc>
                <w:tcPr>
                  <w:tcW w:w="458"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集气效率（%）</w:t>
                  </w:r>
                </w:p>
              </w:tc>
              <w:tc>
                <w:tcPr>
                  <w:tcW w:w="523"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工序</w:t>
                  </w:r>
                </w:p>
              </w:tc>
              <w:tc>
                <w:tcPr>
                  <w:tcW w:w="999"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本项目情况</w:t>
                  </w:r>
                </w:p>
              </w:tc>
              <w:tc>
                <w:tcPr>
                  <w:tcW w:w="560" w:type="pct"/>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本报告集气效率取值（%）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c>
                <w:tcPr>
                  <w:tcW w:w="421" w:type="pct"/>
                  <w:vMerge w:val="restar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全密封设备/空间</w:t>
                  </w:r>
                </w:p>
              </w:tc>
              <w:tc>
                <w:tcPr>
                  <w:tcW w:w="565"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设备废气排口直连</w:t>
                  </w:r>
                </w:p>
              </w:tc>
              <w:tc>
                <w:tcPr>
                  <w:tcW w:w="1472" w:type="pct"/>
                  <w:noWrap w:val="0"/>
                  <w:vAlign w:val="center"/>
                </w:tcPr>
                <w:p>
                  <w:pPr>
                    <w:widowControl/>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设备有固定排放管(或口)直接与风管连接，设备整体密闭只留产品进出口，且进出口处有废气收集措施，收集系统运行时周边基本无VOCs散发。</w:t>
                  </w:r>
                </w:p>
              </w:tc>
              <w:tc>
                <w:tcPr>
                  <w:tcW w:w="458"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95</w:t>
                  </w:r>
                </w:p>
              </w:tc>
              <w:tc>
                <w:tcPr>
                  <w:tcW w:w="523"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涂布、烘干、注液</w:t>
                  </w:r>
                  <w:r>
                    <w:rPr>
                      <w:rFonts w:hint="default" w:ascii="Times New Roman" w:hAnsi="Times New Roman" w:cs="Times New Roman"/>
                      <w:color w:val="auto"/>
                      <w:szCs w:val="21"/>
                    </w:rPr>
                    <w:t>工序</w:t>
                  </w:r>
                  <w:r>
                    <w:rPr>
                      <w:rFonts w:hint="eastAsia" w:cs="Times New Roman"/>
                      <w:color w:val="auto"/>
                      <w:szCs w:val="21"/>
                      <w:lang w:eastAsia="zh-CN"/>
                    </w:rPr>
                    <w:t>、</w:t>
                  </w:r>
                  <w:r>
                    <w:rPr>
                      <w:rFonts w:hint="eastAsia" w:cs="Times New Roman"/>
                      <w:color w:val="auto"/>
                      <w:szCs w:val="21"/>
                      <w:lang w:val="en-US" w:eastAsia="zh-CN"/>
                    </w:rPr>
                    <w:t>二封工序</w:t>
                  </w:r>
                </w:p>
              </w:tc>
              <w:tc>
                <w:tcPr>
                  <w:tcW w:w="999"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涂布、烘干、注液</w:t>
                  </w:r>
                  <w:r>
                    <w:rPr>
                      <w:rFonts w:hint="default" w:ascii="Times New Roman" w:hAnsi="Times New Roman" w:cs="Times New Roman"/>
                      <w:color w:val="auto"/>
                      <w:szCs w:val="21"/>
                    </w:rPr>
                    <w:t>风管直连，进出口不设废气收集设施</w:t>
                  </w:r>
                </w:p>
              </w:tc>
              <w:tc>
                <w:tcPr>
                  <w:tcW w:w="560" w:type="pct"/>
                  <w:noWrap w:val="0"/>
                  <w:vAlign w:val="center"/>
                </w:tcPr>
                <w:p>
                  <w:pPr>
                    <w:adjustRightInd w:val="0"/>
                    <w:snapToGrid w:val="0"/>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9</w:t>
                  </w:r>
                  <w:r>
                    <w:rPr>
                      <w:rFonts w:hint="default" w:ascii="Times New Roman" w:hAnsi="Times New Roman" w:cs="Times New Roman"/>
                      <w:color w:val="auto"/>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c>
                <w:tcPr>
                  <w:tcW w:w="421" w:type="pct"/>
                  <w:vMerge w:val="continue"/>
                  <w:noWrap w:val="0"/>
                  <w:vAlign w:val="center"/>
                </w:tcPr>
                <w:p>
                  <w:pPr>
                    <w:adjustRightInd w:val="0"/>
                    <w:snapToGrid w:val="0"/>
                    <w:jc w:val="center"/>
                    <w:rPr>
                      <w:rFonts w:hint="default" w:ascii="Times New Roman" w:hAnsi="Times New Roman" w:cs="Times New Roman"/>
                      <w:color w:val="auto"/>
                      <w:szCs w:val="21"/>
                    </w:rPr>
                  </w:pPr>
                </w:p>
              </w:tc>
              <w:tc>
                <w:tcPr>
                  <w:tcW w:w="565" w:type="pct"/>
                  <w:noWrap w:val="0"/>
                  <w:vAlign w:val="center"/>
                </w:tcPr>
                <w:p>
                  <w:pPr>
                    <w:adjustRightInd w:val="0"/>
                    <w:snapToGrid w:val="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rPr>
                    <w:t>包围型集气设备</w:t>
                  </w:r>
                </w:p>
              </w:tc>
              <w:tc>
                <w:tcPr>
                  <w:tcW w:w="1472" w:type="pct"/>
                  <w:noWrap w:val="0"/>
                  <w:vAlign w:val="center"/>
                </w:tcPr>
                <w:p>
                  <w:pPr>
                    <w:widowControl/>
                    <w:adjustRightInd w:val="0"/>
                    <w:snapToGrid w:val="0"/>
                    <w:jc w:val="center"/>
                    <w:rPr>
                      <w:rFonts w:hint="default" w:ascii="Times New Roman" w:hAnsi="Times New Roman" w:cs="Times New Roman"/>
                      <w:color w:val="auto"/>
                      <w:kern w:val="0"/>
                      <w:sz w:val="21"/>
                      <w:szCs w:val="21"/>
                      <w:lang w:val="en-US" w:eastAsia="zh-CN" w:bidi="ar-SA"/>
                    </w:rPr>
                  </w:pPr>
                  <w:r>
                    <w:rPr>
                      <w:rFonts w:hint="default" w:ascii="Times New Roman" w:hAnsi="Times New Roman" w:cs="Times New Roman"/>
                      <w:color w:val="auto"/>
                      <w:kern w:val="0"/>
                      <w:szCs w:val="21"/>
                    </w:rPr>
                    <w:t>污染物产生点（或生产设施）四周及上下有围挡设施，符合以下三种情况（敞开面控制风速不小于0.5m/s）：1、仅保留1个操作工位面；2、仅保留物料进出通道，通道敞开面小于1个操作工位面。3、通过软质垂帘四周围挡（偶有部分敞开）。</w:t>
                  </w:r>
                </w:p>
              </w:tc>
              <w:tc>
                <w:tcPr>
                  <w:tcW w:w="458" w:type="pct"/>
                  <w:noWrap w:val="0"/>
                  <w:vAlign w:val="center"/>
                </w:tcPr>
                <w:p>
                  <w:pPr>
                    <w:adjustRightInd w:val="0"/>
                    <w:snapToGrid w:val="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rPr>
                    <w:t>80</w:t>
                  </w:r>
                </w:p>
              </w:tc>
              <w:tc>
                <w:tcPr>
                  <w:tcW w:w="523" w:type="pct"/>
                  <w:noWrap w:val="0"/>
                  <w:vAlign w:val="center"/>
                </w:tcPr>
                <w:p>
                  <w:pPr>
                    <w:adjustRightInd w:val="0"/>
                    <w:snapToGrid w:val="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lang w:val="en-US" w:eastAsia="zh-CN"/>
                    </w:rPr>
                    <w:t>烘烤工序尾段</w:t>
                  </w:r>
                </w:p>
              </w:tc>
              <w:tc>
                <w:tcPr>
                  <w:tcW w:w="999" w:type="pct"/>
                  <w:noWrap w:val="0"/>
                  <w:vAlign w:val="center"/>
                </w:tcPr>
                <w:p>
                  <w:pPr>
                    <w:adjustRightInd w:val="0"/>
                    <w:snapToGrid w:val="0"/>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lang w:val="en-US" w:eastAsia="zh-CN"/>
                    </w:rPr>
                    <w:t>烤炉尾端上方设置集气罩，并对设备工作区域设置软质垂帘进行围挡，形成</w:t>
                  </w:r>
                  <w:r>
                    <w:rPr>
                      <w:rFonts w:hint="default" w:ascii="Times New Roman" w:hAnsi="Times New Roman" w:cs="Times New Roman"/>
                      <w:color w:val="auto"/>
                      <w:szCs w:val="21"/>
                    </w:rPr>
                    <w:t>包围型设备收集，控制风速为0.</w:t>
                  </w: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m/s</w:t>
                  </w:r>
                </w:p>
              </w:tc>
              <w:tc>
                <w:tcPr>
                  <w:tcW w:w="560" w:type="pct"/>
                  <w:noWrap w:val="0"/>
                  <w:vAlign w:val="center"/>
                </w:tcPr>
                <w:p>
                  <w:pPr>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57" w:type="dxa"/>
                  <w:bottom w:w="28" w:type="dxa"/>
                  <w:right w:w="57" w:type="dxa"/>
                </w:tblCellMar>
              </w:tblPrEx>
              <w:tc>
                <w:tcPr>
                  <w:tcW w:w="421" w:type="pct"/>
                  <w:noWrap w:val="0"/>
                  <w:vAlign w:val="center"/>
                </w:tcPr>
                <w:p>
                  <w:pPr>
                    <w:widowControl/>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外部型集气设备</w:t>
                  </w:r>
                </w:p>
              </w:tc>
              <w:tc>
                <w:tcPr>
                  <w:tcW w:w="565"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顶式集气罩、槽边抽风、侧式集气罩等</w:t>
                  </w:r>
                </w:p>
              </w:tc>
              <w:tc>
                <w:tcPr>
                  <w:tcW w:w="1472" w:type="pct"/>
                  <w:noWrap w:val="0"/>
                  <w:vAlign w:val="center"/>
                </w:tcPr>
                <w:p>
                  <w:pPr>
                    <w:widowControl/>
                    <w:adjustRightInd w:val="0"/>
                    <w:snapToGrid w:val="0"/>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相应工位所有VOCs逸散点控制风速不小于0.5m/s</w:t>
                  </w:r>
                </w:p>
              </w:tc>
              <w:tc>
                <w:tcPr>
                  <w:tcW w:w="45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40</w:t>
                  </w:r>
                </w:p>
              </w:tc>
              <w:tc>
                <w:tcPr>
                  <w:tcW w:w="523"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投料工序</w:t>
                  </w:r>
                </w:p>
              </w:tc>
              <w:tc>
                <w:tcPr>
                  <w:tcW w:w="999"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搅拌机</w:t>
                  </w:r>
                  <w:r>
                    <w:rPr>
                      <w:rFonts w:hint="default" w:ascii="Times New Roman" w:hAnsi="Times New Roman" w:cs="Times New Roman"/>
                      <w:color w:val="auto"/>
                      <w:szCs w:val="21"/>
                    </w:rPr>
                    <w:t>上方设置顶式集气罩，控制风速不小于0.5m/s</w:t>
                  </w:r>
                </w:p>
              </w:tc>
              <w:tc>
                <w:tcPr>
                  <w:tcW w:w="560" w:type="pct"/>
                  <w:noWrap w:val="0"/>
                  <w:vAlign w:val="center"/>
                </w:tcPr>
                <w:p>
                  <w:pPr>
                    <w:adjustRightInd w:val="0"/>
                    <w:snapToGrid w:val="0"/>
                    <w:jc w:val="center"/>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40</w:t>
                  </w:r>
                </w:p>
              </w:tc>
            </w:tr>
          </w:tbl>
          <w:p>
            <w:pPr>
              <w:keepNext w:val="0"/>
              <w:keepLines w:val="0"/>
              <w:pageBreakBefore w:val="0"/>
              <w:numPr>
                <w:ilvl w:val="0"/>
                <w:numId w:val="5"/>
              </w:numPr>
              <w:suppressLineNumbers w:val="0"/>
              <w:kinsoku/>
              <w:wordWrap/>
              <w:topLinePunct w:val="0"/>
              <w:bidi w:val="0"/>
              <w:adjustRightInd/>
              <w:snapToGrid/>
              <w:spacing w:before="0" w:beforeAutospacing="0" w:after="0" w:afterAutospacing="0" w:line="360" w:lineRule="auto"/>
              <w:ind w:left="0" w:right="0" w:firstLine="482" w:firstLineChars="200"/>
              <w:rPr>
                <w:rFonts w:hint="default" w:ascii="Times New Roman" w:hAnsi="Times New Roman" w:eastAsia="宋体" w:cs="Times New Roman"/>
                <w:b/>
                <w:bCs/>
                <w:color w:val="auto"/>
                <w:sz w:val="24"/>
                <w:szCs w:val="24"/>
                <w:vertAlign w:val="baseline"/>
                <w:lang w:val="en-US" w:eastAsia="zh-CN"/>
              </w:rPr>
            </w:pPr>
            <w:r>
              <w:rPr>
                <w:rFonts w:hint="default" w:ascii="Times New Roman" w:hAnsi="Times New Roman" w:eastAsia="宋体" w:cs="Times New Roman"/>
                <w:b/>
                <w:bCs/>
                <w:color w:val="auto"/>
                <w:sz w:val="24"/>
                <w:szCs w:val="24"/>
                <w:vertAlign w:val="baseline"/>
                <w:lang w:val="en-US" w:eastAsia="zh-CN"/>
              </w:rPr>
              <w:t>处理效率</w:t>
            </w:r>
          </w:p>
          <w:p>
            <w:pPr>
              <w:spacing w:line="360" w:lineRule="auto"/>
              <w:ind w:firstLine="480" w:firstLineChars="200"/>
              <w:rPr>
                <w:rFonts w:cs="宋体"/>
                <w:color w:val="auto"/>
                <w:spacing w:val="8"/>
                <w:sz w:val="24"/>
                <w:highlight w:val="none"/>
              </w:rPr>
            </w:pPr>
            <w:r>
              <w:rPr>
                <w:rFonts w:hint="eastAsia"/>
                <w:color w:val="auto"/>
                <w:sz w:val="24"/>
                <w:highlight w:val="none"/>
              </w:rPr>
              <w:t>根据《排放源统计调查产排污核算方法和系数手册》</w:t>
            </w:r>
            <w:r>
              <w:rPr>
                <w:rFonts w:hint="eastAsia"/>
                <w:color w:val="auto"/>
                <w:sz w:val="24"/>
                <w:highlight w:val="none"/>
                <w:lang w:val="en-US" w:eastAsia="zh-CN"/>
              </w:rPr>
              <w:t>384电池制造行业系数</w:t>
            </w:r>
            <w:r>
              <w:rPr>
                <w:rFonts w:hint="eastAsia"/>
                <w:color w:val="auto"/>
                <w:sz w:val="24"/>
                <w:highlight w:val="none"/>
              </w:rPr>
              <w:t>手册，</w:t>
            </w:r>
            <w:r>
              <w:rPr>
                <w:rFonts w:hint="eastAsia"/>
                <w:color w:val="auto"/>
                <w:sz w:val="24"/>
                <w:highlight w:val="none"/>
                <w:lang w:val="en-US" w:eastAsia="zh-CN"/>
              </w:rPr>
              <w:t>布袋除尘器的</w:t>
            </w:r>
            <w:r>
              <w:rPr>
                <w:rFonts w:hint="eastAsia"/>
                <w:color w:val="auto"/>
                <w:sz w:val="24"/>
                <w:highlight w:val="none"/>
              </w:rPr>
              <w:t>治理效率为</w:t>
            </w:r>
            <w:r>
              <w:rPr>
                <w:rFonts w:hint="eastAsia"/>
                <w:color w:val="auto"/>
                <w:sz w:val="24"/>
                <w:highlight w:val="none"/>
                <w:lang w:val="en-US" w:eastAsia="zh-CN"/>
              </w:rPr>
              <w:t>9</w:t>
            </w:r>
            <w:r>
              <w:rPr>
                <w:color w:val="auto"/>
                <w:sz w:val="24"/>
                <w:highlight w:val="none"/>
              </w:rPr>
              <w:t>5</w:t>
            </w:r>
            <w:r>
              <w:rPr>
                <w:rFonts w:hint="eastAsia"/>
                <w:color w:val="auto"/>
                <w:sz w:val="24"/>
                <w:highlight w:val="none"/>
              </w:rPr>
              <w:t>%</w:t>
            </w:r>
            <w:r>
              <w:rPr>
                <w:rFonts w:hint="eastAsia"/>
                <w:color w:val="auto"/>
                <w:sz w:val="24"/>
                <w:highlight w:val="none"/>
                <w:lang w:eastAsia="zh-CN"/>
              </w:rPr>
              <w:t>，</w:t>
            </w:r>
            <w:r>
              <w:rPr>
                <w:rFonts w:hint="default" w:ascii="Times New Roman" w:hAnsi="Times New Roman" w:eastAsia="宋体" w:cs="Times New Roman"/>
                <w:color w:val="auto"/>
                <w:sz w:val="24"/>
                <w:szCs w:val="24"/>
                <w:highlight w:val="none"/>
                <w:lang w:val="en-US" w:eastAsia="zh-CN"/>
              </w:rPr>
              <w:t>本环评</w:t>
            </w:r>
            <w:r>
              <w:rPr>
                <w:rFonts w:hint="eastAsia" w:ascii="Times New Roman" w:hAnsi="Times New Roman" w:eastAsia="宋体" w:cs="Times New Roman"/>
                <w:color w:val="auto"/>
                <w:sz w:val="24"/>
                <w:szCs w:val="24"/>
                <w:highlight w:val="none"/>
                <w:lang w:val="en-US" w:eastAsia="zh-CN"/>
              </w:rPr>
              <w:t>布袋除尘器</w:t>
            </w:r>
            <w:r>
              <w:rPr>
                <w:rFonts w:hint="default" w:ascii="Times New Roman" w:hAnsi="Times New Roman" w:eastAsia="宋体" w:cs="Times New Roman"/>
                <w:color w:val="auto"/>
                <w:sz w:val="24"/>
                <w:szCs w:val="24"/>
                <w:highlight w:val="none"/>
                <w:lang w:val="en-US" w:eastAsia="zh-CN"/>
              </w:rPr>
              <w:t>处理效率保守取值为</w:t>
            </w:r>
            <w:r>
              <w:rPr>
                <w:rFonts w:hint="eastAsia" w:ascii="Times New Roman" w:hAnsi="Times New Roman" w:eastAsia="宋体"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en-US" w:eastAsia="zh-CN"/>
              </w:rPr>
              <w:t>0%</w:t>
            </w:r>
            <w:r>
              <w:rPr>
                <w:rFonts w:hint="eastAsia"/>
                <w:color w:val="auto"/>
                <w:sz w:val="24"/>
                <w:highlight w:val="none"/>
              </w:rPr>
              <w:t>。</w:t>
            </w:r>
          </w:p>
          <w:p>
            <w:pPr>
              <w:adjustRightInd w:val="0"/>
              <w:snapToGrid w:val="0"/>
              <w:spacing w:line="360" w:lineRule="auto"/>
              <w:ind w:firstLine="480" w:firstLineChars="200"/>
              <w:rPr>
                <w:rFonts w:hint="default" w:ascii="Times New Roman" w:hAnsi="Times New Roman" w:eastAsia="宋体" w:cs="Times New Roman"/>
                <w:bCs/>
                <w:color w:val="auto"/>
                <w:sz w:val="24"/>
                <w:highlight w:val="yellow"/>
                <w:lang w:val="en-US" w:eastAsia="zh-CN"/>
              </w:rPr>
            </w:pPr>
            <w:r>
              <w:rPr>
                <w:rFonts w:hint="eastAsia" w:ascii="Times New Roman" w:hAnsi="Times New Roman" w:eastAsia="宋体" w:cs="Times New Roman"/>
                <w:bCs/>
                <w:color w:val="auto"/>
                <w:sz w:val="24"/>
                <w:highlight w:val="none"/>
                <w:lang w:val="en-US" w:eastAsia="zh-CN"/>
              </w:rPr>
              <w:t>冷凝回收装置</w:t>
            </w:r>
            <w:r>
              <w:rPr>
                <w:rFonts w:hint="default" w:ascii="Times New Roman" w:hAnsi="Times New Roman" w:eastAsia="宋体" w:cs="Times New Roman"/>
                <w:bCs/>
                <w:color w:val="auto"/>
                <w:sz w:val="24"/>
                <w:highlight w:val="none"/>
              </w:rPr>
              <w:t>工艺流程概述：</w:t>
            </w:r>
            <w:r>
              <w:rPr>
                <w:rFonts w:hint="default" w:ascii="Times New Roman" w:hAnsi="Times New Roman" w:eastAsia="宋体" w:cs="Times New Roman"/>
                <w:bCs/>
                <w:color w:val="auto"/>
                <w:sz w:val="24"/>
                <w:highlight w:val="none"/>
                <w:lang w:val="en-US" w:eastAsia="zh-CN"/>
              </w:rPr>
              <w:t>本项目的烘干工序初段、中段的废气收集的废气温度约为90℃，风量约为</w:t>
            </w:r>
            <w:r>
              <w:rPr>
                <w:rFonts w:hint="eastAsia" w:ascii="Times New Roman" w:hAnsi="Times New Roman" w:eastAsia="宋体" w:cs="Times New Roman"/>
                <w:bCs/>
                <w:color w:val="auto"/>
                <w:sz w:val="24"/>
                <w:highlight w:val="none"/>
                <w:lang w:val="en-US" w:eastAsia="zh-CN"/>
              </w:rPr>
              <w:t>904.32</w:t>
            </w:r>
            <w:r>
              <w:rPr>
                <w:rFonts w:hint="default" w:ascii="Times New Roman" w:hAnsi="Times New Roman" w:eastAsia="宋体" w:cs="Times New Roman"/>
                <w:bCs/>
                <w:color w:val="auto"/>
                <w:sz w:val="24"/>
                <w:highlight w:val="none"/>
                <w:lang w:val="en-US" w:eastAsia="zh-CN"/>
              </w:rPr>
              <w:t>m</w:t>
            </w:r>
            <w:r>
              <w:rPr>
                <w:rFonts w:hint="default" w:ascii="Times New Roman" w:hAnsi="Times New Roman" w:eastAsia="宋体" w:cs="Times New Roman"/>
                <w:bCs/>
                <w:color w:val="auto"/>
                <w:sz w:val="24"/>
                <w:highlight w:val="none"/>
                <w:vertAlign w:val="superscript"/>
                <w:lang w:val="en-US" w:eastAsia="zh-CN"/>
              </w:rPr>
              <w:t>3</w:t>
            </w:r>
            <w:r>
              <w:rPr>
                <w:rFonts w:hint="default" w:ascii="Times New Roman" w:hAnsi="Times New Roman" w:eastAsia="宋体" w:cs="Times New Roman"/>
                <w:bCs/>
                <w:color w:val="auto"/>
                <w:sz w:val="24"/>
                <w:highlight w:val="none"/>
                <w:lang w:val="en-US" w:eastAsia="zh-CN"/>
              </w:rPr>
              <w:t>/h，烘干工序初段、中段的NMP的废气每年的产生量为</w:t>
            </w:r>
            <w:r>
              <w:rPr>
                <w:rFonts w:hint="eastAsia" w:ascii="Times New Roman" w:hAnsi="Times New Roman" w:eastAsia="宋体" w:cs="Times New Roman"/>
                <w:bCs/>
                <w:color w:val="auto"/>
                <w:sz w:val="24"/>
                <w:highlight w:val="none"/>
                <w:lang w:val="en-US" w:eastAsia="zh-CN"/>
              </w:rPr>
              <w:t>16.379</w:t>
            </w:r>
            <w:r>
              <w:rPr>
                <w:rFonts w:hint="default" w:ascii="Times New Roman" w:hAnsi="Times New Roman" w:eastAsia="宋体" w:cs="Times New Roman"/>
                <w:bCs/>
                <w:color w:val="auto"/>
                <w:sz w:val="24"/>
                <w:highlight w:val="none"/>
                <w:lang w:val="en-US" w:eastAsia="zh-CN"/>
              </w:rPr>
              <w:t>t/a，项目涂布工序年工作</w:t>
            </w:r>
            <w:r>
              <w:rPr>
                <w:rFonts w:hint="eastAsia" w:ascii="Times New Roman" w:hAnsi="Times New Roman" w:eastAsia="宋体" w:cs="Times New Roman"/>
                <w:bCs/>
                <w:color w:val="auto"/>
                <w:sz w:val="24"/>
                <w:highlight w:val="none"/>
                <w:lang w:val="en-US" w:eastAsia="zh-CN"/>
              </w:rPr>
              <w:t>2</w:t>
            </w:r>
            <w:r>
              <w:rPr>
                <w:rFonts w:hint="default" w:ascii="Times New Roman" w:hAnsi="Times New Roman" w:eastAsia="宋体" w:cs="Times New Roman"/>
                <w:bCs/>
                <w:color w:val="auto"/>
                <w:sz w:val="24"/>
                <w:highlight w:val="none"/>
                <w:lang w:val="en-US" w:eastAsia="zh-CN"/>
              </w:rPr>
              <w:t>800小时，故NMP的产生浓度为</w:t>
            </w:r>
            <w:r>
              <w:rPr>
                <w:rFonts w:hint="eastAsia" w:ascii="Times New Roman" w:hAnsi="Times New Roman" w:eastAsia="宋体" w:cs="Times New Roman"/>
                <w:bCs/>
                <w:color w:val="auto"/>
                <w:sz w:val="24"/>
                <w:highlight w:val="none"/>
                <w:lang w:val="en-US" w:eastAsia="zh-CN"/>
              </w:rPr>
              <w:t>6468.6</w:t>
            </w:r>
            <w:r>
              <w:rPr>
                <w:rFonts w:hint="default" w:ascii="Times New Roman" w:hAnsi="Times New Roman" w:eastAsia="宋体" w:cs="Times New Roman"/>
                <w:bCs/>
                <w:color w:val="auto"/>
                <w:sz w:val="24"/>
                <w:highlight w:val="none"/>
                <w:lang w:val="en-US" w:eastAsia="zh-CN"/>
              </w:rPr>
              <w:t>mg/m</w:t>
            </w:r>
            <w:r>
              <w:rPr>
                <w:rFonts w:hint="default" w:ascii="Times New Roman" w:hAnsi="Times New Roman" w:eastAsia="宋体" w:cs="Times New Roman"/>
                <w:bCs/>
                <w:color w:val="auto"/>
                <w:sz w:val="24"/>
                <w:highlight w:val="none"/>
                <w:vertAlign w:val="superscript"/>
                <w:lang w:val="en-US" w:eastAsia="zh-CN"/>
              </w:rPr>
              <w:t>3</w:t>
            </w:r>
            <w:r>
              <w:rPr>
                <w:rFonts w:hint="default" w:ascii="Times New Roman" w:hAnsi="Times New Roman" w:eastAsia="宋体" w:cs="Times New Roman"/>
                <w:bCs/>
                <w:color w:val="auto"/>
                <w:sz w:val="24"/>
                <w:highlight w:val="none"/>
                <w:lang w:val="en-US" w:eastAsia="zh-CN"/>
              </w:rPr>
              <w:t>。</w:t>
            </w:r>
            <w:r>
              <w:rPr>
                <w:rFonts w:hint="default" w:ascii="Times New Roman" w:hAnsi="Times New Roman" w:eastAsia="宋体" w:cs="Times New Roman"/>
                <w:bCs/>
                <w:color w:val="auto"/>
                <w:sz w:val="24"/>
                <w:highlight w:val="none"/>
              </w:rPr>
              <w:t>涂布机送出的含较高浓度NMP尾气经气气换热器进行热能回收后，通过循环风机送至两级液气板式换热器进行初级冷凝，经过两级冷凝后进入NMP吸收塔进行处理，</w:t>
            </w:r>
            <w:r>
              <w:rPr>
                <w:rFonts w:hint="default" w:ascii="Times New Roman" w:hAnsi="Times New Roman" w:eastAsia="宋体" w:cs="Times New Roman"/>
                <w:bCs/>
                <w:color w:val="auto"/>
                <w:sz w:val="24"/>
                <w:highlight w:val="none"/>
                <w:lang w:val="en-US" w:eastAsia="zh-CN"/>
              </w:rPr>
              <w:t>根据《排放源统计调查产排污核算方法和系数手册》（384 电池制造行业系数手册），3841锂离子电池制造行业系数表可知冷凝法去除NMP效率可达99.5%。</w:t>
            </w:r>
            <w:r>
              <w:rPr>
                <w:rFonts w:hint="default" w:ascii="Times New Roman" w:hAnsi="Times New Roman" w:eastAsia="宋体" w:cs="Times New Roman"/>
                <w:bCs/>
                <w:color w:val="auto"/>
                <w:sz w:val="24"/>
                <w:highlight w:val="none"/>
                <w:lang w:val="en-US" w:eastAsia="zh-CN"/>
              </w:rPr>
              <w:t>本项目保守取值，</w:t>
            </w:r>
            <w:r>
              <w:rPr>
                <w:rFonts w:hint="default" w:ascii="Times New Roman" w:hAnsi="Times New Roman" w:eastAsia="宋体" w:cs="Times New Roman"/>
                <w:bCs/>
                <w:color w:val="auto"/>
                <w:sz w:val="24"/>
                <w:highlight w:val="none"/>
              </w:rPr>
              <w:t>冷凝效率</w:t>
            </w:r>
            <w:r>
              <w:rPr>
                <w:rFonts w:hint="default" w:ascii="Times New Roman" w:hAnsi="Times New Roman" w:eastAsia="宋体" w:cs="Times New Roman"/>
                <w:bCs/>
                <w:color w:val="auto"/>
                <w:sz w:val="24"/>
                <w:highlight w:val="none"/>
                <w:lang w:val="en-US" w:eastAsia="zh-CN"/>
              </w:rPr>
              <w:t>取</w:t>
            </w:r>
            <w:r>
              <w:rPr>
                <w:rFonts w:hint="default" w:ascii="Times New Roman" w:hAnsi="Times New Roman" w:eastAsia="宋体" w:cs="Times New Roman"/>
                <w:bCs/>
                <w:color w:val="auto"/>
                <w:sz w:val="24"/>
                <w:highlight w:val="none"/>
              </w:rPr>
              <w:t>90%。</w:t>
            </w:r>
            <w:r>
              <w:rPr>
                <w:rFonts w:hint="default" w:ascii="Times New Roman" w:hAnsi="Times New Roman" w:eastAsia="宋体" w:cs="Times New Roman"/>
                <w:bCs/>
                <w:color w:val="auto"/>
                <w:sz w:val="24"/>
                <w:highlight w:val="none"/>
              </w:rPr>
              <w:t>吸收塔分为上、中、下三段，自下而上依次为下塔、中塔、上塔，含NMP气体（温度约40℃）经循环风机送入吸收塔下塔底部，下塔塔顶喷淋吸收液，吸收液降至塔釜后通过循环泵送至塔中后再送至塔顶进行循环吸收，循环液浓度</w:t>
            </w:r>
            <w:r>
              <w:rPr>
                <w:rFonts w:hint="default" w:ascii="Times New Roman" w:hAnsi="Times New Roman" w:eastAsia="宋体" w:cs="Times New Roman"/>
                <w:bCs/>
                <w:color w:val="auto"/>
                <w:sz w:val="24"/>
                <w:highlight w:val="none"/>
                <w:lang w:eastAsia="zh-CN"/>
              </w:rPr>
              <w:t>达到</w:t>
            </w:r>
            <w:r>
              <w:rPr>
                <w:rFonts w:hint="default" w:ascii="Times New Roman" w:hAnsi="Times New Roman" w:eastAsia="宋体" w:cs="Times New Roman"/>
                <w:bCs/>
                <w:color w:val="auto"/>
                <w:sz w:val="24"/>
                <w:highlight w:val="none"/>
                <w:lang w:val="en-US" w:eastAsia="zh-CN"/>
              </w:rPr>
              <w:t>一定</w:t>
            </w:r>
            <w:r>
              <w:rPr>
                <w:rFonts w:hint="default" w:ascii="Times New Roman" w:hAnsi="Times New Roman" w:eastAsia="宋体" w:cs="Times New Roman"/>
                <w:bCs/>
                <w:color w:val="auto"/>
                <w:sz w:val="24"/>
                <w:highlight w:val="none"/>
              </w:rPr>
              <w:t>时，自动送出NMP溶液至NMP收集罐。经下塔吸收后的气体进入吸收中塔、上塔，吸收上塔用低浓度NMP溶液进行循环吸收。</w:t>
            </w:r>
          </w:p>
          <w:p>
            <w:pPr>
              <w:adjustRightInd w:val="0"/>
              <w:snapToGrid w:val="0"/>
              <w:spacing w:line="360" w:lineRule="auto"/>
              <w:ind w:firstLine="480" w:firstLineChars="200"/>
              <w:rPr>
                <w:rFonts w:hint="default" w:ascii="Times New Roman" w:hAnsi="Times New Roman" w:eastAsia="宋体" w:cs="Times New Roman"/>
                <w:color w:val="auto"/>
                <w:szCs w:val="24"/>
                <w:highlight w:val="none"/>
                <w:lang w:val="en-US" w:eastAsia="zh-CN"/>
              </w:rPr>
            </w:pPr>
            <w:r>
              <w:rPr>
                <w:rFonts w:hint="default" w:ascii="Times New Roman" w:hAnsi="Times New Roman" w:cs="Times New Roman"/>
                <w:color w:val="auto"/>
                <w:sz w:val="24"/>
                <w:highlight w:val="none"/>
              </w:rPr>
              <w:t>并拟在NMP回收系统的基础上，增加1套二级活性炭吸附处理设施</w:t>
            </w:r>
            <w:r>
              <w:rPr>
                <w:rFonts w:hint="default" w:ascii="Times New Roman" w:hAnsi="Times New Roman" w:cs="Times New Roman"/>
                <w:color w:val="auto"/>
                <w:sz w:val="24"/>
                <w:highlight w:val="none"/>
                <w:lang w:eastAsia="zh-CN"/>
              </w:rPr>
              <w:t>，</w:t>
            </w:r>
            <w:r>
              <w:rPr>
                <w:rFonts w:hint="default" w:ascii="Times New Roman" w:hAnsi="Times New Roman" w:eastAsia="宋体" w:cs="Times New Roman"/>
                <w:color w:val="auto"/>
                <w:sz w:val="24"/>
                <w:szCs w:val="24"/>
                <w:highlight w:val="none"/>
              </w:rPr>
              <w:t>参考《广东省家具制造行业挥发性有机化合物废气治理技术指南》（粤环[2013]79号）中表4典型治理技术的经济成本及环境效益，活性炭吸附法可达治理效率50-80%</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当存在两种或两种以上治理设施联合治理时，治理效率可按公式n=1-(1-n</w:t>
            </w:r>
            <w:r>
              <w:rPr>
                <w:rFonts w:hint="default" w:ascii="Times New Roman" w:hAnsi="Times New Roman" w:eastAsia="宋体" w:cs="Times New Roman"/>
                <w:color w:val="auto"/>
                <w:sz w:val="24"/>
                <w:szCs w:val="24"/>
                <w:highlight w:val="none"/>
                <w:vertAlign w:val="subscript"/>
              </w:rPr>
              <w:t>1</w:t>
            </w:r>
            <w:r>
              <w:rPr>
                <w:rFonts w:hint="default" w:ascii="Times New Roman" w:hAnsi="Times New Roman" w:eastAsia="宋体" w:cs="Times New Roman"/>
                <w:color w:val="auto"/>
                <w:sz w:val="24"/>
                <w:szCs w:val="24"/>
                <w:highlight w:val="none"/>
              </w:rPr>
              <w:t>)×(1-n</w:t>
            </w:r>
            <w:r>
              <w:rPr>
                <w:rFonts w:hint="default" w:ascii="Times New Roman" w:hAnsi="Times New Roman" w:eastAsia="宋体"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)…(1-n</w:t>
            </w:r>
            <w:r>
              <w:rPr>
                <w:rFonts w:hint="default" w:ascii="Times New Roman" w:hAnsi="Times New Roman" w:eastAsia="宋体" w:cs="Times New Roman"/>
                <w:color w:val="auto"/>
                <w:sz w:val="24"/>
                <w:szCs w:val="24"/>
                <w:highlight w:val="none"/>
                <w:vertAlign w:val="subscript"/>
                <w:lang w:val="en-US" w:eastAsia="zh-CN"/>
              </w:rPr>
              <w:t>n</w:t>
            </w:r>
            <w:r>
              <w:rPr>
                <w:rFonts w:hint="default" w:ascii="Times New Roman" w:hAnsi="Times New Roman" w:eastAsia="宋体" w:cs="Times New Roman"/>
                <w:color w:val="auto"/>
                <w:sz w:val="24"/>
                <w:szCs w:val="24"/>
                <w:highlight w:val="none"/>
              </w:rPr>
              <w:t>)进行计算</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本次分析</w:t>
            </w:r>
            <w:r>
              <w:rPr>
                <w:rFonts w:hint="default" w:ascii="Times New Roman" w:hAnsi="Times New Roman" w:eastAsia="宋体" w:cs="Times New Roman"/>
                <w:color w:val="auto"/>
                <w:sz w:val="24"/>
                <w:szCs w:val="24"/>
                <w:highlight w:val="none"/>
                <w:lang w:val="en-US" w:eastAsia="zh-CN"/>
              </w:rPr>
              <w:t>第一级</w:t>
            </w:r>
            <w:r>
              <w:rPr>
                <w:rFonts w:hint="default" w:ascii="Times New Roman" w:hAnsi="Times New Roman" w:eastAsia="宋体" w:cs="Times New Roman"/>
                <w:color w:val="auto"/>
                <w:sz w:val="24"/>
                <w:szCs w:val="24"/>
                <w:highlight w:val="none"/>
              </w:rPr>
              <w:t>活性炭吸附设施的处理效率</w:t>
            </w:r>
            <w:r>
              <w:rPr>
                <w:rFonts w:hint="default" w:ascii="Times New Roman" w:hAnsi="Times New Roman" w:eastAsia="宋体" w:cs="Times New Roman"/>
                <w:color w:val="auto"/>
                <w:sz w:val="24"/>
                <w:szCs w:val="24"/>
                <w:highlight w:val="none"/>
                <w:lang w:val="en-US" w:eastAsia="zh-CN"/>
              </w:rPr>
              <w:t>取60%</w:t>
            </w:r>
            <w:r>
              <w:rPr>
                <w:rFonts w:hint="default" w:ascii="Times New Roman" w:hAnsi="Times New Roman" w:eastAsia="宋体" w:cs="Times New Roman"/>
                <w:color w:val="auto"/>
                <w:sz w:val="24"/>
                <w:szCs w:val="24"/>
                <w:highlight w:val="none"/>
              </w:rPr>
              <w:t>计，</w:t>
            </w:r>
            <w:r>
              <w:rPr>
                <w:rFonts w:hint="default" w:ascii="Times New Roman" w:hAnsi="Times New Roman" w:eastAsia="宋体" w:cs="Times New Roman"/>
                <w:color w:val="auto"/>
                <w:sz w:val="24"/>
                <w:szCs w:val="24"/>
                <w:highlight w:val="none"/>
                <w:lang w:val="en-US" w:eastAsia="zh-CN"/>
              </w:rPr>
              <w:t>第二级活性炭处理效率按55%计，</w:t>
            </w:r>
            <w:r>
              <w:rPr>
                <w:rFonts w:hint="default" w:ascii="Times New Roman" w:hAnsi="Times New Roman" w:eastAsia="宋体" w:cs="Times New Roman"/>
                <w:color w:val="auto"/>
                <w:sz w:val="24"/>
                <w:szCs w:val="24"/>
                <w:highlight w:val="none"/>
              </w:rPr>
              <w:t>则“二级活性炭吸附”装置的综合处理效率为：1-（1-</w:t>
            </w:r>
            <w:r>
              <w:rPr>
                <w:rFonts w:hint="default" w:ascii="Times New Roman" w:hAnsi="Times New Roman" w:eastAsia="宋体" w:cs="Times New Roman"/>
                <w:color w:val="auto"/>
                <w:sz w:val="24"/>
                <w:szCs w:val="24"/>
                <w:highlight w:val="none"/>
                <w:lang w:val="en-US" w:eastAsia="zh-CN"/>
              </w:rPr>
              <w:t>60</w:t>
            </w:r>
            <w:r>
              <w:rPr>
                <w:rFonts w:hint="default" w:ascii="Times New Roman" w:hAnsi="Times New Roman" w:eastAsia="宋体" w:cs="Times New Roman"/>
                <w:color w:val="auto"/>
                <w:sz w:val="24"/>
                <w:szCs w:val="24"/>
                <w:highlight w:val="none"/>
              </w:rPr>
              <w:t>%）×（1-</w:t>
            </w:r>
            <w:r>
              <w:rPr>
                <w:rFonts w:hint="default" w:ascii="Times New Roman" w:hAnsi="Times New Roman" w:eastAsia="宋体" w:cs="Times New Roman"/>
                <w:color w:val="auto"/>
                <w:sz w:val="24"/>
                <w:szCs w:val="24"/>
                <w:highlight w:val="none"/>
                <w:lang w:val="en-US" w:eastAsia="zh-CN"/>
              </w:rPr>
              <w:t>55</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82</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本环评二级活性炭处理效率保守取值为80%</w:t>
            </w:r>
            <w:r>
              <w:rPr>
                <w:rFonts w:hint="default" w:ascii="Times New Roman" w:hAnsi="Times New Roman" w:eastAsia="宋体" w:cs="Times New Roman"/>
                <w:color w:val="auto"/>
                <w:sz w:val="24"/>
                <w:szCs w:val="24"/>
                <w:highlight w:val="none"/>
              </w:rPr>
              <w:t>。</w:t>
            </w:r>
          </w:p>
          <w:p>
            <w:pPr>
              <w:spacing w:line="360" w:lineRule="auto"/>
              <w:jc w:val="center"/>
              <w:rPr>
                <w:rFonts w:hint="default" w:ascii="Times New Roman" w:hAnsi="Times New Roman" w:cs="Times New Roman"/>
                <w:b/>
                <w:bCs/>
                <w:color w:val="auto"/>
                <w:sz w:val="24"/>
                <w:szCs w:val="32"/>
                <w:highlight w:val="none"/>
              </w:rPr>
            </w:pPr>
            <w:r>
              <w:rPr>
                <w:rFonts w:hint="default" w:ascii="Times New Roman" w:hAnsi="Times New Roman" w:cs="Times New Roman"/>
                <w:b/>
                <w:bCs/>
                <w:color w:val="auto"/>
                <w:sz w:val="24"/>
                <w:szCs w:val="32"/>
                <w:highlight w:val="none"/>
              </w:rPr>
              <w:t>表4-1</w:t>
            </w:r>
            <w:r>
              <w:rPr>
                <w:rFonts w:hint="eastAsia" w:ascii="Times New Roman" w:hAnsi="Times New Roman" w:cs="Times New Roman"/>
                <w:b/>
                <w:bCs/>
                <w:color w:val="auto"/>
                <w:sz w:val="24"/>
                <w:szCs w:val="32"/>
                <w:highlight w:val="none"/>
                <w:lang w:val="en-US" w:eastAsia="zh-CN"/>
              </w:rPr>
              <w:t>3</w:t>
            </w:r>
            <w:r>
              <w:rPr>
                <w:rFonts w:hint="default" w:ascii="Times New Roman" w:hAnsi="Times New Roman" w:cs="Times New Roman"/>
                <w:b/>
                <w:bCs/>
                <w:color w:val="auto"/>
                <w:sz w:val="24"/>
                <w:szCs w:val="32"/>
                <w:highlight w:val="none"/>
              </w:rPr>
              <w:t xml:space="preserve"> 废气收集及治理措施汇总表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5"/>
              <w:gridCol w:w="1482"/>
              <w:gridCol w:w="849"/>
              <w:gridCol w:w="744"/>
              <w:gridCol w:w="1289"/>
              <w:gridCol w:w="1142"/>
              <w:gridCol w:w="1230"/>
              <w:gridCol w:w="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8" w:hRule="atLeast"/>
              </w:trPr>
              <w:tc>
                <w:tcPr>
                  <w:tcW w:w="605"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lang w:bidi="ar"/>
                    </w:rPr>
                    <w:t>产污工序</w:t>
                  </w:r>
                </w:p>
              </w:tc>
              <w:tc>
                <w:tcPr>
                  <w:tcW w:w="875"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lang w:bidi="ar"/>
                    </w:rPr>
                    <w:t>污染物</w:t>
                  </w:r>
                </w:p>
              </w:tc>
              <w:tc>
                <w:tcPr>
                  <w:tcW w:w="501"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lang w:bidi="ar"/>
                    </w:rPr>
                    <w:t>排放形式</w:t>
                  </w:r>
                </w:p>
              </w:tc>
              <w:tc>
                <w:tcPr>
                  <w:tcW w:w="439"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lang w:bidi="ar"/>
                    </w:rPr>
                    <w:t>收集效率（%）</w:t>
                  </w:r>
                </w:p>
              </w:tc>
              <w:tc>
                <w:tcPr>
                  <w:tcW w:w="2578" w:type="pct"/>
                  <w:gridSpan w:val="4"/>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lang w:bidi="ar"/>
                    </w:rPr>
                    <w:t>治理措施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2" w:hRule="atLeast"/>
              </w:trPr>
              <w:tc>
                <w:tcPr>
                  <w:tcW w:w="605"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highlight w:val="none"/>
                    </w:rPr>
                  </w:pPr>
                </w:p>
              </w:tc>
              <w:tc>
                <w:tcPr>
                  <w:tcW w:w="875"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highlight w:val="none"/>
                    </w:rPr>
                  </w:pPr>
                </w:p>
              </w:tc>
              <w:tc>
                <w:tcPr>
                  <w:tcW w:w="501"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highlight w:val="none"/>
                    </w:rPr>
                  </w:pPr>
                </w:p>
              </w:tc>
              <w:tc>
                <w:tcPr>
                  <w:tcW w:w="439" w:type="pct"/>
                  <w:vMerge w:val="continue"/>
                  <w:noWrap w:val="0"/>
                  <w:tcMar>
                    <w:top w:w="15" w:type="dxa"/>
                    <w:left w:w="15" w:type="dxa"/>
                    <w:right w:w="15" w:type="dxa"/>
                  </w:tcMar>
                  <w:vAlign w:val="center"/>
                </w:tcPr>
                <w:p>
                  <w:pPr>
                    <w:widowControl/>
                    <w:adjustRightInd w:val="0"/>
                    <w:snapToGrid w:val="0"/>
                    <w:jc w:val="center"/>
                    <w:rPr>
                      <w:rFonts w:hint="default" w:ascii="Times New Roman" w:hAnsi="Times New Roman" w:cs="Times New Roman"/>
                      <w:b/>
                      <w:color w:val="auto"/>
                      <w:szCs w:val="21"/>
                      <w:highlight w:val="none"/>
                    </w:rPr>
                  </w:pPr>
                </w:p>
              </w:tc>
              <w:tc>
                <w:tcPr>
                  <w:tcW w:w="76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lang w:bidi="ar"/>
                    </w:rPr>
                    <w:t>设计风量（m</w:t>
                  </w:r>
                  <w:r>
                    <w:rPr>
                      <w:rFonts w:hint="default" w:ascii="Times New Roman" w:hAnsi="Times New Roman" w:cs="Times New Roman"/>
                      <w:b/>
                      <w:color w:val="auto"/>
                      <w:kern w:val="0"/>
                      <w:szCs w:val="21"/>
                      <w:highlight w:val="none"/>
                      <w:vertAlign w:val="superscript"/>
                      <w:lang w:bidi="ar"/>
                    </w:rPr>
                    <w:t>3</w:t>
                  </w:r>
                  <w:r>
                    <w:rPr>
                      <w:rFonts w:hint="default" w:ascii="Times New Roman" w:hAnsi="Times New Roman" w:cs="Times New Roman"/>
                      <w:b/>
                      <w:color w:val="auto"/>
                      <w:kern w:val="0"/>
                      <w:szCs w:val="21"/>
                      <w:highlight w:val="none"/>
                      <w:lang w:bidi="ar"/>
                    </w:rPr>
                    <w:t>/h）</w:t>
                  </w:r>
                </w:p>
              </w:tc>
              <w:tc>
                <w:tcPr>
                  <w:tcW w:w="67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lang w:bidi="ar"/>
                    </w:rPr>
                    <w:t>设计处理效率（%）</w:t>
                  </w:r>
                </w:p>
              </w:tc>
              <w:tc>
                <w:tcPr>
                  <w:tcW w:w="72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lang w:bidi="ar"/>
                    </w:rPr>
                    <w:t>工艺</w:t>
                  </w:r>
                </w:p>
              </w:tc>
              <w:tc>
                <w:tcPr>
                  <w:tcW w:w="41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color w:val="auto"/>
                      <w:szCs w:val="21"/>
                      <w:highlight w:val="none"/>
                    </w:rPr>
                  </w:pPr>
                  <w:r>
                    <w:rPr>
                      <w:rFonts w:hint="default" w:ascii="Times New Roman" w:hAnsi="Times New Roman" w:cs="Times New Roman"/>
                      <w:b/>
                      <w:color w:val="auto"/>
                      <w:kern w:val="0"/>
                      <w:szCs w:val="21"/>
                      <w:highlight w:val="none"/>
                      <w:lang w:bidi="ar"/>
                    </w:rPr>
                    <w:t>是否为可行技术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6" w:hRule="atLeast"/>
              </w:trPr>
              <w:tc>
                <w:tcPr>
                  <w:tcW w:w="605"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eastAsia="zh-CN" w:bidi="ar"/>
                    </w:rPr>
                  </w:pPr>
                  <w:r>
                    <w:rPr>
                      <w:rFonts w:hint="default" w:ascii="Times New Roman" w:hAnsi="Times New Roman" w:cs="Times New Roman"/>
                      <w:color w:val="auto"/>
                      <w:kern w:val="0"/>
                      <w:szCs w:val="21"/>
                      <w:highlight w:val="none"/>
                      <w:lang w:val="en-US" w:eastAsia="zh-CN" w:bidi="ar"/>
                    </w:rPr>
                    <w:t>投料</w:t>
                  </w:r>
                </w:p>
              </w:tc>
              <w:tc>
                <w:tcPr>
                  <w:tcW w:w="87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颗粒物</w:t>
                  </w:r>
                </w:p>
              </w:tc>
              <w:tc>
                <w:tcPr>
                  <w:tcW w:w="501"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eastAsia" w:ascii="Times New Roman" w:hAnsi="Times New Roman" w:cs="Times New Roman"/>
                      <w:color w:val="auto"/>
                      <w:kern w:val="0"/>
                      <w:szCs w:val="21"/>
                      <w:highlight w:val="none"/>
                      <w:lang w:val="en-US" w:eastAsia="zh-CN" w:bidi="ar"/>
                    </w:rPr>
                    <w:t>有</w:t>
                  </w:r>
                  <w:r>
                    <w:rPr>
                      <w:rFonts w:hint="default" w:ascii="Times New Roman" w:hAnsi="Times New Roman" w:cs="Times New Roman"/>
                      <w:color w:val="auto"/>
                      <w:kern w:val="0"/>
                      <w:szCs w:val="21"/>
                      <w:highlight w:val="none"/>
                      <w:lang w:bidi="ar"/>
                    </w:rPr>
                    <w:t>组织</w:t>
                  </w:r>
                </w:p>
              </w:tc>
              <w:tc>
                <w:tcPr>
                  <w:tcW w:w="439"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40</w:t>
                  </w:r>
                </w:p>
              </w:tc>
              <w:tc>
                <w:tcPr>
                  <w:tcW w:w="761" w:type="pct"/>
                  <w:vMerge w:val="restart"/>
                  <w:noWrap w:val="0"/>
                  <w:tcMar>
                    <w:top w:w="15" w:type="dxa"/>
                    <w:left w:w="15" w:type="dxa"/>
                    <w:right w:w="15" w:type="dxa"/>
                  </w:tcMar>
                  <w:vAlign w:val="center"/>
                </w:tcPr>
                <w:p>
                  <w:pPr>
                    <w:adjustRightInd w:val="0"/>
                    <w:snapToGrid w:val="0"/>
                    <w:jc w:val="center"/>
                    <w:textAlignment w:val="center"/>
                    <w:rPr>
                      <w:rFonts w:hint="default" w:ascii="Times New Roman" w:hAnsi="Times New Roman" w:cs="Times New Roman"/>
                      <w:color w:val="auto"/>
                      <w:kern w:val="0"/>
                      <w:szCs w:val="21"/>
                      <w:highlight w:val="none"/>
                      <w:lang w:bidi="ar"/>
                    </w:rPr>
                  </w:pPr>
                  <w:r>
                    <w:rPr>
                      <w:rFonts w:hint="eastAsia" w:ascii="Times New Roman" w:hAnsi="Times New Roman" w:cs="Times New Roman"/>
                      <w:color w:val="auto"/>
                      <w:kern w:val="0"/>
                      <w:szCs w:val="21"/>
                      <w:highlight w:val="none"/>
                      <w:lang w:val="en-US" w:eastAsia="zh-CN" w:bidi="ar"/>
                    </w:rPr>
                    <w:t>11</w:t>
                  </w:r>
                  <w:r>
                    <w:rPr>
                      <w:rFonts w:hint="default" w:ascii="Times New Roman" w:hAnsi="Times New Roman" w:cs="Times New Roman"/>
                      <w:color w:val="auto"/>
                      <w:kern w:val="0"/>
                      <w:szCs w:val="21"/>
                      <w:highlight w:val="none"/>
                      <w:lang w:val="en-US" w:eastAsia="zh-CN" w:bidi="ar"/>
                    </w:rPr>
                    <w:t>0</w:t>
                  </w:r>
                  <w:r>
                    <w:rPr>
                      <w:rFonts w:hint="default" w:ascii="Times New Roman" w:hAnsi="Times New Roman" w:cs="Times New Roman"/>
                      <w:color w:val="auto"/>
                      <w:kern w:val="0"/>
                      <w:szCs w:val="21"/>
                      <w:highlight w:val="none"/>
                      <w:lang w:bidi="ar"/>
                    </w:rPr>
                    <w:t>00</w:t>
                  </w:r>
                </w:p>
              </w:tc>
              <w:tc>
                <w:tcPr>
                  <w:tcW w:w="674"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80</w:t>
                  </w:r>
                </w:p>
              </w:tc>
              <w:tc>
                <w:tcPr>
                  <w:tcW w:w="726" w:type="pct"/>
                  <w:vMerge w:val="restart"/>
                  <w:noWrap w:val="0"/>
                  <w:tcMar>
                    <w:top w:w="15" w:type="dxa"/>
                    <w:left w:w="15" w:type="dxa"/>
                    <w:right w:w="15" w:type="dxa"/>
                  </w:tcMar>
                  <w:vAlign w:val="center"/>
                </w:tcPr>
                <w:p>
                  <w:pPr>
                    <w:adjustRightInd w:val="0"/>
                    <w:snapToGrid w:val="0"/>
                    <w:jc w:val="center"/>
                    <w:textAlignment w:val="center"/>
                    <w:rPr>
                      <w:rFonts w:hint="default"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布袋除尘器</w:t>
                  </w:r>
                </w:p>
              </w:tc>
              <w:tc>
                <w:tcPr>
                  <w:tcW w:w="416"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eastAsia="zh-CN" w:bidi="ar"/>
                    </w:rPr>
                  </w:pPr>
                  <w:r>
                    <w:rPr>
                      <w:rFonts w:hint="eastAsia" w:ascii="Times New Roman" w:hAnsi="Times New Roman" w:eastAsia="宋体" w:cs="Times New Roman"/>
                      <w:color w:val="auto"/>
                      <w:kern w:val="0"/>
                      <w:szCs w:val="21"/>
                      <w:highlight w:val="none"/>
                      <w:lang w:val="en-US" w:eastAsia="zh-CN"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6" w:hRule="atLeast"/>
              </w:trPr>
              <w:tc>
                <w:tcPr>
                  <w:tcW w:w="605"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p>
              </w:tc>
              <w:tc>
                <w:tcPr>
                  <w:tcW w:w="875" w:type="pct"/>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碳黑</w:t>
                  </w:r>
                </w:p>
              </w:tc>
              <w:tc>
                <w:tcPr>
                  <w:tcW w:w="501" w:type="pct"/>
                  <w:vMerge w:val="continue"/>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cs="Times New Roman"/>
                      <w:color w:val="auto"/>
                      <w:kern w:val="0"/>
                      <w:szCs w:val="21"/>
                      <w:highlight w:val="none"/>
                      <w:lang w:val="en-US" w:eastAsia="zh-CN" w:bidi="ar"/>
                    </w:rPr>
                  </w:pPr>
                </w:p>
              </w:tc>
              <w:tc>
                <w:tcPr>
                  <w:tcW w:w="439" w:type="pct"/>
                  <w:vMerge w:val="continue"/>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Cs w:val="21"/>
                      <w:highlight w:val="none"/>
                      <w:lang w:val="en-US" w:eastAsia="zh-CN" w:bidi="ar"/>
                    </w:rPr>
                  </w:pPr>
                </w:p>
              </w:tc>
              <w:tc>
                <w:tcPr>
                  <w:tcW w:w="761" w:type="pct"/>
                  <w:vMerge w:val="continue"/>
                  <w:noWrap w:val="0"/>
                  <w:tcMar>
                    <w:top w:w="15" w:type="dxa"/>
                    <w:left w:w="15" w:type="dxa"/>
                    <w:right w:w="15" w:type="dxa"/>
                  </w:tcMar>
                  <w:vAlign w:val="center"/>
                </w:tcPr>
                <w:p>
                  <w:pPr>
                    <w:adjustRightInd w:val="0"/>
                    <w:snapToGrid w:val="0"/>
                    <w:jc w:val="center"/>
                    <w:textAlignment w:val="center"/>
                    <w:rPr>
                      <w:rFonts w:hint="eastAsia" w:ascii="Times New Roman" w:hAnsi="Times New Roman" w:cs="Times New Roman"/>
                      <w:color w:val="auto"/>
                      <w:kern w:val="0"/>
                      <w:szCs w:val="21"/>
                      <w:highlight w:val="none"/>
                      <w:lang w:val="en-US" w:eastAsia="zh-CN" w:bidi="ar"/>
                    </w:rPr>
                  </w:pPr>
                </w:p>
              </w:tc>
              <w:tc>
                <w:tcPr>
                  <w:tcW w:w="674" w:type="pct"/>
                  <w:vMerge w:val="continue"/>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Cs w:val="21"/>
                      <w:highlight w:val="none"/>
                      <w:lang w:val="en-US" w:eastAsia="zh-CN" w:bidi="ar"/>
                    </w:rPr>
                  </w:pPr>
                </w:p>
              </w:tc>
              <w:tc>
                <w:tcPr>
                  <w:tcW w:w="726" w:type="pct"/>
                  <w:vMerge w:val="continue"/>
                  <w:noWrap w:val="0"/>
                  <w:tcMar>
                    <w:top w:w="15" w:type="dxa"/>
                    <w:left w:w="15" w:type="dxa"/>
                    <w:right w:w="15" w:type="dxa"/>
                  </w:tcMar>
                  <w:vAlign w:val="center"/>
                </w:tcPr>
                <w:p>
                  <w:pPr>
                    <w:adjustRightInd w:val="0"/>
                    <w:snapToGrid w:val="0"/>
                    <w:jc w:val="center"/>
                    <w:textAlignment w:val="center"/>
                    <w:rPr>
                      <w:rFonts w:hint="eastAsia" w:ascii="Times New Roman" w:hAnsi="Times New Roman" w:cs="Times New Roman"/>
                      <w:color w:val="auto"/>
                      <w:highlight w:val="none"/>
                      <w:lang w:val="en-US" w:eastAsia="zh-CN"/>
                    </w:rPr>
                  </w:pPr>
                </w:p>
              </w:tc>
              <w:tc>
                <w:tcPr>
                  <w:tcW w:w="416" w:type="pct"/>
                  <w:vMerge w:val="continue"/>
                  <w:noWrap w:val="0"/>
                  <w:tcMar>
                    <w:top w:w="15" w:type="dxa"/>
                    <w:left w:w="15" w:type="dxa"/>
                    <w:right w:w="15" w:type="dxa"/>
                  </w:tcMar>
                  <w:vAlign w:val="center"/>
                </w:tcPr>
                <w:p>
                  <w:pPr>
                    <w:widowControl/>
                    <w:adjustRightInd w:val="0"/>
                    <w:snapToGrid w:val="0"/>
                    <w:jc w:val="center"/>
                    <w:textAlignment w:val="center"/>
                    <w:rPr>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0" w:hRule="atLeast"/>
              </w:trPr>
              <w:tc>
                <w:tcPr>
                  <w:tcW w:w="6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涂布</w:t>
                  </w:r>
                  <w:r>
                    <w:rPr>
                      <w:rFonts w:hint="eastAsia" w:ascii="Times New Roman" w:hAnsi="Times New Roman" w:cs="Times New Roman"/>
                      <w:color w:val="auto"/>
                      <w:kern w:val="0"/>
                      <w:szCs w:val="21"/>
                      <w:highlight w:val="none"/>
                      <w:lang w:val="en-US" w:eastAsia="zh-CN" w:bidi="ar"/>
                    </w:rPr>
                    <w:t>工序</w:t>
                  </w:r>
                </w:p>
              </w:tc>
              <w:tc>
                <w:tcPr>
                  <w:tcW w:w="87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非甲烷总烃</w:t>
                  </w:r>
                </w:p>
              </w:tc>
              <w:tc>
                <w:tcPr>
                  <w:tcW w:w="501" w:type="pct"/>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有组织</w:t>
                  </w:r>
                </w:p>
              </w:tc>
              <w:tc>
                <w:tcPr>
                  <w:tcW w:w="4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95</w:t>
                  </w:r>
                </w:p>
              </w:tc>
              <w:tc>
                <w:tcPr>
                  <w:tcW w:w="761" w:type="pct"/>
                  <w:vMerge w:val="continue"/>
                  <w:noWrap w:val="0"/>
                  <w:tcMar>
                    <w:top w:w="15" w:type="dxa"/>
                    <w:left w:w="15" w:type="dxa"/>
                    <w:right w:w="15" w:type="dxa"/>
                  </w:tcMar>
                  <w:vAlign w:val="center"/>
                </w:tcPr>
                <w:p>
                  <w:pPr>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67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80</w:t>
                  </w:r>
                </w:p>
              </w:tc>
              <w:tc>
                <w:tcPr>
                  <w:tcW w:w="72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二级活性炭</w:t>
                  </w:r>
                </w:p>
              </w:tc>
              <w:tc>
                <w:tcPr>
                  <w:tcW w:w="416" w:type="pct"/>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2" w:hRule="atLeast"/>
              </w:trPr>
              <w:tc>
                <w:tcPr>
                  <w:tcW w:w="6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烘干工序的初、中段</w:t>
                  </w:r>
                </w:p>
              </w:tc>
              <w:tc>
                <w:tcPr>
                  <w:tcW w:w="87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eastAsia="zh-CN" w:bidi="ar"/>
                    </w:rPr>
                  </w:pPr>
                  <w:r>
                    <w:rPr>
                      <w:rFonts w:hint="default" w:ascii="Times New Roman" w:hAnsi="Times New Roman" w:cs="Times New Roman"/>
                      <w:color w:val="auto"/>
                      <w:kern w:val="0"/>
                      <w:szCs w:val="21"/>
                      <w:highlight w:val="none"/>
                      <w:lang w:val="en-US" w:eastAsia="zh-CN" w:bidi="ar"/>
                    </w:rPr>
                    <w:t>非甲烷总烃</w:t>
                  </w:r>
                </w:p>
              </w:tc>
              <w:tc>
                <w:tcPr>
                  <w:tcW w:w="50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有组织</w:t>
                  </w:r>
                </w:p>
              </w:tc>
              <w:tc>
                <w:tcPr>
                  <w:tcW w:w="4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95</w:t>
                  </w:r>
                </w:p>
              </w:tc>
              <w:tc>
                <w:tcPr>
                  <w:tcW w:w="761" w:type="pct"/>
                  <w:vMerge w:val="continue"/>
                  <w:noWrap w:val="0"/>
                  <w:tcMar>
                    <w:top w:w="15" w:type="dxa"/>
                    <w:left w:w="15" w:type="dxa"/>
                    <w:right w:w="15" w:type="dxa"/>
                  </w:tcMar>
                  <w:vAlign w:val="center"/>
                </w:tcPr>
                <w:p>
                  <w:pPr>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674"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98</w:t>
                  </w:r>
                </w:p>
              </w:tc>
              <w:tc>
                <w:tcPr>
                  <w:tcW w:w="72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冷凝回收系统</w:t>
                  </w:r>
                  <w:r>
                    <w:rPr>
                      <w:rFonts w:hint="default" w:ascii="Times New Roman" w:hAnsi="Times New Roman" w:cs="Times New Roman"/>
                      <w:color w:val="auto"/>
                      <w:highlight w:val="none"/>
                    </w:rPr>
                    <w:t>+二级活性炭</w:t>
                  </w:r>
                </w:p>
              </w:tc>
              <w:tc>
                <w:tcPr>
                  <w:tcW w:w="41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0" w:hRule="atLeast"/>
              </w:trPr>
              <w:tc>
                <w:tcPr>
                  <w:tcW w:w="6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烘干工序的尾段</w:t>
                  </w:r>
                </w:p>
              </w:tc>
              <w:tc>
                <w:tcPr>
                  <w:tcW w:w="87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非甲烷总烃</w:t>
                  </w:r>
                </w:p>
              </w:tc>
              <w:tc>
                <w:tcPr>
                  <w:tcW w:w="50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有组织</w:t>
                  </w:r>
                </w:p>
              </w:tc>
              <w:tc>
                <w:tcPr>
                  <w:tcW w:w="4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60</w:t>
                  </w:r>
                </w:p>
              </w:tc>
              <w:tc>
                <w:tcPr>
                  <w:tcW w:w="761" w:type="pct"/>
                  <w:vMerge w:val="continue"/>
                  <w:noWrap w:val="0"/>
                  <w:tcMar>
                    <w:top w:w="15" w:type="dxa"/>
                    <w:left w:w="15" w:type="dxa"/>
                    <w:right w:w="15" w:type="dxa"/>
                  </w:tcMar>
                  <w:vAlign w:val="center"/>
                </w:tcPr>
                <w:p>
                  <w:pPr>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p>
              </w:tc>
              <w:tc>
                <w:tcPr>
                  <w:tcW w:w="674"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80</w:t>
                  </w:r>
                </w:p>
              </w:tc>
              <w:tc>
                <w:tcPr>
                  <w:tcW w:w="726"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二级活性炭</w:t>
                  </w:r>
                </w:p>
              </w:tc>
              <w:tc>
                <w:tcPr>
                  <w:tcW w:w="416"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bidi="ar"/>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0" w:hRule="atLeast"/>
              </w:trPr>
              <w:tc>
                <w:tcPr>
                  <w:tcW w:w="60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eastAsia="zh-CN" w:bidi="ar"/>
                    </w:rPr>
                  </w:pPr>
                  <w:r>
                    <w:rPr>
                      <w:rFonts w:hint="default" w:ascii="Times New Roman" w:hAnsi="Times New Roman" w:cs="Times New Roman"/>
                      <w:color w:val="auto"/>
                      <w:kern w:val="0"/>
                      <w:szCs w:val="21"/>
                      <w:highlight w:val="none"/>
                      <w:lang w:val="en-US" w:eastAsia="zh-CN" w:bidi="ar"/>
                    </w:rPr>
                    <w:t>注液</w:t>
                  </w:r>
                  <w:r>
                    <w:rPr>
                      <w:rFonts w:hint="eastAsia" w:cs="Times New Roman"/>
                      <w:color w:val="auto"/>
                      <w:kern w:val="0"/>
                      <w:szCs w:val="21"/>
                      <w:highlight w:val="none"/>
                      <w:lang w:val="en-US" w:eastAsia="zh-CN" w:bidi="ar"/>
                    </w:rPr>
                    <w:t>、</w:t>
                  </w:r>
                  <w:r>
                    <w:rPr>
                      <w:rFonts w:hint="default" w:ascii="Times New Roman" w:hAnsi="Times New Roman" w:cs="Times New Roman"/>
                      <w:color w:val="auto"/>
                      <w:kern w:val="0"/>
                      <w:szCs w:val="21"/>
                      <w:highlight w:val="none"/>
                      <w:lang w:val="en-US" w:eastAsia="zh-CN" w:bidi="ar"/>
                    </w:rPr>
                    <w:t>二封</w:t>
                  </w:r>
                </w:p>
              </w:tc>
              <w:tc>
                <w:tcPr>
                  <w:tcW w:w="875" w:type="pct"/>
                  <w:noWrap w:val="0"/>
                  <w:tcMar>
                    <w:top w:w="15" w:type="dxa"/>
                    <w:left w:w="15" w:type="dxa"/>
                    <w:right w:w="15" w:type="dxa"/>
                  </w:tcMar>
                  <w:vAlign w:val="top"/>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eastAsia="zh-CN" w:bidi="ar"/>
                    </w:rPr>
                  </w:pPr>
                  <w:r>
                    <w:rPr>
                      <w:rFonts w:hint="default" w:ascii="Times New Roman" w:hAnsi="Times New Roman" w:cs="Times New Roman"/>
                      <w:color w:val="auto"/>
                      <w:szCs w:val="21"/>
                      <w:highlight w:val="none"/>
                      <w:lang w:val="en-US" w:eastAsia="zh-CN"/>
                    </w:rPr>
                    <w:t>非甲烷总烃</w:t>
                  </w:r>
                </w:p>
              </w:tc>
              <w:tc>
                <w:tcPr>
                  <w:tcW w:w="501"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有组织</w:t>
                  </w:r>
                </w:p>
              </w:tc>
              <w:tc>
                <w:tcPr>
                  <w:tcW w:w="4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95</w:t>
                  </w:r>
                </w:p>
              </w:tc>
              <w:tc>
                <w:tcPr>
                  <w:tcW w:w="761" w:type="pct"/>
                  <w:vMerge w:val="continue"/>
                  <w:noWrap w:val="0"/>
                  <w:tcMar>
                    <w:top w:w="15" w:type="dxa"/>
                    <w:left w:w="15" w:type="dxa"/>
                    <w:right w:w="15" w:type="dxa"/>
                  </w:tcMar>
                  <w:vAlign w:val="center"/>
                </w:tcPr>
                <w:p>
                  <w:pPr>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674"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c>
                <w:tcPr>
                  <w:tcW w:w="726"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highlight w:val="none"/>
                    </w:rPr>
                  </w:pPr>
                </w:p>
              </w:tc>
              <w:tc>
                <w:tcPr>
                  <w:tcW w:w="416"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p>
              </w:tc>
            </w:tr>
          </w:tbl>
          <w:p>
            <w:pPr>
              <w:adjustRightInd w:val="0"/>
              <w:snapToGri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4、排放源强及达标分析</w:t>
            </w:r>
          </w:p>
          <w:p>
            <w:pPr>
              <w:adjustRightInd w:val="0"/>
              <w:snapToGrid w:val="0"/>
              <w:spacing w:line="360" w:lineRule="auto"/>
              <w:ind w:firstLine="482" w:firstLineChars="200"/>
              <w:jc w:val="center"/>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表4-</w:t>
            </w:r>
            <w:r>
              <w:rPr>
                <w:rFonts w:hint="eastAsia" w:ascii="Times New Roman" w:hAnsi="Times New Roman" w:cs="Times New Roman"/>
                <w:b/>
                <w:bCs/>
                <w:color w:val="auto"/>
                <w:sz w:val="24"/>
                <w:highlight w:val="none"/>
                <w:lang w:val="en-US" w:eastAsia="zh-CN"/>
              </w:rPr>
              <w:t>14</w:t>
            </w:r>
            <w:r>
              <w:rPr>
                <w:rFonts w:hint="default" w:ascii="Times New Roman" w:hAnsi="Times New Roman" w:cs="Times New Roman"/>
                <w:b/>
                <w:bCs/>
                <w:color w:val="auto"/>
                <w:sz w:val="24"/>
                <w:highlight w:val="none"/>
              </w:rPr>
              <w:t xml:space="preserve"> 各工序废气产生量汇总</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380"/>
              <w:gridCol w:w="1129"/>
              <w:gridCol w:w="1421"/>
              <w:gridCol w:w="1212"/>
              <w:gridCol w:w="1083"/>
              <w:gridCol w:w="1083"/>
              <w:gridCol w:w="1083"/>
              <w:gridCol w:w="1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7" w:hRule="atLeast"/>
              </w:trPr>
              <w:tc>
                <w:tcPr>
                  <w:tcW w:w="224" w:type="pct"/>
                  <w:noWrap w:val="0"/>
                  <w:vAlign w:val="center"/>
                </w:tcPr>
                <w:p>
                  <w:pPr>
                    <w:widowControl/>
                    <w:adjustRightInd w:val="0"/>
                    <w:snapToGrid w:val="0"/>
                    <w:jc w:val="center"/>
                    <w:textAlignment w:val="center"/>
                    <w:rPr>
                      <w:rFonts w:hint="default" w:ascii="Times New Roman" w:hAnsi="Times New Roman" w:cs="Times New Roman"/>
                      <w:b/>
                      <w:bCs w:val="0"/>
                      <w:color w:val="auto"/>
                      <w:kern w:val="0"/>
                      <w:szCs w:val="21"/>
                      <w:highlight w:val="none"/>
                      <w:lang w:bidi="ar"/>
                    </w:rPr>
                  </w:pPr>
                  <w:r>
                    <w:rPr>
                      <w:rFonts w:hint="default" w:ascii="Times New Roman" w:hAnsi="Times New Roman" w:cs="Times New Roman"/>
                      <w:b/>
                      <w:bCs w:val="0"/>
                      <w:color w:val="auto"/>
                      <w:kern w:val="0"/>
                      <w:szCs w:val="21"/>
                      <w:highlight w:val="none"/>
                      <w:lang w:bidi="ar"/>
                    </w:rPr>
                    <w:t>序号</w:t>
                  </w:r>
                </w:p>
              </w:tc>
              <w:tc>
                <w:tcPr>
                  <w:tcW w:w="66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kern w:val="0"/>
                      <w:szCs w:val="21"/>
                      <w:highlight w:val="none"/>
                      <w:lang w:bidi="ar"/>
                    </w:rPr>
                    <w:t>产污工序</w:t>
                  </w:r>
                </w:p>
              </w:tc>
              <w:tc>
                <w:tcPr>
                  <w:tcW w:w="83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kern w:val="0"/>
                      <w:szCs w:val="21"/>
                      <w:highlight w:val="none"/>
                      <w:lang w:bidi="ar"/>
                    </w:rPr>
                    <w:t>污染物</w:t>
                  </w:r>
                </w:p>
              </w:tc>
              <w:tc>
                <w:tcPr>
                  <w:tcW w:w="71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kern w:val="0"/>
                      <w:szCs w:val="21"/>
                      <w:highlight w:val="none"/>
                      <w:lang w:bidi="ar"/>
                    </w:rPr>
                    <w:t>产生量（t/a）</w:t>
                  </w:r>
                </w:p>
              </w:tc>
              <w:tc>
                <w:tcPr>
                  <w:tcW w:w="6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b/>
                      <w:bCs w:val="0"/>
                      <w:color w:val="auto"/>
                      <w:szCs w:val="21"/>
                      <w:highlight w:val="none"/>
                    </w:rPr>
                  </w:pPr>
                  <w:r>
                    <w:rPr>
                      <w:rFonts w:hint="default" w:ascii="Times New Roman" w:hAnsi="Times New Roman" w:cs="Times New Roman"/>
                      <w:b/>
                      <w:bCs w:val="0"/>
                      <w:color w:val="auto"/>
                      <w:kern w:val="0"/>
                      <w:szCs w:val="21"/>
                      <w:highlight w:val="none"/>
                      <w:lang w:bidi="ar"/>
                    </w:rPr>
                    <w:t>收集率（%）</w:t>
                  </w:r>
                </w:p>
              </w:tc>
              <w:tc>
                <w:tcPr>
                  <w:tcW w:w="639" w:type="pct"/>
                  <w:noWrap w:val="0"/>
                  <w:vAlign w:val="center"/>
                </w:tcPr>
                <w:p>
                  <w:pPr>
                    <w:widowControl/>
                    <w:adjustRightInd w:val="0"/>
                    <w:snapToGrid w:val="0"/>
                    <w:jc w:val="center"/>
                    <w:textAlignment w:val="center"/>
                    <w:rPr>
                      <w:rFonts w:hint="default" w:ascii="Times New Roman" w:hAnsi="Times New Roman" w:cs="Times New Roman"/>
                      <w:b/>
                      <w:bCs w:val="0"/>
                      <w:color w:val="auto"/>
                      <w:kern w:val="0"/>
                      <w:szCs w:val="21"/>
                      <w:highlight w:val="none"/>
                      <w:lang w:bidi="ar"/>
                    </w:rPr>
                  </w:pPr>
                  <w:r>
                    <w:rPr>
                      <w:rFonts w:hint="default" w:ascii="Times New Roman" w:hAnsi="Times New Roman" w:cs="Times New Roman"/>
                      <w:b/>
                      <w:bCs w:val="0"/>
                      <w:color w:val="auto"/>
                      <w:kern w:val="0"/>
                      <w:szCs w:val="21"/>
                      <w:highlight w:val="none"/>
                      <w:lang w:bidi="ar"/>
                    </w:rPr>
                    <w:t>有组织产生量（t/a）</w:t>
                  </w:r>
                </w:p>
              </w:tc>
              <w:tc>
                <w:tcPr>
                  <w:tcW w:w="639" w:type="pct"/>
                  <w:noWrap w:val="0"/>
                  <w:vAlign w:val="center"/>
                </w:tcPr>
                <w:p>
                  <w:pPr>
                    <w:widowControl/>
                    <w:adjustRightInd w:val="0"/>
                    <w:snapToGrid w:val="0"/>
                    <w:jc w:val="center"/>
                    <w:textAlignment w:val="center"/>
                    <w:rPr>
                      <w:rFonts w:hint="default" w:ascii="Times New Roman" w:hAnsi="Times New Roman" w:cs="Times New Roman"/>
                      <w:b/>
                      <w:bCs w:val="0"/>
                      <w:color w:val="auto"/>
                      <w:kern w:val="0"/>
                      <w:szCs w:val="21"/>
                      <w:highlight w:val="none"/>
                      <w:lang w:bidi="ar"/>
                    </w:rPr>
                  </w:pPr>
                  <w:r>
                    <w:rPr>
                      <w:rFonts w:hint="default" w:ascii="Times New Roman" w:hAnsi="Times New Roman" w:cs="Times New Roman"/>
                      <w:b/>
                      <w:bCs w:val="0"/>
                      <w:color w:val="auto"/>
                      <w:kern w:val="0"/>
                      <w:szCs w:val="21"/>
                      <w:highlight w:val="none"/>
                      <w:lang w:bidi="ar"/>
                    </w:rPr>
                    <w:t>无组织产生量（t/a）</w:t>
                  </w:r>
                </w:p>
              </w:tc>
              <w:tc>
                <w:tcPr>
                  <w:tcW w:w="636" w:type="pct"/>
                  <w:noWrap w:val="0"/>
                  <w:vAlign w:val="center"/>
                </w:tcPr>
                <w:p>
                  <w:pPr>
                    <w:widowControl/>
                    <w:adjustRightInd w:val="0"/>
                    <w:snapToGrid w:val="0"/>
                    <w:jc w:val="center"/>
                    <w:textAlignment w:val="center"/>
                    <w:rPr>
                      <w:rFonts w:hint="default" w:ascii="Times New Roman" w:hAnsi="Times New Roman" w:cs="Times New Roman"/>
                      <w:b/>
                      <w:bCs w:val="0"/>
                      <w:color w:val="auto"/>
                      <w:kern w:val="0"/>
                      <w:szCs w:val="21"/>
                      <w:highlight w:val="none"/>
                      <w:lang w:bidi="ar"/>
                    </w:rPr>
                  </w:pPr>
                  <w:r>
                    <w:rPr>
                      <w:rFonts w:hint="default" w:ascii="Times New Roman" w:hAnsi="Times New Roman" w:cs="Times New Roman"/>
                      <w:b/>
                      <w:bCs w:val="0"/>
                      <w:color w:val="auto"/>
                      <w:kern w:val="0"/>
                      <w:szCs w:val="21"/>
                      <w:highlight w:val="none"/>
                      <w:lang w:bidi="ar"/>
                    </w:rPr>
                    <w:t>排放时间（h）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24" w:type="pct"/>
                  <w:vMerge w:val="restar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eastAsia="zh-CN" w:bidi="ar"/>
                    </w:rPr>
                  </w:pPr>
                  <w:r>
                    <w:rPr>
                      <w:rFonts w:hint="default" w:ascii="Times New Roman" w:hAnsi="Times New Roman" w:cs="Times New Roman"/>
                      <w:color w:val="auto"/>
                      <w:kern w:val="0"/>
                      <w:szCs w:val="21"/>
                      <w:highlight w:val="none"/>
                      <w:lang w:val="en-US" w:eastAsia="zh-CN" w:bidi="ar"/>
                    </w:rPr>
                    <w:t>1</w:t>
                  </w:r>
                </w:p>
              </w:tc>
              <w:tc>
                <w:tcPr>
                  <w:tcW w:w="666" w:type="pct"/>
                  <w:vMerge w:val="restar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eastAsia="zh-CN" w:bidi="ar"/>
                    </w:rPr>
                  </w:pPr>
                  <w:r>
                    <w:rPr>
                      <w:rFonts w:hint="default" w:ascii="Times New Roman" w:hAnsi="Times New Roman" w:cs="Times New Roman"/>
                      <w:color w:val="auto"/>
                      <w:kern w:val="0"/>
                      <w:szCs w:val="21"/>
                      <w:highlight w:val="none"/>
                      <w:lang w:val="en-US" w:eastAsia="zh-CN" w:bidi="ar"/>
                    </w:rPr>
                    <w:t>投料</w:t>
                  </w:r>
                </w:p>
              </w:tc>
              <w:tc>
                <w:tcPr>
                  <w:tcW w:w="83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bidi="ar"/>
                    </w:rPr>
                  </w:pPr>
                  <w:r>
                    <w:rPr>
                      <w:rFonts w:hint="default" w:ascii="Times New Roman" w:hAnsi="Times New Roman" w:cs="Times New Roman"/>
                      <w:color w:val="auto"/>
                      <w:kern w:val="0"/>
                      <w:szCs w:val="21"/>
                      <w:highlight w:val="none"/>
                      <w:lang w:bidi="ar"/>
                    </w:rPr>
                    <w:t>颗粒物</w:t>
                  </w:r>
                </w:p>
              </w:tc>
              <w:tc>
                <w:tcPr>
                  <w:tcW w:w="71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0.017</w:t>
                  </w:r>
                </w:p>
              </w:tc>
              <w:tc>
                <w:tcPr>
                  <w:tcW w:w="6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40</w:t>
                  </w:r>
                </w:p>
              </w:tc>
              <w:tc>
                <w:tcPr>
                  <w:tcW w:w="639"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eastAsia="zh-CN" w:bidi="ar"/>
                    </w:rPr>
                  </w:pPr>
                  <w:r>
                    <w:rPr>
                      <w:rFonts w:hint="eastAsia" w:ascii="Times New Roman" w:hAnsi="Times New Roman" w:cs="Times New Roman"/>
                      <w:color w:val="auto"/>
                      <w:kern w:val="0"/>
                      <w:szCs w:val="21"/>
                      <w:highlight w:val="none"/>
                      <w:lang w:val="en-US" w:eastAsia="zh-CN" w:bidi="ar"/>
                    </w:rPr>
                    <w:t>0.007</w:t>
                  </w:r>
                </w:p>
              </w:tc>
              <w:tc>
                <w:tcPr>
                  <w:tcW w:w="639"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bidi="ar"/>
                    </w:rPr>
                    <w:t>0.0</w:t>
                  </w:r>
                  <w:r>
                    <w:rPr>
                      <w:rFonts w:hint="default" w:ascii="Times New Roman" w:hAnsi="Times New Roman" w:cs="Times New Roman"/>
                      <w:color w:val="auto"/>
                      <w:kern w:val="0"/>
                      <w:szCs w:val="21"/>
                      <w:highlight w:val="none"/>
                      <w:lang w:val="en-US" w:eastAsia="zh-CN" w:bidi="ar"/>
                    </w:rPr>
                    <w:t>1</w:t>
                  </w:r>
                </w:p>
              </w:tc>
              <w:tc>
                <w:tcPr>
                  <w:tcW w:w="636"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1</w:t>
                  </w:r>
                  <w:r>
                    <w:rPr>
                      <w:rFonts w:hint="default" w:ascii="Times New Roman" w:hAnsi="Times New Roman" w:cs="Times New Roman"/>
                      <w:color w:val="auto"/>
                      <w:kern w:val="0"/>
                      <w:szCs w:val="21"/>
                      <w:highlight w:val="none"/>
                      <w:lang w:val="en-US" w:eastAsia="zh-CN" w:bidi="ar"/>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24" w:type="pct"/>
                  <w:vMerge w:val="continue"/>
                  <w:noWrap w:val="0"/>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p>
              </w:tc>
              <w:tc>
                <w:tcPr>
                  <w:tcW w:w="666" w:type="pct"/>
                  <w:vMerge w:val="continue"/>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p>
              </w:tc>
              <w:tc>
                <w:tcPr>
                  <w:tcW w:w="838" w:type="pct"/>
                  <w:noWrap w:val="0"/>
                  <w:tcMar>
                    <w:top w:w="15" w:type="dxa"/>
                    <w:left w:w="15" w:type="dxa"/>
                    <w:right w:w="15" w:type="dxa"/>
                  </w:tcMar>
                  <w:vAlign w:val="center"/>
                </w:tcPr>
                <w:p>
                  <w:pPr>
                    <w:widowControl/>
                    <w:adjustRightInd w:val="0"/>
                    <w:snapToGrid w:val="0"/>
                    <w:jc w:val="center"/>
                    <w:textAlignment w:val="center"/>
                    <w:rPr>
                      <w:rFonts w:hint="eastAsia" w:ascii="Times New Roman" w:hAnsi="Times New Roman" w:eastAsia="宋体"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碳黑</w:t>
                  </w:r>
                </w:p>
              </w:tc>
              <w:tc>
                <w:tcPr>
                  <w:tcW w:w="71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0.0004</w:t>
                  </w:r>
                </w:p>
              </w:tc>
              <w:tc>
                <w:tcPr>
                  <w:tcW w:w="6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40</w:t>
                  </w:r>
                </w:p>
              </w:tc>
              <w:tc>
                <w:tcPr>
                  <w:tcW w:w="639" w:type="pct"/>
                  <w:noWrap w:val="0"/>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0.0002</w:t>
                  </w:r>
                </w:p>
              </w:tc>
              <w:tc>
                <w:tcPr>
                  <w:tcW w:w="639"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0.0002</w:t>
                  </w:r>
                </w:p>
              </w:tc>
              <w:tc>
                <w:tcPr>
                  <w:tcW w:w="636" w:type="pct"/>
                  <w:noWrap w:val="0"/>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24"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cs="Times New Roman"/>
                      <w:color w:val="auto"/>
                      <w:kern w:val="0"/>
                      <w:szCs w:val="21"/>
                      <w:highlight w:val="none"/>
                      <w:lang w:val="en-US" w:eastAsia="zh-CN" w:bidi="ar"/>
                    </w:rPr>
                    <w:t>2</w:t>
                  </w:r>
                </w:p>
              </w:tc>
              <w:tc>
                <w:tcPr>
                  <w:tcW w:w="66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涂布</w:t>
                  </w:r>
                  <w:r>
                    <w:rPr>
                      <w:rFonts w:hint="eastAsia" w:ascii="Times New Roman" w:hAnsi="Times New Roman" w:cs="Times New Roman"/>
                      <w:color w:val="auto"/>
                      <w:kern w:val="0"/>
                      <w:szCs w:val="21"/>
                      <w:highlight w:val="none"/>
                      <w:lang w:val="en-US" w:eastAsia="zh-CN" w:bidi="ar"/>
                    </w:rPr>
                    <w:t>工序</w:t>
                  </w:r>
                </w:p>
              </w:tc>
              <w:tc>
                <w:tcPr>
                  <w:tcW w:w="83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非甲烷总烃</w:t>
                  </w:r>
                </w:p>
              </w:tc>
              <w:tc>
                <w:tcPr>
                  <w:tcW w:w="71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0.174</w:t>
                  </w:r>
                </w:p>
              </w:tc>
              <w:tc>
                <w:tcPr>
                  <w:tcW w:w="6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95</w:t>
                  </w:r>
                </w:p>
              </w:tc>
              <w:tc>
                <w:tcPr>
                  <w:tcW w:w="639" w:type="pct"/>
                  <w:noWrap w:val="0"/>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0.165</w:t>
                  </w:r>
                </w:p>
              </w:tc>
              <w:tc>
                <w:tcPr>
                  <w:tcW w:w="639" w:type="pct"/>
                  <w:noWrap w:val="0"/>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0.009</w:t>
                  </w:r>
                </w:p>
              </w:tc>
              <w:tc>
                <w:tcPr>
                  <w:tcW w:w="636" w:type="pct"/>
                  <w:noWrap w:val="0"/>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24" w:type="pct"/>
                  <w:noWrap w:val="0"/>
                  <w:vAlign w:val="center"/>
                </w:tcPr>
                <w:p>
                  <w:pPr>
                    <w:widowControl/>
                    <w:adjustRightInd w:val="0"/>
                    <w:snapToGrid w:val="0"/>
                    <w:jc w:val="center"/>
                    <w:textAlignment w:val="center"/>
                    <w:rPr>
                      <w:rFonts w:hint="default" w:ascii="Times New Roman" w:hAnsi="Times New Roman" w:cs="Times New Roman"/>
                      <w:color w:val="auto"/>
                      <w:kern w:val="0"/>
                      <w:sz w:val="21"/>
                      <w:szCs w:val="21"/>
                      <w:highlight w:val="none"/>
                      <w:lang w:val="en-US" w:eastAsia="zh-CN" w:bidi="ar"/>
                    </w:rPr>
                  </w:pPr>
                  <w:r>
                    <w:rPr>
                      <w:rFonts w:hint="default" w:ascii="Times New Roman" w:hAnsi="Times New Roman" w:cs="Times New Roman"/>
                      <w:color w:val="auto"/>
                      <w:kern w:val="0"/>
                      <w:szCs w:val="21"/>
                      <w:highlight w:val="none"/>
                      <w:lang w:val="en-US" w:eastAsia="zh-CN" w:bidi="ar"/>
                    </w:rPr>
                    <w:t>3</w:t>
                  </w:r>
                </w:p>
              </w:tc>
              <w:tc>
                <w:tcPr>
                  <w:tcW w:w="66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烘干工序的初、中段</w:t>
                  </w:r>
                </w:p>
              </w:tc>
              <w:tc>
                <w:tcPr>
                  <w:tcW w:w="83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非甲烷总烃</w:t>
                  </w:r>
                </w:p>
              </w:tc>
              <w:tc>
                <w:tcPr>
                  <w:tcW w:w="71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16.379</w:t>
                  </w:r>
                </w:p>
              </w:tc>
              <w:tc>
                <w:tcPr>
                  <w:tcW w:w="6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95</w:t>
                  </w:r>
                </w:p>
              </w:tc>
              <w:tc>
                <w:tcPr>
                  <w:tcW w:w="639" w:type="pct"/>
                  <w:noWrap w:val="0"/>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15.56</w:t>
                  </w:r>
                </w:p>
              </w:tc>
              <w:tc>
                <w:tcPr>
                  <w:tcW w:w="639" w:type="pct"/>
                  <w:noWrap w:val="0"/>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0.819</w:t>
                  </w:r>
                </w:p>
              </w:tc>
              <w:tc>
                <w:tcPr>
                  <w:tcW w:w="636"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Cs w:val="21"/>
                      <w:highlight w:val="none"/>
                      <w:lang w:val="en-US" w:eastAsia="zh-CN" w:bidi="ar"/>
                    </w:rPr>
                  </w:pPr>
                  <w:r>
                    <w:rPr>
                      <w:rFonts w:hint="eastAsia" w:ascii="Times New Roman" w:hAnsi="Times New Roman" w:eastAsia="宋体" w:cs="Times New Roman"/>
                      <w:color w:val="auto"/>
                      <w:kern w:val="0"/>
                      <w:szCs w:val="21"/>
                      <w:highlight w:val="none"/>
                      <w:lang w:val="en-US" w:eastAsia="zh-CN" w:bidi="ar"/>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24"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Cs w:val="21"/>
                      <w:highlight w:val="none"/>
                      <w:lang w:val="en-US" w:eastAsia="zh-CN" w:bidi="ar"/>
                    </w:rPr>
                    <w:t>4</w:t>
                  </w:r>
                </w:p>
              </w:tc>
              <w:tc>
                <w:tcPr>
                  <w:tcW w:w="66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烘干工序的尾段</w:t>
                  </w:r>
                </w:p>
              </w:tc>
              <w:tc>
                <w:tcPr>
                  <w:tcW w:w="83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非甲烷总烃</w:t>
                  </w:r>
                </w:p>
              </w:tc>
              <w:tc>
                <w:tcPr>
                  <w:tcW w:w="71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0.871</w:t>
                  </w:r>
                </w:p>
              </w:tc>
              <w:tc>
                <w:tcPr>
                  <w:tcW w:w="6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default" w:ascii="Times New Roman" w:hAnsi="Times New Roman" w:cs="Times New Roman"/>
                      <w:color w:val="auto"/>
                      <w:kern w:val="0"/>
                      <w:szCs w:val="21"/>
                      <w:highlight w:val="none"/>
                      <w:lang w:val="en-US" w:eastAsia="zh-CN" w:bidi="ar"/>
                    </w:rPr>
                    <w:t>60</w:t>
                  </w:r>
                </w:p>
              </w:tc>
              <w:tc>
                <w:tcPr>
                  <w:tcW w:w="639" w:type="pct"/>
                  <w:noWrap w:val="0"/>
                  <w:vAlign w:val="center"/>
                </w:tcPr>
                <w:p>
                  <w:pPr>
                    <w:widowControl/>
                    <w:adjustRightInd w:val="0"/>
                    <w:snapToGrid w:val="0"/>
                    <w:jc w:val="center"/>
                    <w:textAlignment w:val="center"/>
                    <w:rPr>
                      <w:rFonts w:hint="default" w:ascii="Times New Roman" w:hAnsi="Times New Roman" w:eastAsia="等线" w:cs="Times New Roman"/>
                      <w:color w:val="auto"/>
                      <w:szCs w:val="21"/>
                      <w:highlight w:val="none"/>
                      <w:lang w:val="en-US" w:eastAsia="zh-CN"/>
                    </w:rPr>
                  </w:pPr>
                  <w:r>
                    <w:rPr>
                      <w:rFonts w:hint="eastAsia" w:ascii="Times New Roman" w:hAnsi="Times New Roman" w:eastAsia="等线" w:cs="Times New Roman"/>
                      <w:color w:val="auto"/>
                      <w:szCs w:val="21"/>
                      <w:highlight w:val="none"/>
                      <w:lang w:val="en-US" w:eastAsia="zh-CN"/>
                    </w:rPr>
                    <w:t>0.523</w:t>
                  </w:r>
                </w:p>
              </w:tc>
              <w:tc>
                <w:tcPr>
                  <w:tcW w:w="639" w:type="pct"/>
                  <w:noWrap w:val="0"/>
                  <w:vAlign w:val="center"/>
                </w:tcPr>
                <w:p>
                  <w:pPr>
                    <w:widowControl/>
                    <w:adjustRightInd w:val="0"/>
                    <w:snapToGrid w:val="0"/>
                    <w:jc w:val="center"/>
                    <w:textAlignment w:val="center"/>
                    <w:rPr>
                      <w:rFonts w:hint="default" w:ascii="Times New Roman" w:hAnsi="Times New Roman" w:eastAsia="等线" w:cs="Times New Roman"/>
                      <w:color w:val="auto"/>
                      <w:szCs w:val="21"/>
                      <w:highlight w:val="none"/>
                      <w:lang w:val="en-US" w:eastAsia="zh-CN"/>
                    </w:rPr>
                  </w:pPr>
                  <w:r>
                    <w:rPr>
                      <w:rFonts w:hint="eastAsia" w:ascii="Times New Roman" w:hAnsi="Times New Roman" w:eastAsia="等线" w:cs="Times New Roman"/>
                      <w:color w:val="auto"/>
                      <w:szCs w:val="21"/>
                      <w:highlight w:val="none"/>
                      <w:lang w:val="en-US" w:eastAsia="zh-CN"/>
                    </w:rPr>
                    <w:t>0.348</w:t>
                  </w:r>
                </w:p>
              </w:tc>
              <w:tc>
                <w:tcPr>
                  <w:tcW w:w="636" w:type="pct"/>
                  <w:noWrap w:val="0"/>
                  <w:vAlign w:val="center"/>
                </w:tcPr>
                <w:p>
                  <w:pPr>
                    <w:widowControl/>
                    <w:adjustRightInd w:val="0"/>
                    <w:snapToGrid w:val="0"/>
                    <w:jc w:val="center"/>
                    <w:textAlignment w:val="center"/>
                    <w:rPr>
                      <w:rFonts w:hint="default" w:ascii="Times New Roman" w:hAnsi="Times New Roman" w:cs="Times New Roman"/>
                      <w:color w:val="auto"/>
                      <w:kern w:val="0"/>
                      <w:szCs w:val="21"/>
                      <w:highlight w:val="none"/>
                      <w:lang w:val="en-US" w:eastAsia="zh-CN" w:bidi="ar"/>
                    </w:rPr>
                  </w:pPr>
                  <w:r>
                    <w:rPr>
                      <w:rFonts w:hint="eastAsia" w:ascii="Times New Roman" w:hAnsi="Times New Roman" w:cs="Times New Roman"/>
                      <w:color w:val="auto"/>
                      <w:kern w:val="0"/>
                      <w:szCs w:val="21"/>
                      <w:highlight w:val="none"/>
                      <w:lang w:val="en-US" w:eastAsia="zh-CN" w:bidi="ar"/>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3" w:hRule="atLeast"/>
              </w:trPr>
              <w:tc>
                <w:tcPr>
                  <w:tcW w:w="224"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16"/>
                      <w:lang w:val="en-US" w:eastAsia="zh-CN" w:bidi="ar-SA"/>
                    </w:rPr>
                  </w:pPr>
                  <w:r>
                    <w:rPr>
                      <w:rFonts w:hint="default" w:ascii="Times New Roman" w:hAnsi="Times New Roman" w:eastAsia="宋体" w:cs="Times New Roman"/>
                      <w:color w:val="auto"/>
                      <w:kern w:val="0"/>
                      <w:sz w:val="21"/>
                      <w:szCs w:val="16"/>
                      <w:lang w:val="en-US" w:eastAsia="zh-CN" w:bidi="ar-SA"/>
                    </w:rPr>
                    <w:t>5</w:t>
                  </w:r>
                </w:p>
              </w:tc>
              <w:tc>
                <w:tcPr>
                  <w:tcW w:w="666"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16"/>
                      <w:lang w:val="en-US" w:eastAsia="zh-CN" w:bidi="ar-SA"/>
                    </w:rPr>
                  </w:pPr>
                  <w:r>
                    <w:rPr>
                      <w:rFonts w:hint="default" w:ascii="Times New Roman" w:hAnsi="Times New Roman" w:eastAsia="宋体" w:cs="Times New Roman"/>
                      <w:color w:val="auto"/>
                      <w:kern w:val="0"/>
                      <w:sz w:val="21"/>
                      <w:szCs w:val="16"/>
                      <w:lang w:val="en-US" w:eastAsia="zh-CN" w:bidi="ar-SA"/>
                    </w:rPr>
                    <w:t>注液</w:t>
                  </w:r>
                  <w:r>
                    <w:rPr>
                      <w:rFonts w:hint="eastAsia" w:ascii="Times New Roman" w:hAnsi="Times New Roman" w:eastAsia="宋体" w:cs="Times New Roman"/>
                      <w:color w:val="auto"/>
                      <w:kern w:val="0"/>
                      <w:sz w:val="21"/>
                      <w:szCs w:val="16"/>
                      <w:lang w:val="en-US" w:eastAsia="zh-CN" w:bidi="ar-SA"/>
                    </w:rPr>
                    <w:t>、二封</w:t>
                  </w:r>
                </w:p>
              </w:tc>
              <w:tc>
                <w:tcPr>
                  <w:tcW w:w="838"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16"/>
                      <w:lang w:val="en-US" w:eastAsia="zh-CN" w:bidi="ar-SA"/>
                    </w:rPr>
                  </w:pPr>
                  <w:r>
                    <w:rPr>
                      <w:rFonts w:hint="default" w:ascii="Times New Roman" w:hAnsi="Times New Roman" w:eastAsia="宋体" w:cs="Times New Roman"/>
                      <w:color w:val="auto"/>
                      <w:kern w:val="0"/>
                      <w:sz w:val="21"/>
                      <w:szCs w:val="16"/>
                      <w:lang w:val="en-US" w:eastAsia="zh-CN" w:bidi="ar-SA"/>
                    </w:rPr>
                    <w:t>非甲烷总烃</w:t>
                  </w:r>
                </w:p>
              </w:tc>
              <w:tc>
                <w:tcPr>
                  <w:tcW w:w="715"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16"/>
                      <w:lang w:val="en-US" w:eastAsia="zh-CN" w:bidi="ar-SA"/>
                    </w:rPr>
                  </w:pPr>
                  <w:r>
                    <w:rPr>
                      <w:rFonts w:hint="default" w:ascii="Times New Roman" w:hAnsi="Times New Roman" w:eastAsia="宋体" w:cs="Times New Roman"/>
                      <w:color w:val="auto"/>
                      <w:kern w:val="0"/>
                      <w:sz w:val="21"/>
                      <w:szCs w:val="16"/>
                      <w:lang w:val="en-US" w:eastAsia="zh-CN" w:bidi="ar-SA"/>
                    </w:rPr>
                    <w:t>0.0</w:t>
                  </w:r>
                  <w:r>
                    <w:rPr>
                      <w:rFonts w:hint="eastAsia" w:ascii="Times New Roman" w:hAnsi="Times New Roman" w:eastAsia="宋体" w:cs="Times New Roman"/>
                      <w:color w:val="auto"/>
                      <w:kern w:val="0"/>
                      <w:sz w:val="21"/>
                      <w:szCs w:val="16"/>
                      <w:lang w:val="en-US" w:eastAsia="zh-CN" w:bidi="ar-SA"/>
                    </w:rPr>
                    <w:t>021</w:t>
                  </w:r>
                </w:p>
              </w:tc>
              <w:tc>
                <w:tcPr>
                  <w:tcW w:w="639" w:type="pct"/>
                  <w:noWrap w:val="0"/>
                  <w:tcMar>
                    <w:top w:w="15" w:type="dxa"/>
                    <w:left w:w="15" w:type="dxa"/>
                    <w:right w:w="15" w:type="dxa"/>
                  </w:tcMar>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16"/>
                      <w:lang w:val="en-US" w:eastAsia="zh-CN" w:bidi="ar-SA"/>
                    </w:rPr>
                  </w:pPr>
                  <w:r>
                    <w:rPr>
                      <w:rFonts w:hint="default" w:ascii="Times New Roman" w:hAnsi="Times New Roman" w:eastAsia="宋体" w:cs="Times New Roman"/>
                      <w:color w:val="auto"/>
                      <w:kern w:val="0"/>
                      <w:sz w:val="21"/>
                      <w:szCs w:val="16"/>
                      <w:lang w:val="en-US" w:eastAsia="zh-CN" w:bidi="ar-SA"/>
                    </w:rPr>
                    <w:t>95</w:t>
                  </w:r>
                </w:p>
              </w:tc>
              <w:tc>
                <w:tcPr>
                  <w:tcW w:w="639"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16"/>
                      <w:lang w:val="en-US" w:eastAsia="zh-CN" w:bidi="ar-SA"/>
                    </w:rPr>
                  </w:pPr>
                  <w:r>
                    <w:rPr>
                      <w:rFonts w:hint="eastAsia" w:ascii="Times New Roman" w:hAnsi="Times New Roman" w:eastAsia="宋体" w:cs="Times New Roman"/>
                      <w:color w:val="auto"/>
                      <w:kern w:val="0"/>
                      <w:sz w:val="21"/>
                      <w:szCs w:val="16"/>
                      <w:lang w:val="en-US" w:eastAsia="zh-CN" w:bidi="ar-SA"/>
                    </w:rPr>
                    <w:t>0.00</w:t>
                  </w:r>
                  <w:r>
                    <w:rPr>
                      <w:rFonts w:hint="eastAsia" w:ascii="Times New Roman" w:hAnsi="Times New Roman" w:cs="Times New Roman"/>
                      <w:color w:val="auto"/>
                      <w:kern w:val="0"/>
                      <w:sz w:val="21"/>
                      <w:szCs w:val="16"/>
                      <w:lang w:val="en-US" w:eastAsia="zh-CN" w:bidi="ar-SA"/>
                    </w:rPr>
                    <w:t>2</w:t>
                  </w:r>
                </w:p>
              </w:tc>
              <w:tc>
                <w:tcPr>
                  <w:tcW w:w="639"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16"/>
                      <w:lang w:val="en-US" w:eastAsia="zh-CN" w:bidi="ar-SA"/>
                    </w:rPr>
                  </w:pPr>
                  <w:r>
                    <w:rPr>
                      <w:rFonts w:hint="eastAsia" w:ascii="Times New Roman" w:hAnsi="Times New Roman" w:eastAsia="宋体" w:cs="Times New Roman"/>
                      <w:color w:val="auto"/>
                      <w:kern w:val="0"/>
                      <w:sz w:val="21"/>
                      <w:szCs w:val="16"/>
                      <w:lang w:val="en-US" w:eastAsia="zh-CN" w:bidi="ar-SA"/>
                    </w:rPr>
                    <w:t>0.0001</w:t>
                  </w:r>
                </w:p>
              </w:tc>
              <w:tc>
                <w:tcPr>
                  <w:tcW w:w="636" w:type="pct"/>
                  <w:noWrap w:val="0"/>
                  <w:vAlign w:val="center"/>
                </w:tcPr>
                <w:p>
                  <w:pPr>
                    <w:widowControl/>
                    <w:adjustRightInd w:val="0"/>
                    <w:snapToGrid w:val="0"/>
                    <w:jc w:val="center"/>
                    <w:textAlignment w:val="center"/>
                    <w:rPr>
                      <w:rFonts w:hint="default" w:ascii="Times New Roman" w:hAnsi="Times New Roman" w:eastAsia="宋体" w:cs="Times New Roman"/>
                      <w:color w:val="auto"/>
                      <w:kern w:val="0"/>
                      <w:sz w:val="21"/>
                      <w:szCs w:val="16"/>
                      <w:lang w:val="en-US" w:eastAsia="zh-CN" w:bidi="ar-SA"/>
                    </w:rPr>
                  </w:pPr>
                  <w:r>
                    <w:rPr>
                      <w:rFonts w:hint="eastAsia" w:ascii="Times New Roman" w:hAnsi="Times New Roman" w:eastAsia="宋体" w:cs="Times New Roman"/>
                      <w:color w:val="auto"/>
                      <w:kern w:val="0"/>
                      <w:sz w:val="21"/>
                      <w:szCs w:val="16"/>
                      <w:lang w:val="en-US" w:eastAsia="zh-CN" w:bidi="ar-SA"/>
                    </w:rPr>
                    <w:t>2800</w:t>
                  </w:r>
                </w:p>
              </w:tc>
            </w:tr>
          </w:tbl>
          <w:p>
            <w:pPr>
              <w:keepNext w:val="0"/>
              <w:keepLines w:val="0"/>
              <w:pageBreakBefore w:val="0"/>
              <w:widowControl w:val="0"/>
              <w:kinsoku/>
              <w:wordWrap/>
              <w:overflowPunct/>
              <w:topLinePunct w:val="0"/>
              <w:autoSpaceDE/>
              <w:autoSpaceDN/>
              <w:bidi w:val="0"/>
              <w:adjustRightInd/>
              <w:snapToGrid/>
              <w:spacing w:line="240" w:lineRule="auto"/>
              <w:ind w:firstLine="420" w:firstLineChars="200"/>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注：烘干的有机废气经冷凝回收装置处理后进入二级活性炭吸附装置，项目冷凝回收装置的回收效率为90%，故项目烘干的有机废气经集气装置收集后进入冷凝回收装置回收的量为</w:t>
            </w:r>
            <w:r>
              <w:rPr>
                <w:rFonts w:hint="eastAsia" w:ascii="Times New Roman" w:hAnsi="Times New Roman" w:cs="Times New Roman"/>
                <w:b w:val="0"/>
                <w:bCs w:val="0"/>
                <w:color w:val="auto"/>
                <w:sz w:val="21"/>
                <w:szCs w:val="21"/>
                <w:lang w:val="en-US" w:eastAsia="zh-CN"/>
              </w:rPr>
              <w:t>14.004</w:t>
            </w:r>
            <w:r>
              <w:rPr>
                <w:rFonts w:hint="default" w:ascii="Times New Roman" w:hAnsi="Times New Roman" w:cs="Times New Roman"/>
                <w:b w:val="0"/>
                <w:bCs w:val="0"/>
                <w:color w:val="auto"/>
                <w:sz w:val="21"/>
                <w:szCs w:val="21"/>
                <w:lang w:val="en-US" w:eastAsia="zh-CN"/>
              </w:rPr>
              <w:t>t/a，未回收的</w:t>
            </w:r>
            <w:r>
              <w:rPr>
                <w:rFonts w:hint="eastAsia" w:ascii="Times New Roman" w:hAnsi="Times New Roman" w:cs="Times New Roman"/>
                <w:b w:val="0"/>
                <w:bCs w:val="0"/>
                <w:color w:val="auto"/>
                <w:sz w:val="21"/>
                <w:szCs w:val="21"/>
                <w:lang w:val="en-US" w:eastAsia="zh-CN"/>
              </w:rPr>
              <w:t>1.556</w:t>
            </w:r>
            <w:r>
              <w:rPr>
                <w:rFonts w:hint="default" w:ascii="Times New Roman" w:hAnsi="Times New Roman" w:cs="Times New Roman"/>
                <w:b w:val="0"/>
                <w:bCs w:val="0"/>
                <w:color w:val="auto"/>
                <w:sz w:val="21"/>
                <w:szCs w:val="21"/>
                <w:lang w:val="en-US" w:eastAsia="zh-CN"/>
              </w:rPr>
              <w:t>t/a的有机废气与涂布、烘烤工序尾段、注液工序、二封工序产生的有机废气一同进入二级活性炭吸附装置处理。</w:t>
            </w:r>
          </w:p>
          <w:p>
            <w:pPr>
              <w:spacing w:line="360" w:lineRule="auto"/>
              <w:ind w:firstLine="504" w:firstLineChars="209"/>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lang w:val="en-US" w:eastAsia="zh-CN"/>
              </w:rPr>
              <w:t>5、</w:t>
            </w:r>
            <w:r>
              <w:rPr>
                <w:rFonts w:hint="default" w:ascii="Times New Roman" w:hAnsi="Times New Roman" w:cs="Times New Roman"/>
                <w:b/>
                <w:bCs/>
                <w:color w:val="auto"/>
                <w:sz w:val="24"/>
                <w:szCs w:val="24"/>
              </w:rPr>
              <w:t>废气处理工艺可行性分析</w:t>
            </w:r>
          </w:p>
          <w:p>
            <w:pPr>
              <w:adjustRightInd w:val="0"/>
              <w:snapToGrid w:val="0"/>
              <w:spacing w:line="360" w:lineRule="auto"/>
              <w:ind w:firstLine="482"/>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本</w:t>
            </w:r>
            <w:r>
              <w:rPr>
                <w:rFonts w:hint="eastAsia" w:ascii="Times New Roman" w:hAnsi="Times New Roman" w:cs="Times New Roman"/>
                <w:color w:val="auto"/>
                <w:sz w:val="24"/>
                <w:szCs w:val="24"/>
                <w:lang w:eastAsia="zh-CN"/>
              </w:rPr>
              <w:t>项目</w:t>
            </w:r>
            <w:r>
              <w:rPr>
                <w:rFonts w:hint="default" w:ascii="Times New Roman" w:hAnsi="Times New Roman" w:cs="Times New Roman"/>
                <w:color w:val="auto"/>
                <w:sz w:val="24"/>
                <w:lang w:val="en-US" w:eastAsia="zh-CN"/>
              </w:rPr>
              <w:t>拟将烘干工序在密闭车间中收集的有机废气经冷凝装置处理后再与涂布、注液工序密闭收集的有机废气一同汇入集气干管，经“二级活性炭吸附装置”处理</w:t>
            </w:r>
            <w:r>
              <w:rPr>
                <w:rFonts w:hint="default" w:ascii="Times New Roman" w:hAnsi="Times New Roman" w:cs="Times New Roman"/>
                <w:color w:val="auto"/>
                <w:sz w:val="24"/>
                <w:szCs w:val="24"/>
              </w:rPr>
              <w:t>。根据《排污许可证申请与核发</w:t>
            </w:r>
            <w:r>
              <w:rPr>
                <w:rFonts w:hint="default" w:ascii="Times New Roman" w:hAnsi="Times New Roman" w:cs="Times New Roman"/>
                <w:color w:val="auto"/>
                <w:sz w:val="24"/>
              </w:rPr>
              <w:t>技术规范 电池工业》（HJ967-2018）</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rPr>
              <w:t>项目</w:t>
            </w:r>
            <w:r>
              <w:rPr>
                <w:rFonts w:hint="default" w:ascii="Times New Roman" w:hAnsi="Times New Roman" w:cs="Times New Roman"/>
                <w:color w:val="auto"/>
                <w:sz w:val="24"/>
                <w:szCs w:val="24"/>
                <w:lang w:val="en-US" w:eastAsia="zh-CN"/>
              </w:rPr>
              <w:t>涂布、烘干工序产生的有机废气使用NMP冷凝回收装置属于可行技术</w:t>
            </w:r>
            <w:r>
              <w:rPr>
                <w:rFonts w:hint="eastAsia" w:ascii="Times New Roman" w:hAnsi="Times New Roman" w:cs="Times New Roman"/>
                <w:color w:val="auto"/>
                <w:sz w:val="24"/>
                <w:szCs w:val="24"/>
                <w:lang w:val="en-US" w:eastAsia="zh-CN"/>
              </w:rPr>
              <w:t>；</w:t>
            </w:r>
            <w:r>
              <w:rPr>
                <w:rFonts w:hint="default" w:ascii="Times New Roman" w:hAnsi="Times New Roman" w:cs="Times New Roman"/>
                <w:color w:val="auto"/>
                <w:sz w:val="24"/>
                <w:lang w:val="en-US" w:eastAsia="zh-CN"/>
              </w:rPr>
              <w:t>涂布、烘干、注液工序产生的</w:t>
            </w:r>
            <w:r>
              <w:rPr>
                <w:rFonts w:hint="default" w:ascii="Times New Roman" w:hAnsi="Times New Roman" w:cs="Times New Roman"/>
                <w:color w:val="auto"/>
                <w:sz w:val="24"/>
                <w:szCs w:val="24"/>
              </w:rPr>
              <w:t>有机废气采用</w:t>
            </w:r>
            <w:r>
              <w:rPr>
                <w:rFonts w:hint="default" w:ascii="Times New Roman" w:hAnsi="Times New Roman" w:cs="Times New Roman"/>
                <w:color w:val="auto"/>
                <w:sz w:val="24"/>
                <w:szCs w:val="24"/>
                <w:lang w:eastAsia="zh-CN"/>
              </w:rPr>
              <w:t>二级活性炭</w:t>
            </w:r>
            <w:r>
              <w:rPr>
                <w:rFonts w:hint="default" w:ascii="Times New Roman" w:hAnsi="Times New Roman" w:cs="Times New Roman"/>
                <w:color w:val="auto"/>
                <w:sz w:val="24"/>
                <w:szCs w:val="24"/>
              </w:rPr>
              <w:t>吸附处理</w:t>
            </w:r>
            <w:r>
              <w:rPr>
                <w:rFonts w:hint="default" w:ascii="Times New Roman" w:hAnsi="Times New Roman" w:cs="Times New Roman"/>
                <w:color w:val="auto"/>
                <w:sz w:val="24"/>
                <w:szCs w:val="24"/>
                <w:lang w:val="en-US" w:eastAsia="zh-CN"/>
              </w:rPr>
              <w:t>属于</w:t>
            </w:r>
            <w:r>
              <w:rPr>
                <w:rFonts w:hint="default" w:ascii="Times New Roman" w:hAnsi="Times New Roman" w:cs="Times New Roman"/>
                <w:color w:val="auto"/>
                <w:sz w:val="24"/>
                <w:szCs w:val="24"/>
              </w:rPr>
              <w:t>可行技术</w:t>
            </w:r>
            <w:r>
              <w:rPr>
                <w:rFonts w:hint="default" w:ascii="Times New Roman" w:hAnsi="Times New Roman" w:cs="Times New Roman"/>
                <w:color w:val="auto"/>
                <w:sz w:val="24"/>
                <w:szCs w:val="24"/>
                <w:lang w:val="en-US" w:eastAsia="zh-CN"/>
              </w:rPr>
              <w:t>。</w:t>
            </w:r>
          </w:p>
          <w:p>
            <w:pPr>
              <w:adjustRightInd w:val="0"/>
              <w:snapToGrid w:val="0"/>
              <w:spacing w:line="360" w:lineRule="auto"/>
              <w:ind w:firstLine="482"/>
              <w:rPr>
                <w:rFonts w:hint="eastAsia" w:ascii="Times New Roman" w:hAnsi="Times New Roman" w:eastAsia="宋体" w:cs="Times New Roman"/>
                <w:color w:val="auto"/>
                <w:sz w:val="24"/>
                <w:szCs w:val="24"/>
                <w:highlight w:val="none"/>
                <w:lang w:val="en-US" w:eastAsia="zh-CN"/>
              </w:rPr>
            </w:pPr>
            <w:r>
              <w:rPr>
                <w:rFonts w:hint="eastAsia" w:cs="宋体"/>
                <w:color w:val="auto"/>
                <w:spacing w:val="8"/>
                <w:sz w:val="24"/>
                <w:highlight w:val="none"/>
              </w:rPr>
              <w:t>根据</w:t>
            </w:r>
            <w:r>
              <w:rPr>
                <w:color w:val="auto"/>
                <w:sz w:val="24"/>
                <w:highlight w:val="none"/>
              </w:rPr>
              <w:t xml:space="preserve">《排污许可证申请与核发技术规范 </w:t>
            </w:r>
            <w:r>
              <w:rPr>
                <w:rFonts w:hint="eastAsia"/>
                <w:color w:val="auto"/>
                <w:sz w:val="24"/>
                <w:highlight w:val="none"/>
                <w:lang w:val="en-US" w:eastAsia="zh-CN"/>
              </w:rPr>
              <w:t>电池</w:t>
            </w:r>
            <w:r>
              <w:rPr>
                <w:color w:val="auto"/>
                <w:sz w:val="24"/>
                <w:highlight w:val="none"/>
              </w:rPr>
              <w:t>工业》（HJ</w:t>
            </w:r>
            <w:r>
              <w:rPr>
                <w:rFonts w:hint="eastAsia"/>
                <w:color w:val="auto"/>
                <w:sz w:val="24"/>
                <w:highlight w:val="none"/>
                <w:lang w:val="en-US" w:eastAsia="zh-CN"/>
              </w:rPr>
              <w:t>967</w:t>
            </w:r>
            <w:r>
              <w:rPr>
                <w:color w:val="auto"/>
                <w:sz w:val="24"/>
                <w:highlight w:val="none"/>
              </w:rPr>
              <w:t>-201</w:t>
            </w:r>
            <w:r>
              <w:rPr>
                <w:rFonts w:hint="eastAsia"/>
                <w:color w:val="auto"/>
                <w:sz w:val="24"/>
                <w:highlight w:val="none"/>
                <w:lang w:val="en-US" w:eastAsia="zh-CN"/>
              </w:rPr>
              <w:t>8</w:t>
            </w:r>
            <w:r>
              <w:rPr>
                <w:color w:val="auto"/>
                <w:sz w:val="24"/>
                <w:highlight w:val="none"/>
              </w:rPr>
              <w:t>）</w:t>
            </w:r>
            <w:r>
              <w:rPr>
                <w:rFonts w:hint="eastAsia" w:cs="宋体"/>
                <w:color w:val="auto"/>
                <w:spacing w:val="8"/>
                <w:sz w:val="24"/>
                <w:highlight w:val="none"/>
              </w:rPr>
              <w:t>中的“表</w:t>
            </w:r>
            <w:r>
              <w:rPr>
                <w:rFonts w:hint="eastAsia" w:cs="宋体"/>
                <w:color w:val="auto"/>
                <w:spacing w:val="8"/>
                <w:sz w:val="24"/>
                <w:highlight w:val="none"/>
                <w:lang w:val="en-US" w:eastAsia="zh-CN"/>
              </w:rPr>
              <w:t>11</w:t>
            </w:r>
            <w:r>
              <w:rPr>
                <w:rFonts w:hint="eastAsia" w:cs="宋体"/>
                <w:color w:val="auto"/>
                <w:spacing w:val="8"/>
                <w:sz w:val="24"/>
                <w:highlight w:val="none"/>
              </w:rPr>
              <w:t>”可知，本项目颗粒物采用“</w:t>
            </w:r>
            <w:r>
              <w:rPr>
                <w:rFonts w:hint="eastAsia" w:cs="宋体"/>
                <w:color w:val="auto"/>
                <w:spacing w:val="8"/>
                <w:sz w:val="24"/>
                <w:highlight w:val="none"/>
                <w:lang w:val="en-US" w:eastAsia="zh-CN"/>
              </w:rPr>
              <w:t>布袋除尘器</w:t>
            </w:r>
            <w:r>
              <w:rPr>
                <w:rFonts w:hint="eastAsia" w:cs="宋体"/>
                <w:color w:val="auto"/>
                <w:spacing w:val="8"/>
                <w:sz w:val="24"/>
                <w:highlight w:val="none"/>
              </w:rPr>
              <w:t>”处理工艺属于可行性技术</w:t>
            </w:r>
            <w:r>
              <w:rPr>
                <w:rFonts w:hint="eastAsia" w:cs="宋体"/>
                <w:color w:val="auto"/>
                <w:spacing w:val="8"/>
                <w:sz w:val="24"/>
                <w:highlight w:val="none"/>
                <w:lang w:eastAsia="zh-CN"/>
              </w:rPr>
              <w:t>。</w:t>
            </w:r>
          </w:p>
          <w:p>
            <w:pPr>
              <w:spacing w:before="120" w:beforeLines="50"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4.2.1.3 废气达标排放情况</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（1）有组织废气达标分析</w:t>
            </w:r>
          </w:p>
          <w:p>
            <w:pPr>
              <w:spacing w:line="360" w:lineRule="auto"/>
              <w:jc w:val="center"/>
              <w:rPr>
                <w:rFonts w:hint="default" w:ascii="Times New Roman" w:hAnsi="Times New Roman" w:cs="Times New Roman"/>
                <w:b/>
                <w:color w:val="auto"/>
                <w:szCs w:val="21"/>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4-1</w:t>
            </w:r>
            <w:r>
              <w:rPr>
                <w:rFonts w:hint="eastAsia" w:ascii="Times New Roman" w:hAnsi="Times New Roman" w:cs="Times New Roman"/>
                <w:b/>
                <w:bCs/>
                <w:color w:val="auto"/>
                <w:sz w:val="24"/>
                <w:szCs w:val="24"/>
                <w:lang w:val="en-US" w:eastAsia="zh-CN"/>
              </w:rPr>
              <w:t>5</w:t>
            </w:r>
            <w:r>
              <w:rPr>
                <w:rFonts w:hint="default" w:ascii="Times New Roman" w:hAnsi="Times New Roman" w:cs="Times New Roman"/>
                <w:b/>
                <w:bCs/>
                <w:color w:val="auto"/>
                <w:sz w:val="24"/>
                <w:szCs w:val="24"/>
              </w:rPr>
              <w:t xml:space="preserve"> 有组织污染物排放达标分析</w:t>
            </w:r>
          </w:p>
          <w:tbl>
            <w:tblPr>
              <w:tblStyle w:val="32"/>
              <w:tblW w:w="4997" w:type="pct"/>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fixed"/>
              <w:tblCellMar>
                <w:top w:w="0" w:type="dxa"/>
                <w:left w:w="0" w:type="dxa"/>
                <w:bottom w:w="0" w:type="dxa"/>
                <w:right w:w="0" w:type="dxa"/>
              </w:tblCellMar>
            </w:tblPr>
            <w:tblGrid>
              <w:gridCol w:w="812"/>
              <w:gridCol w:w="1078"/>
              <w:gridCol w:w="1018"/>
              <w:gridCol w:w="1013"/>
              <w:gridCol w:w="1914"/>
              <w:gridCol w:w="967"/>
              <w:gridCol w:w="1020"/>
              <w:gridCol w:w="642"/>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trHeight w:val="612" w:hRule="atLeast"/>
                <w:jc w:val="center"/>
              </w:trPr>
              <w:tc>
                <w:tcPr>
                  <w:tcW w:w="479" w:type="pc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排放口名称</w:t>
                  </w:r>
                </w:p>
              </w:tc>
              <w:tc>
                <w:tcPr>
                  <w:tcW w:w="636"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rPr>
                    <w:t>污染物</w:t>
                  </w:r>
                </w:p>
              </w:tc>
              <w:tc>
                <w:tcPr>
                  <w:tcW w:w="601" w:type="pc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排放速率</w:t>
                  </w:r>
                </w:p>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 xml:space="preserve">（kg/h） </w:t>
                  </w:r>
                </w:p>
              </w:tc>
              <w:tc>
                <w:tcPr>
                  <w:tcW w:w="598" w:type="pc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排放浓度</w:t>
                  </w:r>
                </w:p>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（mg/m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c>
                <w:tcPr>
                  <w:tcW w:w="1130"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执行标准</w:t>
                  </w:r>
                </w:p>
              </w:tc>
              <w:tc>
                <w:tcPr>
                  <w:tcW w:w="571"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kern w:val="2"/>
                      <w:sz w:val="21"/>
                      <w:szCs w:val="21"/>
                      <w:lang w:val="en-US" w:eastAsia="zh-CN" w:bidi="ar-SA"/>
                    </w:rPr>
                  </w:pPr>
                  <w:r>
                    <w:rPr>
                      <w:rFonts w:hint="default" w:ascii="Times New Roman" w:hAnsi="Times New Roman" w:cs="Times New Roman"/>
                      <w:b/>
                      <w:bCs/>
                      <w:color w:val="auto"/>
                      <w:szCs w:val="21"/>
                    </w:rPr>
                    <w:t>速率限值（kg/h）</w:t>
                  </w:r>
                </w:p>
              </w:tc>
              <w:tc>
                <w:tcPr>
                  <w:tcW w:w="602"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浓度限值（mg/m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 xml:space="preserve">） </w:t>
                  </w:r>
                </w:p>
              </w:tc>
              <w:tc>
                <w:tcPr>
                  <w:tcW w:w="379"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达标</w:t>
                  </w:r>
                </w:p>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情况</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cantSplit/>
                <w:trHeight w:val="454" w:hRule="atLeast"/>
                <w:jc w:val="center"/>
              </w:trPr>
              <w:tc>
                <w:tcPr>
                  <w:tcW w:w="479" w:type="pct"/>
                  <w:vMerge w:val="restart"/>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DA001</w:t>
                  </w:r>
                </w:p>
              </w:tc>
              <w:tc>
                <w:tcPr>
                  <w:tcW w:w="636"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lang w:val="en-US" w:eastAsia="zh-CN"/>
                    </w:rPr>
                    <w:t>非甲烷总烃</w:t>
                  </w:r>
                </w:p>
              </w:tc>
              <w:tc>
                <w:tcPr>
                  <w:tcW w:w="601" w:type="pct"/>
                  <w:tcBorders>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0.16</w:t>
                  </w:r>
                  <w:r>
                    <w:rPr>
                      <w:rFonts w:hint="eastAsia" w:cs="Times New Roman"/>
                      <w:color w:val="auto"/>
                      <w:szCs w:val="21"/>
                      <w:lang w:val="en-US" w:eastAsia="zh-CN"/>
                    </w:rPr>
                    <w:t>04</w:t>
                  </w:r>
                </w:p>
              </w:tc>
              <w:tc>
                <w:tcPr>
                  <w:tcW w:w="598"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14.5</w:t>
                  </w:r>
                  <w:r>
                    <w:rPr>
                      <w:rFonts w:hint="eastAsia" w:cs="Times New Roman"/>
                      <w:color w:val="auto"/>
                      <w:szCs w:val="21"/>
                      <w:lang w:val="en-US" w:eastAsia="zh-CN"/>
                    </w:rPr>
                    <w:t>844</w:t>
                  </w:r>
                </w:p>
              </w:tc>
              <w:tc>
                <w:tcPr>
                  <w:tcW w:w="1130" w:type="pct"/>
                  <w:vMerge w:val="restart"/>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 w:val="21"/>
                      <w:szCs w:val="21"/>
                    </w:rPr>
                    <w:t>《电池工业污染物排放标准》（GB30484-2013）</w:t>
                  </w:r>
                </w:p>
              </w:tc>
              <w:tc>
                <w:tcPr>
                  <w:tcW w:w="571"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w:t>
                  </w:r>
                </w:p>
              </w:tc>
              <w:tc>
                <w:tcPr>
                  <w:tcW w:w="60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w:t>
                  </w:r>
                </w:p>
              </w:tc>
              <w:tc>
                <w:tcPr>
                  <w:tcW w:w="379" w:type="pct"/>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cantSplit/>
                <w:trHeight w:val="454" w:hRule="atLeast"/>
                <w:jc w:val="center"/>
              </w:trPr>
              <w:tc>
                <w:tcPr>
                  <w:tcW w:w="479" w:type="pct"/>
                  <w:vMerge w:val="continue"/>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rPr>
                  </w:pPr>
                </w:p>
              </w:tc>
              <w:tc>
                <w:tcPr>
                  <w:tcW w:w="636"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颗粒物</w:t>
                  </w:r>
                </w:p>
              </w:tc>
              <w:tc>
                <w:tcPr>
                  <w:tcW w:w="601" w:type="pct"/>
                  <w:tcBorders>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0.007</w:t>
                  </w:r>
                </w:p>
              </w:tc>
              <w:tc>
                <w:tcPr>
                  <w:tcW w:w="598"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0.649</w:t>
                  </w:r>
                </w:p>
              </w:tc>
              <w:tc>
                <w:tcPr>
                  <w:tcW w:w="1130" w:type="pct"/>
                  <w:vMerge w:val="continue"/>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rPr>
                  </w:pPr>
                </w:p>
              </w:tc>
              <w:tc>
                <w:tcPr>
                  <w:tcW w:w="571"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rPr>
                    <w:t>/</w:t>
                  </w:r>
                </w:p>
              </w:tc>
              <w:tc>
                <w:tcPr>
                  <w:tcW w:w="60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 w:val="21"/>
                      <w:szCs w:val="21"/>
                      <w:highlight w:val="none"/>
                      <w:vertAlign w:val="baseline"/>
                      <w:lang w:val="en-US" w:eastAsia="zh-CN"/>
                    </w:rPr>
                    <w:t>30</w:t>
                  </w:r>
                </w:p>
              </w:tc>
              <w:tc>
                <w:tcPr>
                  <w:tcW w:w="379" w:type="pct"/>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达标</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0" w:type="dxa"/>
                  <w:bottom w:w="0" w:type="dxa"/>
                  <w:right w:w="0" w:type="dxa"/>
                </w:tblCellMar>
              </w:tblPrEx>
              <w:trPr>
                <w:cantSplit/>
                <w:trHeight w:val="454" w:hRule="atLeast"/>
                <w:jc w:val="center"/>
              </w:trPr>
              <w:tc>
                <w:tcPr>
                  <w:tcW w:w="479" w:type="pct"/>
                  <w:vMerge w:val="continue"/>
                  <w:tcBorders>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rPr>
                  </w:pPr>
                </w:p>
              </w:tc>
              <w:tc>
                <w:tcPr>
                  <w:tcW w:w="636"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颗粒物（碳黑尘、染尘料）</w:t>
                  </w:r>
                </w:p>
              </w:tc>
              <w:tc>
                <w:tcPr>
                  <w:tcW w:w="601" w:type="pct"/>
                  <w:tcBorders>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0.0003</w:t>
                  </w:r>
                </w:p>
              </w:tc>
              <w:tc>
                <w:tcPr>
                  <w:tcW w:w="598" w:type="pct"/>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Cs w:val="21"/>
                      <w:lang w:val="en-US" w:eastAsia="zh-CN"/>
                    </w:rPr>
                    <w:t>0.026</w:t>
                  </w:r>
                </w:p>
              </w:tc>
              <w:tc>
                <w:tcPr>
                  <w:tcW w:w="1130" w:type="pct"/>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rPr>
                  </w:pPr>
                  <w:r>
                    <w:rPr>
                      <w:rFonts w:hint="default" w:ascii="Times New Roman" w:hAnsi="Times New Roman" w:eastAsia="宋体" w:cs="Times New Roman"/>
                      <w:color w:val="auto"/>
                      <w:sz w:val="21"/>
                      <w:szCs w:val="21"/>
                      <w:lang w:val="en-US" w:eastAsia="zh-CN"/>
                    </w:rPr>
                    <w:t>《大气污染物排放限值》（DB44/27-2001）</w:t>
                  </w:r>
                </w:p>
              </w:tc>
              <w:tc>
                <w:tcPr>
                  <w:tcW w:w="571"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0.42</w:t>
                  </w:r>
                </w:p>
              </w:tc>
              <w:tc>
                <w:tcPr>
                  <w:tcW w:w="60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18</w:t>
                  </w:r>
                </w:p>
              </w:tc>
              <w:tc>
                <w:tcPr>
                  <w:tcW w:w="379" w:type="pct"/>
                  <w:tcBorders>
                    <w:lef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达标</w:t>
                  </w:r>
                </w:p>
              </w:tc>
            </w:tr>
          </w:tbl>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无组织废气达标分析</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本项目未被收集的</w:t>
            </w:r>
            <w:r>
              <w:rPr>
                <w:rFonts w:hint="default" w:ascii="Times New Roman" w:hAnsi="Times New Roman" w:cs="Times New Roman"/>
                <w:color w:val="auto"/>
                <w:sz w:val="24"/>
                <w:szCs w:val="24"/>
                <w:lang w:val="en-US" w:eastAsia="zh-CN"/>
              </w:rPr>
              <w:t>有机废气</w:t>
            </w:r>
            <w:r>
              <w:rPr>
                <w:rFonts w:hint="default" w:ascii="Times New Roman" w:hAnsi="Times New Roman" w:cs="Times New Roman"/>
                <w:color w:val="auto"/>
                <w:sz w:val="24"/>
                <w:szCs w:val="24"/>
              </w:rPr>
              <w:t>无组织排放，非甲烷总烃</w:t>
            </w:r>
            <w:r>
              <w:rPr>
                <w:rFonts w:hint="default" w:ascii="Times New Roman" w:hAnsi="Times New Roman" w:cs="Times New Roman"/>
                <w:color w:val="auto"/>
                <w:sz w:val="24"/>
                <w:szCs w:val="24"/>
                <w:lang w:val="en-US" w:eastAsia="zh-CN"/>
              </w:rPr>
              <w:t>无组织</w:t>
            </w:r>
            <w:r>
              <w:rPr>
                <w:rFonts w:hint="default" w:ascii="Times New Roman" w:hAnsi="Times New Roman" w:cs="Times New Roman"/>
                <w:color w:val="auto"/>
                <w:sz w:val="24"/>
                <w:szCs w:val="24"/>
              </w:rPr>
              <w:t>排放量为</w:t>
            </w:r>
            <w:r>
              <w:rPr>
                <w:rFonts w:hint="default" w:ascii="Times New Roman" w:hAnsi="Times New Roman" w:cs="Times New Roman"/>
                <w:snapToGrid w:val="0"/>
                <w:color w:val="auto"/>
                <w:sz w:val="24"/>
                <w:szCs w:val="24"/>
                <w:lang w:val="en-US" w:eastAsia="zh-CN"/>
              </w:rPr>
              <w:t>1.</w:t>
            </w:r>
            <w:r>
              <w:rPr>
                <w:rFonts w:hint="eastAsia" w:ascii="Times New Roman" w:hAnsi="Times New Roman" w:cs="Times New Roman"/>
                <w:snapToGrid w:val="0"/>
                <w:color w:val="auto"/>
                <w:sz w:val="24"/>
                <w:szCs w:val="24"/>
                <w:lang w:val="en-US" w:eastAsia="zh-CN"/>
              </w:rPr>
              <w:t>176</w:t>
            </w:r>
            <w:r>
              <w:rPr>
                <w:rFonts w:hint="eastAsia" w:cs="Times New Roman"/>
                <w:snapToGrid w:val="0"/>
                <w:color w:val="auto"/>
                <w:sz w:val="24"/>
                <w:szCs w:val="24"/>
                <w:lang w:val="en-US" w:eastAsia="zh-CN"/>
              </w:rPr>
              <w:t>1</w:t>
            </w:r>
            <w:r>
              <w:rPr>
                <w:rFonts w:hint="default" w:ascii="Times New Roman" w:hAnsi="Times New Roman" w:cs="Times New Roman"/>
                <w:color w:val="auto"/>
                <w:sz w:val="24"/>
                <w:szCs w:val="24"/>
              </w:rPr>
              <w:t>t/a、排放速率为</w:t>
            </w:r>
            <w:r>
              <w:rPr>
                <w:rFonts w:hint="eastAsia" w:ascii="Times New Roman" w:hAnsi="Times New Roman" w:cs="Times New Roman"/>
                <w:color w:val="auto"/>
                <w:sz w:val="24"/>
                <w:szCs w:val="24"/>
                <w:lang w:val="en-US" w:eastAsia="zh-CN"/>
              </w:rPr>
              <w:t>0.42</w:t>
            </w:r>
            <w:r>
              <w:rPr>
                <w:rFonts w:hint="default" w:ascii="Times New Roman" w:hAnsi="Times New Roman" w:cs="Times New Roman"/>
                <w:color w:val="auto"/>
                <w:sz w:val="24"/>
                <w:szCs w:val="24"/>
              </w:rPr>
              <w:t>kg/h</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投料工序</w:t>
            </w:r>
            <w:r>
              <w:rPr>
                <w:rFonts w:hint="eastAsia" w:ascii="Times New Roman" w:hAnsi="Times New Roman" w:cs="Times New Roman"/>
                <w:color w:val="auto"/>
                <w:sz w:val="24"/>
                <w:szCs w:val="24"/>
                <w:lang w:val="en-US" w:eastAsia="zh-CN"/>
              </w:rPr>
              <w:t>未被收集的</w:t>
            </w:r>
            <w:r>
              <w:rPr>
                <w:rFonts w:hint="default" w:ascii="Times New Roman" w:hAnsi="Times New Roman" w:cs="Times New Roman"/>
                <w:color w:val="auto"/>
                <w:sz w:val="24"/>
                <w:szCs w:val="24"/>
                <w:lang w:val="en-US" w:eastAsia="zh-CN"/>
              </w:rPr>
              <w:t>颗粒物</w:t>
            </w:r>
            <w:r>
              <w:rPr>
                <w:rFonts w:hint="eastAsia" w:ascii="Times New Roman" w:hAnsi="Times New Roman" w:cs="Times New Roman"/>
                <w:color w:val="auto"/>
                <w:sz w:val="24"/>
                <w:szCs w:val="24"/>
                <w:lang w:val="en-US" w:eastAsia="zh-CN"/>
              </w:rPr>
              <w:t>、碳黑</w:t>
            </w:r>
            <w:r>
              <w:rPr>
                <w:rFonts w:hint="default" w:ascii="Times New Roman" w:hAnsi="Times New Roman" w:cs="Times New Roman"/>
                <w:color w:val="auto"/>
                <w:sz w:val="24"/>
                <w:szCs w:val="24"/>
                <w:lang w:val="en-US" w:eastAsia="zh-CN"/>
              </w:rPr>
              <w:t>无组织排放，</w:t>
            </w:r>
            <w:r>
              <w:rPr>
                <w:rFonts w:hint="eastAsia" w:ascii="Times New Roman" w:hAnsi="Times New Roman" w:cs="Times New Roman"/>
                <w:color w:val="auto"/>
                <w:sz w:val="24"/>
                <w:szCs w:val="24"/>
                <w:lang w:val="en-US" w:eastAsia="zh-CN"/>
              </w:rPr>
              <w:t>颗粒物的</w:t>
            </w:r>
            <w:r>
              <w:rPr>
                <w:rFonts w:hint="default" w:ascii="Times New Roman" w:hAnsi="Times New Roman" w:cs="Times New Roman"/>
                <w:color w:val="auto"/>
                <w:sz w:val="24"/>
                <w:szCs w:val="24"/>
              </w:rPr>
              <w:t>排放量为</w:t>
            </w:r>
            <w:r>
              <w:rPr>
                <w:rFonts w:hint="eastAsia" w:ascii="Times New Roman" w:hAnsi="Times New Roman" w:cs="Times New Roman"/>
                <w:snapToGrid w:val="0"/>
                <w:color w:val="auto"/>
                <w:sz w:val="24"/>
                <w:szCs w:val="24"/>
                <w:lang w:val="en-US" w:eastAsia="zh-CN"/>
              </w:rPr>
              <w:t>0.01</w:t>
            </w:r>
            <w:r>
              <w:rPr>
                <w:rFonts w:hint="default" w:ascii="Times New Roman" w:hAnsi="Times New Roman" w:cs="Times New Roman"/>
                <w:color w:val="auto"/>
                <w:sz w:val="24"/>
                <w:szCs w:val="24"/>
              </w:rPr>
              <w:t>t/a、排放速率为0.0</w:t>
            </w:r>
            <w:r>
              <w:rPr>
                <w:rFonts w:hint="eastAsia" w:ascii="Times New Roman" w:hAnsi="Times New Roman" w:cs="Times New Roman"/>
                <w:color w:val="auto"/>
                <w:sz w:val="24"/>
                <w:szCs w:val="24"/>
                <w:lang w:val="en-US" w:eastAsia="zh-CN"/>
              </w:rPr>
              <w:t>71</w:t>
            </w:r>
            <w:r>
              <w:rPr>
                <w:rFonts w:hint="default" w:ascii="Times New Roman" w:hAnsi="Times New Roman" w:cs="Times New Roman"/>
                <w:color w:val="auto"/>
                <w:sz w:val="24"/>
                <w:szCs w:val="24"/>
              </w:rPr>
              <w:t>kg/h</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碳黑的</w:t>
            </w:r>
            <w:r>
              <w:rPr>
                <w:rFonts w:hint="default" w:ascii="Times New Roman" w:hAnsi="Times New Roman" w:cs="Times New Roman"/>
                <w:color w:val="auto"/>
                <w:sz w:val="24"/>
                <w:szCs w:val="24"/>
              </w:rPr>
              <w:t>排放量为</w:t>
            </w:r>
            <w:r>
              <w:rPr>
                <w:rFonts w:hint="eastAsia" w:ascii="Times New Roman" w:hAnsi="Times New Roman" w:cs="Times New Roman"/>
                <w:snapToGrid w:val="0"/>
                <w:color w:val="auto"/>
                <w:sz w:val="24"/>
                <w:szCs w:val="24"/>
                <w:lang w:val="en-US" w:eastAsia="zh-CN"/>
              </w:rPr>
              <w:t>0.0002</w:t>
            </w:r>
            <w:r>
              <w:rPr>
                <w:rFonts w:hint="default" w:ascii="Times New Roman" w:hAnsi="Times New Roman" w:cs="Times New Roman"/>
                <w:color w:val="auto"/>
                <w:sz w:val="24"/>
                <w:szCs w:val="24"/>
              </w:rPr>
              <w:t>t/a、排放速率为0.0</w:t>
            </w:r>
            <w:r>
              <w:rPr>
                <w:rFonts w:hint="eastAsia" w:ascii="Times New Roman" w:hAnsi="Times New Roman" w:cs="Times New Roman"/>
                <w:color w:val="auto"/>
                <w:sz w:val="24"/>
                <w:szCs w:val="24"/>
                <w:lang w:val="en-US" w:eastAsia="zh-CN"/>
              </w:rPr>
              <w:t>014</w:t>
            </w:r>
            <w:r>
              <w:rPr>
                <w:rFonts w:hint="default" w:ascii="Times New Roman" w:hAnsi="Times New Roman" w:cs="Times New Roman"/>
                <w:color w:val="auto"/>
                <w:sz w:val="24"/>
                <w:szCs w:val="24"/>
              </w:rPr>
              <w:t>kg/h</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非甲烷总烃满足</w:t>
            </w:r>
            <w:r>
              <w:rPr>
                <w:rFonts w:hint="default" w:ascii="Times New Roman" w:hAnsi="Times New Roman" w:cs="Times New Roman"/>
                <w:color w:val="auto"/>
                <w:sz w:val="24"/>
              </w:rPr>
              <w:t>《电池工业污染物排放标准》（GB30484-2013）表6现有新建企业边界大气污染物浓度限值</w:t>
            </w:r>
            <w:r>
              <w:rPr>
                <w:rFonts w:hint="eastAsia" w:ascii="Times New Roman" w:hAnsi="Times New Roman" w:cs="Times New Roman"/>
                <w:color w:val="auto"/>
                <w:sz w:val="24"/>
                <w:lang w:eastAsia="zh-CN"/>
              </w:rPr>
              <w:t>，</w:t>
            </w:r>
            <w:r>
              <w:rPr>
                <w:rFonts w:hint="default" w:ascii="Times New Roman" w:hAnsi="Times New Roman" w:cs="Times New Roman"/>
                <w:color w:val="auto"/>
                <w:sz w:val="24"/>
                <w:szCs w:val="24"/>
                <w:lang w:val="en-US" w:eastAsia="zh-CN"/>
              </w:rPr>
              <w:t>颗粒物满足</w:t>
            </w:r>
            <w:r>
              <w:rPr>
                <w:rFonts w:hint="default" w:ascii="Times New Roman" w:hAnsi="Times New Roman" w:cs="Times New Roman"/>
                <w:color w:val="auto"/>
                <w:sz w:val="24"/>
              </w:rPr>
              <w:t>《电池工业污染物排放标准》（GB30484-2013）表6现有新建企业边界大气污染物浓度限值</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碳黑满足</w:t>
            </w:r>
            <w:r>
              <w:rPr>
                <w:rFonts w:hint="default" w:ascii="Times New Roman" w:hAnsi="Times New Roman" w:cs="Times New Roman"/>
                <w:color w:val="auto"/>
                <w:sz w:val="24"/>
                <w:lang w:val="en-US" w:eastAsia="zh-CN"/>
              </w:rPr>
              <w:t>广东省《大气污染物排放限值》（DB44/27-2001）第二时段无组织排放限值</w:t>
            </w:r>
            <w:r>
              <w:rPr>
                <w:rFonts w:hint="eastAsia" w:ascii="Times New Roman" w:hAnsi="Times New Roman" w:cs="Times New Roman"/>
                <w:color w:val="auto"/>
                <w:sz w:val="24"/>
                <w:lang w:val="en-US" w:eastAsia="zh-CN"/>
              </w:rPr>
              <w:t>的较严值</w:t>
            </w:r>
            <w:r>
              <w:rPr>
                <w:rFonts w:hint="default" w:ascii="Times New Roman" w:hAnsi="Times New Roman" w:cs="Times New Roman"/>
                <w:color w:val="auto"/>
                <w:sz w:val="24"/>
                <w:szCs w:val="24"/>
              </w:rPr>
              <w:t>；厂区内NMHC满足《固定污染源挥发性有机物综合排放标准》（DB44/2367-2022）</w:t>
            </w:r>
            <w:r>
              <w:rPr>
                <w:rFonts w:hint="default" w:ascii="Times New Roman" w:hAnsi="Times New Roman" w:cs="Times New Roman"/>
                <w:color w:val="auto"/>
                <w:sz w:val="24"/>
                <w:szCs w:val="24"/>
                <w:lang w:val="en-US" w:eastAsia="zh-CN"/>
              </w:rPr>
              <w:t>无组织</w:t>
            </w:r>
            <w:r>
              <w:rPr>
                <w:rFonts w:hint="default" w:ascii="Times New Roman" w:hAnsi="Times New Roman" w:cs="Times New Roman"/>
                <w:color w:val="auto"/>
                <w:sz w:val="24"/>
                <w:szCs w:val="24"/>
              </w:rPr>
              <w:t>排放限值要求。</w:t>
            </w:r>
          </w:p>
          <w:p>
            <w:pPr>
              <w:pStyle w:val="75"/>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4.2.1.6 废气排放监测要求</w:t>
            </w:r>
          </w:p>
          <w:p>
            <w:pPr>
              <w:adjustRightInd w:val="0"/>
              <w:snapToGrid w:val="0"/>
              <w:spacing w:line="360" w:lineRule="auto"/>
              <w:ind w:firstLine="480" w:firstLineChars="200"/>
              <w:rPr>
                <w:rFonts w:hint="default" w:ascii="Times New Roman" w:hAnsi="Times New Roman" w:cs="Times New Roman"/>
                <w:b/>
                <w:bCs/>
                <w:color w:val="auto"/>
                <w:sz w:val="24"/>
                <w:szCs w:val="24"/>
              </w:rPr>
            </w:pPr>
            <w:r>
              <w:rPr>
                <w:rFonts w:hint="default" w:ascii="Times New Roman" w:hAnsi="Times New Roman" w:cs="Times New Roman"/>
                <w:bCs/>
                <w:color w:val="auto"/>
                <w:sz w:val="24"/>
              </w:rPr>
              <w:t>根据《固定污染源排污许可分类管理名录》，本项目属于“</w:t>
            </w:r>
            <w:r>
              <w:rPr>
                <w:rFonts w:hint="default" w:ascii="Times New Roman" w:hAnsi="Times New Roman" w:cs="Times New Roman"/>
                <w:bCs/>
                <w:color w:val="auto"/>
                <w:sz w:val="24"/>
                <w:lang w:val="en-US" w:eastAsia="zh-CN"/>
              </w:rPr>
              <w:t>三</w:t>
            </w:r>
            <w:r>
              <w:rPr>
                <w:rFonts w:hint="default" w:ascii="Times New Roman" w:hAnsi="Times New Roman" w:cs="Times New Roman"/>
                <w:bCs/>
                <w:color w:val="auto"/>
                <w:sz w:val="24"/>
              </w:rPr>
              <w:t>十</w:t>
            </w:r>
            <w:r>
              <w:rPr>
                <w:rFonts w:hint="default" w:ascii="Times New Roman" w:hAnsi="Times New Roman" w:cs="Times New Roman"/>
                <w:bCs/>
                <w:color w:val="auto"/>
                <w:sz w:val="24"/>
                <w:lang w:val="en-US" w:eastAsia="zh-CN"/>
              </w:rPr>
              <w:t>三</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电气机械和器材制造业</w:t>
            </w:r>
            <w:r>
              <w:rPr>
                <w:rFonts w:hint="default" w:ascii="Times New Roman" w:hAnsi="Times New Roman" w:cs="Times New Roman"/>
                <w:color w:val="auto"/>
                <w:sz w:val="24"/>
              </w:rPr>
              <w:t>3</w:t>
            </w: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88电池制造</w:t>
            </w:r>
            <w:r>
              <w:rPr>
                <w:rFonts w:hint="default" w:ascii="Times New Roman" w:hAnsi="Times New Roman" w:cs="Times New Roman"/>
                <w:color w:val="auto"/>
                <w:sz w:val="24"/>
              </w:rPr>
              <w:t>3</w:t>
            </w:r>
            <w:r>
              <w:rPr>
                <w:rFonts w:hint="default" w:ascii="Times New Roman" w:hAnsi="Times New Roman" w:cs="Times New Roman"/>
                <w:color w:val="auto"/>
                <w:sz w:val="24"/>
                <w:lang w:val="en-US" w:eastAsia="zh-CN"/>
              </w:rPr>
              <w:t>84</w:t>
            </w:r>
            <w:r>
              <w:rPr>
                <w:rFonts w:hint="default" w:ascii="Times New Roman" w:hAnsi="Times New Roman" w:cs="Times New Roman"/>
                <w:bCs/>
                <w:color w:val="auto"/>
                <w:sz w:val="24"/>
              </w:rPr>
              <w:t>”中的“</w:t>
            </w:r>
            <w:r>
              <w:rPr>
                <w:rFonts w:hint="default" w:ascii="Times New Roman" w:hAnsi="Times New Roman" w:cs="Times New Roman"/>
                <w:bCs/>
                <w:color w:val="auto"/>
                <w:sz w:val="24"/>
                <w:lang w:val="en-US" w:eastAsia="zh-CN"/>
              </w:rPr>
              <w:t>锂离子电池制造3841</w:t>
            </w:r>
            <w:r>
              <w:rPr>
                <w:rFonts w:hint="default" w:ascii="Times New Roman" w:hAnsi="Times New Roman" w:cs="Times New Roman"/>
                <w:bCs/>
                <w:color w:val="auto"/>
                <w:sz w:val="24"/>
              </w:rPr>
              <w:t>”，本项目属于排污许可证</w:t>
            </w:r>
            <w:r>
              <w:rPr>
                <w:rFonts w:hint="default" w:ascii="Times New Roman" w:hAnsi="Times New Roman" w:cs="Times New Roman"/>
                <w:bCs/>
                <w:color w:val="auto"/>
                <w:sz w:val="24"/>
                <w:lang w:val="en-US" w:eastAsia="zh-CN"/>
              </w:rPr>
              <w:t>简化</w:t>
            </w:r>
            <w:r>
              <w:rPr>
                <w:rFonts w:hint="default" w:ascii="Times New Roman" w:hAnsi="Times New Roman" w:cs="Times New Roman"/>
                <w:bCs/>
                <w:color w:val="auto"/>
                <w:sz w:val="24"/>
              </w:rPr>
              <w:t>管理类别。</w:t>
            </w:r>
          </w:p>
          <w:p>
            <w:pPr>
              <w:pStyle w:val="75"/>
              <w:ind w:firstLine="480" w:firstLineChars="200"/>
              <w:jc w:val="both"/>
              <w:rPr>
                <w:rFonts w:hint="default" w:ascii="Times New Roman" w:hAnsi="Times New Roman" w:cs="Times New Roman"/>
                <w:b/>
                <w:bCs/>
                <w:color w:val="auto"/>
                <w:sz w:val="24"/>
                <w:szCs w:val="24"/>
              </w:rPr>
            </w:pPr>
            <w:r>
              <w:rPr>
                <w:rFonts w:hint="default" w:ascii="Times New Roman" w:hAnsi="Times New Roman" w:cs="Times New Roman"/>
                <w:color w:val="auto"/>
                <w:sz w:val="24"/>
                <w:szCs w:val="24"/>
              </w:rPr>
              <w:t>根据《排污单位自行监测技术指南 总则》（HJ819-2017）、</w:t>
            </w:r>
            <w:r>
              <w:rPr>
                <w:rFonts w:hint="default" w:ascii="Times New Roman" w:hAnsi="Times New Roman" w:eastAsia="宋体" w:cs="Times New Roman"/>
                <w:color w:val="auto"/>
                <w:sz w:val="24"/>
                <w:szCs w:val="24"/>
              </w:rPr>
              <w:fldChar w:fldCharType="begin"/>
            </w:r>
            <w:r>
              <w:rPr>
                <w:rFonts w:hint="default" w:ascii="Times New Roman" w:hAnsi="Times New Roman" w:eastAsia="宋体" w:cs="Times New Roman"/>
                <w:color w:val="auto"/>
                <w:sz w:val="24"/>
                <w:szCs w:val="24"/>
              </w:rPr>
              <w:instrText xml:space="preserve"> HYPERLINK "http://www.mee.gov.cn/ywgz/fgbz/bz/bzwb/pwxk/202112/t20211206_963114.shtml" </w:instrText>
            </w:r>
            <w:r>
              <w:rPr>
                <w:rFonts w:hint="default" w:ascii="Times New Roman" w:hAnsi="Times New Roman" w:eastAsia="宋体" w:cs="Times New Roman"/>
                <w:color w:val="auto"/>
                <w:sz w:val="24"/>
                <w:szCs w:val="24"/>
              </w:rPr>
              <w:fldChar w:fldCharType="separate"/>
            </w:r>
            <w:r>
              <w:rPr>
                <w:rFonts w:hint="default" w:ascii="Times New Roman" w:hAnsi="Times New Roman" w:eastAsia="宋体" w:cs="Times New Roman"/>
                <w:color w:val="auto"/>
                <w:sz w:val="24"/>
                <w:szCs w:val="24"/>
              </w:rPr>
              <w:t>《排污单位自行监测技术指南 电池工业》（HJ 1204-2021）</w:t>
            </w:r>
            <w:r>
              <w:rPr>
                <w:rFonts w:hint="default" w:ascii="Times New Roman" w:hAnsi="Times New Roman" w:eastAsia="宋体" w:cs="Times New Roman"/>
                <w:color w:val="auto"/>
                <w:sz w:val="24"/>
                <w:szCs w:val="24"/>
              </w:rPr>
              <w:fldChar w:fldCharType="end"/>
            </w:r>
            <w:r>
              <w:rPr>
                <w:rFonts w:hint="default" w:ascii="Times New Roman" w:hAnsi="Times New Roman" w:eastAsia="宋体" w:cs="Times New Roman"/>
                <w:color w:val="auto"/>
                <w:sz w:val="24"/>
                <w:szCs w:val="24"/>
              </w:rPr>
              <w:t>，</w:t>
            </w:r>
            <w:r>
              <w:rPr>
                <w:rFonts w:hint="default" w:ascii="Times New Roman" w:hAnsi="Times New Roman" w:cs="Times New Roman"/>
                <w:color w:val="auto"/>
                <w:sz w:val="24"/>
                <w:szCs w:val="24"/>
              </w:rPr>
              <w:t>并结合项目运营期间污染物排放特点，制定本项目的污染源监测计划，建议建设单位按监测计划实施。监测分析方法按照现行国家、部颁标准和有关规定执行。本项目运营期环境自行监测内容如下。</w:t>
            </w:r>
          </w:p>
          <w:p>
            <w:pPr>
              <w:pStyle w:val="75"/>
              <w:ind w:firstLine="0"/>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4-1</w:t>
            </w:r>
            <w:r>
              <w:rPr>
                <w:rFonts w:hint="eastAsia" w:ascii="Times New Roman" w:hAnsi="Times New Roman" w:cs="Times New Roman"/>
                <w:b/>
                <w:bCs/>
                <w:color w:val="auto"/>
                <w:sz w:val="24"/>
                <w:szCs w:val="24"/>
                <w:lang w:val="en-US" w:eastAsia="zh-CN"/>
              </w:rPr>
              <w:t>6</w:t>
            </w:r>
            <w:r>
              <w:rPr>
                <w:rFonts w:hint="default" w:ascii="Times New Roman" w:hAnsi="Times New Roman" w:cs="Times New Roman"/>
                <w:b/>
                <w:bCs/>
                <w:color w:val="auto"/>
                <w:sz w:val="24"/>
                <w:szCs w:val="24"/>
              </w:rPr>
              <w:t xml:space="preserve"> 废气监测计划表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57"/>
              <w:gridCol w:w="1315"/>
              <w:gridCol w:w="1037"/>
              <w:gridCol w:w="505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62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pacing w:val="-4"/>
                      <w:szCs w:val="21"/>
                    </w:rPr>
                  </w:pPr>
                  <w:r>
                    <w:rPr>
                      <w:rFonts w:hint="default" w:ascii="Times New Roman" w:hAnsi="Times New Roman" w:cs="Times New Roman"/>
                      <w:b/>
                      <w:bCs/>
                      <w:color w:val="auto"/>
                      <w:spacing w:val="-4"/>
                      <w:szCs w:val="21"/>
                    </w:rPr>
                    <w:t>监测点位</w:t>
                  </w:r>
                </w:p>
              </w:tc>
              <w:tc>
                <w:tcPr>
                  <w:tcW w:w="776"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pacing w:val="-4"/>
                      <w:szCs w:val="21"/>
                    </w:rPr>
                  </w:pPr>
                  <w:r>
                    <w:rPr>
                      <w:rFonts w:hint="default" w:ascii="Times New Roman" w:hAnsi="Times New Roman" w:cs="Times New Roman"/>
                      <w:b/>
                      <w:bCs/>
                      <w:color w:val="auto"/>
                      <w:spacing w:val="-4"/>
                      <w:szCs w:val="21"/>
                    </w:rPr>
                    <w:t>监测指标</w:t>
                  </w:r>
                </w:p>
              </w:tc>
              <w:tc>
                <w:tcPr>
                  <w:tcW w:w="612"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pacing w:val="-4"/>
                      <w:szCs w:val="21"/>
                    </w:rPr>
                  </w:pPr>
                  <w:r>
                    <w:rPr>
                      <w:rFonts w:hint="default" w:ascii="Times New Roman" w:hAnsi="Times New Roman" w:cs="Times New Roman"/>
                      <w:b/>
                      <w:bCs/>
                      <w:color w:val="auto"/>
                      <w:spacing w:val="-4"/>
                      <w:szCs w:val="21"/>
                    </w:rPr>
                    <w:t>监测频次</w:t>
                  </w:r>
                </w:p>
              </w:tc>
              <w:tc>
                <w:tcPr>
                  <w:tcW w:w="298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pacing w:val="-4"/>
                      <w:szCs w:val="21"/>
                    </w:rPr>
                  </w:pPr>
                  <w:r>
                    <w:rPr>
                      <w:rFonts w:hint="default" w:ascii="Times New Roman" w:hAnsi="Times New Roman" w:cs="Times New Roman"/>
                      <w:b/>
                      <w:bCs/>
                      <w:color w:val="auto"/>
                      <w:spacing w:val="-4"/>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624" w:type="pct"/>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pacing w:val="-4"/>
                      <w:kern w:val="2"/>
                      <w:sz w:val="21"/>
                      <w:szCs w:val="21"/>
                      <w:lang w:val="en-US" w:eastAsia="zh-CN" w:bidi="ar-SA"/>
                    </w:rPr>
                  </w:pPr>
                  <w:r>
                    <w:rPr>
                      <w:rFonts w:hint="default" w:ascii="Times New Roman" w:hAnsi="Times New Roman" w:cs="Times New Roman"/>
                      <w:color w:val="auto"/>
                      <w:szCs w:val="21"/>
                      <w:lang w:val="en-US" w:eastAsia="zh-CN"/>
                    </w:rPr>
                    <w:t>DA001</w:t>
                  </w:r>
                </w:p>
              </w:tc>
              <w:tc>
                <w:tcPr>
                  <w:tcW w:w="776" w:type="pct"/>
                  <w:tcBorders>
                    <w:top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颗粒物</w:t>
                  </w:r>
                </w:p>
              </w:tc>
              <w:tc>
                <w:tcPr>
                  <w:tcW w:w="612" w:type="pct"/>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105" w:leftChars="-50" w:right="-105" w:rightChars="-5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w:t>
                  </w:r>
                  <w:r>
                    <w:rPr>
                      <w:rFonts w:hint="default" w:ascii="Times New Roman" w:hAnsi="Times New Roman" w:cs="Times New Roman"/>
                      <w:color w:val="auto"/>
                      <w:sz w:val="21"/>
                      <w:szCs w:val="21"/>
                      <w:lang w:val="en-US" w:eastAsia="zh-CN"/>
                    </w:rPr>
                    <w:t>半</w:t>
                  </w:r>
                  <w:r>
                    <w:rPr>
                      <w:rFonts w:hint="default" w:ascii="Times New Roman" w:hAnsi="Times New Roman" w:cs="Times New Roman"/>
                      <w:color w:val="auto"/>
                      <w:sz w:val="21"/>
                      <w:szCs w:val="21"/>
                    </w:rPr>
                    <w:t>年</w:t>
                  </w:r>
                </w:p>
              </w:tc>
              <w:tc>
                <w:tcPr>
                  <w:tcW w:w="298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《电池工业污染物排放标准》（GB30484-2013）表5新建企业大气污染物排放限值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624"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p>
              </w:tc>
              <w:tc>
                <w:tcPr>
                  <w:tcW w:w="776" w:type="pct"/>
                  <w:tcBorders>
                    <w:top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碳黑</w:t>
                  </w:r>
                </w:p>
              </w:tc>
              <w:tc>
                <w:tcPr>
                  <w:tcW w:w="612" w:type="pct"/>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105" w:leftChars="-50" w:right="-105" w:rightChars="-5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1次/年</w:t>
                  </w:r>
                </w:p>
              </w:tc>
              <w:tc>
                <w:tcPr>
                  <w:tcW w:w="298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广东省《大气污染物排放限值》（DB44/27-2001）第二时段二级标准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7" w:hRule="atLeast"/>
                <w:jc w:val="center"/>
              </w:trPr>
              <w:tc>
                <w:tcPr>
                  <w:tcW w:w="624"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pacing w:val="-4"/>
                      <w:kern w:val="2"/>
                      <w:sz w:val="21"/>
                      <w:szCs w:val="21"/>
                      <w:lang w:val="en-US" w:eastAsia="zh-CN" w:bidi="ar-SA"/>
                    </w:rPr>
                  </w:pPr>
                </w:p>
              </w:tc>
              <w:tc>
                <w:tcPr>
                  <w:tcW w:w="776" w:type="pct"/>
                  <w:tcBorders>
                    <w:top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kern w:val="0"/>
                      <w:sz w:val="21"/>
                      <w:szCs w:val="21"/>
                      <w:vertAlign w:val="baseline"/>
                      <w:lang w:val="en-US" w:eastAsia="zh-CN" w:bidi="ar-SA"/>
                    </w:rPr>
                  </w:pPr>
                  <w:r>
                    <w:rPr>
                      <w:rFonts w:hint="default" w:ascii="Times New Roman" w:hAnsi="Times New Roman" w:cs="Times New Roman"/>
                      <w:color w:val="auto"/>
                      <w:szCs w:val="21"/>
                    </w:rPr>
                    <w:t>非甲烷总烃</w:t>
                  </w:r>
                </w:p>
              </w:tc>
              <w:tc>
                <w:tcPr>
                  <w:tcW w:w="612" w:type="pct"/>
                  <w:tcBorders>
                    <w:top w:val="single" w:color="auto" w:sz="4" w:space="0"/>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105" w:leftChars="-50" w:right="-105" w:rightChars="-50"/>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1次/</w:t>
                  </w:r>
                  <w:r>
                    <w:rPr>
                      <w:rFonts w:hint="default" w:ascii="Times New Roman" w:hAnsi="Times New Roman" w:cs="Times New Roman"/>
                      <w:color w:val="auto"/>
                      <w:sz w:val="21"/>
                      <w:szCs w:val="21"/>
                      <w:lang w:val="en-US" w:eastAsia="zh-CN"/>
                    </w:rPr>
                    <w:t>半</w:t>
                  </w:r>
                  <w:r>
                    <w:rPr>
                      <w:rFonts w:hint="default" w:ascii="Times New Roman" w:hAnsi="Times New Roman" w:cs="Times New Roman"/>
                      <w:color w:val="auto"/>
                      <w:sz w:val="21"/>
                      <w:szCs w:val="21"/>
                    </w:rPr>
                    <w:t>年</w:t>
                  </w:r>
                </w:p>
              </w:tc>
              <w:tc>
                <w:tcPr>
                  <w:tcW w:w="298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eastAsia="zh-CN"/>
                    </w:rPr>
                  </w:pPr>
                  <w:r>
                    <w:rPr>
                      <w:rFonts w:hint="default" w:ascii="Times New Roman" w:hAnsi="Times New Roman" w:cs="Times New Roman"/>
                      <w:color w:val="auto"/>
                      <w:sz w:val="21"/>
                      <w:szCs w:val="21"/>
                    </w:rPr>
                    <w:t>《电池工业污染物排放标准》（GB30484-2013）表5新建企业大气污染物排放限值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85" w:hRule="atLeast"/>
                <w:jc w:val="center"/>
              </w:trPr>
              <w:tc>
                <w:tcPr>
                  <w:tcW w:w="62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厂界</w:t>
                  </w:r>
                </w:p>
              </w:tc>
              <w:tc>
                <w:tcPr>
                  <w:tcW w:w="776" w:type="pct"/>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612"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105" w:leftChars="-50" w:right="-105" w:rightChars="-5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w:t>
                  </w:r>
                  <w:r>
                    <w:rPr>
                      <w:rFonts w:hint="default" w:ascii="Times New Roman" w:hAnsi="Times New Roman" w:cs="Times New Roman"/>
                      <w:color w:val="auto"/>
                      <w:sz w:val="21"/>
                      <w:szCs w:val="21"/>
                      <w:lang w:val="en-US" w:eastAsia="zh-CN"/>
                    </w:rPr>
                    <w:t>半</w:t>
                  </w:r>
                  <w:r>
                    <w:rPr>
                      <w:rFonts w:hint="default" w:ascii="Times New Roman" w:hAnsi="Times New Roman" w:cs="Times New Roman"/>
                      <w:color w:val="auto"/>
                      <w:sz w:val="21"/>
                      <w:szCs w:val="21"/>
                    </w:rPr>
                    <w:t>年</w:t>
                  </w:r>
                </w:p>
              </w:tc>
              <w:tc>
                <w:tcPr>
                  <w:tcW w:w="298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pacing w:val="-4"/>
                      <w:sz w:val="21"/>
                      <w:szCs w:val="21"/>
                      <w:lang w:eastAsia="zh-CN"/>
                    </w:rPr>
                  </w:pPr>
                  <w:r>
                    <w:rPr>
                      <w:rFonts w:hint="default" w:ascii="Times New Roman" w:hAnsi="Times New Roman" w:cs="Times New Roman"/>
                      <w:color w:val="auto"/>
                      <w:sz w:val="21"/>
                      <w:szCs w:val="21"/>
                    </w:rPr>
                    <w:t>《电池工业污染物排放标准》（GB30484-2013）表6现有新建企业边界大气污染物浓度限值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62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pacing w:val="-4"/>
                      <w:szCs w:val="21"/>
                    </w:rPr>
                  </w:pPr>
                </w:p>
              </w:tc>
              <w:tc>
                <w:tcPr>
                  <w:tcW w:w="776" w:type="pct"/>
                  <w:tcBorders>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颗粒物</w:t>
                  </w:r>
                </w:p>
              </w:tc>
              <w:tc>
                <w:tcPr>
                  <w:tcW w:w="612"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105" w:leftChars="-50" w:right="-105" w:rightChars="-5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w:t>
                  </w:r>
                  <w:r>
                    <w:rPr>
                      <w:rFonts w:hint="default" w:ascii="Times New Roman" w:hAnsi="Times New Roman" w:cs="Times New Roman"/>
                      <w:color w:val="auto"/>
                      <w:sz w:val="21"/>
                      <w:szCs w:val="21"/>
                      <w:lang w:val="en-US" w:eastAsia="zh-CN"/>
                    </w:rPr>
                    <w:t>半</w:t>
                  </w:r>
                  <w:r>
                    <w:rPr>
                      <w:rFonts w:hint="default" w:ascii="Times New Roman" w:hAnsi="Times New Roman" w:cs="Times New Roman"/>
                      <w:color w:val="auto"/>
                      <w:sz w:val="21"/>
                      <w:szCs w:val="21"/>
                    </w:rPr>
                    <w:t>年</w:t>
                  </w:r>
                </w:p>
              </w:tc>
              <w:tc>
                <w:tcPr>
                  <w:tcW w:w="298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firstLine="420" w:firstLineChars="200"/>
                    <w:jc w:val="center"/>
                    <w:textAlignment w:val="auto"/>
                    <w:rPr>
                      <w:rFonts w:hint="default"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5" w:hRule="atLeast"/>
                <w:jc w:val="center"/>
              </w:trPr>
              <w:tc>
                <w:tcPr>
                  <w:tcW w:w="62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pacing w:val="-4"/>
                      <w:szCs w:val="21"/>
                    </w:rPr>
                  </w:pPr>
                </w:p>
              </w:tc>
              <w:tc>
                <w:tcPr>
                  <w:tcW w:w="776" w:type="pct"/>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碳黑</w:t>
                  </w:r>
                </w:p>
              </w:tc>
              <w:tc>
                <w:tcPr>
                  <w:tcW w:w="612"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105" w:leftChars="-50" w:right="-105" w:rightChars="-5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1次/年</w:t>
                  </w:r>
                </w:p>
              </w:tc>
              <w:tc>
                <w:tcPr>
                  <w:tcW w:w="298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lang w:val="en-US"/>
                    </w:rPr>
                  </w:pPr>
                  <w:r>
                    <w:rPr>
                      <w:rFonts w:hint="eastAsia" w:ascii="Times New Roman" w:hAnsi="Times New Roman" w:eastAsia="宋体" w:cs="Times New Roman"/>
                      <w:color w:val="auto"/>
                      <w:sz w:val="21"/>
                      <w:szCs w:val="21"/>
                    </w:rPr>
                    <w:t>广东省《大气污染物排放限值》（DB44/27-2001）第二时段</w:t>
                  </w:r>
                  <w:r>
                    <w:rPr>
                      <w:rFonts w:hint="eastAsia" w:ascii="Times New Roman" w:hAnsi="Times New Roman" w:eastAsia="宋体" w:cs="Times New Roman"/>
                      <w:color w:val="auto"/>
                      <w:sz w:val="21"/>
                      <w:szCs w:val="21"/>
                      <w:lang w:val="en-US" w:eastAsia="zh-CN"/>
                    </w:rPr>
                    <w:t>无组织排放限值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0" w:hRule="atLeast"/>
                <w:jc w:val="center"/>
              </w:trPr>
              <w:tc>
                <w:tcPr>
                  <w:tcW w:w="624" w:type="pct"/>
                  <w:tcBorders>
                    <w:top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pacing w:val="-4"/>
                      <w:szCs w:val="21"/>
                    </w:rPr>
                  </w:pPr>
                  <w:r>
                    <w:rPr>
                      <w:rFonts w:hint="default" w:ascii="Times New Roman" w:hAnsi="Times New Roman" w:cs="Times New Roman"/>
                      <w:color w:val="auto"/>
                      <w:spacing w:val="-4"/>
                      <w:szCs w:val="21"/>
                    </w:rPr>
                    <w:t>厂区内</w:t>
                  </w:r>
                </w:p>
              </w:tc>
              <w:tc>
                <w:tcPr>
                  <w:tcW w:w="776" w:type="pct"/>
                  <w:tcBorders>
                    <w:top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NMHC</w:t>
                  </w:r>
                </w:p>
              </w:tc>
              <w:tc>
                <w:tcPr>
                  <w:tcW w:w="612"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105" w:leftChars="-50" w:right="-105" w:rightChars="-50"/>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1次/</w:t>
                  </w:r>
                  <w:r>
                    <w:rPr>
                      <w:rFonts w:hint="default" w:ascii="Times New Roman" w:hAnsi="Times New Roman" w:cs="Times New Roman"/>
                      <w:color w:val="auto"/>
                      <w:sz w:val="21"/>
                      <w:szCs w:val="21"/>
                      <w:lang w:val="en-US" w:eastAsia="zh-CN"/>
                    </w:rPr>
                    <w:t>半</w:t>
                  </w:r>
                  <w:r>
                    <w:rPr>
                      <w:rFonts w:hint="default" w:ascii="Times New Roman" w:hAnsi="Times New Roman" w:cs="Times New Roman"/>
                      <w:color w:val="auto"/>
                      <w:sz w:val="21"/>
                      <w:szCs w:val="21"/>
                    </w:rPr>
                    <w:t>年</w:t>
                  </w:r>
                </w:p>
              </w:tc>
              <w:tc>
                <w:tcPr>
                  <w:tcW w:w="298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105" w:leftChars="-50" w:right="-105" w:rightChars="-50"/>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《固定污染源挥发性有机物综合排放标准》（DB44/2367-2022）规定的无组织排放限值</w:t>
                  </w:r>
                </w:p>
              </w:tc>
            </w:tr>
          </w:tbl>
          <w:p>
            <w:pPr>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4.2.1.4 废气非正常排放分析</w:t>
            </w:r>
          </w:p>
          <w:p>
            <w:pPr>
              <w:pStyle w:val="27"/>
              <w:widowControl w:val="0"/>
              <w:spacing w:before="0" w:beforeAutospacing="0" w:after="0" w:afterAutospacing="0" w:line="360" w:lineRule="auto"/>
              <w:ind w:firstLine="480" w:firstLineChars="200"/>
              <w:jc w:val="both"/>
              <w:rPr>
                <w:rFonts w:hint="default" w:ascii="Times New Roman" w:hAnsi="Times New Roman" w:cs="Times New Roman"/>
                <w:color w:val="auto"/>
                <w:szCs w:val="24"/>
              </w:rPr>
            </w:pPr>
            <w:r>
              <w:rPr>
                <w:rFonts w:hint="default" w:ascii="Times New Roman" w:hAnsi="Times New Roman" w:cs="Times New Roman"/>
                <w:bCs/>
                <w:color w:val="auto"/>
                <w:kern w:val="2"/>
                <w:position w:val="-6"/>
                <w:szCs w:val="24"/>
              </w:rPr>
              <w:t>本项目的非正常工况主要是污染物排放控制措施达不到应有效率，即活性炭装置处理设施失效或者废气处理设备运转不正常，造成排气筒废气中污染物未经净化直接排放。按最不利原则，选择污染源污染物排放速率最大的排放口进行非正常工况分析。其排放情况如下表所示。</w:t>
            </w:r>
          </w:p>
          <w:p>
            <w:pPr>
              <w:spacing w:line="360" w:lineRule="auto"/>
              <w:jc w:val="center"/>
              <w:rPr>
                <w:rFonts w:hint="default" w:ascii="Times New Roman" w:hAnsi="Times New Roman" w:cs="Times New Roman"/>
                <w:b/>
                <w:color w:val="auto"/>
                <w:sz w:val="24"/>
                <w:szCs w:val="24"/>
              </w:rPr>
            </w:pPr>
            <w:r>
              <w:rPr>
                <w:rFonts w:hint="default" w:ascii="Times New Roman" w:hAnsi="Times New Roman" w:cs="Times New Roman"/>
                <w:b/>
                <w:bCs/>
                <w:color w:val="auto"/>
                <w:sz w:val="24"/>
                <w:szCs w:val="24"/>
              </w:rPr>
              <w:t>表4</w:t>
            </w:r>
            <w:r>
              <w:rPr>
                <w:rFonts w:hint="default" w:ascii="Times New Roman" w:hAnsi="Times New Roman" w:cs="Times New Roman"/>
                <w:b/>
                <w:bCs/>
                <w:color w:val="auto"/>
                <w:sz w:val="24"/>
                <w:szCs w:val="24"/>
                <w:lang w:val="en-US" w:eastAsia="zh-CN"/>
              </w:rPr>
              <w:t>-1</w:t>
            </w:r>
            <w:r>
              <w:rPr>
                <w:rFonts w:hint="eastAsia" w:ascii="Times New Roman" w:hAnsi="Times New Roman" w:cs="Times New Roman"/>
                <w:b/>
                <w:bCs/>
                <w:color w:val="auto"/>
                <w:sz w:val="24"/>
                <w:szCs w:val="24"/>
                <w:lang w:val="en-US" w:eastAsia="zh-CN"/>
              </w:rPr>
              <w:t>7</w:t>
            </w:r>
            <w:r>
              <w:rPr>
                <w:rFonts w:hint="default" w:ascii="Times New Roman" w:hAnsi="Times New Roman" w:cs="Times New Roman"/>
                <w:b/>
                <w:bCs/>
                <w:color w:val="auto"/>
                <w:sz w:val="24"/>
                <w:szCs w:val="24"/>
              </w:rPr>
              <w:t xml:space="preserve"> 非正常工况排放量核算表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6"/>
              <w:gridCol w:w="1051"/>
              <w:gridCol w:w="783"/>
              <w:gridCol w:w="1167"/>
              <w:gridCol w:w="1167"/>
              <w:gridCol w:w="1115"/>
              <w:gridCol w:w="869"/>
              <w:gridCol w:w="881"/>
              <w:gridCol w:w="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4" w:hRule="atLeast"/>
                <w:jc w:val="center"/>
              </w:trPr>
              <w:tc>
                <w:tcPr>
                  <w:tcW w:w="381"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非正常排放源</w:t>
                  </w:r>
                </w:p>
              </w:tc>
              <w:tc>
                <w:tcPr>
                  <w:tcW w:w="62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非正常排放原因</w:t>
                  </w:r>
                </w:p>
              </w:tc>
              <w:tc>
                <w:tcPr>
                  <w:tcW w:w="462"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689"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lang w:val="en-US" w:eastAsia="zh-CN"/>
                    </w:rPr>
                    <w:t>非正常排放量（t/a）</w:t>
                  </w:r>
                </w:p>
              </w:tc>
              <w:tc>
                <w:tcPr>
                  <w:tcW w:w="689"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非正常排放速率（kg/h）</w:t>
                  </w:r>
                </w:p>
              </w:tc>
              <w:tc>
                <w:tcPr>
                  <w:tcW w:w="658"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非正常排放浓度（mg/m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c>
                <w:tcPr>
                  <w:tcW w:w="513"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单次持续时间（h）</w:t>
                  </w:r>
                </w:p>
              </w:tc>
              <w:tc>
                <w:tcPr>
                  <w:tcW w:w="520"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年发生频次</w:t>
                  </w:r>
                </w:p>
              </w:tc>
              <w:tc>
                <w:tcPr>
                  <w:tcW w:w="463"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88" w:hRule="atLeast"/>
                <w:jc w:val="center"/>
              </w:trPr>
              <w:tc>
                <w:tcPr>
                  <w:tcW w:w="381" w:type="pct"/>
                  <w:vMerge w:val="restar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DA001</w:t>
                  </w:r>
                </w:p>
              </w:tc>
              <w:tc>
                <w:tcPr>
                  <w:tcW w:w="620" w:type="pct"/>
                  <w:vMerge w:val="restar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kern w:val="2"/>
                      <w:position w:val="-6"/>
                      <w:sz w:val="21"/>
                      <w:szCs w:val="21"/>
                    </w:rPr>
                    <w:t>废气处理设施故障，处理效率按</w:t>
                  </w:r>
                  <w:r>
                    <w:rPr>
                      <w:rFonts w:hint="default" w:ascii="Times New Roman" w:hAnsi="Times New Roman" w:cs="Times New Roman"/>
                      <w:color w:val="auto"/>
                      <w:kern w:val="2"/>
                      <w:position w:val="-6"/>
                      <w:sz w:val="21"/>
                      <w:szCs w:val="21"/>
                      <w:lang w:val="en-US" w:eastAsia="zh-CN"/>
                    </w:rPr>
                    <w:t>4</w:t>
                  </w:r>
                  <w:r>
                    <w:rPr>
                      <w:rFonts w:hint="default" w:ascii="Times New Roman" w:hAnsi="Times New Roman" w:cs="Times New Roman"/>
                      <w:color w:val="auto"/>
                      <w:kern w:val="2"/>
                      <w:position w:val="-6"/>
                      <w:sz w:val="21"/>
                      <w:szCs w:val="21"/>
                    </w:rPr>
                    <w:t>0</w:t>
                  </w:r>
                  <w:r>
                    <w:rPr>
                      <w:rFonts w:hint="default" w:ascii="Times New Roman" w:hAnsi="Times New Roman" w:cs="Times New Roman"/>
                      <w:color w:val="auto"/>
                      <w:kern w:val="2"/>
                      <w:position w:val="-6"/>
                      <w:sz w:val="21"/>
                      <w:szCs w:val="21"/>
                      <w:lang w:val="en-US" w:eastAsia="zh-CN"/>
                    </w:rPr>
                    <w:t>%</w:t>
                  </w:r>
                  <w:r>
                    <w:rPr>
                      <w:rFonts w:hint="default" w:ascii="Times New Roman" w:hAnsi="Times New Roman" w:cs="Times New Roman"/>
                      <w:color w:val="auto"/>
                      <w:kern w:val="2"/>
                      <w:position w:val="-6"/>
                      <w:sz w:val="21"/>
                      <w:szCs w:val="21"/>
                    </w:rPr>
                    <w:t>计</w:t>
                  </w:r>
                </w:p>
              </w:tc>
              <w:tc>
                <w:tcPr>
                  <w:tcW w:w="462"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rPr>
                    <w:t>非甲烷总烃</w:t>
                  </w:r>
                </w:p>
              </w:tc>
              <w:tc>
                <w:tcPr>
                  <w:tcW w:w="689"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0.0005</w:t>
                  </w:r>
                </w:p>
              </w:tc>
              <w:tc>
                <w:tcPr>
                  <w:tcW w:w="689"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0.481</w:t>
                  </w:r>
                  <w:r>
                    <w:rPr>
                      <w:rFonts w:hint="eastAsia" w:cs="Times New Roman"/>
                      <w:color w:val="auto"/>
                      <w:szCs w:val="21"/>
                      <w:lang w:val="en-US" w:eastAsia="zh-CN"/>
                    </w:rPr>
                    <w:t>2</w:t>
                  </w:r>
                </w:p>
              </w:tc>
              <w:tc>
                <w:tcPr>
                  <w:tcW w:w="658"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43.7</w:t>
                  </w:r>
                  <w:r>
                    <w:rPr>
                      <w:rFonts w:hint="eastAsia" w:cs="Times New Roman"/>
                      <w:color w:val="auto"/>
                      <w:szCs w:val="21"/>
                      <w:lang w:val="en-US" w:eastAsia="zh-CN"/>
                    </w:rPr>
                    <w:t>532</w:t>
                  </w:r>
                </w:p>
              </w:tc>
              <w:tc>
                <w:tcPr>
                  <w:tcW w:w="513"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1h</w:t>
                  </w:r>
                </w:p>
              </w:tc>
              <w:tc>
                <w:tcPr>
                  <w:tcW w:w="52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1次</w:t>
                  </w:r>
                </w:p>
              </w:tc>
              <w:tc>
                <w:tcPr>
                  <w:tcW w:w="463"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停机检修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215" w:hRule="atLeast"/>
                <w:jc w:val="center"/>
              </w:trPr>
              <w:tc>
                <w:tcPr>
                  <w:tcW w:w="381"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p>
              </w:tc>
              <w:tc>
                <w:tcPr>
                  <w:tcW w:w="620"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kern w:val="2"/>
                      <w:position w:val="-6"/>
                      <w:sz w:val="21"/>
                      <w:szCs w:val="21"/>
                    </w:rPr>
                  </w:pPr>
                </w:p>
              </w:tc>
              <w:tc>
                <w:tcPr>
                  <w:tcW w:w="462"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颗粒物</w:t>
                  </w:r>
                </w:p>
              </w:tc>
              <w:tc>
                <w:tcPr>
                  <w:tcW w:w="689"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0.0003</w:t>
                  </w:r>
                </w:p>
              </w:tc>
              <w:tc>
                <w:tcPr>
                  <w:tcW w:w="689"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3</w:t>
                  </w:r>
                </w:p>
              </w:tc>
              <w:tc>
                <w:tcPr>
                  <w:tcW w:w="658"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2.7273</w:t>
                  </w:r>
                </w:p>
              </w:tc>
              <w:tc>
                <w:tcPr>
                  <w:tcW w:w="5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p>
              </w:tc>
              <w:tc>
                <w:tcPr>
                  <w:tcW w:w="52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p>
              </w:tc>
              <w:tc>
                <w:tcPr>
                  <w:tcW w:w="46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33" w:hRule="atLeast"/>
                <w:jc w:val="center"/>
              </w:trPr>
              <w:tc>
                <w:tcPr>
                  <w:tcW w:w="381"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p>
              </w:tc>
              <w:tc>
                <w:tcPr>
                  <w:tcW w:w="620" w:type="pct"/>
                  <w:vMerge w:val="continue"/>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kern w:val="2"/>
                      <w:position w:val="-6"/>
                      <w:sz w:val="21"/>
                      <w:szCs w:val="21"/>
                    </w:rPr>
                  </w:pPr>
                </w:p>
              </w:tc>
              <w:tc>
                <w:tcPr>
                  <w:tcW w:w="462" w:type="pct"/>
                  <w:noWrap w:val="0"/>
                  <w:vAlign w:val="center"/>
                </w:tcPr>
                <w:p>
                  <w:pPr>
                    <w:keepNext w:val="0"/>
                    <w:keepLines w:val="0"/>
                    <w:pageBreakBefore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碳黑</w:t>
                  </w:r>
                </w:p>
              </w:tc>
              <w:tc>
                <w:tcPr>
                  <w:tcW w:w="689"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0.0000007</w:t>
                  </w:r>
                </w:p>
              </w:tc>
              <w:tc>
                <w:tcPr>
                  <w:tcW w:w="689"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0.0</w:t>
                  </w:r>
                  <w:r>
                    <w:rPr>
                      <w:rFonts w:hint="eastAsia" w:cs="Times New Roman"/>
                      <w:color w:val="auto"/>
                      <w:szCs w:val="21"/>
                      <w:lang w:val="en-US" w:eastAsia="zh-CN"/>
                    </w:rPr>
                    <w:t>007</w:t>
                  </w:r>
                </w:p>
              </w:tc>
              <w:tc>
                <w:tcPr>
                  <w:tcW w:w="658" w:type="pct"/>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lang w:val="en-US" w:eastAsia="zh-CN"/>
                    </w:rPr>
                  </w:pPr>
                  <w:r>
                    <w:rPr>
                      <w:rFonts w:hint="eastAsia" w:cs="Times New Roman"/>
                      <w:color w:val="auto"/>
                      <w:szCs w:val="21"/>
                      <w:lang w:val="en-US" w:eastAsia="zh-CN"/>
                    </w:rPr>
                    <w:t>0.0649</w:t>
                  </w:r>
                </w:p>
              </w:tc>
              <w:tc>
                <w:tcPr>
                  <w:tcW w:w="51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p>
              </w:tc>
              <w:tc>
                <w:tcPr>
                  <w:tcW w:w="52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p>
              </w:tc>
              <w:tc>
                <w:tcPr>
                  <w:tcW w:w="463"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color w:val="auto"/>
                      <w:szCs w:val="21"/>
                    </w:rPr>
                  </w:pPr>
                </w:p>
              </w:tc>
            </w:tr>
          </w:tbl>
          <w:p>
            <w:pPr>
              <w:keepNext w:val="0"/>
              <w:keepLines w:val="0"/>
              <w:pageBreakBefore w:val="0"/>
              <w:widowControl w:val="0"/>
              <w:kinsoku/>
              <w:wordWrap/>
              <w:overflowPunct/>
              <w:topLinePunct w:val="0"/>
              <w:autoSpaceDE/>
              <w:autoSpaceDN/>
              <w:bidi w:val="0"/>
              <w:adjustRightInd/>
              <w:snapToGrid/>
              <w:spacing w:line="360" w:lineRule="auto"/>
              <w:ind w:firstLine="501" w:firstLineChars="209"/>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由上表可知，非正常工况下，排气筒污染物排放速率和排放浓度</w:t>
            </w:r>
            <w:r>
              <w:rPr>
                <w:rFonts w:hint="default" w:ascii="Times New Roman" w:hAnsi="Times New Roman" w:cs="Times New Roman"/>
                <w:color w:val="auto"/>
                <w:sz w:val="24"/>
                <w:szCs w:val="24"/>
                <w:lang w:val="en-US" w:eastAsia="zh-CN"/>
              </w:rPr>
              <w:t>相对</w:t>
            </w:r>
            <w:r>
              <w:rPr>
                <w:rFonts w:hint="default" w:ascii="Times New Roman" w:hAnsi="Times New Roman" w:cs="Times New Roman"/>
                <w:color w:val="auto"/>
                <w:sz w:val="24"/>
                <w:szCs w:val="24"/>
              </w:rPr>
              <w:t>较高，</w:t>
            </w:r>
            <w:r>
              <w:rPr>
                <w:rFonts w:hint="default" w:ascii="Times New Roman" w:hAnsi="Times New Roman" w:cs="Times New Roman"/>
                <w:color w:val="auto"/>
                <w:sz w:val="24"/>
                <w:szCs w:val="24"/>
                <w:lang w:val="en-US" w:eastAsia="zh-CN"/>
              </w:rPr>
              <w:t>但仍可以达标排放，</w:t>
            </w:r>
            <w:r>
              <w:rPr>
                <w:rFonts w:hint="default" w:ascii="Times New Roman" w:hAnsi="Times New Roman" w:cs="Times New Roman"/>
                <w:color w:val="auto"/>
                <w:sz w:val="24"/>
                <w:szCs w:val="24"/>
              </w:rPr>
              <w:t>造成的环境影响</w:t>
            </w:r>
            <w:r>
              <w:rPr>
                <w:rFonts w:hint="default" w:ascii="Times New Roman" w:hAnsi="Times New Roman" w:cs="Times New Roman"/>
                <w:color w:val="auto"/>
                <w:sz w:val="24"/>
                <w:szCs w:val="24"/>
                <w:lang w:val="en-US" w:eastAsia="zh-CN"/>
              </w:rPr>
              <w:t>有限</w:t>
            </w:r>
            <w:r>
              <w:rPr>
                <w:rFonts w:hint="default" w:ascii="Times New Roman" w:hAnsi="Times New Roman" w:cs="Times New Roman"/>
                <w:color w:val="auto"/>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501" w:firstLineChars="209"/>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为防止生产废气非正常工况排放，企业必须加强废气处理设施的管理，定期检修，确保废气处理设施正常运行，在废气处理设备停止运行或出现故障时，产生废气的各工序也必须相应停止生产。为杜绝废气非正常排放，应采取以下措施确保废气达标排放：</w:t>
            </w:r>
          </w:p>
          <w:p>
            <w:pPr>
              <w:spacing w:line="360" w:lineRule="auto"/>
              <w:ind w:firstLine="501" w:firstLineChars="209"/>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①安排专人负责环保设备的日常维护和管理，</w:t>
            </w:r>
            <w:r>
              <w:rPr>
                <w:rFonts w:hint="default" w:ascii="Times New Roman" w:hAnsi="Times New Roman" w:cs="Times New Roman"/>
                <w:color w:val="auto"/>
                <w:sz w:val="24"/>
                <w:szCs w:val="24"/>
                <w:lang w:eastAsia="zh-CN"/>
              </w:rPr>
              <w:t>每隔</w:t>
            </w:r>
            <w:r>
              <w:rPr>
                <w:rFonts w:hint="default" w:ascii="Times New Roman" w:hAnsi="Times New Roman" w:cs="Times New Roman"/>
                <w:color w:val="auto"/>
                <w:sz w:val="24"/>
                <w:szCs w:val="24"/>
              </w:rPr>
              <w:t>固定时间检查、汇报情况，及时发现废气处理设备的隐患，确保废气处理系统正常运行；</w:t>
            </w:r>
          </w:p>
          <w:p>
            <w:pPr>
              <w:spacing w:line="360" w:lineRule="auto"/>
              <w:ind w:firstLine="501" w:firstLineChars="209"/>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②定期更换活性炭；</w:t>
            </w:r>
          </w:p>
          <w:p>
            <w:pPr>
              <w:spacing w:line="360" w:lineRule="auto"/>
              <w:ind w:firstLine="501" w:firstLineChars="209"/>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③建立健全的环保管理机构，对环保管理人员和技术人员进行岗位培训，委托具有专业资质的环境检测单位对项目排放的各类污染物进行定期检测；</w:t>
            </w:r>
          </w:p>
          <w:p>
            <w:pPr>
              <w:spacing w:line="360" w:lineRule="auto"/>
              <w:ind w:firstLine="501" w:firstLineChars="209"/>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④应定期维护、检修废气净化装置，以保持废气处理装置的净化能力和净化容量；</w:t>
            </w:r>
          </w:p>
          <w:p>
            <w:pPr>
              <w:spacing w:line="360" w:lineRule="auto"/>
              <w:ind w:firstLine="501" w:firstLineChars="209"/>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⑤废气非正常排放时应及时通知下风向环境敏感区内居民，必要情况时进行转移。</w:t>
            </w:r>
          </w:p>
          <w:p>
            <w:pPr>
              <w:spacing w:line="360" w:lineRule="auto"/>
              <w:ind w:firstLine="504" w:firstLineChars="209"/>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4.2.1.6排放口设置情况</w:t>
            </w:r>
          </w:p>
          <w:p>
            <w:pPr>
              <w:spacing w:before="120" w:beforeLines="50" w:line="360" w:lineRule="auto"/>
              <w:jc w:val="center"/>
              <w:rPr>
                <w:rFonts w:hint="default" w:ascii="Times New Roman" w:hAnsi="Times New Roman" w:cs="Times New Roman"/>
                <w:b/>
                <w:color w:val="auto"/>
                <w:sz w:val="24"/>
                <w:szCs w:val="24"/>
                <w:highlight w:val="none"/>
              </w:rPr>
            </w:pPr>
            <w:r>
              <w:rPr>
                <w:rFonts w:hint="default" w:ascii="Times New Roman" w:hAnsi="Times New Roman" w:cs="Times New Roman"/>
                <w:b/>
                <w:bCs/>
                <w:color w:val="auto"/>
                <w:sz w:val="24"/>
                <w:szCs w:val="24"/>
                <w:highlight w:val="none"/>
              </w:rPr>
              <w:t>表4</w:t>
            </w:r>
            <w:r>
              <w:rPr>
                <w:rFonts w:hint="default" w:ascii="Times New Roman" w:hAnsi="Times New Roman" w:cs="Times New Roman"/>
                <w:b/>
                <w:bCs/>
                <w:color w:val="auto"/>
                <w:sz w:val="24"/>
                <w:szCs w:val="24"/>
                <w:highlight w:val="none"/>
                <w:lang w:val="en-US" w:eastAsia="zh-CN"/>
              </w:rPr>
              <w:t>-1</w:t>
            </w:r>
            <w:r>
              <w:rPr>
                <w:rFonts w:hint="eastAsia" w:ascii="Times New Roman" w:hAnsi="Times New Roman" w:cs="Times New Roman"/>
                <w:b/>
                <w:bCs/>
                <w:color w:val="auto"/>
                <w:sz w:val="24"/>
                <w:szCs w:val="24"/>
                <w:highlight w:val="none"/>
                <w:lang w:val="en-US" w:eastAsia="zh-CN"/>
              </w:rPr>
              <w:t>8</w:t>
            </w:r>
            <w:r>
              <w:rPr>
                <w:rFonts w:hint="default" w:ascii="Times New Roman" w:hAnsi="Times New Roman" w:cs="Times New Roman"/>
                <w:b/>
                <w:bCs/>
                <w:color w:val="auto"/>
                <w:sz w:val="24"/>
                <w:szCs w:val="24"/>
                <w:highlight w:val="none"/>
              </w:rPr>
              <w:t xml:space="preserve"> 废气排放口基本情况表</w:t>
            </w:r>
          </w:p>
          <w:tbl>
            <w:tblPr>
              <w:tblStyle w:val="3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7"/>
              <w:gridCol w:w="1208"/>
              <w:gridCol w:w="1652"/>
              <w:gridCol w:w="1332"/>
              <w:gridCol w:w="644"/>
              <w:gridCol w:w="641"/>
              <w:gridCol w:w="836"/>
              <w:gridCol w:w="722"/>
              <w:gridCol w:w="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74" w:hRule="atLeast"/>
                <w:jc w:val="center"/>
              </w:trPr>
              <w:tc>
                <w:tcPr>
                  <w:tcW w:w="417" w:type="pct"/>
                  <w:vMerge w:val="restar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排放口名称</w:t>
                  </w:r>
                </w:p>
              </w:tc>
              <w:tc>
                <w:tcPr>
                  <w:tcW w:w="713" w:type="pct"/>
                  <w:vMerge w:val="restar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highlight w:val="none"/>
                    </w:rPr>
                    <w:t>污染物种类</w:t>
                  </w:r>
                </w:p>
              </w:tc>
              <w:tc>
                <w:tcPr>
                  <w:tcW w:w="1761" w:type="pct"/>
                  <w:gridSpan w:val="2"/>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highlight w:val="none"/>
                    </w:rPr>
                    <w:t>排放口地理坐标</w:t>
                  </w:r>
                </w:p>
              </w:tc>
              <w:tc>
                <w:tcPr>
                  <w:tcW w:w="380" w:type="pct"/>
                  <w:vMerge w:val="restar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highlight w:val="none"/>
                    </w:rPr>
                    <w:t>温度（℃）</w:t>
                  </w:r>
                </w:p>
              </w:tc>
              <w:tc>
                <w:tcPr>
                  <w:tcW w:w="378" w:type="pct"/>
                  <w:vMerge w:val="restar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highlight w:val="none"/>
                    </w:rPr>
                    <w:t>高度（m）</w:t>
                  </w:r>
                </w:p>
              </w:tc>
              <w:tc>
                <w:tcPr>
                  <w:tcW w:w="493" w:type="pct"/>
                  <w:vMerge w:val="restar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highlight w:val="none"/>
                    </w:rPr>
                    <w:t>出口内径（m）</w:t>
                  </w:r>
                </w:p>
              </w:tc>
              <w:tc>
                <w:tcPr>
                  <w:tcW w:w="426" w:type="pct"/>
                  <w:vMerge w:val="restar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b/>
                      <w:bCs/>
                      <w:color w:val="auto"/>
                      <w:highlight w:val="none"/>
                      <w:lang w:val="en-US" w:eastAsia="zh-CN"/>
                    </w:rPr>
                  </w:pPr>
                  <w:r>
                    <w:rPr>
                      <w:rFonts w:hint="default" w:ascii="Times New Roman" w:hAnsi="Times New Roman" w:cs="Times New Roman"/>
                      <w:b/>
                      <w:bCs/>
                      <w:color w:val="auto"/>
                      <w:highlight w:val="none"/>
                      <w:lang w:val="en-US" w:eastAsia="zh-CN"/>
                    </w:rPr>
                    <w:t>风速（m/s）</w:t>
                  </w:r>
                </w:p>
              </w:tc>
              <w:tc>
                <w:tcPr>
                  <w:tcW w:w="426" w:type="pct"/>
                  <w:vMerge w:val="restar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highlight w:val="none"/>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8" w:hRule="atLeast"/>
                <w:jc w:val="center"/>
              </w:trPr>
              <w:tc>
                <w:tcPr>
                  <w:tcW w:w="417" w:type="pct"/>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p>
              </w:tc>
              <w:tc>
                <w:tcPr>
                  <w:tcW w:w="713" w:type="pct"/>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highlight w:val="none"/>
                    </w:rPr>
                  </w:pPr>
                </w:p>
              </w:tc>
              <w:tc>
                <w:tcPr>
                  <w:tcW w:w="975"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highlight w:val="none"/>
                    </w:rPr>
                    <w:t>经度</w:t>
                  </w:r>
                </w:p>
              </w:tc>
              <w:tc>
                <w:tcPr>
                  <w:tcW w:w="786"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highlight w:val="none"/>
                    </w:rPr>
                    <w:t>纬度</w:t>
                  </w:r>
                </w:p>
              </w:tc>
              <w:tc>
                <w:tcPr>
                  <w:tcW w:w="380" w:type="pct"/>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p>
              </w:tc>
              <w:tc>
                <w:tcPr>
                  <w:tcW w:w="378" w:type="pct"/>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p>
              </w:tc>
              <w:tc>
                <w:tcPr>
                  <w:tcW w:w="493" w:type="pct"/>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p>
              </w:tc>
              <w:tc>
                <w:tcPr>
                  <w:tcW w:w="426" w:type="pct"/>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p>
              </w:tc>
              <w:tc>
                <w:tcPr>
                  <w:tcW w:w="426" w:type="pct"/>
                  <w:vMerge w:val="continue"/>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10" w:hRule="atLeast"/>
                <w:jc w:val="center"/>
              </w:trPr>
              <w:tc>
                <w:tcPr>
                  <w:tcW w:w="417"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DA001</w:t>
                  </w:r>
                </w:p>
              </w:tc>
              <w:tc>
                <w:tcPr>
                  <w:tcW w:w="713"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rPr>
                    <w:t>非甲烷总烃</w:t>
                  </w:r>
                </w:p>
              </w:tc>
              <w:tc>
                <w:tcPr>
                  <w:tcW w:w="975"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113°58′4</w:t>
                  </w:r>
                  <w:r>
                    <w:rPr>
                      <w:rFonts w:hint="default" w:ascii="Times New Roman" w:hAnsi="Times New Roman" w:cs="Times New Roman"/>
                      <w:b w:val="0"/>
                      <w:bCs w:val="0"/>
                      <w:color w:val="auto"/>
                      <w:sz w:val="21"/>
                      <w:szCs w:val="21"/>
                      <w:highlight w:val="none"/>
                      <w:lang w:val="en-US" w:eastAsia="zh-CN"/>
                    </w:rPr>
                    <w:t>8.402</w:t>
                  </w:r>
                  <w:r>
                    <w:rPr>
                      <w:rFonts w:hint="default" w:ascii="Times New Roman" w:hAnsi="Times New Roman" w:cs="Times New Roman"/>
                      <w:b w:val="0"/>
                      <w:bCs w:val="0"/>
                      <w:color w:val="auto"/>
                      <w:sz w:val="21"/>
                      <w:szCs w:val="21"/>
                      <w:highlight w:val="none"/>
                    </w:rPr>
                    <w:t>″E</w:t>
                  </w:r>
                </w:p>
              </w:tc>
              <w:tc>
                <w:tcPr>
                  <w:tcW w:w="786"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23°7′29.</w:t>
                  </w:r>
                  <w:r>
                    <w:rPr>
                      <w:rFonts w:hint="default" w:ascii="Times New Roman" w:hAnsi="Times New Roman" w:cs="Times New Roman"/>
                      <w:b w:val="0"/>
                      <w:bCs w:val="0"/>
                      <w:color w:val="auto"/>
                      <w:sz w:val="21"/>
                      <w:szCs w:val="21"/>
                      <w:highlight w:val="none"/>
                      <w:lang w:val="en-US" w:eastAsia="zh-CN"/>
                    </w:rPr>
                    <w:t>850</w:t>
                  </w:r>
                  <w:r>
                    <w:rPr>
                      <w:rFonts w:hint="default" w:ascii="Times New Roman" w:hAnsi="Times New Roman" w:cs="Times New Roman"/>
                      <w:b w:val="0"/>
                      <w:bCs w:val="0"/>
                      <w:color w:val="auto"/>
                      <w:sz w:val="21"/>
                      <w:szCs w:val="21"/>
                      <w:highlight w:val="none"/>
                    </w:rPr>
                    <w:t>″N</w:t>
                  </w:r>
                </w:p>
              </w:tc>
              <w:tc>
                <w:tcPr>
                  <w:tcW w:w="380"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常温</w:t>
                  </w:r>
                </w:p>
              </w:tc>
              <w:tc>
                <w:tcPr>
                  <w:tcW w:w="378"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cs="Times New Roman"/>
                      <w:color w:val="auto"/>
                      <w:szCs w:val="21"/>
                      <w:highlight w:val="none"/>
                      <w:lang w:val="en-US" w:eastAsia="zh-CN"/>
                    </w:rPr>
                    <w:t>2</w:t>
                  </w:r>
                  <w:r>
                    <w:rPr>
                      <w:rFonts w:hint="eastAsia" w:ascii="Times New Roman" w:hAnsi="Times New Roman" w:cs="Times New Roman"/>
                      <w:color w:val="auto"/>
                      <w:szCs w:val="21"/>
                      <w:highlight w:val="none"/>
                      <w:lang w:val="en-US" w:eastAsia="zh-CN"/>
                    </w:rPr>
                    <w:t>4</w:t>
                  </w:r>
                </w:p>
              </w:tc>
              <w:tc>
                <w:tcPr>
                  <w:tcW w:w="49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0.5</w:t>
                  </w:r>
                </w:p>
              </w:tc>
              <w:tc>
                <w:tcPr>
                  <w:tcW w:w="426"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1</w:t>
                  </w:r>
                  <w:r>
                    <w:rPr>
                      <w:rFonts w:hint="eastAsia" w:ascii="Times New Roman" w:hAnsi="Times New Roman" w:eastAsia="宋体" w:cs="Times New Roman"/>
                      <w:color w:val="auto"/>
                      <w:szCs w:val="21"/>
                      <w:highlight w:val="none"/>
                      <w:lang w:val="en-US" w:eastAsia="zh-CN"/>
                    </w:rPr>
                    <w:t>5</w:t>
                  </w:r>
                </w:p>
              </w:tc>
              <w:tc>
                <w:tcPr>
                  <w:tcW w:w="426"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一般排放口</w:t>
                  </w:r>
                </w:p>
              </w:tc>
            </w:tr>
          </w:tbl>
          <w:p>
            <w:pPr>
              <w:spacing w:before="120" w:beforeLines="50"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4.2.1.7 废气排放环境影响</w:t>
            </w:r>
          </w:p>
          <w:p>
            <w:pPr>
              <w:spacing w:line="360" w:lineRule="auto"/>
              <w:ind w:firstLine="501" w:firstLineChars="209"/>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由质量公报和引用的数据可知，项目所在区域环境空气质量属于达标区。本项目</w:t>
            </w:r>
            <w:r>
              <w:rPr>
                <w:rFonts w:hint="default" w:ascii="Times New Roman" w:hAnsi="Times New Roman" w:eastAsia="宋体" w:cs="Times New Roman"/>
                <w:color w:val="auto"/>
                <w:sz w:val="24"/>
                <w:szCs w:val="24"/>
                <w:lang w:val="en-US" w:eastAsia="zh-CN"/>
              </w:rPr>
              <w:t>烘干工序初段、中段产生的有机废气进入冷凝回收装置后，未回收的有机废气与涂布、烘烤工序尾段、注液工序、二封工序产生的有机废气一同进入二级活性炭吸附装置处理。</w:t>
            </w:r>
            <w:r>
              <w:rPr>
                <w:rFonts w:hint="eastAsia" w:ascii="Times New Roman" w:hAnsi="Times New Roman" w:cs="Times New Roman"/>
                <w:color w:val="auto"/>
                <w:sz w:val="24"/>
                <w:szCs w:val="24"/>
                <w:lang w:val="en-US" w:eastAsia="zh-CN"/>
              </w:rPr>
              <w:t>投料产生的</w:t>
            </w:r>
            <w:r>
              <w:rPr>
                <w:rFonts w:hint="default" w:ascii="Times New Roman" w:hAnsi="Times New Roman" w:cs="Times New Roman"/>
                <w:color w:val="auto"/>
                <w:sz w:val="24"/>
                <w:szCs w:val="24"/>
                <w:lang w:val="en-US" w:eastAsia="zh-CN"/>
              </w:rPr>
              <w:t>颗粒物</w:t>
            </w:r>
            <w:r>
              <w:rPr>
                <w:rFonts w:hint="eastAsia" w:ascii="Times New Roman" w:hAnsi="Times New Roman" w:cs="Times New Roman"/>
                <w:color w:val="auto"/>
                <w:sz w:val="24"/>
                <w:szCs w:val="24"/>
                <w:lang w:val="en-US" w:eastAsia="zh-CN"/>
              </w:rPr>
              <w:t>、碳黑</w:t>
            </w:r>
            <w:r>
              <w:rPr>
                <w:rFonts w:hint="default" w:ascii="Times New Roman" w:hAnsi="Times New Roman" w:cs="Times New Roman"/>
                <w:color w:val="auto"/>
                <w:sz w:val="24"/>
                <w:szCs w:val="24"/>
                <w:lang w:val="en-US" w:eastAsia="zh-CN"/>
              </w:rPr>
              <w:t>采用布袋除尘器进行处理，</w:t>
            </w:r>
            <w:r>
              <w:rPr>
                <w:rFonts w:hint="default" w:ascii="Times New Roman" w:hAnsi="Times New Roman" w:cs="Times New Roman"/>
                <w:color w:val="auto"/>
                <w:sz w:val="24"/>
                <w:szCs w:val="24"/>
              </w:rPr>
              <w:t>废气处理为可行性技术</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项目周边</w:t>
            </w:r>
            <w:r>
              <w:rPr>
                <w:rFonts w:hint="default" w:ascii="Times New Roman" w:hAnsi="Times New Roman" w:cs="Times New Roman"/>
                <w:color w:val="auto"/>
                <w:sz w:val="24"/>
                <w:szCs w:val="24"/>
                <w:lang w:val="en-US" w:eastAsia="zh-CN"/>
              </w:rPr>
              <w:t>最</w:t>
            </w:r>
            <w:r>
              <w:rPr>
                <w:rFonts w:hint="default" w:ascii="Times New Roman" w:hAnsi="Times New Roman" w:cs="Times New Roman"/>
                <w:color w:val="auto"/>
                <w:sz w:val="24"/>
                <w:szCs w:val="24"/>
              </w:rPr>
              <w:t>近距离敏感点为</w:t>
            </w:r>
            <w:r>
              <w:rPr>
                <w:rFonts w:hint="default" w:ascii="Times New Roman" w:hAnsi="Times New Roman" w:cs="Times New Roman"/>
                <w:color w:val="auto"/>
                <w:sz w:val="24"/>
                <w:szCs w:val="24"/>
                <w:lang w:val="en-US" w:eastAsia="zh-CN"/>
              </w:rPr>
              <w:t>西侧2</w:t>
            </w:r>
            <w:r>
              <w:rPr>
                <w:rFonts w:hint="eastAsia" w:ascii="Times New Roman" w:hAnsi="Times New Roman" w:cs="Times New Roman"/>
                <w:color w:val="auto"/>
                <w:sz w:val="24"/>
                <w:szCs w:val="24"/>
                <w:lang w:val="en-US" w:eastAsia="zh-CN"/>
              </w:rPr>
              <w:t>4</w:t>
            </w:r>
            <w:r>
              <w:rPr>
                <w:rFonts w:hint="default" w:ascii="Times New Roman" w:hAnsi="Times New Roman" w:cs="Times New Roman"/>
                <w:color w:val="auto"/>
                <w:sz w:val="24"/>
                <w:szCs w:val="24"/>
              </w:rPr>
              <w:t>米处的</w:t>
            </w:r>
            <w:r>
              <w:rPr>
                <w:rFonts w:hint="default" w:ascii="Times New Roman" w:hAnsi="Times New Roman" w:cs="Times New Roman"/>
                <w:color w:val="auto"/>
                <w:sz w:val="24"/>
                <w:szCs w:val="24"/>
                <w:lang w:val="en-US" w:eastAsia="zh-CN"/>
              </w:rPr>
              <w:t>无人居住居民楼</w:t>
            </w:r>
            <w:r>
              <w:rPr>
                <w:rFonts w:hint="default" w:ascii="Times New Roman" w:hAnsi="Times New Roman" w:cs="Times New Roman"/>
                <w:color w:val="auto"/>
                <w:sz w:val="24"/>
                <w:szCs w:val="24"/>
              </w:rPr>
              <w:t>，废气</w:t>
            </w:r>
            <w:r>
              <w:rPr>
                <w:rFonts w:hint="default" w:ascii="Times New Roman" w:hAnsi="Times New Roman" w:cs="Times New Roman"/>
                <w:color w:val="auto"/>
                <w:sz w:val="24"/>
                <w:szCs w:val="24"/>
                <w:lang w:val="en-US" w:eastAsia="zh-CN"/>
              </w:rPr>
              <w:t>经废气处理设施处理后可以达标排放</w:t>
            </w:r>
            <w:r>
              <w:rPr>
                <w:rFonts w:hint="default" w:ascii="Times New Roman" w:hAnsi="Times New Roman" w:cs="Times New Roman"/>
                <w:color w:val="auto"/>
                <w:sz w:val="24"/>
                <w:szCs w:val="24"/>
              </w:rPr>
              <w:t>，对环境影响</w:t>
            </w:r>
            <w:r>
              <w:rPr>
                <w:rFonts w:hint="default" w:ascii="Times New Roman" w:hAnsi="Times New Roman" w:cs="Times New Roman"/>
                <w:color w:val="auto"/>
                <w:sz w:val="24"/>
                <w:szCs w:val="24"/>
                <w:lang w:val="en-US" w:eastAsia="zh-CN"/>
              </w:rPr>
              <w:t>较小</w:t>
            </w:r>
            <w:r>
              <w:rPr>
                <w:rFonts w:hint="default" w:ascii="Times New Roman" w:hAnsi="Times New Roman" w:cs="Times New Roman"/>
                <w:color w:val="auto"/>
                <w:sz w:val="24"/>
                <w:szCs w:val="24"/>
              </w:rPr>
              <w:t>。</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另外，由于项目距离敏感点较近，建议建设单位采取以下措施进一步降低废气对敏感点的环境影响：①合理规划平面布置，产污车间及排气筒尽量布置在远离居民区一侧；②加强对废气处理设备的维护保养，及时更换活性炭，确保有组织废气达标排放；③加强无组织废气管理，生产车间密闭运转，采用车间通排风设施进行换气。</w:t>
            </w:r>
          </w:p>
          <w:p>
            <w:pPr>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4.2.1.</w:t>
            </w:r>
            <w:r>
              <w:rPr>
                <w:rFonts w:hint="default" w:ascii="Times New Roman" w:hAnsi="Times New Roman" w:cs="Times New Roman"/>
                <w:b/>
                <w:bCs/>
                <w:color w:val="auto"/>
                <w:sz w:val="24"/>
                <w:szCs w:val="24"/>
                <w:lang w:val="en-US" w:eastAsia="zh-CN"/>
              </w:rPr>
              <w:t>8</w:t>
            </w:r>
            <w:r>
              <w:rPr>
                <w:rFonts w:hint="default" w:ascii="Times New Roman" w:hAnsi="Times New Roman" w:cs="Times New Roman"/>
                <w:b/>
                <w:bCs/>
                <w:color w:val="auto"/>
                <w:sz w:val="24"/>
                <w:szCs w:val="24"/>
              </w:rPr>
              <w:t xml:space="preserve"> 废气排放环境影响</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大气有害物质无组织排放卫生防护距离按照《大气有害物质无组织排放卫生防护距离推导技术导则》（GB/T39499-2020）中卫生防护距离推导的方法确定。</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根据项目废气排放情况可知，项目废气无组织排放主要污染物为非甲烷总烃和颗粒物，本项目选择非甲烷总烃和颗粒物这两种特征大气有害物质进行计算，其无组织排放量、等标排放量和等标排放量相差如下。</w:t>
            </w:r>
          </w:p>
          <w:p>
            <w:pPr>
              <w:pStyle w:val="77"/>
              <w:keepNext w:val="0"/>
              <w:keepLines w:val="0"/>
              <w:pageBreakBefore w:val="0"/>
              <w:widowControl w:val="0"/>
              <w:kinsoku/>
              <w:wordWrap/>
              <w:overflowPunct/>
              <w:topLinePunct w:val="0"/>
              <w:autoSpaceDE/>
              <w:autoSpaceDN/>
              <w:bidi w:val="0"/>
              <w:adjustRightInd w:val="0"/>
              <w:snapToGrid w:val="0"/>
              <w:spacing w:line="360" w:lineRule="auto"/>
              <w:ind w:left="0"/>
              <w:jc w:val="center"/>
              <w:textAlignment w:val="auto"/>
              <w:rPr>
                <w:rFonts w:hint="default" w:ascii="Times New Roman" w:hAnsi="Times New Roman" w:cs="Times New Roman"/>
                <w:b/>
                <w:color w:val="auto"/>
                <w:spacing w:val="1"/>
                <w:sz w:val="24"/>
                <w:szCs w:val="24"/>
              </w:rPr>
            </w:pPr>
            <w:r>
              <w:rPr>
                <w:rFonts w:hint="default" w:ascii="Times New Roman" w:hAnsi="Times New Roman" w:cs="Times New Roman"/>
                <w:b/>
                <w:color w:val="auto"/>
                <w:spacing w:val="1"/>
                <w:sz w:val="24"/>
                <w:szCs w:val="24"/>
              </w:rPr>
              <w:t>表</w:t>
            </w:r>
            <w:r>
              <w:rPr>
                <w:rFonts w:hint="default" w:ascii="Times New Roman" w:hAnsi="Times New Roman" w:cs="Times New Roman"/>
                <w:b/>
                <w:color w:val="auto"/>
                <w:spacing w:val="1"/>
                <w:sz w:val="24"/>
                <w:szCs w:val="24"/>
                <w:lang w:val="en-US" w:eastAsia="zh-CN"/>
              </w:rPr>
              <w:t>4-1</w:t>
            </w:r>
            <w:r>
              <w:rPr>
                <w:rFonts w:hint="eastAsia" w:ascii="Times New Roman" w:hAnsi="Times New Roman" w:cs="Times New Roman"/>
                <w:b/>
                <w:color w:val="auto"/>
                <w:spacing w:val="1"/>
                <w:sz w:val="24"/>
                <w:szCs w:val="24"/>
                <w:lang w:val="en-US" w:eastAsia="zh-CN"/>
              </w:rPr>
              <w:t>9</w:t>
            </w:r>
            <w:r>
              <w:rPr>
                <w:rFonts w:hint="default" w:ascii="Times New Roman" w:hAnsi="Times New Roman" w:cs="Times New Roman"/>
                <w:b/>
                <w:color w:val="auto"/>
                <w:spacing w:val="1"/>
                <w:sz w:val="24"/>
                <w:szCs w:val="24"/>
              </w:rPr>
              <w:t xml:space="preserve"> 项目无组织排放量和等标排放量情况表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8"/>
              <w:gridCol w:w="1875"/>
              <w:gridCol w:w="1518"/>
              <w:gridCol w:w="1435"/>
              <w:gridCol w:w="2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802"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污染物</w:t>
                  </w:r>
                </w:p>
              </w:tc>
              <w:tc>
                <w:tcPr>
                  <w:tcW w:w="1107"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eastAsia" w:ascii="Times New Roman" w:hAnsi="Times New Roman" w:eastAsia="宋体" w:cs="Times New Roman"/>
                      <w:b/>
                      <w:color w:val="auto"/>
                      <w:szCs w:val="21"/>
                      <w:lang w:eastAsia="zh-CN"/>
                    </w:rPr>
                  </w:pPr>
                  <w:r>
                    <w:rPr>
                      <w:rFonts w:hint="default" w:ascii="Times New Roman" w:hAnsi="Times New Roman" w:cs="Times New Roman"/>
                      <w:b/>
                      <w:color w:val="auto"/>
                      <w:szCs w:val="21"/>
                    </w:rPr>
                    <w:t>无组织排放</w:t>
                  </w:r>
                  <w:r>
                    <w:rPr>
                      <w:rFonts w:hint="eastAsia" w:ascii="Times New Roman" w:hAnsi="Times New Roman" w:cs="Times New Roman"/>
                      <w:b/>
                      <w:color w:val="auto"/>
                      <w:szCs w:val="21"/>
                      <w:lang w:val="en-US" w:eastAsia="zh-CN"/>
                    </w:rPr>
                    <w:t>速率</w:t>
                  </w:r>
                </w:p>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（kg/h）</w:t>
                  </w:r>
                </w:p>
              </w:tc>
              <w:tc>
                <w:tcPr>
                  <w:tcW w:w="896"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质量标准限值</w:t>
                  </w:r>
                </w:p>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cs="Times New Roman"/>
                      <w:b/>
                      <w:color w:val="auto"/>
                      <w:szCs w:val="21"/>
                    </w:rPr>
                  </w:pPr>
                  <w:r>
                    <w:rPr>
                      <w:rFonts w:hint="default" w:ascii="Times New Roman" w:hAnsi="Times New Roman" w:cs="Times New Roman"/>
                      <w:b/>
                      <w:color w:val="auto"/>
                      <w:szCs w:val="21"/>
                    </w:rPr>
                    <w:t>（mg/m</w:t>
                  </w:r>
                  <w:r>
                    <w:rPr>
                      <w:rFonts w:hint="default" w:ascii="Times New Roman" w:hAnsi="Times New Roman" w:cs="Times New Roman"/>
                      <w:b/>
                      <w:color w:val="auto"/>
                      <w:szCs w:val="21"/>
                      <w:vertAlign w:val="superscript"/>
                    </w:rPr>
                    <w:t>3</w:t>
                  </w:r>
                  <w:r>
                    <w:rPr>
                      <w:rFonts w:hint="default" w:ascii="Times New Roman" w:hAnsi="Times New Roman" w:cs="Times New Roman"/>
                      <w:b/>
                      <w:color w:val="auto"/>
                      <w:szCs w:val="21"/>
                    </w:rPr>
                    <w:t>）</w:t>
                  </w:r>
                </w:p>
              </w:tc>
              <w:tc>
                <w:tcPr>
                  <w:tcW w:w="847"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
                      <w:color w:val="auto"/>
                      <w:szCs w:val="21"/>
                      <w:lang w:eastAsia="zh-CN"/>
                    </w:rPr>
                  </w:pPr>
                  <w:r>
                    <w:rPr>
                      <w:rFonts w:hint="default" w:ascii="Times New Roman" w:hAnsi="Times New Roman" w:cs="Times New Roman"/>
                      <w:b/>
                      <w:color w:val="auto"/>
                      <w:szCs w:val="21"/>
                    </w:rPr>
                    <w:t>等标排放量</w:t>
                  </w:r>
                  <w:r>
                    <w:rPr>
                      <w:rFonts w:hint="default" w:ascii="Times New Roman" w:hAnsi="Times New Roman" w:cs="Times New Roman"/>
                      <w:b/>
                      <w:color w:val="auto"/>
                      <w:szCs w:val="21"/>
                      <w:lang w:eastAsia="zh-CN"/>
                    </w:rPr>
                    <w:t>（</w:t>
                  </w:r>
                  <w:r>
                    <w:rPr>
                      <w:rFonts w:hint="default" w:ascii="Times New Roman" w:hAnsi="Times New Roman" w:cs="Times New Roman"/>
                      <w:b/>
                      <w:color w:val="auto"/>
                      <w:szCs w:val="21"/>
                      <w:lang w:val="en-US" w:eastAsia="zh-CN"/>
                    </w:rPr>
                    <w:t>m</w:t>
                  </w:r>
                  <w:r>
                    <w:rPr>
                      <w:rFonts w:hint="default" w:ascii="Times New Roman" w:hAnsi="Times New Roman" w:cs="Times New Roman"/>
                      <w:b/>
                      <w:color w:val="auto"/>
                      <w:szCs w:val="21"/>
                      <w:vertAlign w:val="superscript"/>
                      <w:lang w:val="en-US" w:eastAsia="zh-CN"/>
                    </w:rPr>
                    <w:t>3</w:t>
                  </w:r>
                  <w:r>
                    <w:rPr>
                      <w:rFonts w:hint="default" w:ascii="Times New Roman" w:hAnsi="Times New Roman" w:cs="Times New Roman"/>
                      <w:b/>
                      <w:color w:val="auto"/>
                      <w:szCs w:val="21"/>
                      <w:lang w:val="en-US" w:eastAsia="zh-CN"/>
                    </w:rPr>
                    <w:t>/h</w:t>
                  </w:r>
                  <w:r>
                    <w:rPr>
                      <w:rFonts w:hint="default" w:ascii="Times New Roman" w:hAnsi="Times New Roman" w:cs="Times New Roman"/>
                      <w:b/>
                      <w:color w:val="auto"/>
                      <w:szCs w:val="21"/>
                      <w:lang w:eastAsia="zh-CN"/>
                    </w:rPr>
                    <w:t>）</w:t>
                  </w:r>
                </w:p>
              </w:tc>
              <w:tc>
                <w:tcPr>
                  <w:tcW w:w="1346" w:type="pct"/>
                  <w:noWrap w:val="0"/>
                  <w:vAlign w:val="center"/>
                </w:tcPr>
                <w:p>
                  <w:pPr>
                    <w:keepNext w:val="0"/>
                    <w:keepLines w:val="0"/>
                    <w:pageBreakBefore w:val="0"/>
                    <w:kinsoku/>
                    <w:wordWrap/>
                    <w:overflowPunct/>
                    <w:autoSpaceDE/>
                    <w:autoSpaceDN/>
                    <w:bidi w:val="0"/>
                    <w:adjustRightInd w:val="0"/>
                    <w:snapToGrid w:val="0"/>
                    <w:spacing w:line="360" w:lineRule="exact"/>
                    <w:ind w:left="0"/>
                    <w:jc w:val="center"/>
                    <w:rPr>
                      <w:rFonts w:hint="default" w:ascii="Times New Roman" w:hAnsi="Times New Roman" w:cs="Times New Roman"/>
                      <w:b/>
                      <w:color w:val="auto"/>
                    </w:rPr>
                  </w:pPr>
                  <w:r>
                    <w:rPr>
                      <w:rFonts w:hint="default" w:ascii="Times New Roman" w:hAnsi="Times New Roman" w:cs="Times New Roman"/>
                      <w:b/>
                      <w:color w:val="auto"/>
                    </w:rPr>
                    <w:t>等标排放量相差（%）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802"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cs="Times New Roman"/>
                      <w:bCs/>
                      <w:color w:val="auto"/>
                      <w:szCs w:val="21"/>
                    </w:rPr>
                  </w:pPr>
                  <w:r>
                    <w:rPr>
                      <w:rFonts w:hint="default" w:ascii="Times New Roman" w:hAnsi="Times New Roman" w:cs="Times New Roman"/>
                      <w:bCs/>
                      <w:color w:val="auto"/>
                      <w:szCs w:val="21"/>
                    </w:rPr>
                    <w:t>非甲烷总烃</w:t>
                  </w:r>
                </w:p>
              </w:tc>
              <w:tc>
                <w:tcPr>
                  <w:tcW w:w="110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0.42</w:t>
                  </w:r>
                </w:p>
              </w:tc>
              <w:tc>
                <w:tcPr>
                  <w:tcW w:w="896"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cs="Times New Roman"/>
                      <w:bCs/>
                      <w:color w:val="auto"/>
                      <w:szCs w:val="21"/>
                    </w:rPr>
                  </w:pPr>
                  <w:r>
                    <w:rPr>
                      <w:rFonts w:hint="default" w:ascii="Times New Roman" w:hAnsi="Times New Roman" w:cs="Times New Roman"/>
                      <w:bCs/>
                      <w:color w:val="auto"/>
                      <w:szCs w:val="21"/>
                    </w:rPr>
                    <w:t>2</w:t>
                  </w:r>
                </w:p>
              </w:tc>
              <w:tc>
                <w:tcPr>
                  <w:tcW w:w="847"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210000</w:t>
                  </w:r>
                </w:p>
              </w:tc>
              <w:tc>
                <w:tcPr>
                  <w:tcW w:w="1346" w:type="pct"/>
                  <w:vMerge w:val="restart"/>
                  <w:noWrap w:val="0"/>
                  <w:vAlign w:val="center"/>
                </w:tcPr>
                <w:p>
                  <w:pPr>
                    <w:keepNext w:val="0"/>
                    <w:keepLines w:val="0"/>
                    <w:pageBreakBefore w:val="0"/>
                    <w:kinsoku/>
                    <w:wordWrap/>
                    <w:overflowPunct/>
                    <w:autoSpaceDE/>
                    <w:autoSpaceDN/>
                    <w:bidi w:val="0"/>
                    <w:adjustRightInd w:val="0"/>
                    <w:snapToGrid w:val="0"/>
                    <w:spacing w:line="360" w:lineRule="exact"/>
                    <w:ind w:left="0"/>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w:t>
                  </w:r>
                  <w:r>
                    <w:rPr>
                      <w:rFonts w:hint="eastAsia" w:ascii="Times New Roman" w:hAnsi="Times New Roman" w:cs="Times New Roman"/>
                      <w:color w:val="auto"/>
                      <w:lang w:val="en-US" w:eastAsia="zh-CN"/>
                    </w:rPr>
                    <w:t>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02"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cs="Times New Roman"/>
                      <w:bCs/>
                      <w:color w:val="auto"/>
                      <w:szCs w:val="21"/>
                    </w:rPr>
                  </w:pPr>
                  <w:r>
                    <w:rPr>
                      <w:rFonts w:hint="default" w:ascii="Times New Roman" w:hAnsi="Times New Roman" w:cs="Times New Roman"/>
                      <w:bCs/>
                      <w:color w:val="auto"/>
                      <w:szCs w:val="21"/>
                    </w:rPr>
                    <w:t>颗粒物</w:t>
                  </w:r>
                </w:p>
              </w:tc>
              <w:tc>
                <w:tcPr>
                  <w:tcW w:w="110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0.071</w:t>
                  </w:r>
                </w:p>
              </w:tc>
              <w:tc>
                <w:tcPr>
                  <w:tcW w:w="896"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color w:val="auto"/>
                      <w:szCs w:val="21"/>
                      <w:lang w:eastAsia="zh-CN"/>
                    </w:rPr>
                  </w:pPr>
                  <w:r>
                    <w:rPr>
                      <w:rFonts w:hint="default" w:ascii="Times New Roman" w:hAnsi="Times New Roman" w:cs="Times New Roman"/>
                      <w:bCs/>
                      <w:color w:val="auto"/>
                      <w:szCs w:val="21"/>
                    </w:rPr>
                    <w:t>0.</w:t>
                  </w:r>
                  <w:r>
                    <w:rPr>
                      <w:rFonts w:hint="default" w:ascii="Times New Roman" w:hAnsi="Times New Roman" w:cs="Times New Roman"/>
                      <w:bCs/>
                      <w:color w:val="auto"/>
                      <w:szCs w:val="21"/>
                      <w:lang w:val="en-US" w:eastAsia="zh-CN"/>
                    </w:rPr>
                    <w:t>9</w:t>
                  </w:r>
                </w:p>
              </w:tc>
              <w:tc>
                <w:tcPr>
                  <w:tcW w:w="847"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78889</w:t>
                  </w:r>
                </w:p>
              </w:tc>
              <w:tc>
                <w:tcPr>
                  <w:tcW w:w="1346" w:type="pct"/>
                  <w:vMerge w:val="continue"/>
                  <w:noWrap w:val="0"/>
                  <w:vAlign w:val="center"/>
                </w:tcPr>
                <w:p>
                  <w:pPr>
                    <w:keepNext w:val="0"/>
                    <w:keepLines w:val="0"/>
                    <w:pageBreakBefore w:val="0"/>
                    <w:kinsoku/>
                    <w:wordWrap/>
                    <w:overflowPunct/>
                    <w:autoSpaceDE/>
                    <w:autoSpaceDN/>
                    <w:bidi w:val="0"/>
                    <w:adjustRightInd w:val="0"/>
                    <w:snapToGrid w:val="0"/>
                    <w:spacing w:line="360" w:lineRule="exact"/>
                    <w:ind w:left="0"/>
                    <w:jc w:val="center"/>
                    <w:rPr>
                      <w:rFonts w:hint="default" w:ascii="Times New Roman" w:hAnsi="Times New Roman" w:cs="Times New Roman"/>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802"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eastAsia"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碳黑</w:t>
                  </w:r>
                </w:p>
              </w:tc>
              <w:tc>
                <w:tcPr>
                  <w:tcW w:w="110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0.0014</w:t>
                  </w:r>
                </w:p>
              </w:tc>
              <w:tc>
                <w:tcPr>
                  <w:tcW w:w="896"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bCs/>
                      <w:color w:val="auto"/>
                      <w:szCs w:val="21"/>
                      <w:lang w:val="en-US" w:eastAsia="zh-CN"/>
                    </w:rPr>
                  </w:pPr>
                  <w:r>
                    <w:rPr>
                      <w:rFonts w:hint="eastAsia" w:ascii="Times New Roman" w:hAnsi="Times New Roman" w:cs="Times New Roman"/>
                      <w:bCs/>
                      <w:color w:val="auto"/>
                      <w:szCs w:val="21"/>
                      <w:lang w:val="en-US" w:eastAsia="zh-CN"/>
                    </w:rPr>
                    <w:t>0.9</w:t>
                  </w:r>
                </w:p>
              </w:tc>
              <w:tc>
                <w:tcPr>
                  <w:tcW w:w="847" w:type="pct"/>
                  <w:noWrap w:val="0"/>
                  <w:vAlign w:val="center"/>
                </w:tcPr>
                <w:p>
                  <w:pPr>
                    <w:keepNext w:val="0"/>
                    <w:keepLines w:val="0"/>
                    <w:pageBreakBefore w:val="0"/>
                    <w:kinsoku/>
                    <w:wordWrap/>
                    <w:overflowPunct/>
                    <w:topLinePunct w:val="0"/>
                    <w:autoSpaceDE/>
                    <w:autoSpaceDN/>
                    <w:bidi w:val="0"/>
                    <w:adjustRightInd w:val="0"/>
                    <w:snapToGrid w:val="0"/>
                    <w:spacing w:line="360" w:lineRule="exact"/>
                    <w:ind w:left="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1556</w:t>
                  </w:r>
                </w:p>
              </w:tc>
              <w:tc>
                <w:tcPr>
                  <w:tcW w:w="1346" w:type="pct"/>
                  <w:vMerge w:val="continue"/>
                  <w:noWrap w:val="0"/>
                  <w:vAlign w:val="center"/>
                </w:tcPr>
                <w:p>
                  <w:pPr>
                    <w:keepNext w:val="0"/>
                    <w:keepLines w:val="0"/>
                    <w:pageBreakBefore w:val="0"/>
                    <w:kinsoku/>
                    <w:wordWrap/>
                    <w:overflowPunct/>
                    <w:autoSpaceDE/>
                    <w:autoSpaceDN/>
                    <w:bidi w:val="0"/>
                    <w:adjustRightInd w:val="0"/>
                    <w:snapToGrid w:val="0"/>
                    <w:spacing w:line="360" w:lineRule="exact"/>
                    <w:ind w:left="0"/>
                    <w:jc w:val="center"/>
                    <w:rPr>
                      <w:rFonts w:hint="default" w:ascii="Times New Roman" w:hAnsi="Times New Roman" w:cs="Times New Roman"/>
                      <w:color w:val="auto"/>
                    </w:rPr>
                  </w:pPr>
                </w:p>
              </w:tc>
            </w:tr>
          </w:tbl>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注：质量标准Cm：当特征大气有害物质在GB3095中有规定的二级标准日均值时，Cm一般可取其二级标准日均值的三倍；但对于致癌物质、毒性可累积的物质如苯、汞、铅等，则直接取其二级标准日均值。当特征大气有害物质在GB3095中无规定时，可按照HJ2.2中规定的1h平均标准值。根据《环境影响评价技术导则</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大气环境》（HJ2.2-2018）的5.3.2.1中对仅有8h平均质量浓度限值、日平均质量浓度限值或年平均质量浓度限值的，可分别按2倍、3倍、6倍折算为1h平均质量浓度限值。</w:t>
            </w:r>
          </w:p>
          <w:p>
            <w:pPr>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颗粒物</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碳黑</w:t>
            </w:r>
            <w:r>
              <w:rPr>
                <w:rFonts w:hint="default" w:ascii="Times New Roman" w:hAnsi="Times New Roman" w:cs="Times New Roman"/>
                <w:color w:val="auto"/>
                <w:sz w:val="24"/>
                <w:highlight w:val="none"/>
              </w:rPr>
              <w:t>取《环境空气质量标准》（GB3095-2012）中TSP日均值的三倍，即0.9mg/m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；非甲烷总烃取《大气污染物综合排放标准详解》（国家环境保护局科技标准司）中标准限值，即2.0mg/m³。</w:t>
            </w:r>
          </w:p>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本项目选择非甲烷总烃和颗粒物这两种特征大气有害物质进行计算，等标排放量最大的污染物为颗粒物，因此本项目主要特征大气有害物质为颗粒物。项目</w:t>
            </w:r>
            <w:r>
              <w:rPr>
                <w:rFonts w:hint="default" w:ascii="Times New Roman" w:hAnsi="Times New Roman" w:cs="Times New Roman"/>
                <w:bCs/>
                <w:color w:val="auto"/>
                <w:sz w:val="24"/>
              </w:rPr>
              <w:t>非甲烷总烃</w:t>
            </w:r>
            <w:r>
              <w:rPr>
                <w:rFonts w:hint="default" w:ascii="Times New Roman" w:hAnsi="Times New Roman" w:cs="Times New Roman"/>
                <w:color w:val="auto"/>
                <w:sz w:val="24"/>
              </w:rPr>
              <w:t>和颗粒物的等标排放量相差在10%以</w:t>
            </w:r>
            <w:r>
              <w:rPr>
                <w:rFonts w:hint="default" w:ascii="Times New Roman" w:hAnsi="Times New Roman" w:cs="Times New Roman"/>
                <w:color w:val="auto"/>
                <w:sz w:val="24"/>
                <w:lang w:val="en-US" w:eastAsia="zh-CN"/>
              </w:rPr>
              <w:t>上</w:t>
            </w:r>
            <w:r>
              <w:rPr>
                <w:rFonts w:hint="default" w:ascii="Times New Roman" w:hAnsi="Times New Roman" w:cs="Times New Roman"/>
                <w:color w:val="auto"/>
                <w:sz w:val="24"/>
              </w:rPr>
              <w:t>，因此本项目</w:t>
            </w:r>
            <w:r>
              <w:rPr>
                <w:rFonts w:hint="default" w:ascii="Times New Roman" w:hAnsi="Times New Roman" w:cs="Times New Roman"/>
                <w:color w:val="auto"/>
                <w:sz w:val="24"/>
                <w:lang w:val="en-US" w:eastAsia="zh-CN"/>
              </w:rPr>
              <w:t>选取</w:t>
            </w:r>
            <w:r>
              <w:rPr>
                <w:rFonts w:hint="default" w:ascii="Times New Roman" w:hAnsi="Times New Roman" w:cs="Times New Roman"/>
                <w:color w:val="auto"/>
                <w:sz w:val="24"/>
                <w:lang w:val="en-US" w:eastAsia="zh-CN"/>
              </w:rPr>
              <w:t>非甲烷总烃</w:t>
            </w:r>
            <w:r>
              <w:rPr>
                <w:rFonts w:hint="default" w:ascii="Times New Roman" w:hAnsi="Times New Roman" w:cs="Times New Roman"/>
                <w:color w:val="auto"/>
                <w:sz w:val="24"/>
                <w:lang w:val="en-US" w:eastAsia="zh-CN"/>
              </w:rPr>
              <w:t>计算</w:t>
            </w:r>
            <w:r>
              <w:rPr>
                <w:rFonts w:hint="default" w:ascii="Times New Roman" w:hAnsi="Times New Roman" w:cs="Times New Roman"/>
                <w:color w:val="auto"/>
                <w:sz w:val="24"/>
              </w:rPr>
              <w:t>卫生防护距离初值。</w:t>
            </w:r>
          </w:p>
          <w:p>
            <w:pPr>
              <w:pStyle w:val="49"/>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采用GB/T3840-1991中7.4推荐的估算方法进行计算，卫生防护距离初值计算公式如下：</w:t>
            </w:r>
          </w:p>
          <w:p>
            <w:pPr>
              <w:widowControl/>
              <w:jc w:val="center"/>
              <w:rPr>
                <w:rFonts w:hint="default" w:ascii="Times New Roman" w:hAnsi="Times New Roman" w:eastAsia="楷体_GB2312" w:cs="Times New Roman"/>
                <w:color w:val="auto"/>
                <w:sz w:val="24"/>
              </w:rPr>
            </w:pPr>
            <w:r>
              <w:rPr>
                <w:rFonts w:hint="default" w:ascii="Times New Roman" w:hAnsi="Times New Roman" w:cs="Times New Roman"/>
                <w:color w:val="auto"/>
              </w:rPr>
              <w:drawing>
                <wp:inline distT="0" distB="0" distL="114300" distR="114300">
                  <wp:extent cx="2337435" cy="561975"/>
                  <wp:effectExtent l="0" t="0" r="5715" b="9525"/>
                  <wp:docPr id="65" name="图片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25"/>
                          <pic:cNvPicPr>
                            <a:picLocks noChangeAspect="1"/>
                          </pic:cNvPicPr>
                        </pic:nvPicPr>
                        <pic:blipFill>
                          <a:blip r:embed="rId28"/>
                          <a:stretch>
                            <a:fillRect/>
                          </a:stretch>
                        </pic:blipFill>
                        <pic:spPr>
                          <a:xfrm>
                            <a:off x="0" y="0"/>
                            <a:ext cx="2337435" cy="561975"/>
                          </a:xfrm>
                          <a:prstGeom prst="rect">
                            <a:avLst/>
                          </a:prstGeom>
                          <a:noFill/>
                          <a:ln>
                            <a:noFill/>
                          </a:ln>
                        </pic:spPr>
                      </pic:pic>
                    </a:graphicData>
                  </a:graphic>
                </wp:inline>
              </w:drawing>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式中：</w:t>
            </w:r>
          </w:p>
          <w:p>
            <w:pPr>
              <w:adjustRightInd w:val="0"/>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t>Q</w:t>
            </w:r>
            <w:r>
              <w:rPr>
                <w:rFonts w:hint="default" w:ascii="Times New Roman" w:hAnsi="Times New Roman" w:cs="Times New Roman"/>
                <w:color w:val="auto"/>
                <w:sz w:val="24"/>
                <w:vertAlign w:val="subscript"/>
              </w:rPr>
              <w:t>c</w:t>
            </w:r>
            <w:r>
              <w:rPr>
                <w:rFonts w:hint="default" w:ascii="Times New Roman" w:hAnsi="Times New Roman" w:cs="Times New Roman"/>
                <w:color w:val="auto"/>
                <w:sz w:val="24"/>
              </w:rPr>
              <w:t>——</w:t>
            </w:r>
            <w:r>
              <w:rPr>
                <w:rFonts w:hint="default" w:ascii="Times New Roman" w:hAnsi="Times New Roman" w:cs="Times New Roman"/>
                <w:color w:val="auto"/>
                <w:sz w:val="24"/>
                <w:szCs w:val="24"/>
              </w:rPr>
              <w:t>大气有害物质的无组织排放量，kg/h</w:t>
            </w:r>
            <w:r>
              <w:rPr>
                <w:rFonts w:hint="default" w:ascii="Times New Roman" w:hAnsi="Times New Roman" w:cs="Times New Roman"/>
                <w:color w:val="auto"/>
                <w:sz w:val="24"/>
                <w:lang w:eastAsia="zh-CN"/>
              </w:rPr>
              <w:t>；</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C</w:t>
            </w:r>
            <w:r>
              <w:rPr>
                <w:rFonts w:hint="default" w:ascii="Times New Roman" w:hAnsi="Times New Roman" w:cs="Times New Roman"/>
                <w:color w:val="auto"/>
                <w:sz w:val="24"/>
                <w:vertAlign w:val="subscript"/>
              </w:rPr>
              <w:t>m</w:t>
            </w:r>
            <w:r>
              <w:rPr>
                <w:rFonts w:hint="default" w:ascii="Times New Roman" w:hAnsi="Times New Roman" w:cs="Times New Roman"/>
                <w:color w:val="auto"/>
                <w:sz w:val="24"/>
              </w:rPr>
              <w:t>——标准浓度限值，mg/m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；GB3095规定的二级标准任何一次浓度限值；</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L——工业企业所需环境防护距离，m；</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r</w:t>
            </w:r>
            <w:r>
              <w:rPr>
                <w:rFonts w:hint="default" w:ascii="Times New Roman" w:hAnsi="Times New Roman" w:cs="Times New Roman"/>
                <w:color w:val="auto"/>
                <w:sz w:val="24"/>
              </w:rPr>
              <w:t>——有害气体无组织排放源所在生产单元的等效半径，m；</w:t>
            </w:r>
          </w:p>
          <w:p>
            <w:pPr>
              <w:adjustRightInd w:val="0"/>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cs="Times New Roman"/>
                <w:color w:val="auto"/>
                <w:sz w:val="24"/>
              </w:rPr>
              <w:t>A、B、C、D——环境防护距离计算系数；按Ⅱ类大气污染源、风速3m/s</w:t>
            </w:r>
            <w:r>
              <w:rPr>
                <w:rFonts w:hint="default" w:ascii="Times New Roman" w:hAnsi="Times New Roman" w:cs="Times New Roman"/>
                <w:color w:val="auto"/>
                <w:sz w:val="24"/>
              </w:rPr>
              <w:sym w:font="Symbol" w:char="F03E"/>
            </w:r>
            <w:r>
              <w:rPr>
                <w:rFonts w:hint="default" w:ascii="Times New Roman" w:hAnsi="Times New Roman" w:cs="Times New Roman"/>
                <w:color w:val="auto"/>
                <w:sz w:val="24"/>
              </w:rPr>
              <w:t>u</w:t>
            </w:r>
            <w:r>
              <w:rPr>
                <w:rFonts w:hint="default" w:ascii="Times New Roman" w:hAnsi="Times New Roman" w:cs="Times New Roman"/>
                <w:color w:val="auto"/>
                <w:sz w:val="24"/>
              </w:rPr>
              <w:sym w:font="Symbol" w:char="F03E"/>
            </w:r>
            <w:r>
              <w:rPr>
                <w:rFonts w:hint="default" w:ascii="Times New Roman" w:hAnsi="Times New Roman" w:cs="Times New Roman"/>
                <w:color w:val="auto"/>
                <w:sz w:val="24"/>
              </w:rPr>
              <w:t>2m/s取值，A</w:t>
            </w:r>
            <w:r>
              <w:rPr>
                <w:rFonts w:hint="default" w:ascii="Times New Roman" w:hAnsi="Times New Roman" w:cs="Times New Roman"/>
                <w:color w:val="auto"/>
                <w:sz w:val="24"/>
              </w:rPr>
              <w:t>为</w:t>
            </w:r>
            <w:r>
              <w:rPr>
                <w:rFonts w:hint="default" w:ascii="Times New Roman" w:hAnsi="Times New Roman" w:cs="Times New Roman"/>
                <w:color w:val="auto"/>
                <w:sz w:val="24"/>
                <w:lang w:val="en-US" w:eastAsia="zh-CN"/>
              </w:rPr>
              <w:t>470</w:t>
            </w:r>
            <w:r>
              <w:rPr>
                <w:rFonts w:hint="default" w:ascii="Times New Roman" w:hAnsi="Times New Roman" w:cs="Times New Roman"/>
                <w:color w:val="auto"/>
                <w:sz w:val="24"/>
              </w:rPr>
              <w:t>，B为0.021，C为1.85，D为0.84</w:t>
            </w:r>
            <w:r>
              <w:rPr>
                <w:rFonts w:hint="default" w:ascii="Times New Roman" w:hAnsi="Times New Roman" w:cs="Times New Roman"/>
                <w:color w:val="auto"/>
                <w:sz w:val="24"/>
                <w:lang w:eastAsia="zh-CN"/>
              </w:rPr>
              <w:t>。</w:t>
            </w:r>
          </w:p>
          <w:p>
            <w:pPr>
              <w:tabs>
                <w:tab w:val="right" w:pos="9069"/>
              </w:tabs>
              <w:adjustRightInd w:val="0"/>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项目无组织排放污染物环境防护距离计算参数及结果如表：</w:t>
            </w:r>
          </w:p>
          <w:p>
            <w:pPr>
              <w:keepNext w:val="0"/>
              <w:keepLines w:val="0"/>
              <w:pageBreakBefore w:val="0"/>
              <w:widowControl w:val="0"/>
              <w:tabs>
                <w:tab w:val="right" w:pos="9069"/>
              </w:tabs>
              <w:kinsoku/>
              <w:wordWrap/>
              <w:overflowPunct/>
              <w:topLinePunct w:val="0"/>
              <w:autoSpaceDE/>
              <w:autoSpaceDN/>
              <w:bidi w:val="0"/>
              <w:adjustRightInd w:val="0"/>
              <w:snapToGrid/>
              <w:spacing w:line="360" w:lineRule="auto"/>
              <w:ind w:firstLine="0"/>
              <w:jc w:val="center"/>
              <w:textAlignment w:val="auto"/>
              <w:rPr>
                <w:rFonts w:hint="default" w:ascii="Times New Roman" w:hAnsi="Times New Roman" w:cs="Times New Roman"/>
                <w:color w:val="auto"/>
                <w:sz w:val="24"/>
                <w:szCs w:val="32"/>
              </w:rPr>
            </w:pPr>
            <w:r>
              <w:rPr>
                <w:rFonts w:hint="default" w:ascii="Times New Roman" w:hAnsi="Times New Roman" w:cs="Times New Roman"/>
                <w:b/>
                <w:bCs/>
                <w:color w:val="auto"/>
                <w:sz w:val="24"/>
                <w:szCs w:val="32"/>
              </w:rPr>
              <w:t>表</w:t>
            </w:r>
            <w:r>
              <w:rPr>
                <w:rFonts w:hint="default" w:ascii="Times New Roman" w:hAnsi="Times New Roman" w:cs="Times New Roman"/>
                <w:b/>
                <w:bCs/>
                <w:color w:val="auto"/>
                <w:sz w:val="24"/>
                <w:szCs w:val="32"/>
                <w:lang w:val="en-US" w:eastAsia="zh-CN"/>
              </w:rPr>
              <w:t>4-</w:t>
            </w:r>
            <w:r>
              <w:rPr>
                <w:rFonts w:hint="eastAsia" w:ascii="Times New Roman" w:hAnsi="Times New Roman" w:cs="Times New Roman"/>
                <w:b/>
                <w:bCs/>
                <w:color w:val="auto"/>
                <w:sz w:val="24"/>
                <w:szCs w:val="32"/>
                <w:lang w:val="en-US" w:eastAsia="zh-CN"/>
              </w:rPr>
              <w:t>20</w:t>
            </w:r>
            <w:r>
              <w:rPr>
                <w:rFonts w:hint="default" w:ascii="Times New Roman" w:hAnsi="Times New Roman" w:cs="Times New Roman"/>
                <w:b/>
                <w:bCs/>
                <w:color w:val="auto"/>
                <w:sz w:val="24"/>
                <w:szCs w:val="32"/>
              </w:rPr>
              <w:t xml:space="preserve"> </w:t>
            </w:r>
            <w:r>
              <w:rPr>
                <w:rFonts w:hint="default" w:ascii="Times New Roman" w:hAnsi="Times New Roman" w:cs="Times New Roman"/>
                <w:b/>
                <w:color w:val="auto"/>
                <w:spacing w:val="1"/>
                <w:sz w:val="24"/>
                <w:szCs w:val="24"/>
              </w:rPr>
              <w:t>无组织废气卫生防护距离</w:t>
            </w:r>
          </w:p>
          <w:tbl>
            <w:tblPr>
              <w:tblStyle w:val="32"/>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910"/>
              <w:gridCol w:w="1387"/>
              <w:gridCol w:w="1109"/>
              <w:gridCol w:w="925"/>
              <w:gridCol w:w="708"/>
              <w:gridCol w:w="1372"/>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污染源</w:t>
                  </w:r>
                </w:p>
              </w:tc>
              <w:tc>
                <w:tcPr>
                  <w:tcW w:w="537"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污染源类型</w:t>
                  </w:r>
                </w:p>
              </w:tc>
              <w:tc>
                <w:tcPr>
                  <w:tcW w:w="819" w:type="pct"/>
                  <w:noWrap w:val="0"/>
                  <w:vAlign w:val="center"/>
                </w:tcPr>
                <w:p>
                  <w:pPr>
                    <w:keepNext w:val="0"/>
                    <w:keepLines w:val="0"/>
                    <w:pageBreakBefore w:val="0"/>
                    <w:widowControl w:val="0"/>
                    <w:kinsoku/>
                    <w:wordWrap/>
                    <w:overflowPunct/>
                    <w:topLinePunct/>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rPr>
                    <w:t>污染物源强</w:t>
                  </w:r>
                  <w:r>
                    <w:rPr>
                      <w:rFonts w:hint="default" w:ascii="Times New Roman" w:hAnsi="Times New Roman" w:cs="Times New Roman"/>
                      <w:b/>
                      <w:bCs/>
                      <w:color w:val="auto"/>
                      <w:lang w:eastAsia="zh-CN"/>
                    </w:rPr>
                    <w:t>（</w:t>
                  </w:r>
                  <w:r>
                    <w:rPr>
                      <w:rFonts w:hint="default" w:ascii="Times New Roman" w:hAnsi="Times New Roman" w:cs="Times New Roman"/>
                      <w:b/>
                      <w:bCs/>
                      <w:color w:val="auto"/>
                    </w:rPr>
                    <w:t>kg/h</w:t>
                  </w:r>
                  <w:r>
                    <w:rPr>
                      <w:rFonts w:hint="default" w:ascii="Times New Roman" w:hAnsi="Times New Roman" w:cs="Times New Roman"/>
                      <w:b/>
                      <w:bCs/>
                      <w:color w:val="auto"/>
                      <w:lang w:eastAsia="zh-CN"/>
                    </w:rPr>
                    <w:t>）</w:t>
                  </w:r>
                </w:p>
              </w:tc>
              <w:tc>
                <w:tcPr>
                  <w:tcW w:w="655" w:type="pct"/>
                  <w:noWrap w:val="0"/>
                  <w:vAlign w:val="center"/>
                </w:tcPr>
                <w:p>
                  <w:pPr>
                    <w:keepNext w:val="0"/>
                    <w:keepLines w:val="0"/>
                    <w:pageBreakBefore w:val="0"/>
                    <w:widowControl w:val="0"/>
                    <w:kinsoku/>
                    <w:wordWrap/>
                    <w:overflowPunct/>
                    <w:topLinePunct/>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rPr>
                    <w:t>评价标准</w:t>
                  </w:r>
                  <w:r>
                    <w:rPr>
                      <w:rFonts w:hint="default" w:ascii="Times New Roman" w:hAnsi="Times New Roman" w:cs="Times New Roman"/>
                      <w:b/>
                      <w:bCs/>
                      <w:color w:val="auto"/>
                      <w:lang w:eastAsia="zh-CN"/>
                    </w:rPr>
                    <w:t>（</w:t>
                  </w:r>
                  <w:r>
                    <w:rPr>
                      <w:rFonts w:hint="default" w:ascii="Times New Roman" w:hAnsi="Times New Roman" w:cs="Times New Roman"/>
                      <w:b/>
                      <w:bCs/>
                      <w:color w:val="auto"/>
                    </w:rPr>
                    <w:t>mg/m</w:t>
                  </w:r>
                  <w:r>
                    <w:rPr>
                      <w:rFonts w:hint="default" w:ascii="Times New Roman" w:hAnsi="Times New Roman" w:cs="Times New Roman"/>
                      <w:b/>
                      <w:bCs/>
                      <w:color w:val="auto"/>
                      <w:vertAlign w:val="superscript"/>
                    </w:rPr>
                    <w:t>3</w:t>
                  </w:r>
                  <w:r>
                    <w:rPr>
                      <w:rFonts w:hint="default" w:ascii="Times New Roman" w:hAnsi="Times New Roman" w:cs="Times New Roman"/>
                      <w:b/>
                      <w:bCs/>
                      <w:color w:val="auto"/>
                      <w:lang w:eastAsia="zh-CN"/>
                    </w:rPr>
                    <w:t>）</w:t>
                  </w:r>
                </w:p>
              </w:tc>
              <w:tc>
                <w:tcPr>
                  <w:tcW w:w="546" w:type="pct"/>
                  <w:noWrap w:val="0"/>
                  <w:vAlign w:val="center"/>
                </w:tcPr>
                <w:p>
                  <w:pPr>
                    <w:keepNext w:val="0"/>
                    <w:keepLines w:val="0"/>
                    <w:pageBreakBefore w:val="0"/>
                    <w:widowControl w:val="0"/>
                    <w:kinsoku/>
                    <w:wordWrap/>
                    <w:overflowPunct/>
                    <w:autoSpaceDE/>
                    <w:autoSpaceDN/>
                    <w:bidi w:val="0"/>
                    <w:adjustRightInd w:val="0"/>
                    <w:snapToGrid w:val="0"/>
                    <w:spacing w:line="360" w:lineRule="exact"/>
                    <w:jc w:val="center"/>
                    <w:textAlignment w:val="auto"/>
                    <w:rPr>
                      <w:rFonts w:hint="default" w:ascii="Times New Roman" w:hAnsi="Times New Roman" w:eastAsia="宋体" w:cs="Times New Roman"/>
                      <w:b/>
                      <w:bCs/>
                      <w:color w:val="auto"/>
                      <w:szCs w:val="21"/>
                      <w:lang w:eastAsia="zh-CN"/>
                    </w:rPr>
                  </w:pPr>
                  <w:r>
                    <w:rPr>
                      <w:rFonts w:hint="default" w:ascii="Times New Roman" w:hAnsi="Times New Roman" w:cs="Times New Roman"/>
                      <w:b/>
                      <w:bCs/>
                      <w:color w:val="auto"/>
                      <w:szCs w:val="21"/>
                    </w:rPr>
                    <w:t>面源面积</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m</w:t>
                  </w:r>
                  <w:r>
                    <w:rPr>
                      <w:rFonts w:hint="default" w:ascii="Times New Roman" w:hAnsi="Times New Roman" w:cs="Times New Roman"/>
                      <w:color w:val="auto"/>
                      <w:vertAlign w:val="superscript"/>
                      <w:lang w:val="en-US" w:eastAsia="zh-CN"/>
                    </w:rPr>
                    <w:t>2</w:t>
                  </w:r>
                  <w:r>
                    <w:rPr>
                      <w:rFonts w:hint="default" w:ascii="Times New Roman" w:hAnsi="Times New Roman" w:cs="Times New Roman"/>
                      <w:color w:val="auto"/>
                      <w:lang w:eastAsia="zh-CN"/>
                    </w:rPr>
                    <w:t>）</w:t>
                  </w:r>
                </w:p>
              </w:tc>
              <w:tc>
                <w:tcPr>
                  <w:tcW w:w="418"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810"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卫生防护距离初值（m）</w:t>
                  </w:r>
                </w:p>
              </w:tc>
              <w:tc>
                <w:tcPr>
                  <w:tcW w:w="789"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rPr>
                    <w:t>卫生防护距离终值（m）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生产车间</w:t>
                  </w:r>
                </w:p>
              </w:tc>
              <w:tc>
                <w:tcPr>
                  <w:tcW w:w="537"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面源</w:t>
                  </w:r>
                </w:p>
              </w:tc>
              <w:tc>
                <w:tcPr>
                  <w:tcW w:w="819" w:type="pct"/>
                  <w:noWrap w:val="0"/>
                  <w:vAlign w:val="center"/>
                </w:tcPr>
                <w:p>
                  <w:pPr>
                    <w:keepNext w:val="0"/>
                    <w:keepLines w:val="0"/>
                    <w:pageBreakBefore w:val="0"/>
                    <w:widowControl w:val="0"/>
                    <w:kinsoku/>
                    <w:wordWrap/>
                    <w:overflowPunct/>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kern w:val="2"/>
                      <w:sz w:val="21"/>
                      <w:szCs w:val="21"/>
                      <w:lang w:val="en-US" w:eastAsia="zh-CN" w:bidi="ar-SA"/>
                    </w:rPr>
                    <w:t>0.42</w:t>
                  </w:r>
                </w:p>
              </w:tc>
              <w:tc>
                <w:tcPr>
                  <w:tcW w:w="655" w:type="pct"/>
                  <w:noWrap w:val="0"/>
                  <w:vAlign w:val="center"/>
                </w:tcPr>
                <w:p>
                  <w:pPr>
                    <w:keepNext w:val="0"/>
                    <w:keepLines w:val="0"/>
                    <w:pageBreakBefore w:val="0"/>
                    <w:widowControl w:val="0"/>
                    <w:kinsoku/>
                    <w:wordWrap/>
                    <w:overflowPunct/>
                    <w:topLinePunct/>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2.0</w:t>
                  </w:r>
                </w:p>
              </w:tc>
              <w:tc>
                <w:tcPr>
                  <w:tcW w:w="546"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1000</w:t>
                  </w:r>
                </w:p>
              </w:tc>
              <w:tc>
                <w:tcPr>
                  <w:tcW w:w="418"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val="en-US" w:eastAsia="zh-CN"/>
                    </w:rPr>
                    <w:t>非甲烷总烃</w:t>
                  </w:r>
                </w:p>
              </w:tc>
              <w:tc>
                <w:tcPr>
                  <w:tcW w:w="810"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bCs/>
                      <w:color w:val="auto"/>
                      <w:szCs w:val="21"/>
                    </w:rPr>
                    <w:t>0≦</w:t>
                  </w:r>
                  <w:r>
                    <w:rPr>
                      <w:rFonts w:hint="eastAsia" w:ascii="Times New Roman" w:hAnsi="Times New Roman" w:cs="Times New Roman"/>
                      <w:bCs/>
                      <w:color w:val="auto"/>
                      <w:szCs w:val="21"/>
                      <w:lang w:val="en-US" w:eastAsia="zh-CN"/>
                    </w:rPr>
                    <w:t>17.176</w:t>
                  </w:r>
                  <w:r>
                    <w:rPr>
                      <w:rFonts w:hint="default" w:ascii="Times New Roman" w:hAnsi="Times New Roman" w:cs="Times New Roman"/>
                      <w:bCs/>
                      <w:color w:val="auto"/>
                      <w:szCs w:val="21"/>
                    </w:rPr>
                    <w:t>˂50</w:t>
                  </w:r>
                </w:p>
              </w:tc>
              <w:tc>
                <w:tcPr>
                  <w:tcW w:w="789" w:type="pct"/>
                  <w:noWrap w:val="0"/>
                  <w:vAlign w:val="center"/>
                </w:tcPr>
                <w:p>
                  <w:pPr>
                    <w:keepNext w:val="0"/>
                    <w:keepLines w:val="0"/>
                    <w:pageBreakBefore w:val="0"/>
                    <w:widowControl w:val="0"/>
                    <w:tabs>
                      <w:tab w:val="right" w:pos="9069"/>
                    </w:tabs>
                    <w:kinsoku/>
                    <w:wordWrap/>
                    <w:overflowPunct/>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50</w:t>
                  </w:r>
                </w:p>
              </w:tc>
            </w:tr>
          </w:tbl>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经计算，项目环境防护距离为50m。即在项目产生无组织排放源的生产单元周围50m范围内的区域，不要规划开发住宅、学校等人群相对集中的项目。根据项目现场调查分析，本项目</w:t>
            </w:r>
            <w:r>
              <w:rPr>
                <w:rFonts w:hint="default" w:ascii="Times New Roman" w:hAnsi="Times New Roman" w:cs="Times New Roman"/>
                <w:color w:val="auto"/>
                <w:sz w:val="24"/>
                <w:lang w:val="en-US" w:eastAsia="zh-CN"/>
              </w:rPr>
              <w:t>生产车间</w:t>
            </w:r>
            <w:r>
              <w:rPr>
                <w:rFonts w:hint="default" w:ascii="Times New Roman" w:hAnsi="Times New Roman" w:cs="Times New Roman"/>
                <w:color w:val="auto"/>
                <w:sz w:val="24"/>
              </w:rPr>
              <w:t>50m范围内无住宅、学校等人群相对集中的敏感点，满足卫生防护距离要求。</w:t>
            </w:r>
          </w:p>
          <w:p>
            <w:pPr>
              <w:spacing w:line="360" w:lineRule="auto"/>
              <w:ind w:firstLine="482" w:firstLineChars="200"/>
              <w:rPr>
                <w:rFonts w:hint="default" w:ascii="Times New Roman" w:hAnsi="Times New Roman" w:cs="Times New Roman"/>
                <w:b/>
                <w:color w:val="auto"/>
                <w:sz w:val="24"/>
                <w:szCs w:val="24"/>
              </w:rPr>
            </w:pPr>
            <w:r>
              <w:rPr>
                <w:rFonts w:hint="default" w:ascii="Times New Roman" w:hAnsi="Times New Roman" w:cs="Times New Roman"/>
                <w:b/>
                <w:bCs/>
                <w:color w:val="auto"/>
                <w:sz w:val="24"/>
                <w:szCs w:val="24"/>
              </w:rPr>
              <w:t>4.2.2 废水</w:t>
            </w:r>
          </w:p>
          <w:p>
            <w:pPr>
              <w:adjustRightInd w:val="0"/>
              <w:snapToGrid w:val="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4.2.2.1废水源强核算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32"/>
                <w:lang w:val="en-US" w:eastAsia="zh-CN"/>
              </w:rPr>
            </w:pPr>
            <w:r>
              <w:rPr>
                <w:rFonts w:hint="default" w:ascii="Times New Roman" w:hAnsi="Times New Roman" w:cs="Times New Roman"/>
                <w:color w:val="auto"/>
                <w:sz w:val="24"/>
                <w:szCs w:val="24"/>
                <w:lang w:val="en-US" w:eastAsia="zh-CN"/>
              </w:rPr>
              <w:t>（1）</w:t>
            </w:r>
            <w:r>
              <w:rPr>
                <w:rFonts w:hint="default" w:ascii="Times New Roman" w:hAnsi="Times New Roman" w:cs="Times New Roman"/>
                <w:b w:val="0"/>
                <w:bCs w:val="0"/>
                <w:color w:val="auto"/>
                <w:sz w:val="24"/>
                <w:szCs w:val="32"/>
                <w:lang w:val="en-US" w:eastAsia="zh-CN"/>
              </w:rPr>
              <w:t>生产用水</w:t>
            </w:r>
          </w:p>
          <w:p>
            <w:pPr>
              <w:keepNext w:val="0"/>
              <w:keepLines w:val="0"/>
              <w:pageBreakBefore w:val="0"/>
              <w:widowControl w:val="0"/>
              <w:kinsoku/>
              <w:wordWrap/>
              <w:overflowPunct/>
              <w:topLinePunct w:val="0"/>
              <w:autoSpaceDE/>
              <w:autoSpaceDN/>
              <w:bidi w:val="0"/>
              <w:adjustRightInd/>
              <w:snapToGrid/>
              <w:spacing w:line="360" w:lineRule="auto"/>
              <w:ind w:left="0" w:firstLine="482" w:firstLineChars="200"/>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①纯水制备</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lang w:val="en-US" w:eastAsia="zh-CN"/>
              </w:rPr>
              <w:t>根据上述工程分析，纯水制备用水量为14.286t/a。浓水产生量为4.286t/a。</w:t>
            </w:r>
            <w:r>
              <w:rPr>
                <w:rFonts w:hint="default" w:ascii="Times New Roman" w:hAnsi="Times New Roman" w:eastAsia="宋体" w:cs="Times New Roman"/>
                <w:color w:val="auto"/>
                <w:kern w:val="0"/>
                <w:sz w:val="24"/>
                <w:szCs w:val="24"/>
                <w:highlight w:val="none"/>
                <w:lang w:val="en-US" w:eastAsia="zh-CN" w:bidi="ar"/>
              </w:rPr>
              <w:t>产生的浓水作为清净下水排入污水管网。</w:t>
            </w:r>
          </w:p>
          <w:p>
            <w:pPr>
              <w:pStyle w:val="12"/>
              <w:widowControl w:val="0"/>
              <w:adjustRightInd w:val="0"/>
              <w:snapToGrid/>
              <w:spacing w:before="0" w:after="0" w:line="360" w:lineRule="auto"/>
              <w:ind w:right="0"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②冷却塔用水</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根据上述工程分析，项目冷却塔补充水量为4193.28</w:t>
            </w:r>
            <w:r>
              <w:rPr>
                <w:rFonts w:hint="default" w:ascii="Times New Roman" w:hAnsi="Times New Roman" w:cs="Times New Roman"/>
                <w:color w:val="auto"/>
                <w:sz w:val="24"/>
                <w:szCs w:val="24"/>
                <w:lang w:val="en-US" w:eastAsia="zh-CN"/>
              </w:rPr>
              <w:t>m</w:t>
            </w:r>
            <w:r>
              <w:rPr>
                <w:rFonts w:hint="default" w:ascii="Times New Roman" w:hAnsi="Times New Roman" w:cs="Times New Roman"/>
                <w:color w:val="auto"/>
                <w:sz w:val="24"/>
                <w:szCs w:val="24"/>
                <w:vertAlign w:val="superscript"/>
                <w:lang w:val="en-US" w:eastAsia="zh-CN"/>
              </w:rPr>
              <w:t>3</w:t>
            </w:r>
            <w:r>
              <w:rPr>
                <w:rFonts w:hint="default" w:ascii="Times New Roman" w:hAnsi="Times New Roman" w:cs="Times New Roman"/>
                <w:color w:val="auto"/>
                <w:sz w:val="24"/>
                <w:szCs w:val="24"/>
                <w:vertAlign w:val="baseline"/>
                <w:lang w:val="en-US" w:eastAsia="zh-CN"/>
              </w:rPr>
              <w:t>/a，项目冷却塔用水循环使用，不外排。</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cs="Times New Roman"/>
                <w:b/>
                <w:bCs/>
                <w:color w:val="auto"/>
                <w:sz w:val="24"/>
                <w:szCs w:val="24"/>
                <w:highlight w:val="none"/>
                <w:vertAlign w:val="baseline"/>
                <w:lang w:val="en-US" w:eastAsia="zh-CN"/>
              </w:rPr>
            </w:pPr>
            <w:r>
              <w:rPr>
                <w:rFonts w:hint="default" w:ascii="Times New Roman" w:hAnsi="Times New Roman" w:eastAsia="宋体" w:cs="Times New Roman"/>
                <w:b/>
                <w:bCs/>
                <w:color w:val="auto"/>
                <w:sz w:val="24"/>
                <w:szCs w:val="24"/>
                <w:highlight w:val="none"/>
                <w:vertAlign w:val="baseline"/>
                <w:lang w:val="en-US" w:eastAsia="zh-CN"/>
              </w:rPr>
              <w:t>③</w:t>
            </w:r>
            <w:r>
              <w:rPr>
                <w:rFonts w:hint="default" w:ascii="Times New Roman" w:hAnsi="Times New Roman" w:cs="Times New Roman"/>
                <w:b/>
                <w:bCs/>
                <w:color w:val="auto"/>
                <w:sz w:val="24"/>
                <w:szCs w:val="24"/>
                <w:highlight w:val="none"/>
                <w:vertAlign w:val="baseline"/>
                <w:lang w:val="en-US" w:eastAsia="zh-CN"/>
              </w:rPr>
              <w:t>设备清洗用水</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根据上述工程分析，设备清洗用水量为4.8m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/a。设备清洗废水交由有危险废物资质单位处理。</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sz w:val="24"/>
                <w:szCs w:val="24"/>
                <w:highlight w:val="none"/>
                <w:vertAlign w:val="baseline"/>
                <w:lang w:val="en-US" w:eastAsia="zh-CN"/>
              </w:rPr>
            </w:pPr>
            <w:r>
              <w:rPr>
                <w:rFonts w:hint="default" w:ascii="Times New Roman" w:hAnsi="Times New Roman" w:eastAsia="宋体" w:cs="Times New Roman"/>
                <w:b/>
                <w:bCs/>
                <w:color w:val="auto"/>
                <w:sz w:val="24"/>
                <w:szCs w:val="24"/>
                <w:highlight w:val="none"/>
                <w:vertAlign w:val="baseline"/>
                <w:lang w:val="en-US" w:eastAsia="zh-CN"/>
              </w:rPr>
              <w:t>④配料车间地面清洗用水</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both"/>
              <w:textAlignment w:val="auto"/>
              <w:rPr>
                <w:rFonts w:hint="default" w:ascii="Times New Roman" w:hAnsi="Times New Roman" w:eastAsia="宋体" w:cs="Times New Roman"/>
                <w:color w:val="auto"/>
                <w:kern w:val="0"/>
                <w:sz w:val="24"/>
                <w:szCs w:val="24"/>
                <w:highlight w:val="none"/>
                <w:lang w:val="en-US" w:eastAsia="zh-CN" w:bidi="ar"/>
              </w:rPr>
            </w:pPr>
            <w:r>
              <w:rPr>
                <w:rFonts w:hint="default" w:ascii="Times New Roman" w:hAnsi="Times New Roman" w:eastAsia="宋体" w:cs="Times New Roman"/>
                <w:color w:val="auto"/>
                <w:kern w:val="0"/>
                <w:sz w:val="24"/>
                <w:szCs w:val="24"/>
                <w:highlight w:val="none"/>
                <w:lang w:val="en-US" w:eastAsia="zh-CN" w:bidi="ar"/>
              </w:rPr>
              <w:t>根据上述工程分析，车间地面保洁用水量为5.76m</w:t>
            </w:r>
            <w:r>
              <w:rPr>
                <w:rFonts w:hint="default" w:ascii="Times New Roman" w:hAnsi="Times New Roman" w:eastAsia="宋体" w:cs="Times New Roman"/>
                <w:color w:val="auto"/>
                <w:kern w:val="0"/>
                <w:sz w:val="24"/>
                <w:szCs w:val="24"/>
                <w:highlight w:val="none"/>
                <w:vertAlign w:val="superscript"/>
                <w:lang w:val="en-US" w:eastAsia="zh-CN" w:bidi="ar"/>
              </w:rPr>
              <w:t>3</w:t>
            </w:r>
            <w:r>
              <w:rPr>
                <w:rFonts w:hint="default" w:ascii="Times New Roman" w:hAnsi="Times New Roman" w:eastAsia="宋体" w:cs="Times New Roman"/>
                <w:color w:val="auto"/>
                <w:kern w:val="0"/>
                <w:sz w:val="24"/>
                <w:szCs w:val="24"/>
                <w:highlight w:val="none"/>
                <w:lang w:val="en-US" w:eastAsia="zh-CN" w:bidi="ar"/>
              </w:rPr>
              <w:t>/a。配料车间地面清洗废水交由有危险废物资质单位处理。</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2" w:firstLineChars="200"/>
              <w:jc w:val="both"/>
              <w:textAlignment w:val="auto"/>
              <w:rPr>
                <w:rFonts w:hint="default" w:ascii="Times New Roman" w:hAnsi="Times New Roman" w:eastAsia="宋体" w:cs="Times New Roman"/>
                <w:b/>
                <w:bCs/>
                <w:color w:val="auto"/>
                <w:sz w:val="24"/>
                <w:szCs w:val="24"/>
                <w:highlight w:val="none"/>
                <w:vertAlign w:val="baseline"/>
                <w:lang w:val="en-US" w:eastAsia="zh-CN"/>
              </w:rPr>
            </w:pPr>
            <w:r>
              <w:rPr>
                <w:rFonts w:hint="default" w:ascii="Times New Roman" w:hAnsi="Times New Roman" w:eastAsia="宋体" w:cs="Times New Roman"/>
                <w:b/>
                <w:bCs/>
                <w:color w:val="auto"/>
                <w:sz w:val="24"/>
                <w:szCs w:val="24"/>
                <w:highlight w:val="none"/>
                <w:vertAlign w:val="baseline"/>
                <w:lang w:val="en-US" w:eastAsia="zh-CN"/>
              </w:rPr>
              <w:t>⑤初期雨水</w:t>
            </w:r>
          </w:p>
          <w:p>
            <w:pPr>
              <w:autoSpaceDE w:val="0"/>
              <w:autoSpaceDN w:val="0"/>
              <w:adjustRightInd w:val="0"/>
              <w:spacing w:line="360" w:lineRule="auto"/>
              <w:ind w:firstLine="480" w:firstLineChars="200"/>
              <w:rPr>
                <w:rFonts w:hint="default" w:ascii="Times New Roman" w:hAnsi="Times New Roman" w:cs="Times New Roman"/>
                <w:color w:val="auto"/>
                <w:kern w:val="0"/>
                <w:sz w:val="24"/>
              </w:rPr>
            </w:pPr>
            <w:r>
              <w:rPr>
                <w:rFonts w:hint="default" w:ascii="Times New Roman" w:hAnsi="Times New Roman" w:eastAsia="宋体" w:cs="Times New Roman"/>
                <w:color w:val="auto"/>
                <w:kern w:val="0"/>
                <w:sz w:val="24"/>
                <w:szCs w:val="24"/>
                <w:highlight w:val="none"/>
                <w:lang w:val="en-US" w:eastAsia="zh-CN" w:bidi="ar"/>
              </w:rPr>
              <w:t>根据上述工程分析，可得初期雨水量为655t/a。</w:t>
            </w:r>
            <w:r>
              <w:rPr>
                <w:rFonts w:hint="default" w:ascii="Times New Roman" w:hAnsi="Times New Roman" w:cs="Times New Roman"/>
                <w:color w:val="auto"/>
                <w:kern w:val="0"/>
                <w:sz w:val="24"/>
              </w:rPr>
              <w:t>本项目初期雨水经沉淀池</w:t>
            </w:r>
            <w:r>
              <w:rPr>
                <w:rFonts w:hint="default" w:ascii="Times New Roman" w:hAnsi="Times New Roman" w:cs="Times New Roman"/>
                <w:color w:val="auto"/>
                <w:kern w:val="0"/>
                <w:sz w:val="24"/>
                <w:lang w:val="en-US" w:eastAsia="zh-CN"/>
              </w:rPr>
              <w:t>经混凝沉淀处理后，直接排入雨水管网</w:t>
            </w:r>
            <w:r>
              <w:rPr>
                <w:rFonts w:hint="default" w:ascii="Times New Roman" w:hAnsi="Times New Roman" w:cs="Times New Roman"/>
                <w:color w:val="auto"/>
                <w:kern w:val="0"/>
                <w:sz w:val="24"/>
              </w:rPr>
              <w:t>。</w:t>
            </w:r>
          </w:p>
          <w:p>
            <w:pPr>
              <w:autoSpaceDE w:val="0"/>
              <w:autoSpaceDN w:val="0"/>
              <w:adjustRightInd w:val="0"/>
              <w:spacing w:line="360" w:lineRule="auto"/>
              <w:ind w:firstLine="482" w:firstLineChars="200"/>
              <w:rPr>
                <w:rFonts w:hint="default" w:ascii="Times New Roman" w:hAnsi="Times New Roman" w:cs="Times New Roman"/>
                <w:b/>
                <w:bCs/>
                <w:color w:val="auto"/>
                <w:sz w:val="24"/>
                <w:highlight w:val="none"/>
              </w:rPr>
            </w:pPr>
            <w:r>
              <w:rPr>
                <w:rFonts w:hint="default" w:ascii="Times New Roman" w:hAnsi="Times New Roman" w:cs="Times New Roman"/>
                <w:b/>
                <w:bCs/>
                <w:color w:val="auto"/>
                <w:kern w:val="0"/>
                <w:sz w:val="24"/>
                <w:highlight w:val="none"/>
              </w:rPr>
              <w:t>治理措施：</w:t>
            </w:r>
            <w:r>
              <w:rPr>
                <w:rFonts w:hint="default" w:ascii="Times New Roman" w:hAnsi="Times New Roman" w:cs="Times New Roman"/>
                <w:color w:val="auto"/>
                <w:kern w:val="0"/>
                <w:sz w:val="24"/>
                <w:highlight w:val="none"/>
              </w:rPr>
              <w:t>项目初期雨水经沉淀池处理后，</w:t>
            </w:r>
            <w:r>
              <w:rPr>
                <w:rFonts w:hint="default" w:ascii="Times New Roman" w:hAnsi="Times New Roman" w:cs="Times New Roman"/>
                <w:color w:val="auto"/>
                <w:kern w:val="0"/>
                <w:sz w:val="24"/>
                <w:highlight w:val="none"/>
                <w:lang w:val="en-US" w:eastAsia="zh-CN"/>
              </w:rPr>
              <w:t>直接排入雨水管网</w:t>
            </w:r>
            <w:r>
              <w:rPr>
                <w:rFonts w:hint="default" w:ascii="Times New Roman" w:hAnsi="Times New Roman" w:cs="Times New Roman"/>
                <w:color w:val="auto"/>
                <w:kern w:val="0"/>
                <w:sz w:val="24"/>
                <w:highlight w:val="none"/>
              </w:rPr>
              <w:t>。本项目拟在项目</w:t>
            </w:r>
            <w:r>
              <w:rPr>
                <w:rFonts w:hint="default" w:ascii="Times New Roman" w:hAnsi="Times New Roman" w:cs="Times New Roman"/>
                <w:color w:val="auto"/>
                <w:kern w:val="0"/>
                <w:sz w:val="24"/>
                <w:highlight w:val="none"/>
                <w:lang w:val="en-US" w:eastAsia="zh-CN"/>
              </w:rPr>
              <w:t>北</w:t>
            </w:r>
            <w:r>
              <w:rPr>
                <w:rFonts w:hint="default" w:ascii="Times New Roman" w:hAnsi="Times New Roman" w:cs="Times New Roman"/>
                <w:color w:val="auto"/>
                <w:kern w:val="0"/>
                <w:sz w:val="24"/>
                <w:highlight w:val="none"/>
              </w:rPr>
              <w:t>侧设置一座沉淀池用于项目收集的初期雨水，沉淀池的容积为</w:t>
            </w:r>
            <w:r>
              <w:rPr>
                <w:rFonts w:hint="default" w:ascii="Times New Roman" w:hAnsi="Times New Roman" w:cs="Times New Roman"/>
                <w:color w:val="auto"/>
                <w:kern w:val="0"/>
                <w:sz w:val="24"/>
                <w:highlight w:val="none"/>
                <w:lang w:val="en-US" w:eastAsia="zh-CN"/>
              </w:rPr>
              <w:t>25</w:t>
            </w:r>
            <w:r>
              <w:rPr>
                <w:rFonts w:hint="default" w:ascii="Times New Roman" w:hAnsi="Times New Roman" w:cs="Times New Roman"/>
                <w:color w:val="auto"/>
                <w:kern w:val="0"/>
                <w:sz w:val="24"/>
                <w:highlight w:val="none"/>
              </w:rPr>
              <w:t>m</w:t>
            </w:r>
            <w:r>
              <w:rPr>
                <w:rFonts w:hint="default" w:ascii="Times New Roman" w:hAnsi="Times New Roman" w:cs="Times New Roman"/>
                <w:color w:val="auto"/>
                <w:kern w:val="0"/>
                <w:sz w:val="24"/>
                <w:highlight w:val="none"/>
                <w:vertAlign w:val="superscript"/>
              </w:rPr>
              <w:t>3</w:t>
            </w:r>
            <w:r>
              <w:rPr>
                <w:rFonts w:hint="default" w:ascii="Times New Roman" w:hAnsi="Times New Roman" w:cs="Times New Roman"/>
                <w:color w:val="auto"/>
                <w:kern w:val="0"/>
                <w:sz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（2）生活污水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cs="Times New Roman"/>
                <w:color w:val="auto"/>
                <w:sz w:val="24"/>
                <w:szCs w:val="24"/>
                <w:lang w:val="en-US" w:eastAsia="zh-CN"/>
              </w:rPr>
              <w:t>项目</w:t>
            </w:r>
            <w:r>
              <w:rPr>
                <w:rFonts w:hint="default" w:ascii="Times New Roman" w:hAnsi="Times New Roman" w:eastAsia="宋体" w:cs="Times New Roman"/>
                <w:color w:val="auto"/>
                <w:kern w:val="0"/>
                <w:sz w:val="24"/>
                <w:szCs w:val="24"/>
                <w:highlight w:val="none"/>
                <w:lang w:val="en-US" w:eastAsia="zh-CN" w:bidi="ar-SA"/>
              </w:rPr>
              <w:t>实行雨污分流制，雨水经厂区雨水管网收集后排放至市政雨水管网，项目运营期无生产废水排放，排放的废水主要为生活污水。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cs="Times New Roman"/>
                <w:color w:val="auto"/>
                <w:sz w:val="24"/>
                <w:szCs w:val="32"/>
                <w:lang w:val="en-US" w:eastAsia="zh-CN"/>
              </w:rPr>
              <w:t>项目拟招员工48人，均不在厂区内食宿。</w:t>
            </w:r>
            <w:r>
              <w:rPr>
                <w:rFonts w:hint="default" w:ascii="Times New Roman" w:hAnsi="Times New Roman" w:cs="Times New Roman"/>
                <w:color w:val="auto"/>
                <w:sz w:val="24"/>
                <w:szCs w:val="24"/>
                <w:lang w:val="en-US" w:eastAsia="zh-CN"/>
              </w:rPr>
              <w:t>根据《广东省用水定额－生活》（DB44/T 1461.3-2021）中的国家行政机构无食堂和浴室计算，选取先进值，即10t/a•人，</w:t>
            </w:r>
            <w:r>
              <w:rPr>
                <w:rFonts w:hint="default" w:ascii="Times New Roman" w:hAnsi="Times New Roman" w:cs="Times New Roman"/>
                <w:color w:val="auto"/>
                <w:sz w:val="24"/>
                <w:szCs w:val="32"/>
              </w:rPr>
              <w:t>项目</w:t>
            </w:r>
            <w:r>
              <w:rPr>
                <w:rFonts w:hint="default" w:ascii="Times New Roman" w:hAnsi="Times New Roman" w:cs="Times New Roman"/>
                <w:color w:val="auto"/>
                <w:sz w:val="24"/>
                <w:szCs w:val="32"/>
                <w:lang w:val="en-US" w:eastAsia="zh-CN"/>
              </w:rPr>
              <w:t>员工</w:t>
            </w:r>
            <w:r>
              <w:rPr>
                <w:rFonts w:hint="default" w:ascii="Times New Roman" w:hAnsi="Times New Roman" w:cs="Times New Roman"/>
                <w:color w:val="auto"/>
                <w:sz w:val="24"/>
                <w:szCs w:val="32"/>
              </w:rPr>
              <w:t>生活用水量为</w:t>
            </w:r>
            <w:r>
              <w:rPr>
                <w:rFonts w:hint="default" w:ascii="Times New Roman" w:hAnsi="Times New Roman" w:cs="Times New Roman"/>
                <w:color w:val="auto"/>
                <w:sz w:val="24"/>
                <w:szCs w:val="32"/>
                <w:lang w:val="en-US" w:eastAsia="zh-CN"/>
              </w:rPr>
              <w:t>1.71</w:t>
            </w:r>
            <w:r>
              <w:rPr>
                <w:rFonts w:hint="default" w:ascii="Times New Roman" w:hAnsi="Times New Roman" w:cs="Times New Roman"/>
                <w:color w:val="auto"/>
                <w:sz w:val="24"/>
                <w:szCs w:val="32"/>
              </w:rPr>
              <w:t>t</w:t>
            </w:r>
            <w:r>
              <w:rPr>
                <w:rFonts w:hint="default" w:ascii="Times New Roman" w:hAnsi="Times New Roman" w:eastAsia="宋体" w:cs="Times New Roman"/>
                <w:color w:val="auto"/>
                <w:sz w:val="24"/>
                <w:szCs w:val="32"/>
                <w:lang w:val="en-US" w:eastAsia="zh-CN"/>
              </w:rPr>
              <w:t>/d</w:t>
            </w:r>
            <w:r>
              <w:rPr>
                <w:rFonts w:hint="default" w:ascii="Times New Roman" w:hAnsi="Times New Roman" w:cs="Times New Roman"/>
                <w:color w:val="auto"/>
                <w:sz w:val="24"/>
                <w:szCs w:val="32"/>
                <w:lang w:eastAsia="zh-CN"/>
              </w:rPr>
              <w:t>（</w:t>
            </w:r>
            <w:r>
              <w:rPr>
                <w:rFonts w:hint="default" w:ascii="Times New Roman" w:hAnsi="Times New Roman" w:cs="Times New Roman"/>
                <w:color w:val="auto"/>
                <w:sz w:val="24"/>
                <w:szCs w:val="32"/>
                <w:lang w:val="en-US" w:eastAsia="zh-CN"/>
              </w:rPr>
              <w:t>480</w:t>
            </w:r>
            <w:r>
              <w:rPr>
                <w:rFonts w:hint="default" w:ascii="Times New Roman" w:hAnsi="Times New Roman" w:cs="Times New Roman"/>
                <w:color w:val="auto"/>
                <w:sz w:val="24"/>
                <w:szCs w:val="32"/>
              </w:rPr>
              <w:t>t/a</w:t>
            </w:r>
            <w:r>
              <w:rPr>
                <w:rFonts w:hint="default" w:ascii="Times New Roman" w:hAnsi="Times New Roman" w:cs="Times New Roman"/>
                <w:color w:val="auto"/>
                <w:sz w:val="24"/>
                <w:szCs w:val="32"/>
                <w:lang w:eastAsia="zh-CN"/>
              </w:rPr>
              <w:t>）</w:t>
            </w:r>
            <w:r>
              <w:rPr>
                <w:rFonts w:hint="default" w:ascii="Times New Roman" w:hAnsi="Times New Roman" w:cs="Times New Roman"/>
                <w:color w:val="auto"/>
                <w:sz w:val="24"/>
                <w:szCs w:val="24"/>
                <w:lang w:val="en-US" w:eastAsia="zh-CN"/>
              </w:rPr>
              <w:t>（一年按280天计）</w:t>
            </w:r>
            <w:r>
              <w:rPr>
                <w:rFonts w:hint="default" w:ascii="Times New Roman" w:hAnsi="Times New Roman" w:cs="Times New Roman"/>
                <w:color w:val="auto"/>
                <w:sz w:val="24"/>
                <w:szCs w:val="32"/>
              </w:rPr>
              <w:t>。</w:t>
            </w:r>
            <w:r>
              <w:rPr>
                <w:rFonts w:hint="default" w:ascii="Times New Roman" w:hAnsi="Times New Roman" w:cs="Times New Roman"/>
                <w:color w:val="auto"/>
                <w:sz w:val="24"/>
                <w:szCs w:val="24"/>
              </w:rPr>
              <w:t>根据《排放源统计调查产排污核算方法和系数手册》（2021年6月11日，生态环境部印发）中“生活源产排污核算方法和系数手册</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第一部分 城镇生活源水污染物产生系数”：人均日生活用水量≤150升/人·天时，折污系数取0.8，则本项目员工办公生活污水量为</w:t>
            </w:r>
            <w:r>
              <w:rPr>
                <w:rFonts w:hint="default" w:ascii="Times New Roman" w:hAnsi="Times New Roman" w:cs="Times New Roman"/>
                <w:color w:val="auto"/>
                <w:sz w:val="24"/>
                <w:szCs w:val="24"/>
                <w:lang w:val="en-US" w:eastAsia="zh-CN"/>
              </w:rPr>
              <w:t>1.37</w:t>
            </w:r>
            <w:r>
              <w:rPr>
                <w:rFonts w:hint="default" w:ascii="Times New Roman" w:hAnsi="Times New Roman" w:cs="Times New Roman"/>
                <w:color w:val="auto"/>
                <w:sz w:val="24"/>
                <w:szCs w:val="32"/>
              </w:rPr>
              <w:t>t</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d</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384</w:t>
            </w:r>
            <w:r>
              <w:rPr>
                <w:rFonts w:hint="default" w:ascii="Times New Roman" w:hAnsi="Times New Roman" w:cs="Times New Roman"/>
                <w:color w:val="auto"/>
                <w:sz w:val="24"/>
                <w:szCs w:val="32"/>
              </w:rPr>
              <w:t>t</w:t>
            </w:r>
            <w:r>
              <w:rPr>
                <w:rFonts w:hint="default" w:ascii="Times New Roman" w:hAnsi="Times New Roman" w:cs="Times New Roman"/>
                <w:color w:val="auto"/>
                <w:sz w:val="24"/>
                <w:szCs w:val="24"/>
              </w:rPr>
              <w:t>/a</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。污水中主要污染物为COD</w:t>
            </w:r>
            <w:r>
              <w:rPr>
                <w:rFonts w:hint="default" w:ascii="Times New Roman" w:hAnsi="Times New Roman" w:cs="Times New Roman"/>
                <w:color w:val="auto"/>
                <w:sz w:val="24"/>
                <w:szCs w:val="24"/>
                <w:vertAlign w:val="subscript"/>
              </w:rPr>
              <w:t>Cr</w:t>
            </w:r>
            <w:r>
              <w:rPr>
                <w:rFonts w:hint="default" w:ascii="Times New Roman" w:hAnsi="Times New Roman" w:cs="Times New Roman"/>
                <w:color w:val="auto"/>
                <w:sz w:val="24"/>
                <w:szCs w:val="24"/>
              </w:rPr>
              <w:t>、NH</w:t>
            </w:r>
            <w:r>
              <w:rPr>
                <w:rFonts w:hint="default" w:ascii="Times New Roman" w:hAnsi="Times New Roman" w:cs="Times New Roman"/>
                <w:color w:val="auto"/>
                <w:sz w:val="24"/>
                <w:szCs w:val="24"/>
                <w:vertAlign w:val="subscript"/>
              </w:rPr>
              <w:t>3</w:t>
            </w:r>
            <w:r>
              <w:rPr>
                <w:rFonts w:hint="default" w:ascii="Times New Roman" w:hAnsi="Times New Roman" w:cs="Times New Roman"/>
                <w:color w:val="auto"/>
                <w:sz w:val="24"/>
                <w:szCs w:val="24"/>
              </w:rPr>
              <w:t>-N、BOD</w:t>
            </w:r>
            <w:r>
              <w:rPr>
                <w:rFonts w:hint="default" w:ascii="Times New Roman" w:hAnsi="Times New Roman" w:cs="Times New Roman"/>
                <w:color w:val="auto"/>
                <w:sz w:val="24"/>
                <w:szCs w:val="24"/>
                <w:vertAlign w:val="subscript"/>
              </w:rPr>
              <w:t>5</w:t>
            </w:r>
            <w:r>
              <w:rPr>
                <w:rFonts w:hint="default" w:ascii="Times New Roman" w:hAnsi="Times New Roman" w:cs="Times New Roman"/>
                <w:color w:val="auto"/>
                <w:sz w:val="24"/>
                <w:szCs w:val="24"/>
              </w:rPr>
              <w:t>等。</w:t>
            </w:r>
          </w:p>
          <w:p>
            <w:pPr>
              <w:adjustRightInd w:val="0"/>
              <w:snapToGrid w:val="0"/>
              <w:spacing w:line="360" w:lineRule="auto"/>
              <w:ind w:firstLine="480" w:firstLineChars="200"/>
              <w:rPr>
                <w:rFonts w:hint="default" w:ascii="Times New Roman" w:hAnsi="Times New Roman" w:cs="Times New Roman"/>
                <w:b w:val="0"/>
                <w:bCs w:val="0"/>
                <w:color w:val="auto"/>
                <w:sz w:val="21"/>
                <w:szCs w:val="21"/>
              </w:rPr>
            </w:pPr>
            <w:r>
              <w:rPr>
                <w:rFonts w:hint="eastAsia" w:ascii="Times New Roman" w:hAnsi="Times New Roman" w:cs="Times New Roman"/>
                <w:color w:val="auto"/>
                <w:sz w:val="24"/>
                <w:szCs w:val="24"/>
                <w:highlight w:val="none"/>
                <w:lang w:val="en-US" w:eastAsia="zh-CN"/>
              </w:rPr>
              <w:t>项目生活污水进入自建的生活污水处理设施预处理达到</w:t>
            </w:r>
            <w:r>
              <w:rPr>
                <w:rFonts w:hint="eastAsia" w:ascii="Times New Roman" w:hAnsi="Times New Roman" w:cs="Times New Roman"/>
                <w:color w:val="auto"/>
                <w:sz w:val="24"/>
                <w:szCs w:val="24"/>
                <w:highlight w:val="none"/>
              </w:rPr>
              <w:t>广东省地方标准《水污染物排放限值》（DB44/26-2001）第二时段三级标准与《电池工业污染物排放标准》（GB30484-2013）表2新建企业水污染物排放限值间接排放限值两者较严者后</w:t>
            </w:r>
            <w:r>
              <w:rPr>
                <w:rFonts w:hint="default" w:ascii="Times New Roman" w:hAnsi="Times New Roman" w:cs="Times New Roman"/>
                <w:color w:val="auto"/>
                <w:sz w:val="24"/>
                <w:szCs w:val="24"/>
              </w:rPr>
              <w:t>排入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sz w:val="24"/>
                <w:szCs w:val="24"/>
                <w:lang w:val="en-US" w:eastAsia="zh-CN"/>
              </w:rPr>
              <w:t>进行</w:t>
            </w:r>
            <w:r>
              <w:rPr>
                <w:rFonts w:hint="default" w:ascii="Times New Roman" w:hAnsi="Times New Roman" w:cs="Times New Roman"/>
                <w:color w:val="auto"/>
                <w:sz w:val="24"/>
                <w:szCs w:val="24"/>
              </w:rPr>
              <w:t>处理</w:t>
            </w:r>
            <w:r>
              <w:rPr>
                <w:rFonts w:hint="eastAsia" w:cs="Times New Roman"/>
                <w:color w:val="auto"/>
                <w:sz w:val="24"/>
                <w:szCs w:val="24"/>
                <w:lang w:val="en-US" w:eastAsia="zh-CN"/>
              </w:rPr>
              <w:t>，</w:t>
            </w:r>
            <w:r>
              <w:rPr>
                <w:rFonts w:hint="default" w:ascii="Times New Roman" w:hAnsi="Times New Roman" w:cs="Times New Roman"/>
                <w:color w:val="auto"/>
                <w:sz w:val="24"/>
                <w:szCs w:val="24"/>
                <w:lang w:val="en-US" w:eastAsia="zh-CN"/>
              </w:rPr>
              <w:t>废水</w:t>
            </w:r>
            <w:r>
              <w:rPr>
                <w:rFonts w:hint="default" w:ascii="Times New Roman" w:hAnsi="Times New Roman" w:cs="Times New Roman"/>
                <w:bCs/>
                <w:color w:val="auto"/>
                <w:sz w:val="24"/>
                <w:szCs w:val="24"/>
                <w:shd w:val="clear" w:color="auto" w:fill="FFFFFF"/>
                <w:lang w:val="en-US" w:eastAsia="zh-CN"/>
              </w:rPr>
              <w:t>执行</w:t>
            </w:r>
            <w:r>
              <w:rPr>
                <w:rFonts w:hint="default" w:ascii="Times New Roman" w:hAnsi="Times New Roman" w:cs="Times New Roman"/>
                <w:bCs/>
                <w:color w:val="auto"/>
                <w:sz w:val="24"/>
                <w:szCs w:val="24"/>
                <w:shd w:val="clear" w:color="auto" w:fill="FFFFFF"/>
              </w:rPr>
              <w:t>《城镇污水处理厂污染物排放标准》</w:t>
            </w:r>
            <w:r>
              <w:rPr>
                <w:rFonts w:hint="default" w:ascii="Times New Roman" w:hAnsi="Times New Roman" w:cs="Times New Roman"/>
                <w:bCs/>
                <w:color w:val="auto"/>
                <w:sz w:val="24"/>
                <w:szCs w:val="24"/>
                <w:shd w:val="clear" w:color="auto" w:fill="FFFFFF"/>
                <w:lang w:eastAsia="zh-CN"/>
              </w:rPr>
              <w:t>（</w:t>
            </w:r>
            <w:r>
              <w:rPr>
                <w:rFonts w:hint="default" w:ascii="Times New Roman" w:hAnsi="Times New Roman" w:cs="Times New Roman"/>
                <w:bCs/>
                <w:color w:val="auto"/>
                <w:sz w:val="24"/>
                <w:szCs w:val="24"/>
                <w:shd w:val="clear" w:color="auto" w:fill="FFFFFF"/>
              </w:rPr>
              <w:t>GB18918-2002</w:t>
            </w:r>
            <w:r>
              <w:rPr>
                <w:rFonts w:hint="default" w:ascii="Times New Roman" w:hAnsi="Times New Roman" w:cs="Times New Roman"/>
                <w:bCs/>
                <w:color w:val="auto"/>
                <w:sz w:val="24"/>
                <w:szCs w:val="24"/>
                <w:shd w:val="clear" w:color="auto" w:fill="FFFFFF"/>
                <w:lang w:eastAsia="zh-CN"/>
              </w:rPr>
              <w:t>）</w:t>
            </w:r>
            <w:r>
              <w:rPr>
                <w:rFonts w:hint="default" w:ascii="Times New Roman" w:hAnsi="Times New Roman" w:cs="Times New Roman"/>
                <w:bCs/>
                <w:color w:val="auto"/>
                <w:sz w:val="24"/>
                <w:szCs w:val="24"/>
                <w:shd w:val="clear" w:color="auto" w:fill="FFFFFF"/>
              </w:rPr>
              <w:t>中的一级A标准</w:t>
            </w:r>
            <w:r>
              <w:rPr>
                <w:rFonts w:hint="default" w:ascii="Times New Roman" w:hAnsi="Times New Roman" w:cs="Times New Roman"/>
                <w:bCs/>
                <w:color w:val="auto"/>
                <w:sz w:val="24"/>
                <w:szCs w:val="24"/>
                <w:shd w:val="clear" w:color="auto" w:fill="FFFFFF"/>
                <w:lang w:eastAsia="zh-CN"/>
              </w:rPr>
              <w:t>、</w:t>
            </w:r>
            <w:r>
              <w:rPr>
                <w:rFonts w:hint="default" w:ascii="Times New Roman" w:hAnsi="Times New Roman" w:cs="Times New Roman"/>
                <w:bCs/>
                <w:color w:val="auto"/>
                <w:sz w:val="24"/>
                <w:szCs w:val="24"/>
                <w:shd w:val="clear" w:color="auto" w:fill="FFFFFF"/>
              </w:rPr>
              <w:t>广东省地方标准《水污染物排放限值》</w:t>
            </w:r>
            <w:r>
              <w:rPr>
                <w:rFonts w:hint="default" w:ascii="Times New Roman" w:hAnsi="Times New Roman" w:eastAsia="宋体" w:cs="Times New Roman"/>
                <w:color w:val="auto"/>
                <w:sz w:val="24"/>
                <w:szCs w:val="24"/>
              </w:rPr>
              <w:t>中的较严值</w:t>
            </w:r>
            <w:r>
              <w:rPr>
                <w:rFonts w:hint="default" w:ascii="Times New Roman" w:hAnsi="Times New Roman" w:cs="Times New Roman"/>
                <w:color w:val="auto"/>
                <w:sz w:val="24"/>
              </w:rPr>
              <w:t>（其中氨氮、总磷指标优于《地表水环境质量标准》（GB3838-2002）Ⅴ类标准）</w:t>
            </w:r>
            <w:r>
              <w:rPr>
                <w:rFonts w:hint="default" w:ascii="Times New Roman" w:hAnsi="Times New Roman" w:eastAsia="宋体" w:cs="Times New Roman"/>
                <w:color w:val="auto"/>
                <w:sz w:val="24"/>
                <w:szCs w:val="24"/>
              </w:rPr>
              <w:t>，</w:t>
            </w:r>
            <w:r>
              <w:rPr>
                <w:rFonts w:hint="default" w:ascii="Times New Roman" w:hAnsi="Times New Roman" w:eastAsia="宋体" w:cs="Times New Roman"/>
                <w:bCs/>
                <w:color w:val="auto"/>
                <w:sz w:val="24"/>
                <w:szCs w:val="24"/>
                <w:shd w:val="clear" w:color="auto" w:fill="FFFFFF"/>
                <w:lang w:val="en-US" w:eastAsia="zh-CN"/>
              </w:rPr>
              <w:t>尾水</w:t>
            </w:r>
            <w:r>
              <w:rPr>
                <w:rFonts w:hint="default" w:ascii="Times New Roman" w:hAnsi="Times New Roman" w:cs="Times New Roman"/>
                <w:bCs/>
                <w:color w:val="auto"/>
                <w:sz w:val="24"/>
                <w:szCs w:val="24"/>
                <w:shd w:val="clear" w:color="auto" w:fill="FFFFFF"/>
              </w:rPr>
              <w:t>排入</w:t>
            </w:r>
            <w:r>
              <w:rPr>
                <w:rFonts w:hint="default" w:ascii="Times New Roman" w:hAnsi="Times New Roman" w:cs="Times New Roman"/>
                <w:bCs/>
                <w:color w:val="auto"/>
                <w:sz w:val="24"/>
                <w:szCs w:val="24"/>
                <w:shd w:val="clear" w:color="auto" w:fill="FFFFFF"/>
                <w:lang w:val="en-US" w:eastAsia="zh-CN"/>
              </w:rPr>
              <w:t>中心排渠</w:t>
            </w:r>
            <w:r>
              <w:rPr>
                <w:rFonts w:hint="default" w:ascii="Times New Roman" w:hAnsi="Times New Roman" w:cs="Times New Roman"/>
                <w:color w:val="auto"/>
                <w:sz w:val="24"/>
                <w:szCs w:val="24"/>
                <w:lang w:bidi="ar"/>
              </w:rPr>
              <w:t>。</w:t>
            </w:r>
          </w:p>
          <w:p>
            <w:pPr>
              <w:adjustRightInd w:val="0"/>
              <w:snapToGrid w:val="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4.2.2.2废水排放情况</w:t>
            </w:r>
          </w:p>
          <w:p>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highlight w:val="none"/>
              </w:rPr>
              <w:t>生活污水中主要污染物为COD</w:t>
            </w:r>
            <w:r>
              <w:rPr>
                <w:rFonts w:hint="default" w:ascii="Times New Roman" w:hAnsi="Times New Roman" w:eastAsia="宋体" w:cs="Times New Roman"/>
                <w:color w:val="auto"/>
                <w:sz w:val="24"/>
                <w:szCs w:val="24"/>
                <w:highlight w:val="none"/>
                <w:vertAlign w:val="subscript"/>
                <w:lang w:val="en-US" w:eastAsia="zh-CN"/>
              </w:rPr>
              <w:t>Cr</w:t>
            </w:r>
            <w:r>
              <w:rPr>
                <w:rFonts w:hint="default" w:ascii="Times New Roman" w:hAnsi="Times New Roman" w:eastAsia="宋体" w:cs="Times New Roman"/>
                <w:color w:val="auto"/>
                <w:sz w:val="24"/>
                <w:szCs w:val="24"/>
                <w:highlight w:val="none"/>
              </w:rPr>
              <w:t>、NH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、SS，</w:t>
            </w:r>
            <w:r>
              <w:rPr>
                <w:rFonts w:hint="default" w:ascii="Times New Roman" w:hAnsi="Times New Roman" w:eastAsia="宋体" w:cs="Times New Roman"/>
                <w:color w:val="auto"/>
                <w:sz w:val="24"/>
                <w:szCs w:val="24"/>
                <w:highlight w:val="none"/>
                <w:lang w:val="en-US" w:eastAsia="zh-CN"/>
              </w:rPr>
              <w:t>其中</w:t>
            </w:r>
            <w:r>
              <w:rPr>
                <w:rFonts w:hint="default" w:ascii="Times New Roman" w:hAnsi="Times New Roman" w:eastAsia="宋体" w:cs="Times New Roman"/>
                <w:color w:val="auto"/>
                <w:sz w:val="24"/>
                <w:szCs w:val="24"/>
                <w:highlight w:val="none"/>
              </w:rPr>
              <w:t>COD</w:t>
            </w:r>
            <w:r>
              <w:rPr>
                <w:rFonts w:hint="default" w:ascii="Times New Roman" w:hAnsi="Times New Roman" w:eastAsia="宋体" w:cs="Times New Roman"/>
                <w:color w:val="auto"/>
                <w:sz w:val="24"/>
                <w:szCs w:val="24"/>
                <w:highlight w:val="none"/>
                <w:vertAlign w:val="subscript"/>
                <w:lang w:val="en-US" w:eastAsia="zh-CN"/>
              </w:rPr>
              <w:t>Cr</w:t>
            </w:r>
            <w:r>
              <w:rPr>
                <w:rFonts w:hint="default" w:ascii="Times New Roman" w:hAnsi="Times New Roman" w:eastAsia="宋体" w:cs="Times New Roman"/>
                <w:color w:val="auto"/>
                <w:sz w:val="24"/>
                <w:szCs w:val="24"/>
                <w:highlight w:val="none"/>
              </w:rPr>
              <w:t>、NH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 参考《排放源统计调查产排污核算方法和系数手册》中生活源产排污核算系数手册的产污系数，污染物产生浓度为COD</w:t>
            </w:r>
            <w:r>
              <w:rPr>
                <w:rFonts w:hint="default" w:ascii="Times New Roman" w:hAnsi="Times New Roman" w:eastAsia="宋体" w:cs="Times New Roman"/>
                <w:color w:val="auto"/>
                <w:sz w:val="24"/>
                <w:szCs w:val="24"/>
                <w:highlight w:val="none"/>
                <w:vertAlign w:val="subscript"/>
                <w:lang w:val="en-US" w:eastAsia="zh-CN"/>
              </w:rPr>
              <w:t>Cr</w:t>
            </w:r>
            <w:r>
              <w:rPr>
                <w:rFonts w:hint="default" w:ascii="Times New Roman" w:hAnsi="Times New Roman" w:eastAsia="宋体" w:cs="Times New Roman"/>
                <w:color w:val="auto"/>
                <w:sz w:val="24"/>
                <w:szCs w:val="24"/>
                <w:highlight w:val="none"/>
              </w:rPr>
              <w:t>285mg/L，NH</w:t>
            </w:r>
            <w:r>
              <w:rPr>
                <w:rFonts w:hint="default" w:ascii="Times New Roman" w:hAnsi="Times New Roman" w:eastAsia="宋体"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-N28.3mg/L</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TN39.4mg/L，TP4.10mg/L</w:t>
            </w:r>
            <w:r>
              <w:rPr>
                <w:rFonts w:hint="default" w:ascii="Times New Roman" w:hAnsi="Times New Roman" w:eastAsia="宋体" w:cs="Times New Roman"/>
                <w:color w:val="auto"/>
                <w:sz w:val="24"/>
                <w:szCs w:val="24"/>
                <w:highlight w:val="none"/>
              </w:rPr>
              <w:t>；BOD</w:t>
            </w:r>
            <w:r>
              <w:rPr>
                <w:rFonts w:hint="default" w:ascii="Times New Roman" w:hAnsi="Times New Roman" w:eastAsia="宋体"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、SS参考《排水工程》（第四版下册）中“典型生活污水水质”中“中常浓度”水质参数，产生浓度分别为200mg/L、220mg/L</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24"/>
              </w:rPr>
              <w:t>生活污水排放情况见下表。</w:t>
            </w:r>
          </w:p>
          <w:p>
            <w:pPr>
              <w:adjustRightInd w:val="0"/>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项目污水处理设施采用的是生物接触氧化法，根据《村镇生活污染防治最佳可行技术指南（试行）》（HJ-BAT-9）</w:t>
            </w:r>
            <w:r>
              <w:rPr>
                <w:rFonts w:hint="eastAsia" w:cs="Times New Roman"/>
                <w:color w:val="auto"/>
                <w:sz w:val="24"/>
                <w:szCs w:val="24"/>
                <w:lang w:val="en-US" w:eastAsia="zh-CN"/>
              </w:rPr>
              <w:t>中</w:t>
            </w:r>
            <w:r>
              <w:rPr>
                <w:rFonts w:hint="default" w:ascii="Times New Roman" w:hAnsi="Times New Roman" w:cs="Times New Roman"/>
                <w:color w:val="auto"/>
                <w:sz w:val="24"/>
                <w:szCs w:val="24"/>
              </w:rPr>
              <w:t>村镇生活污水污染防治最佳可行单元技术参数表可知，</w:t>
            </w:r>
            <w:r>
              <w:rPr>
                <w:rFonts w:hint="eastAsia" w:cs="Times New Roman"/>
                <w:color w:val="auto"/>
                <w:sz w:val="24"/>
                <w:szCs w:val="24"/>
                <w:lang w:val="en-US" w:eastAsia="zh-CN"/>
              </w:rPr>
              <w:t>三级化粪池</w:t>
            </w:r>
            <w:r>
              <w:rPr>
                <w:rFonts w:hint="default" w:ascii="Times New Roman" w:hAnsi="Times New Roman" w:cs="Times New Roman"/>
                <w:color w:val="auto"/>
                <w:sz w:val="24"/>
                <w:szCs w:val="24"/>
              </w:rPr>
              <w:t>对污染物去除效率分别</w:t>
            </w:r>
            <w:r>
              <w:rPr>
                <w:rFonts w:hint="eastAsia" w:cs="Times New Roman"/>
                <w:color w:val="auto"/>
                <w:sz w:val="24"/>
                <w:szCs w:val="24"/>
                <w:lang w:val="en-US" w:eastAsia="zh-CN"/>
              </w:rPr>
              <w:t>取</w:t>
            </w:r>
            <w:r>
              <w:rPr>
                <w:rFonts w:hint="default" w:ascii="Times New Roman" w:hAnsi="Times New Roman" w:cs="Times New Roman"/>
                <w:color w:val="auto"/>
                <w:sz w:val="24"/>
                <w:szCs w:val="24"/>
              </w:rPr>
              <w:t>为COD：</w:t>
            </w:r>
            <w:r>
              <w:rPr>
                <w:rFonts w:hint="eastAsia" w:cs="Times New Roman"/>
                <w:color w:val="auto"/>
                <w:sz w:val="24"/>
                <w:szCs w:val="24"/>
                <w:lang w:val="en-US" w:eastAsia="zh-CN"/>
              </w:rPr>
              <w:t>5</w:t>
            </w:r>
            <w:r>
              <w:rPr>
                <w:rFonts w:hint="default" w:ascii="Times New Roman" w:hAnsi="Times New Roman" w:cs="Times New Roman"/>
                <w:color w:val="auto"/>
                <w:sz w:val="24"/>
                <w:szCs w:val="24"/>
              </w:rPr>
              <w:t>0%，SS：</w:t>
            </w:r>
            <w:r>
              <w:rPr>
                <w:rFonts w:hint="eastAsia" w:cs="Times New Roman"/>
                <w:color w:val="auto"/>
                <w:sz w:val="24"/>
                <w:szCs w:val="24"/>
                <w:lang w:val="en-US" w:eastAsia="zh-CN"/>
              </w:rPr>
              <w:t>7</w:t>
            </w:r>
            <w:r>
              <w:rPr>
                <w:rFonts w:hint="default" w:ascii="Times New Roman" w:hAnsi="Times New Roman" w:cs="Times New Roman"/>
                <w:color w:val="auto"/>
                <w:sz w:val="24"/>
                <w:szCs w:val="24"/>
              </w:rPr>
              <w:t>0%，</w:t>
            </w:r>
            <w:r>
              <w:rPr>
                <w:rFonts w:hint="eastAsia" w:cs="Times New Roman"/>
                <w:color w:val="auto"/>
                <w:sz w:val="24"/>
                <w:szCs w:val="24"/>
                <w:lang w:val="en-US" w:eastAsia="zh-CN"/>
              </w:rPr>
              <w:t>TP：20%，TN：10%。</w:t>
            </w:r>
            <w:r>
              <w:rPr>
                <w:rFonts w:hint="default" w:ascii="Times New Roman" w:hAnsi="Times New Roman" w:cs="Times New Roman"/>
                <w:color w:val="auto"/>
                <w:sz w:val="24"/>
                <w:szCs w:val="24"/>
              </w:rPr>
              <w:t>生物接触氧化法对污染物去除效率分别</w:t>
            </w:r>
            <w:r>
              <w:rPr>
                <w:rFonts w:hint="eastAsia" w:cs="Times New Roman"/>
                <w:color w:val="auto"/>
                <w:sz w:val="24"/>
                <w:szCs w:val="24"/>
                <w:lang w:val="en-US" w:eastAsia="zh-CN"/>
              </w:rPr>
              <w:t>取</w:t>
            </w:r>
            <w:r>
              <w:rPr>
                <w:rFonts w:hint="default" w:ascii="Times New Roman" w:hAnsi="Times New Roman" w:cs="Times New Roman"/>
                <w:color w:val="auto"/>
                <w:sz w:val="24"/>
                <w:szCs w:val="24"/>
              </w:rPr>
              <w:t>为COD：90%，BOD</w:t>
            </w:r>
            <w:r>
              <w:rPr>
                <w:rFonts w:hint="default" w:ascii="Times New Roman" w:hAnsi="Times New Roman" w:cs="Times New Roman"/>
                <w:color w:val="auto"/>
                <w:sz w:val="24"/>
                <w:szCs w:val="24"/>
                <w:vertAlign w:val="subscript"/>
              </w:rPr>
              <w:t>5</w:t>
            </w:r>
            <w:r>
              <w:rPr>
                <w:rFonts w:hint="default" w:ascii="Times New Roman" w:hAnsi="Times New Roman" w:cs="Times New Roman"/>
                <w:color w:val="auto"/>
                <w:sz w:val="24"/>
                <w:szCs w:val="24"/>
              </w:rPr>
              <w:t>：95%，SS：90%，</w:t>
            </w:r>
            <w:r>
              <w:rPr>
                <w:rFonts w:hint="eastAsia" w:cs="Times New Roman"/>
                <w:color w:val="auto"/>
                <w:sz w:val="24"/>
                <w:szCs w:val="24"/>
                <w:lang w:val="en-US" w:eastAsia="zh-CN"/>
              </w:rPr>
              <w:t>NH</w:t>
            </w:r>
            <w:r>
              <w:rPr>
                <w:rFonts w:hint="eastAsia" w:cs="Times New Roman"/>
                <w:color w:val="auto"/>
                <w:sz w:val="24"/>
                <w:szCs w:val="24"/>
                <w:vertAlign w:val="subscript"/>
                <w:lang w:val="en-US" w:eastAsia="zh-CN"/>
              </w:rPr>
              <w:t>3</w:t>
            </w:r>
            <w:r>
              <w:rPr>
                <w:rFonts w:hint="eastAsia" w:cs="Times New Roman"/>
                <w:color w:val="auto"/>
                <w:sz w:val="24"/>
                <w:szCs w:val="24"/>
                <w:lang w:val="en-US" w:eastAsia="zh-CN"/>
              </w:rPr>
              <w:t>-N：60%，TP：40%，TN：50%。</w:t>
            </w:r>
            <w:r>
              <w:rPr>
                <w:rFonts w:hint="default" w:ascii="Times New Roman" w:hAnsi="Times New Roman" w:cs="Times New Roman"/>
                <w:color w:val="auto"/>
                <w:sz w:val="24"/>
                <w:szCs w:val="24"/>
              </w:rPr>
              <w:t>出水水质可达到《城市污水再生利用城市杂用水水质》（GB/T18920-2020）标准和《城市污水再生利用绿地灌溉水质》（GB/T25499-2010）标准的较严值，因此，本项目污水处理设施的设计进出水水质及处理效率见下表。</w:t>
            </w:r>
          </w:p>
          <w:p>
            <w:pPr>
              <w:adjustRightInd w:val="0"/>
              <w:snapToGrid w:val="0"/>
              <w:spacing w:line="360" w:lineRule="auto"/>
              <w:jc w:val="center"/>
              <w:rPr>
                <w:rFonts w:hint="default" w:ascii="Times New Roman" w:hAnsi="Times New Roman" w:cs="Times New Roman"/>
                <w:b/>
                <w:bCs/>
                <w:color w:val="auto"/>
                <w:sz w:val="24"/>
                <w:szCs w:val="32"/>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4-</w:t>
            </w:r>
            <w:r>
              <w:rPr>
                <w:rFonts w:hint="eastAsia" w:ascii="Times New Roman" w:hAnsi="Times New Roman" w:cs="Times New Roman"/>
                <w:b/>
                <w:bCs/>
                <w:color w:val="auto"/>
                <w:sz w:val="24"/>
                <w:szCs w:val="24"/>
                <w:lang w:val="en-US" w:eastAsia="zh-CN"/>
              </w:rPr>
              <w:t>21</w:t>
            </w:r>
            <w:r>
              <w:rPr>
                <w:rFonts w:hint="default" w:ascii="Times New Roman" w:hAnsi="Times New Roman" w:cs="Times New Roman"/>
                <w:b/>
                <w:bCs/>
                <w:color w:val="auto"/>
                <w:sz w:val="24"/>
                <w:szCs w:val="24"/>
              </w:rPr>
              <w:t xml:space="preserve"> 项目生活污水水质及产排情况</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140"/>
              <w:gridCol w:w="1091"/>
              <w:gridCol w:w="896"/>
              <w:gridCol w:w="942"/>
              <w:gridCol w:w="942"/>
              <w:gridCol w:w="922"/>
              <w:gridCol w:w="927"/>
              <w:gridCol w:w="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1754" w:type="pct"/>
                  <w:gridSpan w:val="3"/>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水质指标</w:t>
                  </w:r>
                </w:p>
              </w:tc>
              <w:tc>
                <w:tcPr>
                  <w:tcW w:w="529"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COD</w:t>
                  </w:r>
                  <w:r>
                    <w:rPr>
                      <w:rFonts w:hint="default" w:ascii="Times New Roman" w:hAnsi="Times New Roman" w:cs="Times New Roman"/>
                      <w:b/>
                      <w:bCs/>
                      <w:color w:val="auto"/>
                      <w:szCs w:val="21"/>
                      <w:vertAlign w:val="subscript"/>
                    </w:rPr>
                    <w:t>Cr</w:t>
                  </w:r>
                </w:p>
              </w:tc>
              <w:tc>
                <w:tcPr>
                  <w:tcW w:w="556"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BOD</w:t>
                  </w:r>
                  <w:r>
                    <w:rPr>
                      <w:rFonts w:hint="default" w:ascii="Times New Roman" w:hAnsi="Times New Roman" w:cs="Times New Roman"/>
                      <w:b/>
                      <w:bCs/>
                      <w:color w:val="auto"/>
                      <w:szCs w:val="21"/>
                      <w:vertAlign w:val="subscript"/>
                    </w:rPr>
                    <w:t>5</w:t>
                  </w:r>
                </w:p>
              </w:tc>
              <w:tc>
                <w:tcPr>
                  <w:tcW w:w="556"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SS</w:t>
                  </w:r>
                </w:p>
              </w:tc>
              <w:tc>
                <w:tcPr>
                  <w:tcW w:w="544"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NH</w:t>
                  </w:r>
                  <w:r>
                    <w:rPr>
                      <w:rFonts w:hint="default" w:ascii="Times New Roman" w:hAnsi="Times New Roman" w:cs="Times New Roman"/>
                      <w:b/>
                      <w:bCs/>
                      <w:color w:val="auto"/>
                      <w:szCs w:val="21"/>
                      <w:vertAlign w:val="subscript"/>
                    </w:rPr>
                    <w:t>3</w:t>
                  </w:r>
                  <w:r>
                    <w:rPr>
                      <w:rFonts w:hint="default" w:ascii="Times New Roman" w:hAnsi="Times New Roman" w:cs="Times New Roman"/>
                      <w:b/>
                      <w:bCs/>
                      <w:color w:val="auto"/>
                      <w:szCs w:val="21"/>
                    </w:rPr>
                    <w:t>-N</w:t>
                  </w:r>
                </w:p>
              </w:tc>
              <w:tc>
                <w:tcPr>
                  <w:tcW w:w="547"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总磷</w:t>
                  </w:r>
                </w:p>
              </w:tc>
              <w:tc>
                <w:tcPr>
                  <w:tcW w:w="511" w:type="pct"/>
                  <w:noWrap w:val="0"/>
                  <w:vAlign w:val="center"/>
                </w:tcPr>
                <w:p>
                  <w:pPr>
                    <w:widowControl/>
                    <w:jc w:val="center"/>
                    <w:rPr>
                      <w:rFonts w:hint="default" w:ascii="Times New Roman" w:hAnsi="Times New Roman" w:eastAsia="宋体" w:cs="Times New Roman"/>
                      <w:b/>
                      <w:bCs/>
                      <w:color w:val="auto"/>
                      <w:szCs w:val="21"/>
                      <w:lang w:eastAsia="zh-CN"/>
                    </w:rPr>
                  </w:pPr>
                  <w:r>
                    <w:rPr>
                      <w:rFonts w:hint="default" w:ascii="Times New Roman" w:hAnsi="Times New Roman" w:cs="Times New Roman"/>
                      <w:b/>
                      <w:bCs/>
                      <w:color w:val="auto"/>
                      <w:szCs w:val="21"/>
                      <w:lang w:val="en-US" w:eastAsia="zh-CN"/>
                    </w:rPr>
                    <w:t>总氮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37" w:type="pct"/>
                  <w:vMerge w:val="restart"/>
                  <w:noWrap w:val="0"/>
                  <w:vAlign w:val="center"/>
                </w:tcPr>
                <w:p>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生活污水</w:t>
                  </w:r>
                </w:p>
                <w:p>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384</w:t>
                  </w:r>
                  <w:r>
                    <w:rPr>
                      <w:rFonts w:hint="default" w:ascii="Times New Roman" w:hAnsi="Times New Roman" w:cs="Times New Roman"/>
                      <w:color w:val="auto"/>
                      <w:szCs w:val="21"/>
                    </w:rPr>
                    <w:t>t/a</w:t>
                  </w:r>
                </w:p>
              </w:tc>
              <w:tc>
                <w:tcPr>
                  <w:tcW w:w="673" w:type="pct"/>
                  <w:vMerge w:val="restart"/>
                  <w:noWrap w:val="0"/>
                  <w:vAlign w:val="center"/>
                </w:tcPr>
                <w:p>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产生情况</w:t>
                  </w:r>
                </w:p>
              </w:tc>
              <w:tc>
                <w:tcPr>
                  <w:tcW w:w="644" w:type="pct"/>
                  <w:noWrap w:val="0"/>
                  <w:vAlign w:val="center"/>
                </w:tcPr>
                <w:p>
                  <w:pPr>
                    <w:widowControl/>
                    <w:jc w:val="center"/>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rPr>
                    <w:t>产生浓度</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mg/L</w:t>
                  </w:r>
                  <w:r>
                    <w:rPr>
                      <w:rFonts w:hint="default" w:ascii="Times New Roman" w:hAnsi="Times New Roman" w:cs="Times New Roman"/>
                      <w:color w:val="auto"/>
                      <w:szCs w:val="21"/>
                      <w:lang w:eastAsia="zh-CN"/>
                    </w:rPr>
                    <w:t>）</w:t>
                  </w:r>
                </w:p>
              </w:tc>
              <w:tc>
                <w:tcPr>
                  <w:tcW w:w="529"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285</w:t>
                  </w:r>
                </w:p>
              </w:tc>
              <w:tc>
                <w:tcPr>
                  <w:tcW w:w="556"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200</w:t>
                  </w:r>
                </w:p>
              </w:tc>
              <w:tc>
                <w:tcPr>
                  <w:tcW w:w="556"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220</w:t>
                  </w:r>
                </w:p>
              </w:tc>
              <w:tc>
                <w:tcPr>
                  <w:tcW w:w="544"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28.3</w:t>
                  </w:r>
                </w:p>
              </w:tc>
              <w:tc>
                <w:tcPr>
                  <w:tcW w:w="547" w:type="pct"/>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4.1</w:t>
                  </w:r>
                </w:p>
              </w:tc>
              <w:tc>
                <w:tcPr>
                  <w:tcW w:w="511" w:type="pct"/>
                  <w:noWrap w:val="0"/>
                  <w:vAlign w:val="center"/>
                </w:tcPr>
                <w:p>
                  <w:pPr>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39.4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37" w:type="pct"/>
                  <w:vMerge w:val="continue"/>
                  <w:noWrap w:val="0"/>
                  <w:vAlign w:val="center"/>
                </w:tcPr>
                <w:p>
                  <w:pPr>
                    <w:widowControl/>
                    <w:jc w:val="center"/>
                    <w:rPr>
                      <w:rFonts w:hint="default" w:ascii="Times New Roman" w:hAnsi="Times New Roman" w:cs="Times New Roman"/>
                      <w:color w:val="auto"/>
                      <w:szCs w:val="21"/>
                    </w:rPr>
                  </w:pPr>
                </w:p>
              </w:tc>
              <w:tc>
                <w:tcPr>
                  <w:tcW w:w="673" w:type="pct"/>
                  <w:vMerge w:val="continue"/>
                  <w:noWrap w:val="0"/>
                  <w:vAlign w:val="center"/>
                </w:tcPr>
                <w:p>
                  <w:pPr>
                    <w:widowControl/>
                    <w:jc w:val="center"/>
                    <w:rPr>
                      <w:rFonts w:hint="default" w:ascii="Times New Roman" w:hAnsi="Times New Roman" w:cs="Times New Roman"/>
                      <w:color w:val="auto"/>
                      <w:szCs w:val="21"/>
                    </w:rPr>
                  </w:pPr>
                </w:p>
              </w:tc>
              <w:tc>
                <w:tcPr>
                  <w:tcW w:w="644" w:type="pct"/>
                  <w:noWrap w:val="0"/>
                  <w:vAlign w:val="center"/>
                </w:tcPr>
                <w:p>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产生量（t/a）</w:t>
                  </w:r>
                </w:p>
              </w:tc>
              <w:tc>
                <w:tcPr>
                  <w:tcW w:w="529"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0.109</w:t>
                  </w:r>
                </w:p>
              </w:tc>
              <w:tc>
                <w:tcPr>
                  <w:tcW w:w="556"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0.077</w:t>
                  </w:r>
                </w:p>
              </w:tc>
              <w:tc>
                <w:tcPr>
                  <w:tcW w:w="556"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0.085</w:t>
                  </w:r>
                </w:p>
              </w:tc>
              <w:tc>
                <w:tcPr>
                  <w:tcW w:w="544"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0.011</w:t>
                  </w:r>
                </w:p>
              </w:tc>
              <w:tc>
                <w:tcPr>
                  <w:tcW w:w="547"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0.002</w:t>
                  </w:r>
                </w:p>
              </w:tc>
              <w:tc>
                <w:tcPr>
                  <w:tcW w:w="511"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437" w:type="pct"/>
                  <w:vMerge w:val="continue"/>
                  <w:noWrap w:val="0"/>
                  <w:vAlign w:val="center"/>
                </w:tcPr>
                <w:p>
                  <w:pPr>
                    <w:widowControl/>
                    <w:jc w:val="center"/>
                    <w:rPr>
                      <w:rFonts w:hint="default" w:ascii="Times New Roman" w:hAnsi="Times New Roman" w:cs="Times New Roman"/>
                      <w:color w:val="auto"/>
                      <w:szCs w:val="21"/>
                    </w:rPr>
                  </w:pPr>
                </w:p>
              </w:tc>
              <w:tc>
                <w:tcPr>
                  <w:tcW w:w="673" w:type="pct"/>
                  <w:vMerge w:val="restar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进入自建处理设施（三级化粪池+接触氧化池）处理后排放情况</w:t>
                  </w:r>
                </w:p>
              </w:tc>
              <w:tc>
                <w:tcPr>
                  <w:tcW w:w="64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三级化粪池处理效率</w:t>
                  </w:r>
                </w:p>
              </w:tc>
              <w:tc>
                <w:tcPr>
                  <w:tcW w:w="529"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50%</w:t>
                  </w:r>
                </w:p>
              </w:tc>
              <w:tc>
                <w:tcPr>
                  <w:tcW w:w="556"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556"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70%</w:t>
                  </w:r>
                </w:p>
              </w:tc>
              <w:tc>
                <w:tcPr>
                  <w:tcW w:w="544"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p>
              </w:tc>
              <w:tc>
                <w:tcPr>
                  <w:tcW w:w="547"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w:t>
                  </w:r>
                </w:p>
              </w:tc>
              <w:tc>
                <w:tcPr>
                  <w:tcW w:w="511"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437" w:type="pct"/>
                  <w:vMerge w:val="continue"/>
                  <w:noWrap w:val="0"/>
                  <w:vAlign w:val="center"/>
                </w:tcPr>
                <w:p>
                  <w:pPr>
                    <w:widowControl/>
                    <w:jc w:val="center"/>
                    <w:rPr>
                      <w:rFonts w:hint="default" w:ascii="Times New Roman" w:hAnsi="Times New Roman" w:cs="Times New Roman"/>
                      <w:color w:val="auto"/>
                      <w:szCs w:val="21"/>
                    </w:rPr>
                  </w:pPr>
                </w:p>
              </w:tc>
              <w:tc>
                <w:tcPr>
                  <w:tcW w:w="673" w:type="pct"/>
                  <w:vMerge w:val="continue"/>
                  <w:noWrap w:val="0"/>
                  <w:vAlign w:val="center"/>
                </w:tcPr>
                <w:p>
                  <w:pPr>
                    <w:widowControl/>
                    <w:jc w:val="center"/>
                    <w:rPr>
                      <w:rFonts w:hint="eastAsia" w:cs="Times New Roman"/>
                      <w:color w:val="auto"/>
                      <w:szCs w:val="21"/>
                      <w:lang w:val="en-US" w:eastAsia="zh-CN"/>
                    </w:rPr>
                  </w:pPr>
                </w:p>
              </w:tc>
              <w:tc>
                <w:tcPr>
                  <w:tcW w:w="644" w:type="pct"/>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三级化粪池处理后浓度（mg/L）</w:t>
                  </w:r>
                </w:p>
              </w:tc>
              <w:tc>
                <w:tcPr>
                  <w:tcW w:w="529"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142.5</w:t>
                  </w:r>
                </w:p>
              </w:tc>
              <w:tc>
                <w:tcPr>
                  <w:tcW w:w="556"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200</w:t>
                  </w:r>
                </w:p>
              </w:tc>
              <w:tc>
                <w:tcPr>
                  <w:tcW w:w="556"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66</w:t>
                  </w:r>
                </w:p>
              </w:tc>
              <w:tc>
                <w:tcPr>
                  <w:tcW w:w="544"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28.3</w:t>
                  </w:r>
                </w:p>
              </w:tc>
              <w:tc>
                <w:tcPr>
                  <w:tcW w:w="547"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3.28</w:t>
                  </w:r>
                </w:p>
              </w:tc>
              <w:tc>
                <w:tcPr>
                  <w:tcW w:w="511"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35.46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437" w:type="pct"/>
                  <w:vMerge w:val="continue"/>
                  <w:noWrap w:val="0"/>
                  <w:vAlign w:val="center"/>
                </w:tcPr>
                <w:p>
                  <w:pPr>
                    <w:widowControl/>
                    <w:jc w:val="center"/>
                    <w:rPr>
                      <w:rFonts w:hint="default" w:ascii="Times New Roman" w:hAnsi="Times New Roman" w:cs="Times New Roman"/>
                      <w:color w:val="auto"/>
                      <w:szCs w:val="21"/>
                    </w:rPr>
                  </w:pPr>
                </w:p>
              </w:tc>
              <w:tc>
                <w:tcPr>
                  <w:tcW w:w="673" w:type="pct"/>
                  <w:vMerge w:val="continue"/>
                  <w:noWrap w:val="0"/>
                  <w:vAlign w:val="center"/>
                </w:tcPr>
                <w:p>
                  <w:pPr>
                    <w:widowControl/>
                    <w:jc w:val="center"/>
                    <w:rPr>
                      <w:rFonts w:hint="eastAsia" w:cs="Times New Roman"/>
                      <w:color w:val="auto"/>
                      <w:szCs w:val="21"/>
                      <w:lang w:val="en-US" w:eastAsia="zh-CN"/>
                    </w:rPr>
                  </w:pPr>
                </w:p>
              </w:tc>
              <w:tc>
                <w:tcPr>
                  <w:tcW w:w="644" w:type="pct"/>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三级化粪池</w:t>
                  </w:r>
                  <w:r>
                    <w:rPr>
                      <w:rFonts w:hint="default" w:ascii="Times New Roman" w:hAnsi="Times New Roman" w:cs="Times New Roman"/>
                      <w:bCs/>
                      <w:color w:val="auto"/>
                      <w:szCs w:val="21"/>
                    </w:rPr>
                    <w:t>排放</w:t>
                  </w:r>
                  <w:r>
                    <w:rPr>
                      <w:rFonts w:hint="default" w:ascii="Times New Roman" w:hAnsi="Times New Roman" w:cs="Times New Roman"/>
                      <w:color w:val="auto"/>
                      <w:szCs w:val="21"/>
                    </w:rPr>
                    <w:t>量（t/a）</w:t>
                  </w:r>
                </w:p>
              </w:tc>
              <w:tc>
                <w:tcPr>
                  <w:tcW w:w="529"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0.055</w:t>
                  </w:r>
                </w:p>
              </w:tc>
              <w:tc>
                <w:tcPr>
                  <w:tcW w:w="556"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0.077</w:t>
                  </w:r>
                </w:p>
              </w:tc>
              <w:tc>
                <w:tcPr>
                  <w:tcW w:w="556"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0.025</w:t>
                  </w:r>
                </w:p>
              </w:tc>
              <w:tc>
                <w:tcPr>
                  <w:tcW w:w="544"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0.011</w:t>
                  </w:r>
                </w:p>
              </w:tc>
              <w:tc>
                <w:tcPr>
                  <w:tcW w:w="547"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0.001</w:t>
                  </w:r>
                </w:p>
              </w:tc>
              <w:tc>
                <w:tcPr>
                  <w:tcW w:w="511"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437" w:type="pct"/>
                  <w:vMerge w:val="continue"/>
                  <w:noWrap w:val="0"/>
                  <w:vAlign w:val="center"/>
                </w:tcPr>
                <w:p>
                  <w:pPr>
                    <w:widowControl/>
                    <w:jc w:val="center"/>
                    <w:rPr>
                      <w:rFonts w:hint="default" w:ascii="Times New Roman" w:hAnsi="Times New Roman" w:cs="Times New Roman"/>
                      <w:color w:val="auto"/>
                      <w:szCs w:val="21"/>
                    </w:rPr>
                  </w:pPr>
                </w:p>
              </w:tc>
              <w:tc>
                <w:tcPr>
                  <w:tcW w:w="673" w:type="pct"/>
                  <w:vMerge w:val="continue"/>
                  <w:noWrap w:val="0"/>
                  <w:vAlign w:val="center"/>
                </w:tcPr>
                <w:p>
                  <w:pPr>
                    <w:widowControl/>
                    <w:jc w:val="center"/>
                    <w:rPr>
                      <w:rFonts w:hint="eastAsia" w:cs="Times New Roman"/>
                      <w:color w:val="auto"/>
                      <w:szCs w:val="21"/>
                      <w:lang w:val="en-US" w:eastAsia="zh-CN"/>
                    </w:rPr>
                  </w:pPr>
                </w:p>
              </w:tc>
              <w:tc>
                <w:tcPr>
                  <w:tcW w:w="644" w:type="pct"/>
                  <w:noWrap w:val="0"/>
                  <w:vAlign w:val="center"/>
                </w:tcPr>
                <w:p>
                  <w:pPr>
                    <w:widowControl/>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接触氧化池处理效率</w:t>
                  </w:r>
                </w:p>
              </w:tc>
              <w:tc>
                <w:tcPr>
                  <w:tcW w:w="529" w:type="pct"/>
                  <w:noWrap w:val="0"/>
                  <w:vAlign w:val="center"/>
                </w:tcPr>
                <w:p>
                  <w:pPr>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90%</w:t>
                  </w:r>
                </w:p>
              </w:tc>
              <w:tc>
                <w:tcPr>
                  <w:tcW w:w="556" w:type="pct"/>
                  <w:noWrap w:val="0"/>
                  <w:vAlign w:val="center"/>
                </w:tcPr>
                <w:p>
                  <w:pPr>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95%</w:t>
                  </w:r>
                </w:p>
              </w:tc>
              <w:tc>
                <w:tcPr>
                  <w:tcW w:w="556" w:type="pct"/>
                  <w:noWrap w:val="0"/>
                  <w:vAlign w:val="center"/>
                </w:tcPr>
                <w:p>
                  <w:pPr>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90%</w:t>
                  </w:r>
                </w:p>
              </w:tc>
              <w:tc>
                <w:tcPr>
                  <w:tcW w:w="544" w:type="pct"/>
                  <w:noWrap w:val="0"/>
                  <w:vAlign w:val="center"/>
                </w:tcPr>
                <w:p>
                  <w:pPr>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60%</w:t>
                  </w:r>
                </w:p>
              </w:tc>
              <w:tc>
                <w:tcPr>
                  <w:tcW w:w="547" w:type="pct"/>
                  <w:noWrap w:val="0"/>
                  <w:vAlign w:val="center"/>
                </w:tcPr>
                <w:p>
                  <w:pPr>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40%</w:t>
                  </w:r>
                </w:p>
              </w:tc>
              <w:tc>
                <w:tcPr>
                  <w:tcW w:w="511" w:type="pct"/>
                  <w:noWrap w:val="0"/>
                  <w:vAlign w:val="center"/>
                </w:tcPr>
                <w:p>
                  <w:pPr>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437" w:type="pct"/>
                  <w:vMerge w:val="continue"/>
                  <w:noWrap w:val="0"/>
                  <w:vAlign w:val="center"/>
                </w:tcPr>
                <w:p>
                  <w:pPr>
                    <w:widowControl/>
                    <w:jc w:val="center"/>
                    <w:rPr>
                      <w:rFonts w:hint="default" w:ascii="Times New Roman" w:hAnsi="Times New Roman" w:cs="Times New Roman"/>
                      <w:color w:val="auto"/>
                      <w:szCs w:val="21"/>
                    </w:rPr>
                  </w:pPr>
                </w:p>
              </w:tc>
              <w:tc>
                <w:tcPr>
                  <w:tcW w:w="673" w:type="pct"/>
                  <w:vMerge w:val="continue"/>
                  <w:noWrap w:val="0"/>
                  <w:vAlign w:val="center"/>
                </w:tcPr>
                <w:p>
                  <w:pPr>
                    <w:widowControl/>
                    <w:jc w:val="center"/>
                    <w:rPr>
                      <w:rFonts w:hint="default" w:ascii="Times New Roman" w:hAnsi="Times New Roman" w:cs="Times New Roman"/>
                      <w:color w:val="auto"/>
                      <w:szCs w:val="21"/>
                    </w:rPr>
                  </w:pPr>
                </w:p>
              </w:tc>
              <w:tc>
                <w:tcPr>
                  <w:tcW w:w="64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接触氧化池处理后浓度（mg/L）</w:t>
                  </w:r>
                </w:p>
              </w:tc>
              <w:tc>
                <w:tcPr>
                  <w:tcW w:w="529"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14.25</w:t>
                  </w:r>
                </w:p>
              </w:tc>
              <w:tc>
                <w:tcPr>
                  <w:tcW w:w="556"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10</w:t>
                  </w:r>
                </w:p>
              </w:tc>
              <w:tc>
                <w:tcPr>
                  <w:tcW w:w="556"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6.6</w:t>
                  </w:r>
                </w:p>
              </w:tc>
              <w:tc>
                <w:tcPr>
                  <w:tcW w:w="544"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11.32</w:t>
                  </w:r>
                </w:p>
              </w:tc>
              <w:tc>
                <w:tcPr>
                  <w:tcW w:w="547"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1.968</w:t>
                  </w:r>
                </w:p>
              </w:tc>
              <w:tc>
                <w:tcPr>
                  <w:tcW w:w="511"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17.73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37" w:type="pct"/>
                  <w:vMerge w:val="continue"/>
                  <w:noWrap w:val="0"/>
                  <w:vAlign w:val="center"/>
                </w:tcPr>
                <w:p>
                  <w:pPr>
                    <w:widowControl/>
                    <w:jc w:val="center"/>
                    <w:rPr>
                      <w:rFonts w:hint="default" w:ascii="Times New Roman" w:hAnsi="Times New Roman" w:cs="Times New Roman"/>
                      <w:color w:val="auto"/>
                      <w:szCs w:val="21"/>
                    </w:rPr>
                  </w:pPr>
                </w:p>
              </w:tc>
              <w:tc>
                <w:tcPr>
                  <w:tcW w:w="673" w:type="pct"/>
                  <w:vMerge w:val="continue"/>
                  <w:noWrap w:val="0"/>
                  <w:vAlign w:val="center"/>
                </w:tcPr>
                <w:p>
                  <w:pPr>
                    <w:widowControl/>
                    <w:jc w:val="center"/>
                    <w:rPr>
                      <w:rFonts w:hint="default" w:ascii="Times New Roman" w:hAnsi="Times New Roman" w:cs="Times New Roman"/>
                      <w:color w:val="auto"/>
                      <w:szCs w:val="21"/>
                    </w:rPr>
                  </w:pPr>
                </w:p>
              </w:tc>
              <w:tc>
                <w:tcPr>
                  <w:tcW w:w="644" w:type="pct"/>
                  <w:noWrap w:val="0"/>
                  <w:vAlign w:val="center"/>
                </w:tcPr>
                <w:p>
                  <w:pPr>
                    <w:widowControl/>
                    <w:jc w:val="center"/>
                    <w:rPr>
                      <w:rFonts w:hint="default" w:ascii="Times New Roman" w:hAnsi="Times New Roman" w:cs="Times New Roman"/>
                      <w:color w:val="auto"/>
                      <w:szCs w:val="21"/>
                    </w:rPr>
                  </w:pPr>
                  <w:r>
                    <w:rPr>
                      <w:rFonts w:hint="eastAsia" w:cs="Times New Roman"/>
                      <w:color w:val="auto"/>
                      <w:szCs w:val="21"/>
                      <w:lang w:val="en-US" w:eastAsia="zh-CN"/>
                    </w:rPr>
                    <w:t>接触氧化池</w:t>
                  </w:r>
                  <w:r>
                    <w:rPr>
                      <w:rFonts w:hint="default" w:ascii="Times New Roman" w:hAnsi="Times New Roman" w:cs="Times New Roman"/>
                      <w:bCs/>
                      <w:color w:val="auto"/>
                      <w:szCs w:val="21"/>
                    </w:rPr>
                    <w:t>排放</w:t>
                  </w:r>
                  <w:r>
                    <w:rPr>
                      <w:rFonts w:hint="default" w:ascii="Times New Roman" w:hAnsi="Times New Roman" w:cs="Times New Roman"/>
                      <w:color w:val="auto"/>
                      <w:szCs w:val="21"/>
                    </w:rPr>
                    <w:t>量（t/a）</w:t>
                  </w:r>
                </w:p>
              </w:tc>
              <w:tc>
                <w:tcPr>
                  <w:tcW w:w="529"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0.005</w:t>
                  </w:r>
                </w:p>
              </w:tc>
              <w:tc>
                <w:tcPr>
                  <w:tcW w:w="556"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0.004</w:t>
                  </w:r>
                </w:p>
              </w:tc>
              <w:tc>
                <w:tcPr>
                  <w:tcW w:w="556"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0.003</w:t>
                  </w:r>
                </w:p>
              </w:tc>
              <w:tc>
                <w:tcPr>
                  <w:tcW w:w="544"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0.004</w:t>
                  </w:r>
                </w:p>
              </w:tc>
              <w:tc>
                <w:tcPr>
                  <w:tcW w:w="547"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0.001</w:t>
                  </w:r>
                </w:p>
              </w:tc>
              <w:tc>
                <w:tcPr>
                  <w:tcW w:w="511" w:type="pct"/>
                  <w:noWrap w:val="0"/>
                  <w:vAlign w:val="center"/>
                </w:tcPr>
                <w:p>
                  <w:pPr>
                    <w:jc w:val="center"/>
                    <w:textAlignment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37" w:type="pct"/>
                  <w:vMerge w:val="continue"/>
                  <w:noWrap w:val="0"/>
                  <w:vAlign w:val="center"/>
                </w:tcPr>
                <w:p>
                  <w:pPr>
                    <w:widowControl/>
                    <w:jc w:val="center"/>
                    <w:rPr>
                      <w:rFonts w:hint="default" w:ascii="Times New Roman" w:hAnsi="Times New Roman" w:cs="Times New Roman"/>
                      <w:color w:val="auto"/>
                      <w:szCs w:val="21"/>
                    </w:rPr>
                  </w:pPr>
                </w:p>
              </w:tc>
              <w:tc>
                <w:tcPr>
                  <w:tcW w:w="673" w:type="pct"/>
                  <w:vMerge w:val="restart"/>
                  <w:noWrap w:val="0"/>
                  <w:vAlign w:val="center"/>
                </w:tcPr>
                <w:p>
                  <w:pPr>
                    <w:widowControl/>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排入管网标准</w:t>
                  </w:r>
                </w:p>
              </w:tc>
              <w:tc>
                <w:tcPr>
                  <w:tcW w:w="644" w:type="pct"/>
                  <w:noWrap w:val="0"/>
                  <w:vAlign w:val="center"/>
                </w:tcPr>
                <w:p>
                  <w:pPr>
                    <w:widowControl/>
                    <w:jc w:val="center"/>
                    <w:rPr>
                      <w:rFonts w:hint="default" w:cs="Times New Roman"/>
                      <w:color w:val="auto"/>
                      <w:szCs w:val="21"/>
                      <w:lang w:val="en-US" w:eastAsia="zh-CN"/>
                    </w:rPr>
                  </w:pPr>
                  <w:r>
                    <w:rPr>
                      <w:rFonts w:hint="eastAsia" w:cs="Times New Roman"/>
                      <w:color w:val="auto"/>
                      <w:szCs w:val="21"/>
                      <w:lang w:val="en-US" w:eastAsia="zh-CN"/>
                    </w:rPr>
                    <w:t>浓度（mg/L）</w:t>
                  </w:r>
                </w:p>
              </w:tc>
              <w:tc>
                <w:tcPr>
                  <w:tcW w:w="529"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150</w:t>
                  </w:r>
                </w:p>
              </w:tc>
              <w:tc>
                <w:tcPr>
                  <w:tcW w:w="556"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300</w:t>
                  </w:r>
                </w:p>
              </w:tc>
              <w:tc>
                <w:tcPr>
                  <w:tcW w:w="556"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140</w:t>
                  </w:r>
                </w:p>
              </w:tc>
              <w:tc>
                <w:tcPr>
                  <w:tcW w:w="544"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30</w:t>
                  </w:r>
                </w:p>
              </w:tc>
              <w:tc>
                <w:tcPr>
                  <w:tcW w:w="547"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2.0</w:t>
                  </w:r>
                </w:p>
              </w:tc>
              <w:tc>
                <w:tcPr>
                  <w:tcW w:w="511"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37" w:type="pct"/>
                  <w:vMerge w:val="continue"/>
                  <w:noWrap w:val="0"/>
                  <w:vAlign w:val="center"/>
                </w:tcPr>
                <w:p>
                  <w:pPr>
                    <w:widowControl/>
                    <w:jc w:val="center"/>
                    <w:rPr>
                      <w:rFonts w:hint="default" w:ascii="Times New Roman" w:hAnsi="Times New Roman" w:cs="Times New Roman"/>
                      <w:color w:val="auto"/>
                      <w:szCs w:val="21"/>
                    </w:rPr>
                  </w:pPr>
                </w:p>
              </w:tc>
              <w:tc>
                <w:tcPr>
                  <w:tcW w:w="673" w:type="pct"/>
                  <w:vMerge w:val="continue"/>
                  <w:noWrap w:val="0"/>
                  <w:vAlign w:val="center"/>
                </w:tcPr>
                <w:p>
                  <w:pPr>
                    <w:widowControl/>
                    <w:jc w:val="center"/>
                    <w:rPr>
                      <w:rFonts w:hint="default" w:ascii="Times New Roman" w:hAnsi="Times New Roman" w:cs="Times New Roman"/>
                      <w:color w:val="auto"/>
                      <w:szCs w:val="21"/>
                    </w:rPr>
                  </w:pPr>
                </w:p>
              </w:tc>
              <w:tc>
                <w:tcPr>
                  <w:tcW w:w="644" w:type="pct"/>
                  <w:noWrap w:val="0"/>
                  <w:vAlign w:val="center"/>
                </w:tcPr>
                <w:p>
                  <w:pPr>
                    <w:widowControl/>
                    <w:jc w:val="center"/>
                    <w:rPr>
                      <w:rFonts w:hint="default" w:cs="Times New Roman"/>
                      <w:color w:val="auto"/>
                      <w:szCs w:val="21"/>
                      <w:lang w:val="en-US" w:eastAsia="zh-CN"/>
                    </w:rPr>
                  </w:pPr>
                  <w:r>
                    <w:rPr>
                      <w:rFonts w:hint="eastAsia" w:cs="Times New Roman"/>
                      <w:color w:val="auto"/>
                      <w:szCs w:val="21"/>
                      <w:lang w:val="en-US" w:eastAsia="zh-CN"/>
                    </w:rPr>
                    <w:t>是否达标</w:t>
                  </w:r>
                </w:p>
              </w:tc>
              <w:tc>
                <w:tcPr>
                  <w:tcW w:w="529" w:type="pct"/>
                  <w:noWrap w:val="0"/>
                  <w:vAlign w:val="center"/>
                </w:tcPr>
                <w:p>
                  <w:pPr>
                    <w:jc w:val="center"/>
                    <w:textAlignment w:val="center"/>
                    <w:rPr>
                      <w:rFonts w:hint="default" w:cs="Times New Roman"/>
                      <w:color w:val="auto"/>
                      <w:szCs w:val="21"/>
                      <w:lang w:val="en-US" w:eastAsia="zh-CN"/>
                    </w:rPr>
                  </w:pPr>
                  <w:r>
                    <w:rPr>
                      <w:rFonts w:hint="eastAsia" w:cs="Times New Roman"/>
                      <w:color w:val="auto"/>
                      <w:szCs w:val="21"/>
                      <w:lang w:val="en-US" w:eastAsia="zh-CN"/>
                    </w:rPr>
                    <w:t>达标</w:t>
                  </w:r>
                </w:p>
              </w:tc>
              <w:tc>
                <w:tcPr>
                  <w:tcW w:w="556" w:type="pct"/>
                  <w:noWrap w:val="0"/>
                  <w:vAlign w:val="center"/>
                </w:tcPr>
                <w:p>
                  <w:pPr>
                    <w:jc w:val="center"/>
                    <w:textAlignment w:val="center"/>
                    <w:rPr>
                      <w:rFonts w:hint="eastAsia" w:cs="Times New Roman"/>
                      <w:color w:val="auto"/>
                      <w:szCs w:val="21"/>
                      <w:lang w:val="en-US" w:eastAsia="zh-CN"/>
                    </w:rPr>
                  </w:pPr>
                  <w:r>
                    <w:rPr>
                      <w:rFonts w:hint="eastAsia" w:cs="Times New Roman"/>
                      <w:color w:val="auto"/>
                      <w:szCs w:val="21"/>
                      <w:lang w:val="en-US" w:eastAsia="zh-CN"/>
                    </w:rPr>
                    <w:t>达标</w:t>
                  </w:r>
                </w:p>
              </w:tc>
              <w:tc>
                <w:tcPr>
                  <w:tcW w:w="556" w:type="pct"/>
                  <w:noWrap w:val="0"/>
                  <w:vAlign w:val="center"/>
                </w:tcPr>
                <w:p>
                  <w:pPr>
                    <w:jc w:val="center"/>
                    <w:textAlignment w:val="center"/>
                    <w:rPr>
                      <w:rFonts w:hint="eastAsia" w:cs="Times New Roman"/>
                      <w:color w:val="auto"/>
                      <w:szCs w:val="21"/>
                      <w:lang w:val="en-US" w:eastAsia="zh-CN"/>
                    </w:rPr>
                  </w:pPr>
                  <w:r>
                    <w:rPr>
                      <w:rFonts w:hint="eastAsia" w:cs="Times New Roman"/>
                      <w:color w:val="auto"/>
                      <w:szCs w:val="21"/>
                      <w:lang w:val="en-US" w:eastAsia="zh-CN"/>
                    </w:rPr>
                    <w:t>达标</w:t>
                  </w:r>
                </w:p>
              </w:tc>
              <w:tc>
                <w:tcPr>
                  <w:tcW w:w="544" w:type="pct"/>
                  <w:noWrap w:val="0"/>
                  <w:vAlign w:val="center"/>
                </w:tcPr>
                <w:p>
                  <w:pPr>
                    <w:jc w:val="center"/>
                    <w:textAlignment w:val="center"/>
                    <w:rPr>
                      <w:rFonts w:hint="eastAsia" w:cs="Times New Roman"/>
                      <w:color w:val="auto"/>
                      <w:szCs w:val="21"/>
                      <w:lang w:val="en-US" w:eastAsia="zh-CN"/>
                    </w:rPr>
                  </w:pPr>
                  <w:r>
                    <w:rPr>
                      <w:rFonts w:hint="eastAsia" w:cs="Times New Roman"/>
                      <w:color w:val="auto"/>
                      <w:szCs w:val="21"/>
                      <w:lang w:val="en-US" w:eastAsia="zh-CN"/>
                    </w:rPr>
                    <w:t>达标</w:t>
                  </w:r>
                </w:p>
              </w:tc>
              <w:tc>
                <w:tcPr>
                  <w:tcW w:w="547" w:type="pct"/>
                  <w:noWrap w:val="0"/>
                  <w:vAlign w:val="center"/>
                </w:tcPr>
                <w:p>
                  <w:pPr>
                    <w:jc w:val="center"/>
                    <w:textAlignment w:val="center"/>
                    <w:rPr>
                      <w:rFonts w:hint="eastAsia" w:cs="Times New Roman"/>
                      <w:color w:val="auto"/>
                      <w:szCs w:val="21"/>
                      <w:lang w:val="en-US" w:eastAsia="zh-CN"/>
                    </w:rPr>
                  </w:pPr>
                  <w:r>
                    <w:rPr>
                      <w:rFonts w:hint="eastAsia" w:cs="Times New Roman"/>
                      <w:color w:val="auto"/>
                      <w:szCs w:val="21"/>
                      <w:lang w:val="en-US" w:eastAsia="zh-CN"/>
                    </w:rPr>
                    <w:t>达标</w:t>
                  </w:r>
                </w:p>
              </w:tc>
              <w:tc>
                <w:tcPr>
                  <w:tcW w:w="511" w:type="pct"/>
                  <w:noWrap w:val="0"/>
                  <w:vAlign w:val="center"/>
                </w:tcPr>
                <w:p>
                  <w:pPr>
                    <w:jc w:val="center"/>
                    <w:textAlignment w:val="center"/>
                    <w:rPr>
                      <w:rFonts w:hint="eastAsia" w:cs="Times New Roman"/>
                      <w:color w:val="auto"/>
                      <w:szCs w:val="21"/>
                      <w:lang w:val="en-US" w:eastAsia="zh-CN"/>
                    </w:rPr>
                  </w:pPr>
                  <w:r>
                    <w:rPr>
                      <w:rFonts w:hint="eastAsia" w:cs="Times New Roman"/>
                      <w:color w:val="auto"/>
                      <w:szCs w:val="21"/>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37" w:type="pct"/>
                  <w:vMerge w:val="continue"/>
                  <w:noWrap w:val="0"/>
                  <w:vAlign w:val="center"/>
                </w:tcPr>
                <w:p>
                  <w:pPr>
                    <w:widowControl/>
                    <w:jc w:val="center"/>
                    <w:rPr>
                      <w:rFonts w:hint="default" w:ascii="Times New Roman" w:hAnsi="Times New Roman" w:cs="Times New Roman"/>
                      <w:bCs/>
                      <w:color w:val="auto"/>
                      <w:szCs w:val="21"/>
                    </w:rPr>
                  </w:pPr>
                </w:p>
              </w:tc>
              <w:tc>
                <w:tcPr>
                  <w:tcW w:w="673" w:type="pct"/>
                  <w:vMerge w:val="restart"/>
                  <w:noWrap w:val="0"/>
                  <w:vAlign w:val="center"/>
                </w:tcPr>
                <w:p>
                  <w:pPr>
                    <w:widowControl/>
                    <w:jc w:val="center"/>
                    <w:rPr>
                      <w:rFonts w:hint="default" w:ascii="Times New Roman" w:hAnsi="Times New Roman" w:cs="Times New Roman"/>
                      <w:bCs/>
                      <w:color w:val="auto"/>
                      <w:szCs w:val="21"/>
                    </w:rPr>
                  </w:pPr>
                  <w:r>
                    <w:rPr>
                      <w:rFonts w:hint="eastAsia" w:cs="Times New Roman"/>
                      <w:bCs/>
                      <w:color w:val="auto"/>
                      <w:szCs w:val="21"/>
                      <w:lang w:val="en-US" w:eastAsia="zh-CN"/>
                    </w:rPr>
                    <w:t>进入园洲镇第五污水处理厂处理后</w:t>
                  </w:r>
                  <w:r>
                    <w:rPr>
                      <w:rFonts w:hint="default" w:ascii="Times New Roman" w:hAnsi="Times New Roman" w:cs="Times New Roman"/>
                      <w:bCs/>
                      <w:color w:val="auto"/>
                      <w:szCs w:val="21"/>
                    </w:rPr>
                    <w:t>排放情况</w:t>
                  </w:r>
                </w:p>
              </w:tc>
              <w:tc>
                <w:tcPr>
                  <w:tcW w:w="644" w:type="pct"/>
                  <w:noWrap w:val="0"/>
                  <w:vAlign w:val="center"/>
                </w:tcPr>
                <w:p>
                  <w:pPr>
                    <w:widowControl/>
                    <w:jc w:val="center"/>
                    <w:rPr>
                      <w:rFonts w:hint="default" w:ascii="Times New Roman" w:hAnsi="Times New Roman" w:eastAsia="宋体" w:cs="Times New Roman"/>
                      <w:snapToGrid w:val="0"/>
                      <w:color w:val="auto"/>
                      <w:szCs w:val="21"/>
                      <w:lang w:eastAsia="zh-CN"/>
                    </w:rPr>
                  </w:pPr>
                  <w:r>
                    <w:rPr>
                      <w:rFonts w:hint="default" w:ascii="Times New Roman" w:hAnsi="Times New Roman" w:cs="Times New Roman"/>
                      <w:color w:val="auto"/>
                      <w:szCs w:val="21"/>
                    </w:rPr>
                    <w:t>排放浓度</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mg/L</w:t>
                  </w:r>
                  <w:r>
                    <w:rPr>
                      <w:rFonts w:hint="default" w:ascii="Times New Roman" w:hAnsi="Times New Roman" w:cs="Times New Roman"/>
                      <w:color w:val="auto"/>
                      <w:szCs w:val="21"/>
                      <w:lang w:eastAsia="zh-CN"/>
                    </w:rPr>
                    <w:t>）</w:t>
                  </w:r>
                </w:p>
              </w:tc>
              <w:tc>
                <w:tcPr>
                  <w:tcW w:w="529" w:type="pct"/>
                  <w:noWrap w:val="0"/>
                  <w:vAlign w:val="center"/>
                </w:tcPr>
                <w:p>
                  <w:pPr>
                    <w:pStyle w:val="68"/>
                    <w:adjustRightInd/>
                    <w:rPr>
                      <w:rFonts w:hint="default" w:ascii="Times New Roman" w:hAnsi="Times New Roman" w:cs="Times New Roman"/>
                      <w:snapToGrid w:val="0"/>
                      <w:color w:val="auto"/>
                      <w:sz w:val="21"/>
                      <w:szCs w:val="21"/>
                    </w:rPr>
                  </w:pPr>
                  <w:r>
                    <w:rPr>
                      <w:rFonts w:hint="default" w:ascii="Times New Roman" w:hAnsi="Times New Roman" w:cs="Times New Roman"/>
                      <w:bCs/>
                      <w:color w:val="auto"/>
                      <w:sz w:val="21"/>
                      <w:szCs w:val="21"/>
                    </w:rPr>
                    <w:t>40</w:t>
                  </w:r>
                </w:p>
              </w:tc>
              <w:tc>
                <w:tcPr>
                  <w:tcW w:w="556" w:type="pct"/>
                  <w:noWrap w:val="0"/>
                  <w:vAlign w:val="center"/>
                </w:tcPr>
                <w:p>
                  <w:pPr>
                    <w:pStyle w:val="68"/>
                    <w:adjustRightInd/>
                    <w:rPr>
                      <w:rFonts w:hint="default" w:ascii="Times New Roman" w:hAnsi="Times New Roman" w:cs="Times New Roman"/>
                      <w:snapToGrid w:val="0"/>
                      <w:color w:val="auto"/>
                      <w:sz w:val="21"/>
                      <w:szCs w:val="21"/>
                    </w:rPr>
                  </w:pPr>
                  <w:r>
                    <w:rPr>
                      <w:rFonts w:hint="default" w:ascii="Times New Roman" w:hAnsi="Times New Roman" w:cs="Times New Roman"/>
                      <w:bCs/>
                      <w:color w:val="auto"/>
                      <w:sz w:val="21"/>
                      <w:szCs w:val="21"/>
                      <w:lang w:val="en-US" w:eastAsia="zh-CN"/>
                    </w:rPr>
                    <w:t>1</w:t>
                  </w:r>
                  <w:r>
                    <w:rPr>
                      <w:rFonts w:hint="default" w:ascii="Times New Roman" w:hAnsi="Times New Roman" w:cs="Times New Roman"/>
                      <w:bCs/>
                      <w:color w:val="auto"/>
                      <w:sz w:val="21"/>
                      <w:szCs w:val="21"/>
                    </w:rPr>
                    <w:t>0</w:t>
                  </w:r>
                </w:p>
              </w:tc>
              <w:tc>
                <w:tcPr>
                  <w:tcW w:w="556" w:type="pct"/>
                  <w:noWrap w:val="0"/>
                  <w:vAlign w:val="center"/>
                </w:tcPr>
                <w:p>
                  <w:pPr>
                    <w:pStyle w:val="68"/>
                    <w:adjustRightInd/>
                    <w:rPr>
                      <w:rFonts w:hint="default" w:ascii="Times New Roman" w:hAnsi="Times New Roman" w:cs="Times New Roman"/>
                      <w:snapToGrid w:val="0"/>
                      <w:color w:val="auto"/>
                      <w:sz w:val="21"/>
                      <w:szCs w:val="21"/>
                    </w:rPr>
                  </w:pPr>
                  <w:r>
                    <w:rPr>
                      <w:rFonts w:hint="default" w:ascii="Times New Roman" w:hAnsi="Times New Roman" w:cs="Times New Roman"/>
                      <w:bCs/>
                      <w:color w:val="auto"/>
                      <w:sz w:val="21"/>
                      <w:szCs w:val="21"/>
                      <w:lang w:val="en-US" w:eastAsia="zh-CN"/>
                    </w:rPr>
                    <w:t>1</w:t>
                  </w:r>
                  <w:r>
                    <w:rPr>
                      <w:rFonts w:hint="default" w:ascii="Times New Roman" w:hAnsi="Times New Roman" w:cs="Times New Roman"/>
                      <w:bCs/>
                      <w:color w:val="auto"/>
                      <w:sz w:val="21"/>
                      <w:szCs w:val="21"/>
                    </w:rPr>
                    <w:t>0</w:t>
                  </w:r>
                </w:p>
              </w:tc>
              <w:tc>
                <w:tcPr>
                  <w:tcW w:w="544" w:type="pct"/>
                  <w:noWrap w:val="0"/>
                  <w:vAlign w:val="center"/>
                </w:tcPr>
                <w:p>
                  <w:pPr>
                    <w:pStyle w:val="68"/>
                    <w:adjustRightInd/>
                    <w:rPr>
                      <w:rFonts w:hint="default" w:ascii="Times New Roman" w:hAnsi="Times New Roman" w:eastAsia="宋体" w:cs="Times New Roman"/>
                      <w:snapToGrid w:val="0"/>
                      <w:color w:val="auto"/>
                      <w:sz w:val="21"/>
                      <w:szCs w:val="21"/>
                      <w:lang w:eastAsia="zh-CN"/>
                    </w:rPr>
                  </w:pPr>
                  <w:r>
                    <w:rPr>
                      <w:rFonts w:hint="default" w:ascii="Times New Roman" w:hAnsi="Times New Roman" w:cs="Times New Roman"/>
                      <w:bCs/>
                      <w:color w:val="auto"/>
                      <w:sz w:val="21"/>
                      <w:szCs w:val="21"/>
                      <w:lang w:val="en-US" w:eastAsia="zh-CN"/>
                    </w:rPr>
                    <w:t>2</w:t>
                  </w:r>
                </w:p>
              </w:tc>
              <w:tc>
                <w:tcPr>
                  <w:tcW w:w="547" w:type="pct"/>
                  <w:noWrap w:val="0"/>
                  <w:vAlign w:val="center"/>
                </w:tcPr>
                <w:p>
                  <w:pPr>
                    <w:pStyle w:val="68"/>
                    <w:adjustRightInd/>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0.4</w:t>
                  </w:r>
                </w:p>
              </w:tc>
              <w:tc>
                <w:tcPr>
                  <w:tcW w:w="511" w:type="pct"/>
                  <w:noWrap w:val="0"/>
                  <w:vAlign w:val="center"/>
                </w:tcPr>
                <w:p>
                  <w:pPr>
                    <w:pStyle w:val="68"/>
                    <w:adjustRightInd/>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437" w:type="pct"/>
                  <w:vMerge w:val="continue"/>
                  <w:noWrap w:val="0"/>
                  <w:vAlign w:val="center"/>
                </w:tcPr>
                <w:p>
                  <w:pPr>
                    <w:widowControl/>
                    <w:jc w:val="center"/>
                    <w:rPr>
                      <w:rFonts w:hint="default" w:ascii="Times New Roman" w:hAnsi="Times New Roman" w:cs="Times New Roman"/>
                      <w:bCs/>
                      <w:color w:val="auto"/>
                      <w:szCs w:val="21"/>
                    </w:rPr>
                  </w:pPr>
                </w:p>
              </w:tc>
              <w:tc>
                <w:tcPr>
                  <w:tcW w:w="673" w:type="pct"/>
                  <w:vMerge w:val="continue"/>
                  <w:noWrap w:val="0"/>
                  <w:vAlign w:val="center"/>
                </w:tcPr>
                <w:p>
                  <w:pPr>
                    <w:widowControl/>
                    <w:jc w:val="center"/>
                    <w:rPr>
                      <w:rFonts w:hint="default" w:ascii="Times New Roman" w:hAnsi="Times New Roman" w:cs="Times New Roman"/>
                      <w:bCs/>
                      <w:color w:val="auto"/>
                      <w:szCs w:val="21"/>
                    </w:rPr>
                  </w:pPr>
                </w:p>
              </w:tc>
              <w:tc>
                <w:tcPr>
                  <w:tcW w:w="644" w:type="pct"/>
                  <w:noWrap w:val="0"/>
                  <w:vAlign w:val="center"/>
                </w:tcPr>
                <w:p>
                  <w:pPr>
                    <w:widowControl/>
                    <w:jc w:val="center"/>
                    <w:rPr>
                      <w:rFonts w:hint="default" w:ascii="Times New Roman" w:hAnsi="Times New Roman" w:cs="Times New Roman"/>
                      <w:snapToGrid w:val="0"/>
                      <w:color w:val="auto"/>
                      <w:szCs w:val="21"/>
                    </w:rPr>
                  </w:pPr>
                  <w:r>
                    <w:rPr>
                      <w:rFonts w:hint="default" w:ascii="Times New Roman" w:hAnsi="Times New Roman" w:cs="Times New Roman"/>
                      <w:bCs/>
                      <w:color w:val="auto"/>
                      <w:szCs w:val="21"/>
                    </w:rPr>
                    <w:t>排放</w:t>
                  </w:r>
                  <w:r>
                    <w:rPr>
                      <w:rFonts w:hint="default" w:ascii="Times New Roman" w:hAnsi="Times New Roman" w:cs="Times New Roman"/>
                      <w:color w:val="auto"/>
                      <w:szCs w:val="21"/>
                    </w:rPr>
                    <w:t>量（t/a）</w:t>
                  </w:r>
                </w:p>
              </w:tc>
              <w:tc>
                <w:tcPr>
                  <w:tcW w:w="529" w:type="pct"/>
                  <w:noWrap w:val="0"/>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0.015</w:t>
                  </w:r>
                </w:p>
              </w:tc>
              <w:tc>
                <w:tcPr>
                  <w:tcW w:w="556" w:type="pct"/>
                  <w:noWrap w:val="0"/>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w:t>
                  </w:r>
                  <w:r>
                    <w:rPr>
                      <w:rFonts w:hint="eastAsia" w:ascii="Times New Roman" w:hAnsi="Times New Roman" w:eastAsia="宋体" w:cs="Times New Roman"/>
                      <w:color w:val="auto"/>
                      <w:szCs w:val="21"/>
                      <w:lang w:val="en-US" w:eastAsia="zh-CN"/>
                    </w:rPr>
                    <w:t>4</w:t>
                  </w:r>
                </w:p>
              </w:tc>
              <w:tc>
                <w:tcPr>
                  <w:tcW w:w="556" w:type="pct"/>
                  <w:noWrap w:val="0"/>
                  <w:vAlign w:val="center"/>
                </w:tcPr>
                <w:p>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eastAsia="zh-CN"/>
                    </w:rPr>
                    <w:t>0.00</w:t>
                  </w:r>
                  <w:r>
                    <w:rPr>
                      <w:rFonts w:hint="eastAsia" w:ascii="Times New Roman" w:hAnsi="Times New Roman" w:eastAsia="宋体" w:cs="Times New Roman"/>
                      <w:color w:val="auto"/>
                      <w:szCs w:val="21"/>
                      <w:lang w:val="en-US" w:eastAsia="zh-CN"/>
                    </w:rPr>
                    <w:t>4</w:t>
                  </w:r>
                </w:p>
              </w:tc>
              <w:tc>
                <w:tcPr>
                  <w:tcW w:w="544" w:type="pct"/>
                  <w:noWrap w:val="0"/>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w:t>
                  </w:r>
                  <w:r>
                    <w:rPr>
                      <w:rFonts w:hint="eastAsia" w:ascii="Times New Roman" w:hAnsi="Times New Roman" w:eastAsia="宋体" w:cs="Times New Roman"/>
                      <w:color w:val="auto"/>
                      <w:szCs w:val="21"/>
                      <w:lang w:val="en-US" w:eastAsia="zh-CN"/>
                    </w:rPr>
                    <w:t>1</w:t>
                  </w:r>
                </w:p>
              </w:tc>
              <w:tc>
                <w:tcPr>
                  <w:tcW w:w="547" w:type="pct"/>
                  <w:noWrap w:val="0"/>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0.0002</w:t>
                  </w:r>
                </w:p>
              </w:tc>
              <w:tc>
                <w:tcPr>
                  <w:tcW w:w="511" w:type="pct"/>
                  <w:noWrap w:val="0"/>
                  <w:vAlign w:val="center"/>
                </w:tcPr>
                <w:p>
                  <w:pPr>
                    <w:widowControl/>
                    <w:jc w:val="center"/>
                    <w:textAlignment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0.00</w:t>
                  </w:r>
                  <w:r>
                    <w:rPr>
                      <w:rFonts w:hint="eastAsia" w:ascii="Times New Roman" w:hAnsi="Times New Roman" w:eastAsia="宋体" w:cs="Times New Roman"/>
                      <w:color w:val="auto"/>
                      <w:szCs w:val="21"/>
                      <w:lang w:val="en-US" w:eastAsia="zh-CN"/>
                    </w:rPr>
                    <w:t>6</w:t>
                  </w:r>
                </w:p>
              </w:tc>
            </w:tr>
          </w:tbl>
          <w:p>
            <w:pPr>
              <w:adjustRightInd w:val="0"/>
              <w:snapToGrid w:val="0"/>
              <w:spacing w:line="360" w:lineRule="auto"/>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val="en-US" w:eastAsia="zh-CN"/>
              </w:rPr>
              <w:t>22</w:t>
            </w:r>
            <w:r>
              <w:rPr>
                <w:rFonts w:hint="default" w:ascii="Times New Roman" w:hAnsi="Times New Roman" w:eastAsia="宋体" w:cs="Times New Roman"/>
                <w:b/>
                <w:bCs/>
                <w:color w:val="auto"/>
                <w:sz w:val="24"/>
                <w:szCs w:val="24"/>
              </w:rPr>
              <w:t xml:space="preserve"> 废水类别、污染物及污染治理设施信息表</w:t>
            </w:r>
          </w:p>
          <w:tbl>
            <w:tblPr>
              <w:tblStyle w:val="32"/>
              <w:tblW w:w="83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3"/>
              <w:gridCol w:w="1152"/>
              <w:gridCol w:w="864"/>
              <w:gridCol w:w="675"/>
              <w:gridCol w:w="660"/>
              <w:gridCol w:w="766"/>
              <w:gridCol w:w="779"/>
              <w:gridCol w:w="735"/>
              <w:gridCol w:w="1098"/>
              <w:gridCol w:w="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663" w:type="dxa"/>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废水类别</w:t>
                  </w:r>
                </w:p>
              </w:tc>
              <w:tc>
                <w:tcPr>
                  <w:tcW w:w="1152" w:type="dxa"/>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污染物种类</w:t>
                  </w:r>
                </w:p>
              </w:tc>
              <w:tc>
                <w:tcPr>
                  <w:tcW w:w="864" w:type="dxa"/>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w:t>
                  </w:r>
                </w:p>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去向</w:t>
                  </w:r>
                </w:p>
              </w:tc>
              <w:tc>
                <w:tcPr>
                  <w:tcW w:w="675" w:type="dxa"/>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排放规律</w:t>
                  </w:r>
                </w:p>
              </w:tc>
              <w:tc>
                <w:tcPr>
                  <w:tcW w:w="2205" w:type="dxa"/>
                  <w:gridSpan w:val="3"/>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污染治理设施</w:t>
                  </w:r>
                </w:p>
              </w:tc>
              <w:tc>
                <w:tcPr>
                  <w:tcW w:w="735" w:type="dxa"/>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排放口编号</w:t>
                  </w:r>
                </w:p>
              </w:tc>
              <w:tc>
                <w:tcPr>
                  <w:tcW w:w="1098" w:type="dxa"/>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排放口设置是否符合要求</w:t>
                  </w:r>
                </w:p>
              </w:tc>
              <w:tc>
                <w:tcPr>
                  <w:tcW w:w="922" w:type="dxa"/>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3" w:type="dxa"/>
                  <w:vMerge w:val="continue"/>
                  <w:noWrap w:val="0"/>
                  <w:vAlign w:val="center"/>
                </w:tcPr>
                <w:p>
                  <w:pPr>
                    <w:pStyle w:val="49"/>
                    <w:jc w:val="center"/>
                    <w:rPr>
                      <w:rFonts w:hint="default" w:ascii="Times New Roman" w:hAnsi="Times New Roman" w:cs="Times New Roman"/>
                      <w:b/>
                      <w:bCs/>
                      <w:color w:val="auto"/>
                      <w:sz w:val="21"/>
                      <w:szCs w:val="21"/>
                    </w:rPr>
                  </w:pPr>
                </w:p>
              </w:tc>
              <w:tc>
                <w:tcPr>
                  <w:tcW w:w="1152" w:type="dxa"/>
                  <w:vMerge w:val="continue"/>
                  <w:noWrap w:val="0"/>
                  <w:vAlign w:val="center"/>
                </w:tcPr>
                <w:p>
                  <w:pPr>
                    <w:pStyle w:val="49"/>
                    <w:jc w:val="center"/>
                    <w:rPr>
                      <w:rFonts w:hint="default" w:ascii="Times New Roman" w:hAnsi="Times New Roman" w:cs="Times New Roman"/>
                      <w:b/>
                      <w:bCs/>
                      <w:color w:val="auto"/>
                      <w:sz w:val="21"/>
                      <w:szCs w:val="21"/>
                    </w:rPr>
                  </w:pPr>
                </w:p>
              </w:tc>
              <w:tc>
                <w:tcPr>
                  <w:tcW w:w="864" w:type="dxa"/>
                  <w:vMerge w:val="continue"/>
                  <w:noWrap w:val="0"/>
                  <w:vAlign w:val="center"/>
                </w:tcPr>
                <w:p>
                  <w:pPr>
                    <w:pStyle w:val="49"/>
                    <w:jc w:val="center"/>
                    <w:rPr>
                      <w:rFonts w:hint="default" w:ascii="Times New Roman" w:hAnsi="Times New Roman" w:cs="Times New Roman"/>
                      <w:b/>
                      <w:bCs/>
                      <w:color w:val="auto"/>
                      <w:sz w:val="21"/>
                      <w:szCs w:val="21"/>
                    </w:rPr>
                  </w:pPr>
                </w:p>
              </w:tc>
              <w:tc>
                <w:tcPr>
                  <w:tcW w:w="675" w:type="dxa"/>
                  <w:vMerge w:val="continue"/>
                  <w:noWrap w:val="0"/>
                  <w:vAlign w:val="center"/>
                </w:tcPr>
                <w:p>
                  <w:pPr>
                    <w:pStyle w:val="49"/>
                    <w:jc w:val="center"/>
                    <w:rPr>
                      <w:rFonts w:hint="default" w:ascii="Times New Roman" w:hAnsi="Times New Roman" w:cs="Times New Roman"/>
                      <w:b/>
                      <w:bCs/>
                      <w:color w:val="auto"/>
                      <w:sz w:val="21"/>
                      <w:szCs w:val="21"/>
                    </w:rPr>
                  </w:pPr>
                </w:p>
              </w:tc>
              <w:tc>
                <w:tcPr>
                  <w:tcW w:w="660" w:type="dxa"/>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编号</w:t>
                  </w:r>
                </w:p>
              </w:tc>
              <w:tc>
                <w:tcPr>
                  <w:tcW w:w="766" w:type="dxa"/>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779" w:type="dxa"/>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工艺</w:t>
                  </w:r>
                </w:p>
              </w:tc>
              <w:tc>
                <w:tcPr>
                  <w:tcW w:w="735" w:type="dxa"/>
                  <w:vMerge w:val="continue"/>
                  <w:noWrap w:val="0"/>
                  <w:vAlign w:val="center"/>
                </w:tcPr>
                <w:p>
                  <w:pPr>
                    <w:pStyle w:val="49"/>
                    <w:jc w:val="center"/>
                    <w:rPr>
                      <w:rFonts w:hint="default" w:ascii="Times New Roman" w:hAnsi="Times New Roman" w:cs="Times New Roman"/>
                      <w:color w:val="auto"/>
                      <w:sz w:val="21"/>
                      <w:szCs w:val="21"/>
                    </w:rPr>
                  </w:pPr>
                </w:p>
              </w:tc>
              <w:tc>
                <w:tcPr>
                  <w:tcW w:w="1098" w:type="dxa"/>
                  <w:vMerge w:val="continue"/>
                  <w:noWrap w:val="0"/>
                  <w:vAlign w:val="center"/>
                </w:tcPr>
                <w:p>
                  <w:pPr>
                    <w:pStyle w:val="49"/>
                    <w:jc w:val="center"/>
                    <w:rPr>
                      <w:rFonts w:hint="default" w:ascii="Times New Roman" w:hAnsi="Times New Roman" w:cs="Times New Roman"/>
                      <w:color w:val="auto"/>
                      <w:sz w:val="21"/>
                      <w:szCs w:val="21"/>
                    </w:rPr>
                  </w:pPr>
                </w:p>
              </w:tc>
              <w:tc>
                <w:tcPr>
                  <w:tcW w:w="922" w:type="dxa"/>
                  <w:vMerge w:val="continue"/>
                  <w:noWrap w:val="0"/>
                  <w:vAlign w:val="center"/>
                </w:tcPr>
                <w:p>
                  <w:pPr>
                    <w:pStyle w:val="49"/>
                    <w:jc w:val="center"/>
                    <w:rPr>
                      <w:rFonts w:hint="default"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63"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w:t>
                  </w:r>
                </w:p>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污水</w:t>
                  </w:r>
                </w:p>
              </w:tc>
              <w:tc>
                <w:tcPr>
                  <w:tcW w:w="1152" w:type="dxa"/>
                  <w:noWrap w:val="0"/>
                  <w:vAlign w:val="center"/>
                </w:tcPr>
                <w:p>
                  <w:pPr>
                    <w:pStyle w:val="49"/>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COD</w:t>
                  </w:r>
                  <w:r>
                    <w:rPr>
                      <w:rFonts w:hint="default" w:ascii="Times New Roman" w:hAnsi="Times New Roman" w:cs="Times New Roman"/>
                      <w:b/>
                      <w:bCs/>
                      <w:color w:val="auto"/>
                      <w:sz w:val="21"/>
                      <w:szCs w:val="21"/>
                      <w:vertAlign w:val="subscript"/>
                    </w:rPr>
                    <w:t>Cr</w:t>
                  </w:r>
                  <w:r>
                    <w:rPr>
                      <w:rFonts w:hint="default" w:ascii="Times New Roman" w:hAnsi="Times New Roman" w:cs="Times New Roman"/>
                      <w:color w:val="auto"/>
                      <w:sz w:val="21"/>
                      <w:szCs w:val="21"/>
                    </w:rPr>
                    <w:t>、BOD、SS、氨氮、总磷、</w:t>
                  </w:r>
                  <w:r>
                    <w:rPr>
                      <w:rFonts w:hint="default" w:ascii="Times New Roman" w:hAnsi="Times New Roman" w:cs="Times New Roman"/>
                      <w:color w:val="auto"/>
                      <w:sz w:val="21"/>
                      <w:szCs w:val="21"/>
                      <w:lang w:val="en-US" w:eastAsia="zh-CN"/>
                    </w:rPr>
                    <w:t>总氮</w:t>
                  </w:r>
                </w:p>
              </w:tc>
              <w:tc>
                <w:tcPr>
                  <w:tcW w:w="864" w:type="dxa"/>
                  <w:noWrap w:val="0"/>
                  <w:vAlign w:val="center"/>
                </w:tcPr>
                <w:p>
                  <w:pPr>
                    <w:pStyle w:val="49"/>
                    <w:jc w:val="center"/>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博罗县</w:t>
                  </w:r>
                  <w:r>
                    <w:rPr>
                      <w:rFonts w:hint="default" w:ascii="Times New Roman" w:hAnsi="Times New Roman" w:cs="Times New Roman"/>
                      <w:color w:val="auto"/>
                      <w:sz w:val="21"/>
                      <w:szCs w:val="21"/>
                    </w:rPr>
                    <w:t>园洲镇第五污水处理厂</w:t>
                  </w:r>
                </w:p>
              </w:tc>
              <w:tc>
                <w:tcPr>
                  <w:tcW w:w="675"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间断排放</w:t>
                  </w:r>
                </w:p>
              </w:tc>
              <w:tc>
                <w:tcPr>
                  <w:tcW w:w="660"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t>
                  </w:r>
                </w:p>
              </w:tc>
              <w:tc>
                <w:tcPr>
                  <w:tcW w:w="766"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生活污</w:t>
                  </w:r>
                </w:p>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水处理</w:t>
                  </w:r>
                </w:p>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系统</w:t>
                  </w:r>
                </w:p>
              </w:tc>
              <w:tc>
                <w:tcPr>
                  <w:tcW w:w="779"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4"/>
                      <w:szCs w:val="24"/>
                    </w:rPr>
                    <w:t>三级化粪池</w:t>
                  </w:r>
                  <w:r>
                    <w:rPr>
                      <w:rFonts w:hint="eastAsia" w:cs="Times New Roman"/>
                      <w:color w:val="auto"/>
                      <w:sz w:val="24"/>
                      <w:szCs w:val="24"/>
                      <w:lang w:val="en-US" w:eastAsia="zh-CN"/>
                    </w:rPr>
                    <w:t>+接触氧化池</w:t>
                  </w:r>
                </w:p>
              </w:tc>
              <w:tc>
                <w:tcPr>
                  <w:tcW w:w="735"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WS-01</w:t>
                  </w:r>
                </w:p>
              </w:tc>
              <w:tc>
                <w:tcPr>
                  <w:tcW w:w="1098" w:type="dxa"/>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是</w:t>
                  </w:r>
                </w:p>
              </w:tc>
              <w:tc>
                <w:tcPr>
                  <w:tcW w:w="922" w:type="dxa"/>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企业总排</w:t>
                  </w:r>
                  <w:r>
                    <w:rPr>
                      <w:rFonts w:hint="default" w:ascii="Times New Roman" w:hAnsi="Times New Roman" w:cs="Times New Roman"/>
                      <w:color w:val="auto"/>
                      <w:sz w:val="21"/>
                      <w:szCs w:val="21"/>
                      <w:lang w:val="en-US" w:eastAsia="zh-CN"/>
                    </w:rPr>
                    <w:t>口</w:t>
                  </w:r>
                </w:p>
              </w:tc>
            </w:tr>
          </w:tbl>
          <w:p>
            <w:pPr>
              <w:adjustRightInd w:val="0"/>
              <w:snapToGrid w:val="0"/>
              <w:spacing w:line="360" w:lineRule="auto"/>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4-2</w:t>
            </w:r>
            <w:r>
              <w:rPr>
                <w:rFonts w:hint="eastAsia" w:ascii="Times New Roman" w:hAnsi="Times New Roman" w:eastAsia="宋体" w:cs="Times New Roman"/>
                <w:b/>
                <w:bCs/>
                <w:color w:val="auto"/>
                <w:sz w:val="24"/>
                <w:szCs w:val="24"/>
                <w:lang w:val="en-US" w:eastAsia="zh-CN"/>
              </w:rPr>
              <w:t>3</w:t>
            </w:r>
            <w:r>
              <w:rPr>
                <w:rFonts w:hint="default" w:ascii="Times New Roman" w:hAnsi="Times New Roman" w:eastAsia="宋体" w:cs="Times New Roman"/>
                <w:b/>
                <w:bCs/>
                <w:color w:val="auto"/>
                <w:sz w:val="24"/>
                <w:szCs w:val="24"/>
              </w:rPr>
              <w:t xml:space="preserve"> 废水间接排放口基本信息表</w:t>
            </w:r>
          </w:p>
          <w:tbl>
            <w:tblPr>
              <w:tblStyle w:val="32"/>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1215"/>
              <w:gridCol w:w="929"/>
              <w:gridCol w:w="750"/>
              <w:gridCol w:w="1043"/>
              <w:gridCol w:w="412"/>
              <w:gridCol w:w="1110"/>
              <w:gridCol w:w="412"/>
              <w:gridCol w:w="768"/>
              <w:gridCol w:w="1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455" w:type="pct"/>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排放口编号</w:t>
                  </w:r>
                </w:p>
              </w:tc>
              <w:tc>
                <w:tcPr>
                  <w:tcW w:w="1265" w:type="pct"/>
                  <w:gridSpan w:val="2"/>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排放口地理坐标</w:t>
                  </w:r>
                </w:p>
              </w:tc>
              <w:tc>
                <w:tcPr>
                  <w:tcW w:w="442" w:type="pct"/>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废水排放量（t/a）</w:t>
                  </w:r>
                </w:p>
              </w:tc>
              <w:tc>
                <w:tcPr>
                  <w:tcW w:w="615" w:type="pct"/>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排放去向</w:t>
                  </w:r>
                </w:p>
              </w:tc>
              <w:tc>
                <w:tcPr>
                  <w:tcW w:w="243" w:type="pct"/>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排放规律</w:t>
                  </w:r>
                </w:p>
              </w:tc>
              <w:tc>
                <w:tcPr>
                  <w:tcW w:w="655" w:type="pct"/>
                  <w:vMerge w:val="restar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snapToGrid w:val="0"/>
                      <w:color w:val="auto"/>
                      <w:kern w:val="2"/>
                      <w:sz w:val="21"/>
                      <w:szCs w:val="21"/>
                    </w:rPr>
                    <w:t>间歇排放时段</w:t>
                  </w:r>
                </w:p>
              </w:tc>
              <w:tc>
                <w:tcPr>
                  <w:tcW w:w="1321" w:type="pct"/>
                  <w:gridSpan w:val="3"/>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受纳污水处理厂信息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trPr>
              <w:tc>
                <w:tcPr>
                  <w:tcW w:w="455" w:type="pct"/>
                  <w:vMerge w:val="continue"/>
                  <w:noWrap w:val="0"/>
                  <w:vAlign w:val="center"/>
                </w:tcPr>
                <w:p>
                  <w:pPr>
                    <w:pStyle w:val="49"/>
                    <w:jc w:val="center"/>
                    <w:rPr>
                      <w:rFonts w:hint="default" w:ascii="Times New Roman" w:hAnsi="Times New Roman" w:cs="Times New Roman"/>
                      <w:b/>
                      <w:bCs/>
                      <w:color w:val="auto"/>
                      <w:sz w:val="21"/>
                      <w:szCs w:val="21"/>
                    </w:rPr>
                  </w:pPr>
                </w:p>
              </w:tc>
              <w:tc>
                <w:tcPr>
                  <w:tcW w:w="717" w:type="pc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经度</w:t>
                  </w:r>
                </w:p>
              </w:tc>
              <w:tc>
                <w:tcPr>
                  <w:tcW w:w="548" w:type="pc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纬度</w:t>
                  </w:r>
                </w:p>
              </w:tc>
              <w:tc>
                <w:tcPr>
                  <w:tcW w:w="442" w:type="pct"/>
                  <w:vMerge w:val="continue"/>
                  <w:noWrap w:val="0"/>
                  <w:vAlign w:val="center"/>
                </w:tcPr>
                <w:p>
                  <w:pPr>
                    <w:pStyle w:val="49"/>
                    <w:jc w:val="center"/>
                    <w:rPr>
                      <w:rFonts w:hint="default" w:ascii="Times New Roman" w:hAnsi="Times New Roman" w:cs="Times New Roman"/>
                      <w:b/>
                      <w:bCs/>
                      <w:color w:val="auto"/>
                      <w:sz w:val="21"/>
                      <w:szCs w:val="21"/>
                    </w:rPr>
                  </w:pPr>
                </w:p>
              </w:tc>
              <w:tc>
                <w:tcPr>
                  <w:tcW w:w="615" w:type="pct"/>
                  <w:vMerge w:val="continue"/>
                  <w:noWrap w:val="0"/>
                  <w:vAlign w:val="center"/>
                </w:tcPr>
                <w:p>
                  <w:pPr>
                    <w:pStyle w:val="49"/>
                    <w:jc w:val="center"/>
                    <w:rPr>
                      <w:rFonts w:hint="default" w:ascii="Times New Roman" w:hAnsi="Times New Roman" w:cs="Times New Roman"/>
                      <w:b/>
                      <w:bCs/>
                      <w:color w:val="auto"/>
                      <w:sz w:val="21"/>
                      <w:szCs w:val="21"/>
                    </w:rPr>
                  </w:pPr>
                </w:p>
              </w:tc>
              <w:tc>
                <w:tcPr>
                  <w:tcW w:w="243" w:type="pct"/>
                  <w:vMerge w:val="continue"/>
                  <w:noWrap w:val="0"/>
                  <w:vAlign w:val="center"/>
                </w:tcPr>
                <w:p>
                  <w:pPr>
                    <w:pStyle w:val="49"/>
                    <w:jc w:val="center"/>
                    <w:rPr>
                      <w:rFonts w:hint="default" w:ascii="Times New Roman" w:hAnsi="Times New Roman" w:cs="Times New Roman"/>
                      <w:b/>
                      <w:bCs/>
                      <w:color w:val="auto"/>
                      <w:sz w:val="21"/>
                      <w:szCs w:val="21"/>
                    </w:rPr>
                  </w:pPr>
                </w:p>
              </w:tc>
              <w:tc>
                <w:tcPr>
                  <w:tcW w:w="655" w:type="pct"/>
                  <w:vMerge w:val="continue"/>
                  <w:noWrap w:val="0"/>
                  <w:vAlign w:val="center"/>
                </w:tcPr>
                <w:p>
                  <w:pPr>
                    <w:pStyle w:val="49"/>
                    <w:jc w:val="center"/>
                    <w:rPr>
                      <w:rFonts w:hint="default" w:ascii="Times New Roman" w:hAnsi="Times New Roman" w:cs="Times New Roman"/>
                      <w:b/>
                      <w:bCs/>
                      <w:color w:val="auto"/>
                      <w:sz w:val="21"/>
                      <w:szCs w:val="21"/>
                    </w:rPr>
                  </w:pPr>
                </w:p>
              </w:tc>
              <w:tc>
                <w:tcPr>
                  <w:tcW w:w="243" w:type="pc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453" w:type="pc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污染物种类</w:t>
                  </w:r>
                </w:p>
              </w:tc>
              <w:tc>
                <w:tcPr>
                  <w:tcW w:w="625" w:type="pct"/>
                  <w:noWrap w:val="0"/>
                  <w:vAlign w:val="center"/>
                </w:tcPr>
                <w:p>
                  <w:pPr>
                    <w:pStyle w:val="49"/>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国家或地方污染物排放标准限值（mg/L）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restar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WS-01</w:t>
                  </w:r>
                </w:p>
              </w:tc>
              <w:tc>
                <w:tcPr>
                  <w:tcW w:w="717" w:type="pct"/>
                  <w:vMerge w:val="restar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东经</w:t>
                  </w:r>
                  <w:r>
                    <w:rPr>
                      <w:rFonts w:hint="default" w:ascii="Times New Roman" w:hAnsi="Times New Roman" w:cs="Times New Roman"/>
                      <w:color w:val="auto"/>
                      <w:sz w:val="21"/>
                      <w:szCs w:val="21"/>
                    </w:rPr>
                    <w:t>113°58′46.538″</w:t>
                  </w:r>
                </w:p>
              </w:tc>
              <w:tc>
                <w:tcPr>
                  <w:tcW w:w="548" w:type="pct"/>
                  <w:vMerge w:val="restar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lang w:val="en-US" w:eastAsia="zh-CN"/>
                    </w:rPr>
                    <w:t>北纬</w:t>
                  </w:r>
                  <w:r>
                    <w:rPr>
                      <w:rFonts w:hint="default" w:ascii="Times New Roman" w:hAnsi="Times New Roman" w:cs="Times New Roman"/>
                      <w:color w:val="auto"/>
                      <w:sz w:val="21"/>
                      <w:szCs w:val="21"/>
                    </w:rPr>
                    <w:t>23°7′30.086″</w:t>
                  </w:r>
                </w:p>
              </w:tc>
              <w:tc>
                <w:tcPr>
                  <w:tcW w:w="442" w:type="pct"/>
                  <w:vMerge w:val="restart"/>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384</w:t>
                  </w:r>
                </w:p>
              </w:tc>
              <w:tc>
                <w:tcPr>
                  <w:tcW w:w="615" w:type="pct"/>
                  <w:vMerge w:val="restar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进入</w:t>
                  </w:r>
                  <w:r>
                    <w:rPr>
                      <w:rFonts w:hint="eastAsia" w:ascii="Times New Roman" w:hAnsi="Times New Roman" w:cs="Times New Roman"/>
                      <w:color w:val="auto"/>
                      <w:sz w:val="21"/>
                      <w:szCs w:val="21"/>
                      <w:lang w:val="en-US" w:eastAsia="zh-CN"/>
                    </w:rPr>
                    <w:t>博罗县</w:t>
                  </w:r>
                  <w:r>
                    <w:rPr>
                      <w:rFonts w:hint="default" w:ascii="Times New Roman" w:hAnsi="Times New Roman" w:cs="Times New Roman"/>
                      <w:color w:val="auto"/>
                      <w:sz w:val="21"/>
                      <w:szCs w:val="21"/>
                    </w:rPr>
                    <w:t>园洲镇第五污水处理厂</w:t>
                  </w:r>
                </w:p>
              </w:tc>
              <w:tc>
                <w:tcPr>
                  <w:tcW w:w="243" w:type="pct"/>
                  <w:vMerge w:val="restar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间接排放</w:t>
                  </w:r>
                </w:p>
              </w:tc>
              <w:tc>
                <w:tcPr>
                  <w:tcW w:w="655" w:type="pct"/>
                  <w:vMerge w:val="restart"/>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napToGrid w:val="0"/>
                      <w:color w:val="auto"/>
                      <w:kern w:val="2"/>
                      <w:sz w:val="21"/>
                      <w:szCs w:val="21"/>
                      <w:lang w:val="en-US" w:eastAsia="zh-CN"/>
                    </w:rPr>
                    <w:t>2:00~22.00</w:t>
                  </w:r>
                </w:p>
              </w:tc>
              <w:tc>
                <w:tcPr>
                  <w:tcW w:w="243" w:type="pct"/>
                  <w:vMerge w:val="restart"/>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中心排渠</w:t>
                  </w:r>
                </w:p>
              </w:tc>
              <w:tc>
                <w:tcPr>
                  <w:tcW w:w="453" w:type="pc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r>
                    <w:rPr>
                      <w:rFonts w:hint="default" w:ascii="Times New Roman" w:hAnsi="Times New Roman" w:cs="Times New Roman"/>
                      <w:color w:val="auto"/>
                      <w:sz w:val="21"/>
                      <w:szCs w:val="21"/>
                      <w:vertAlign w:val="subscript"/>
                    </w:rPr>
                    <w:t>cr</w:t>
                  </w:r>
                </w:p>
              </w:tc>
              <w:tc>
                <w:tcPr>
                  <w:tcW w:w="625" w:type="pct"/>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noWrap w:val="0"/>
                  <w:vAlign w:val="center"/>
                </w:tcPr>
                <w:p>
                  <w:pPr>
                    <w:pStyle w:val="49"/>
                    <w:jc w:val="center"/>
                    <w:rPr>
                      <w:rFonts w:hint="default" w:ascii="Times New Roman" w:hAnsi="Times New Roman" w:cs="Times New Roman"/>
                      <w:color w:val="auto"/>
                      <w:sz w:val="21"/>
                      <w:szCs w:val="21"/>
                    </w:rPr>
                  </w:pPr>
                </w:p>
              </w:tc>
              <w:tc>
                <w:tcPr>
                  <w:tcW w:w="717" w:type="pct"/>
                  <w:vMerge w:val="continue"/>
                  <w:noWrap w:val="0"/>
                  <w:vAlign w:val="center"/>
                </w:tcPr>
                <w:p>
                  <w:pPr>
                    <w:pStyle w:val="49"/>
                    <w:jc w:val="center"/>
                    <w:rPr>
                      <w:rFonts w:hint="default" w:ascii="Times New Roman" w:hAnsi="Times New Roman" w:cs="Times New Roman"/>
                      <w:color w:val="auto"/>
                      <w:sz w:val="21"/>
                      <w:szCs w:val="21"/>
                    </w:rPr>
                  </w:pPr>
                </w:p>
              </w:tc>
              <w:tc>
                <w:tcPr>
                  <w:tcW w:w="548" w:type="pct"/>
                  <w:vMerge w:val="continue"/>
                  <w:noWrap w:val="0"/>
                  <w:vAlign w:val="center"/>
                </w:tcPr>
                <w:p>
                  <w:pPr>
                    <w:pStyle w:val="49"/>
                    <w:jc w:val="center"/>
                    <w:rPr>
                      <w:rFonts w:hint="default" w:ascii="Times New Roman" w:hAnsi="Times New Roman" w:cs="Times New Roman"/>
                      <w:color w:val="auto"/>
                      <w:sz w:val="21"/>
                      <w:szCs w:val="21"/>
                    </w:rPr>
                  </w:pPr>
                </w:p>
              </w:tc>
              <w:tc>
                <w:tcPr>
                  <w:tcW w:w="442" w:type="pct"/>
                  <w:vMerge w:val="continue"/>
                  <w:noWrap w:val="0"/>
                  <w:vAlign w:val="center"/>
                </w:tcPr>
                <w:p>
                  <w:pPr>
                    <w:pStyle w:val="49"/>
                    <w:jc w:val="center"/>
                    <w:rPr>
                      <w:rFonts w:hint="default" w:ascii="Times New Roman" w:hAnsi="Times New Roman" w:cs="Times New Roman"/>
                      <w:color w:val="auto"/>
                      <w:sz w:val="21"/>
                      <w:szCs w:val="21"/>
                    </w:rPr>
                  </w:pPr>
                </w:p>
              </w:tc>
              <w:tc>
                <w:tcPr>
                  <w:tcW w:w="61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65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453" w:type="pc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BOD</w:t>
                  </w:r>
                  <w:r>
                    <w:rPr>
                      <w:rFonts w:hint="default" w:ascii="Times New Roman" w:hAnsi="Times New Roman" w:cs="Times New Roman"/>
                      <w:color w:val="auto"/>
                      <w:sz w:val="21"/>
                      <w:szCs w:val="21"/>
                      <w:vertAlign w:val="subscript"/>
                    </w:rPr>
                    <w:t>5</w:t>
                  </w:r>
                </w:p>
              </w:tc>
              <w:tc>
                <w:tcPr>
                  <w:tcW w:w="625" w:type="pct"/>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noWrap w:val="0"/>
                  <w:vAlign w:val="center"/>
                </w:tcPr>
                <w:p>
                  <w:pPr>
                    <w:pStyle w:val="49"/>
                    <w:jc w:val="center"/>
                    <w:rPr>
                      <w:rFonts w:hint="default" w:ascii="Times New Roman" w:hAnsi="Times New Roman" w:cs="Times New Roman"/>
                      <w:color w:val="auto"/>
                      <w:sz w:val="21"/>
                      <w:szCs w:val="21"/>
                    </w:rPr>
                  </w:pPr>
                </w:p>
              </w:tc>
              <w:tc>
                <w:tcPr>
                  <w:tcW w:w="717" w:type="pct"/>
                  <w:vMerge w:val="continue"/>
                  <w:noWrap w:val="0"/>
                  <w:vAlign w:val="center"/>
                </w:tcPr>
                <w:p>
                  <w:pPr>
                    <w:pStyle w:val="49"/>
                    <w:jc w:val="center"/>
                    <w:rPr>
                      <w:rFonts w:hint="default" w:ascii="Times New Roman" w:hAnsi="Times New Roman" w:cs="Times New Roman"/>
                      <w:color w:val="auto"/>
                      <w:sz w:val="21"/>
                      <w:szCs w:val="21"/>
                    </w:rPr>
                  </w:pPr>
                </w:p>
              </w:tc>
              <w:tc>
                <w:tcPr>
                  <w:tcW w:w="548" w:type="pct"/>
                  <w:vMerge w:val="continue"/>
                  <w:noWrap w:val="0"/>
                  <w:vAlign w:val="center"/>
                </w:tcPr>
                <w:p>
                  <w:pPr>
                    <w:pStyle w:val="49"/>
                    <w:jc w:val="center"/>
                    <w:rPr>
                      <w:rFonts w:hint="default" w:ascii="Times New Roman" w:hAnsi="Times New Roman" w:cs="Times New Roman"/>
                      <w:color w:val="auto"/>
                      <w:sz w:val="21"/>
                      <w:szCs w:val="21"/>
                    </w:rPr>
                  </w:pPr>
                </w:p>
              </w:tc>
              <w:tc>
                <w:tcPr>
                  <w:tcW w:w="442" w:type="pct"/>
                  <w:vMerge w:val="continue"/>
                  <w:noWrap w:val="0"/>
                  <w:vAlign w:val="center"/>
                </w:tcPr>
                <w:p>
                  <w:pPr>
                    <w:pStyle w:val="49"/>
                    <w:jc w:val="center"/>
                    <w:rPr>
                      <w:rFonts w:hint="default" w:ascii="Times New Roman" w:hAnsi="Times New Roman" w:cs="Times New Roman"/>
                      <w:color w:val="auto"/>
                      <w:sz w:val="21"/>
                      <w:szCs w:val="21"/>
                    </w:rPr>
                  </w:pPr>
                </w:p>
              </w:tc>
              <w:tc>
                <w:tcPr>
                  <w:tcW w:w="61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65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453" w:type="pc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tc>
              <w:tc>
                <w:tcPr>
                  <w:tcW w:w="625" w:type="pct"/>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noWrap w:val="0"/>
                  <w:vAlign w:val="center"/>
                </w:tcPr>
                <w:p>
                  <w:pPr>
                    <w:pStyle w:val="49"/>
                    <w:jc w:val="center"/>
                    <w:rPr>
                      <w:rFonts w:hint="default" w:ascii="Times New Roman" w:hAnsi="Times New Roman" w:cs="Times New Roman"/>
                      <w:color w:val="auto"/>
                      <w:sz w:val="21"/>
                      <w:szCs w:val="21"/>
                    </w:rPr>
                  </w:pPr>
                </w:p>
              </w:tc>
              <w:tc>
                <w:tcPr>
                  <w:tcW w:w="717" w:type="pct"/>
                  <w:vMerge w:val="continue"/>
                  <w:noWrap w:val="0"/>
                  <w:vAlign w:val="center"/>
                </w:tcPr>
                <w:p>
                  <w:pPr>
                    <w:pStyle w:val="49"/>
                    <w:jc w:val="center"/>
                    <w:rPr>
                      <w:rFonts w:hint="default" w:ascii="Times New Roman" w:hAnsi="Times New Roman" w:cs="Times New Roman"/>
                      <w:color w:val="auto"/>
                      <w:sz w:val="21"/>
                      <w:szCs w:val="21"/>
                    </w:rPr>
                  </w:pPr>
                </w:p>
              </w:tc>
              <w:tc>
                <w:tcPr>
                  <w:tcW w:w="548" w:type="pct"/>
                  <w:vMerge w:val="continue"/>
                  <w:noWrap w:val="0"/>
                  <w:vAlign w:val="center"/>
                </w:tcPr>
                <w:p>
                  <w:pPr>
                    <w:pStyle w:val="49"/>
                    <w:jc w:val="center"/>
                    <w:rPr>
                      <w:rFonts w:hint="default" w:ascii="Times New Roman" w:hAnsi="Times New Roman" w:cs="Times New Roman"/>
                      <w:color w:val="auto"/>
                      <w:sz w:val="21"/>
                      <w:szCs w:val="21"/>
                    </w:rPr>
                  </w:pPr>
                </w:p>
              </w:tc>
              <w:tc>
                <w:tcPr>
                  <w:tcW w:w="442" w:type="pct"/>
                  <w:vMerge w:val="continue"/>
                  <w:noWrap w:val="0"/>
                  <w:vAlign w:val="center"/>
                </w:tcPr>
                <w:p>
                  <w:pPr>
                    <w:pStyle w:val="49"/>
                    <w:jc w:val="center"/>
                    <w:rPr>
                      <w:rFonts w:hint="default" w:ascii="Times New Roman" w:hAnsi="Times New Roman" w:cs="Times New Roman"/>
                      <w:color w:val="auto"/>
                      <w:sz w:val="21"/>
                      <w:szCs w:val="21"/>
                    </w:rPr>
                  </w:pPr>
                </w:p>
              </w:tc>
              <w:tc>
                <w:tcPr>
                  <w:tcW w:w="61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65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453" w:type="pc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NH</w:t>
                  </w:r>
                  <w:r>
                    <w:rPr>
                      <w:rFonts w:hint="default" w:ascii="Times New Roman" w:hAnsi="Times New Roman" w:cs="Times New Roman"/>
                      <w:color w:val="auto"/>
                      <w:sz w:val="21"/>
                      <w:szCs w:val="21"/>
                      <w:vertAlign w:val="subscript"/>
                    </w:rPr>
                    <w:t>3</w:t>
                  </w:r>
                  <w:r>
                    <w:rPr>
                      <w:rFonts w:hint="default" w:ascii="Times New Roman" w:hAnsi="Times New Roman" w:cs="Times New Roman"/>
                      <w:color w:val="auto"/>
                      <w:sz w:val="21"/>
                      <w:szCs w:val="21"/>
                    </w:rPr>
                    <w:t>-N</w:t>
                  </w:r>
                </w:p>
              </w:tc>
              <w:tc>
                <w:tcPr>
                  <w:tcW w:w="625" w:type="pct"/>
                  <w:noWrap w:val="0"/>
                  <w:vAlign w:val="center"/>
                </w:tcPr>
                <w:p>
                  <w:pPr>
                    <w:pStyle w:val="49"/>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noWrap w:val="0"/>
                  <w:vAlign w:val="center"/>
                </w:tcPr>
                <w:p>
                  <w:pPr>
                    <w:pStyle w:val="49"/>
                    <w:jc w:val="center"/>
                    <w:rPr>
                      <w:rFonts w:hint="default" w:ascii="Times New Roman" w:hAnsi="Times New Roman" w:cs="Times New Roman"/>
                      <w:color w:val="auto"/>
                      <w:sz w:val="21"/>
                      <w:szCs w:val="21"/>
                    </w:rPr>
                  </w:pPr>
                </w:p>
              </w:tc>
              <w:tc>
                <w:tcPr>
                  <w:tcW w:w="717" w:type="pct"/>
                  <w:vMerge w:val="continue"/>
                  <w:noWrap w:val="0"/>
                  <w:vAlign w:val="center"/>
                </w:tcPr>
                <w:p>
                  <w:pPr>
                    <w:pStyle w:val="49"/>
                    <w:jc w:val="center"/>
                    <w:rPr>
                      <w:rFonts w:hint="default" w:ascii="Times New Roman" w:hAnsi="Times New Roman" w:cs="Times New Roman"/>
                      <w:color w:val="auto"/>
                      <w:sz w:val="21"/>
                      <w:szCs w:val="21"/>
                    </w:rPr>
                  </w:pPr>
                </w:p>
              </w:tc>
              <w:tc>
                <w:tcPr>
                  <w:tcW w:w="548" w:type="pct"/>
                  <w:vMerge w:val="continue"/>
                  <w:noWrap w:val="0"/>
                  <w:vAlign w:val="center"/>
                </w:tcPr>
                <w:p>
                  <w:pPr>
                    <w:pStyle w:val="49"/>
                    <w:jc w:val="center"/>
                    <w:rPr>
                      <w:rFonts w:hint="default" w:ascii="Times New Roman" w:hAnsi="Times New Roman" w:cs="Times New Roman"/>
                      <w:color w:val="auto"/>
                      <w:sz w:val="21"/>
                      <w:szCs w:val="21"/>
                    </w:rPr>
                  </w:pPr>
                </w:p>
              </w:tc>
              <w:tc>
                <w:tcPr>
                  <w:tcW w:w="442" w:type="pct"/>
                  <w:vMerge w:val="continue"/>
                  <w:noWrap w:val="0"/>
                  <w:vAlign w:val="center"/>
                </w:tcPr>
                <w:p>
                  <w:pPr>
                    <w:pStyle w:val="49"/>
                    <w:jc w:val="center"/>
                    <w:rPr>
                      <w:rFonts w:hint="default" w:ascii="Times New Roman" w:hAnsi="Times New Roman" w:cs="Times New Roman"/>
                      <w:color w:val="auto"/>
                      <w:sz w:val="21"/>
                      <w:szCs w:val="21"/>
                    </w:rPr>
                  </w:pPr>
                </w:p>
              </w:tc>
              <w:tc>
                <w:tcPr>
                  <w:tcW w:w="61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65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453" w:type="pct"/>
                  <w:noWrap w:val="0"/>
                  <w:vAlign w:val="center"/>
                </w:tcPr>
                <w:p>
                  <w:pPr>
                    <w:pStyle w:val="49"/>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总磷</w:t>
                  </w:r>
                </w:p>
              </w:tc>
              <w:tc>
                <w:tcPr>
                  <w:tcW w:w="625" w:type="pct"/>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55" w:type="pct"/>
                  <w:vMerge w:val="continue"/>
                  <w:noWrap w:val="0"/>
                  <w:vAlign w:val="center"/>
                </w:tcPr>
                <w:p>
                  <w:pPr>
                    <w:pStyle w:val="49"/>
                    <w:jc w:val="center"/>
                    <w:rPr>
                      <w:rFonts w:hint="default" w:ascii="Times New Roman" w:hAnsi="Times New Roman" w:cs="Times New Roman"/>
                      <w:color w:val="auto"/>
                      <w:sz w:val="21"/>
                      <w:szCs w:val="21"/>
                    </w:rPr>
                  </w:pPr>
                </w:p>
              </w:tc>
              <w:tc>
                <w:tcPr>
                  <w:tcW w:w="717" w:type="pct"/>
                  <w:vMerge w:val="continue"/>
                  <w:noWrap w:val="0"/>
                  <w:vAlign w:val="center"/>
                </w:tcPr>
                <w:p>
                  <w:pPr>
                    <w:pStyle w:val="49"/>
                    <w:jc w:val="center"/>
                    <w:rPr>
                      <w:rFonts w:hint="default" w:ascii="Times New Roman" w:hAnsi="Times New Roman" w:cs="Times New Roman"/>
                      <w:color w:val="auto"/>
                      <w:sz w:val="21"/>
                      <w:szCs w:val="21"/>
                    </w:rPr>
                  </w:pPr>
                </w:p>
              </w:tc>
              <w:tc>
                <w:tcPr>
                  <w:tcW w:w="548" w:type="pct"/>
                  <w:vMerge w:val="continue"/>
                  <w:noWrap w:val="0"/>
                  <w:vAlign w:val="center"/>
                </w:tcPr>
                <w:p>
                  <w:pPr>
                    <w:pStyle w:val="49"/>
                    <w:jc w:val="center"/>
                    <w:rPr>
                      <w:rFonts w:hint="default" w:ascii="Times New Roman" w:hAnsi="Times New Roman" w:cs="Times New Roman"/>
                      <w:color w:val="auto"/>
                      <w:sz w:val="21"/>
                      <w:szCs w:val="21"/>
                    </w:rPr>
                  </w:pPr>
                </w:p>
              </w:tc>
              <w:tc>
                <w:tcPr>
                  <w:tcW w:w="442" w:type="pct"/>
                  <w:vMerge w:val="continue"/>
                  <w:noWrap w:val="0"/>
                  <w:vAlign w:val="center"/>
                </w:tcPr>
                <w:p>
                  <w:pPr>
                    <w:pStyle w:val="49"/>
                    <w:jc w:val="center"/>
                    <w:rPr>
                      <w:rFonts w:hint="default" w:ascii="Times New Roman" w:hAnsi="Times New Roman" w:cs="Times New Roman"/>
                      <w:color w:val="auto"/>
                      <w:sz w:val="21"/>
                      <w:szCs w:val="21"/>
                    </w:rPr>
                  </w:pPr>
                </w:p>
              </w:tc>
              <w:tc>
                <w:tcPr>
                  <w:tcW w:w="61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655" w:type="pct"/>
                  <w:vMerge w:val="continue"/>
                  <w:noWrap w:val="0"/>
                  <w:vAlign w:val="center"/>
                </w:tcPr>
                <w:p>
                  <w:pPr>
                    <w:pStyle w:val="49"/>
                    <w:jc w:val="center"/>
                    <w:rPr>
                      <w:rFonts w:hint="default" w:ascii="Times New Roman" w:hAnsi="Times New Roman" w:cs="Times New Roman"/>
                      <w:color w:val="auto"/>
                      <w:sz w:val="21"/>
                      <w:szCs w:val="21"/>
                    </w:rPr>
                  </w:pPr>
                </w:p>
              </w:tc>
              <w:tc>
                <w:tcPr>
                  <w:tcW w:w="243" w:type="pct"/>
                  <w:vMerge w:val="continue"/>
                  <w:noWrap w:val="0"/>
                  <w:vAlign w:val="center"/>
                </w:tcPr>
                <w:p>
                  <w:pPr>
                    <w:pStyle w:val="49"/>
                    <w:jc w:val="center"/>
                    <w:rPr>
                      <w:rFonts w:hint="default" w:ascii="Times New Roman" w:hAnsi="Times New Roman" w:cs="Times New Roman"/>
                      <w:color w:val="auto"/>
                      <w:sz w:val="21"/>
                      <w:szCs w:val="21"/>
                    </w:rPr>
                  </w:pPr>
                </w:p>
              </w:tc>
              <w:tc>
                <w:tcPr>
                  <w:tcW w:w="453" w:type="pct"/>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TN</w:t>
                  </w:r>
                </w:p>
              </w:tc>
              <w:tc>
                <w:tcPr>
                  <w:tcW w:w="625" w:type="pct"/>
                  <w:noWrap w:val="0"/>
                  <w:vAlign w:val="center"/>
                </w:tcPr>
                <w:p>
                  <w:pPr>
                    <w:pStyle w:val="49"/>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15</w:t>
                  </w:r>
                </w:p>
              </w:tc>
            </w:tr>
          </w:tbl>
          <w:p>
            <w:pPr>
              <w:adjustRightInd w:val="0"/>
              <w:snapToGrid w:val="0"/>
              <w:spacing w:before="120" w:beforeLines="50"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4.2.2.3废水达标排放情况</w:t>
            </w:r>
          </w:p>
          <w:p>
            <w:pPr>
              <w:adjustRightInd w:val="0"/>
              <w:snapToGrid w:val="0"/>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项目</w:t>
            </w:r>
            <w:r>
              <w:rPr>
                <w:rFonts w:hint="default" w:ascii="Times New Roman" w:hAnsi="Times New Roman" w:cs="Times New Roman"/>
                <w:color w:val="auto"/>
                <w:sz w:val="24"/>
                <w:szCs w:val="24"/>
                <w:lang w:val="en-US" w:eastAsia="zh-CN"/>
              </w:rPr>
              <w:t>清洗废水交由有危废资质单位处理，不外排</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冷却塔用水循环使用</w:t>
            </w:r>
            <w:r>
              <w:rPr>
                <w:rFonts w:hint="default" w:ascii="Times New Roman" w:hAnsi="Times New Roman" w:cs="Times New Roman"/>
                <w:color w:val="auto"/>
                <w:sz w:val="24"/>
                <w:szCs w:val="24"/>
              </w:rPr>
              <w:t>，不外排；</w:t>
            </w:r>
            <w:r>
              <w:rPr>
                <w:rFonts w:hint="default" w:ascii="Times New Roman" w:hAnsi="Times New Roman" w:cs="Times New Roman"/>
                <w:color w:val="auto"/>
                <w:sz w:val="24"/>
                <w:szCs w:val="24"/>
                <w:lang w:val="en-US" w:eastAsia="zh-CN"/>
              </w:rPr>
              <w:t>纯水制备产生的浓水作为清净下水排入市政污水管网。</w:t>
            </w:r>
          </w:p>
          <w:p>
            <w:pPr>
              <w:adjustRightInd w:val="0"/>
              <w:snapToGrid w:val="0"/>
              <w:spacing w:line="360" w:lineRule="auto"/>
              <w:ind w:firstLine="480" w:firstLineChars="200"/>
              <w:rPr>
                <w:rFonts w:hint="default" w:ascii="Times New Roman" w:hAnsi="Times New Roman" w:cs="Times New Roman"/>
                <w:color w:val="auto"/>
                <w:sz w:val="24"/>
                <w:szCs w:val="32"/>
              </w:rPr>
            </w:pPr>
            <w:r>
              <w:rPr>
                <w:rFonts w:hint="default" w:ascii="Times New Roman" w:hAnsi="Times New Roman" w:cs="Times New Roman"/>
                <w:color w:val="auto"/>
                <w:sz w:val="24"/>
                <w:szCs w:val="24"/>
              </w:rPr>
              <w:t>生活污水经</w:t>
            </w:r>
            <w:r>
              <w:rPr>
                <w:rFonts w:hint="default" w:ascii="Times New Roman" w:hAnsi="Times New Roman" w:cs="Times New Roman"/>
                <w:color w:val="auto"/>
                <w:sz w:val="24"/>
                <w:szCs w:val="24"/>
              </w:rPr>
              <w:t>三级化粪池</w:t>
            </w:r>
            <w:r>
              <w:rPr>
                <w:rFonts w:hint="eastAsia" w:cs="Times New Roman"/>
                <w:color w:val="auto"/>
                <w:sz w:val="24"/>
                <w:szCs w:val="24"/>
                <w:lang w:val="en-US" w:eastAsia="zh-CN"/>
              </w:rPr>
              <w:t>+接触氧化池</w:t>
            </w:r>
            <w:r>
              <w:rPr>
                <w:rFonts w:hint="default" w:ascii="Times New Roman" w:hAnsi="Times New Roman" w:cs="Times New Roman"/>
                <w:color w:val="auto"/>
                <w:sz w:val="24"/>
                <w:szCs w:val="24"/>
              </w:rPr>
              <w:t>预处理后经市政污水管网进入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sz w:val="24"/>
                <w:szCs w:val="24"/>
              </w:rPr>
              <w:t>进行处理，不会</w:t>
            </w:r>
            <w:r>
              <w:rPr>
                <w:rFonts w:hint="default" w:ascii="Times New Roman" w:hAnsi="Times New Roman" w:cs="Times New Roman"/>
                <w:color w:val="auto"/>
                <w:sz w:val="24"/>
                <w:szCs w:val="24"/>
                <w:lang w:val="en-US" w:eastAsia="zh-CN"/>
              </w:rPr>
              <w:t>造成</w:t>
            </w:r>
            <w:r>
              <w:rPr>
                <w:rFonts w:hint="default" w:ascii="Times New Roman" w:hAnsi="Times New Roman" w:cs="Times New Roman"/>
                <w:color w:val="auto"/>
                <w:sz w:val="24"/>
                <w:szCs w:val="24"/>
              </w:rPr>
              <w:t>地表水环境污染。</w:t>
            </w:r>
          </w:p>
          <w:p>
            <w:pPr>
              <w:adjustRightInd w:val="0"/>
              <w:snapToGrid w:val="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4.2.2.4废水污染防治技术可行性分析</w:t>
            </w:r>
          </w:p>
          <w:p>
            <w:pPr>
              <w:adjustRightInd w:val="0"/>
              <w:snapToGrid w:val="0"/>
              <w:spacing w:line="360" w:lineRule="auto"/>
              <w:ind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lang w:val="en-US" w:eastAsia="zh-CN"/>
              </w:rPr>
              <w:t>1</w:t>
            </w: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lang w:val="en-US" w:eastAsia="zh-CN"/>
              </w:rPr>
              <w:t>生活污水</w:t>
            </w:r>
          </w:p>
          <w:p>
            <w:pPr>
              <w:pStyle w:val="63"/>
              <w:autoSpaceDE/>
              <w:autoSpaceDN/>
              <w:snapToGrid w:val="0"/>
              <w:spacing w:line="360" w:lineRule="auto"/>
              <w:ind w:firstLine="476" w:firstLineChars="200"/>
              <w:jc w:val="both"/>
              <w:textAlignment w:val="baseline"/>
              <w:rPr>
                <w:rFonts w:hint="default" w:ascii="Times New Roman" w:hAnsi="Times New Roman" w:cs="Times New Roman"/>
                <w:color w:val="auto"/>
                <w:kern w:val="2"/>
                <w:sz w:val="24"/>
                <w:szCs w:val="24"/>
              </w:rPr>
            </w:pPr>
            <w:r>
              <w:rPr>
                <w:rFonts w:hint="default" w:ascii="Times New Roman" w:hAnsi="Times New Roman" w:cs="Times New Roman"/>
                <w:color w:val="auto"/>
                <w:sz w:val="24"/>
              </w:rPr>
              <w:t>园洲镇第五污水处理厂采用较为先进的污水处理工艺，投资近5810万元，园洲镇第五污水处理厂位于惠州市博罗县园洲镇深沥，该污水处理厂首期处理规模15000立方米/日，远期为30000立方米/日。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kern w:val="2"/>
                <w:sz w:val="24"/>
                <w:szCs w:val="24"/>
              </w:rPr>
              <w:t>的排放标准是氨氮和总磷浓度执行《地表水环境质量标准》（GB3838-2002）Ⅴ类标准，其余指标执行《城镇污水处理厂污染物排放标准》(GB18918－2002)一级A标准和广东省《水污染物排放限值》(DB44/26-2001)第二时段一级标准两者较严者。</w:t>
            </w:r>
          </w:p>
          <w:p>
            <w:pPr>
              <w:pStyle w:val="75"/>
              <w:ind w:firstLine="352" w:firstLineChars="147"/>
              <w:rPr>
                <w:rFonts w:hint="default" w:ascii="Times New Roman" w:hAnsi="Times New Roman" w:cs="Times New Roman"/>
                <w:color w:val="auto"/>
                <w:sz w:val="24"/>
                <w:szCs w:val="24"/>
                <w:lang w:val="en-US" w:eastAsia="zh-CN"/>
              </w:rPr>
            </w:pPr>
            <w:r>
              <w:rPr>
                <w:rFonts w:hint="default" w:ascii="Times New Roman" w:hAnsi="Times New Roman" w:cs="Times New Roman"/>
                <w:color w:val="auto"/>
                <w:kern w:val="2"/>
                <w:sz w:val="24"/>
                <w:szCs w:val="24"/>
                <w:lang w:val="en-US" w:eastAsia="zh-CN"/>
              </w:rPr>
              <w:t>建设项目生活污水排放量1.37</w:t>
            </w:r>
            <w:r>
              <w:rPr>
                <w:rFonts w:hint="default" w:ascii="Times New Roman" w:hAnsi="Times New Roman" w:cs="Times New Roman"/>
                <w:color w:val="auto"/>
                <w:sz w:val="24"/>
                <w:szCs w:val="24"/>
                <w:lang w:val="en-US" w:eastAsia="zh-CN"/>
              </w:rPr>
              <w:t>t/d</w:t>
            </w:r>
            <w:r>
              <w:rPr>
                <w:rFonts w:hint="default" w:ascii="Times New Roman" w:hAnsi="Times New Roman" w:cs="Times New Roman"/>
                <w:color w:val="auto"/>
                <w:kern w:val="2"/>
                <w:sz w:val="24"/>
                <w:szCs w:val="24"/>
                <w:lang w:val="en-US" w:eastAsia="zh-CN"/>
              </w:rPr>
              <w:t>，经咨询，</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kern w:val="2"/>
                <w:sz w:val="24"/>
                <w:szCs w:val="24"/>
                <w:lang w:val="en-US" w:eastAsia="zh-CN"/>
              </w:rPr>
              <w:t>日处理污水量为1.5万吨，</w:t>
            </w:r>
            <w:r>
              <w:rPr>
                <w:rFonts w:hint="default" w:ascii="Times New Roman" w:hAnsi="Times New Roman" w:cs="Times New Roman"/>
                <w:color w:val="auto"/>
                <w:sz w:val="24"/>
                <w:szCs w:val="24"/>
                <w:lang w:val="en-US" w:eastAsia="zh-CN"/>
              </w:rPr>
              <w:t>剩余处理能力</w:t>
            </w:r>
            <w:r>
              <w:rPr>
                <w:rFonts w:hint="default" w:ascii="Times New Roman" w:hAnsi="Times New Roman" w:cs="Times New Roman"/>
                <w:snapToGrid w:val="0"/>
                <w:color w:val="auto"/>
                <w:sz w:val="24"/>
                <w:szCs w:val="24"/>
                <w:lang w:val="en-US" w:eastAsia="zh-CN"/>
              </w:rPr>
              <w:t>2000t/d</w:t>
            </w:r>
            <w:r>
              <w:rPr>
                <w:rFonts w:hint="default" w:ascii="Times New Roman" w:hAnsi="Times New Roman" w:cs="Times New Roman"/>
                <w:color w:val="auto"/>
                <w:kern w:val="2"/>
                <w:sz w:val="24"/>
                <w:szCs w:val="24"/>
                <w:lang w:val="en-US" w:eastAsia="zh-CN"/>
              </w:rPr>
              <w:t>，本项目生活污水量占剩余处理</w:t>
            </w:r>
            <w:r>
              <w:rPr>
                <w:rFonts w:hint="default" w:ascii="Times New Roman" w:hAnsi="Times New Roman" w:cs="Times New Roman"/>
                <w:color w:val="auto"/>
                <w:sz w:val="24"/>
                <w:szCs w:val="24"/>
                <w:lang w:val="en-US" w:eastAsia="zh-CN"/>
              </w:rPr>
              <w:t>量</w:t>
            </w:r>
            <w:r>
              <w:rPr>
                <w:rFonts w:hint="default" w:ascii="Times New Roman" w:hAnsi="Times New Roman" w:cs="Times New Roman"/>
                <w:color w:val="auto"/>
                <w:kern w:val="2"/>
                <w:sz w:val="24"/>
                <w:szCs w:val="24"/>
                <w:lang w:val="en-US" w:eastAsia="zh-CN"/>
              </w:rPr>
              <w:t>0.0685%，对</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kern w:val="2"/>
                <w:sz w:val="24"/>
                <w:szCs w:val="24"/>
                <w:lang w:val="en-US" w:eastAsia="zh-CN"/>
              </w:rPr>
              <w:t>的冲击较小，不会造成明显影响。因此，建设项目生活污水纳入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kern w:val="2"/>
                <w:sz w:val="24"/>
                <w:szCs w:val="24"/>
                <w:lang w:val="en-US" w:eastAsia="zh-CN"/>
              </w:rPr>
              <w:t>进行处理的方案是可行的，不会对纳污水体中心排渠和东江的水环境质量产生明显不良影响</w:t>
            </w:r>
            <w:r>
              <w:rPr>
                <w:rFonts w:hint="default" w:ascii="Times New Roman" w:hAnsi="Times New Roman" w:cs="Times New Roman"/>
                <w:color w:val="auto"/>
                <w:sz w:val="24"/>
                <w:szCs w:val="24"/>
                <w:lang w:val="en-US" w:eastAsia="zh-CN"/>
              </w:rPr>
              <w:t>。</w:t>
            </w:r>
          </w:p>
          <w:p>
            <w:pPr>
              <w:pStyle w:val="75"/>
              <w:ind w:firstLine="354" w:firstLineChars="147"/>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lang w:val="en-US" w:eastAsia="zh-CN"/>
              </w:rPr>
              <w:t>（2）初期雨水</w:t>
            </w:r>
          </w:p>
          <w:p>
            <w:pPr>
              <w:adjustRightInd w:val="0"/>
              <w:snapToGrid w:val="0"/>
              <w:spacing w:line="360" w:lineRule="auto"/>
              <w:ind w:firstLine="480" w:firstLineChars="200"/>
              <w:rPr>
                <w:rFonts w:hint="default" w:ascii="Times New Roman" w:hAnsi="Times New Roman" w:cs="Times New Roman"/>
                <w:b/>
                <w:bCs/>
                <w:color w:val="auto"/>
                <w:sz w:val="24"/>
                <w:szCs w:val="24"/>
              </w:rPr>
            </w:pPr>
            <w:r>
              <w:rPr>
                <w:rFonts w:hint="default" w:ascii="Times New Roman" w:hAnsi="Times New Roman" w:cs="Times New Roman"/>
                <w:color w:val="auto"/>
                <w:kern w:val="0"/>
                <w:sz w:val="24"/>
              </w:rPr>
              <w:t>建设单位将</w:t>
            </w:r>
            <w:r>
              <w:rPr>
                <w:rFonts w:hint="default" w:ascii="Times New Roman" w:hAnsi="Times New Roman" w:cs="Times New Roman"/>
                <w:color w:val="auto"/>
                <w:kern w:val="0"/>
                <w:sz w:val="24"/>
                <w:lang w:val="en-US" w:eastAsia="zh-CN"/>
              </w:rPr>
              <w:t>初期雨水</w:t>
            </w:r>
            <w:r>
              <w:rPr>
                <w:rFonts w:hint="default" w:ascii="Times New Roman" w:hAnsi="Times New Roman" w:cs="Times New Roman"/>
                <w:color w:val="auto"/>
                <w:kern w:val="0"/>
                <w:sz w:val="24"/>
              </w:rPr>
              <w:t>排入沉淀池</w:t>
            </w:r>
            <w:r>
              <w:rPr>
                <w:rFonts w:hint="default" w:ascii="Times New Roman" w:hAnsi="Times New Roman" w:cs="Times New Roman"/>
                <w:color w:val="auto"/>
                <w:kern w:val="0"/>
                <w:sz w:val="24"/>
                <w:lang w:val="en-US" w:eastAsia="zh-CN"/>
              </w:rPr>
              <w:t>中混凝</w:t>
            </w:r>
            <w:r>
              <w:rPr>
                <w:rFonts w:hint="default" w:ascii="Times New Roman" w:hAnsi="Times New Roman" w:cs="Times New Roman"/>
                <w:color w:val="auto"/>
                <w:kern w:val="0"/>
                <w:sz w:val="24"/>
              </w:rPr>
              <w:t>沉淀处理</w:t>
            </w:r>
            <w:r>
              <w:rPr>
                <w:rFonts w:hint="default" w:ascii="Times New Roman" w:hAnsi="Times New Roman" w:cs="Times New Roman"/>
                <w:color w:val="auto"/>
                <w:kern w:val="0"/>
                <w:sz w:val="24"/>
                <w:lang w:eastAsia="zh-CN"/>
              </w:rPr>
              <w:t>，</w:t>
            </w:r>
            <w:r>
              <w:rPr>
                <w:rFonts w:hint="default" w:ascii="Times New Roman" w:hAnsi="Times New Roman" w:cs="Times New Roman"/>
                <w:color w:val="auto"/>
                <w:kern w:val="0"/>
                <w:sz w:val="24"/>
                <w:lang w:val="en-US" w:eastAsia="zh-CN"/>
              </w:rPr>
              <w:t>处理后的初期雨水直接排入雨水管网</w:t>
            </w:r>
            <w:r>
              <w:rPr>
                <w:rFonts w:hint="default" w:ascii="Times New Roman" w:hAnsi="Times New Roman" w:cs="Times New Roman"/>
                <w:color w:val="auto"/>
                <w:kern w:val="0"/>
                <w:sz w:val="24"/>
              </w:rPr>
              <w:t>。</w:t>
            </w:r>
          </w:p>
          <w:p>
            <w:pPr>
              <w:adjustRightInd w:val="0"/>
              <w:snapToGrid w:val="0"/>
              <w:spacing w:line="360" w:lineRule="auto"/>
              <w:ind w:firstLine="480" w:firstLineChars="200"/>
              <w:rPr>
                <w:rFonts w:hint="default" w:ascii="Times New Roman" w:hAnsi="Times New Roman" w:cs="Times New Roman"/>
                <w:b/>
                <w:bCs/>
                <w:color w:val="auto"/>
                <w:sz w:val="24"/>
                <w:szCs w:val="24"/>
              </w:rPr>
            </w:pPr>
            <w:r>
              <w:rPr>
                <w:rFonts w:hint="default" w:ascii="Times New Roman" w:hAnsi="Times New Roman" w:cs="Times New Roman"/>
                <w:color w:val="auto"/>
                <w:kern w:val="0"/>
                <w:sz w:val="24"/>
              </w:rPr>
              <w:t>项目</w:t>
            </w:r>
            <w:r>
              <w:rPr>
                <w:rFonts w:hint="default" w:ascii="Times New Roman" w:hAnsi="Times New Roman" w:cs="Times New Roman"/>
                <w:color w:val="auto"/>
                <w:kern w:val="0"/>
                <w:sz w:val="24"/>
                <w:lang w:val="en-US" w:eastAsia="zh-CN"/>
              </w:rPr>
              <w:t>初期雨水</w:t>
            </w:r>
            <w:r>
              <w:rPr>
                <w:rFonts w:hint="default" w:ascii="Times New Roman" w:hAnsi="Times New Roman" w:cs="Times New Roman"/>
                <w:color w:val="auto"/>
                <w:kern w:val="0"/>
                <w:sz w:val="24"/>
              </w:rPr>
              <w:t>主要污染物为SS，经沉淀池</w:t>
            </w:r>
            <w:r>
              <w:rPr>
                <w:rFonts w:hint="default" w:ascii="Times New Roman" w:hAnsi="Times New Roman" w:cs="Times New Roman"/>
                <w:color w:val="auto"/>
                <w:kern w:val="0"/>
                <w:sz w:val="24"/>
                <w:lang w:val="en-US" w:eastAsia="zh-CN"/>
              </w:rPr>
              <w:t>混凝</w:t>
            </w:r>
            <w:r>
              <w:rPr>
                <w:rFonts w:hint="default" w:ascii="Times New Roman" w:hAnsi="Times New Roman" w:cs="Times New Roman"/>
                <w:color w:val="auto"/>
                <w:kern w:val="0"/>
                <w:sz w:val="24"/>
              </w:rPr>
              <w:t>沉淀处理后，</w:t>
            </w:r>
            <w:r>
              <w:rPr>
                <w:rFonts w:hint="default" w:ascii="Times New Roman" w:hAnsi="Times New Roman" w:cs="Times New Roman"/>
                <w:color w:val="auto"/>
                <w:kern w:val="0"/>
                <w:sz w:val="24"/>
                <w:lang w:val="en-US" w:eastAsia="zh-CN"/>
              </w:rPr>
              <w:t>直接排入雨水管网。</w:t>
            </w:r>
            <w:r>
              <w:rPr>
                <w:rFonts w:hint="default" w:ascii="Times New Roman" w:hAnsi="Times New Roman" w:cs="Times New Roman"/>
                <w:color w:val="auto"/>
                <w:kern w:val="0"/>
                <w:sz w:val="24"/>
              </w:rPr>
              <w:t>根据</w:t>
            </w:r>
            <w:r>
              <w:rPr>
                <w:rFonts w:hint="default" w:ascii="Times New Roman" w:hAnsi="Times New Roman" w:cs="Times New Roman"/>
                <w:color w:val="auto"/>
                <w:kern w:val="0"/>
                <w:sz w:val="24"/>
                <w:lang w:val="en-US" w:eastAsia="zh-CN"/>
              </w:rPr>
              <w:t>上述工程分析</w:t>
            </w:r>
            <w:r>
              <w:rPr>
                <w:rFonts w:hint="default" w:ascii="Times New Roman" w:hAnsi="Times New Roman" w:cs="Times New Roman"/>
                <w:color w:val="auto"/>
                <w:kern w:val="0"/>
                <w:sz w:val="24"/>
              </w:rPr>
              <w:t>，项目初期雨水中暴雨天气的每次产生量为</w:t>
            </w:r>
            <w:r>
              <w:rPr>
                <w:rFonts w:hint="default" w:ascii="Times New Roman" w:hAnsi="Times New Roman" w:cs="Times New Roman"/>
                <w:color w:val="auto"/>
                <w:kern w:val="0"/>
                <w:sz w:val="24"/>
                <w:lang w:val="en-US" w:eastAsia="zh-CN"/>
              </w:rPr>
              <w:t>23.1975</w:t>
            </w:r>
            <w:r>
              <w:rPr>
                <w:rFonts w:hint="default" w:ascii="Times New Roman" w:hAnsi="Times New Roman" w:cs="Times New Roman"/>
                <w:color w:val="auto"/>
                <w:kern w:val="0"/>
                <w:sz w:val="24"/>
              </w:rPr>
              <w:t>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w:t>
            </w:r>
            <w:r>
              <w:rPr>
                <w:rFonts w:hint="default" w:ascii="Times New Roman" w:hAnsi="Times New Roman" w:cs="Times New Roman"/>
                <w:color w:val="auto"/>
                <w:kern w:val="0"/>
                <w:sz w:val="24"/>
                <w:lang w:val="en-US" w:eastAsia="zh-CN"/>
              </w:rPr>
              <w:t>项目</w:t>
            </w:r>
            <w:r>
              <w:rPr>
                <w:rFonts w:hint="default" w:ascii="Times New Roman" w:hAnsi="Times New Roman" w:cs="Times New Roman"/>
                <w:color w:val="auto"/>
                <w:kern w:val="0"/>
                <w:sz w:val="24"/>
              </w:rPr>
              <w:t>沉淀池的容积为</w:t>
            </w:r>
            <w:r>
              <w:rPr>
                <w:rFonts w:hint="default" w:ascii="Times New Roman" w:hAnsi="Times New Roman" w:cs="Times New Roman"/>
                <w:color w:val="auto"/>
                <w:kern w:val="0"/>
                <w:sz w:val="24"/>
                <w:lang w:val="en-US" w:eastAsia="zh-CN"/>
              </w:rPr>
              <w:t>25</w:t>
            </w:r>
            <w:r>
              <w:rPr>
                <w:rFonts w:hint="default" w:ascii="Times New Roman" w:hAnsi="Times New Roman" w:cs="Times New Roman"/>
                <w:color w:val="auto"/>
                <w:kern w:val="0"/>
                <w:sz w:val="24"/>
              </w:rPr>
              <w:t>m</w:t>
            </w:r>
            <w:r>
              <w:rPr>
                <w:rFonts w:hint="default" w:ascii="Times New Roman" w:hAnsi="Times New Roman" w:cs="Times New Roman"/>
                <w:color w:val="auto"/>
                <w:kern w:val="0"/>
                <w:sz w:val="24"/>
                <w:vertAlign w:val="superscript"/>
              </w:rPr>
              <w:t>3</w:t>
            </w:r>
            <w:r>
              <w:rPr>
                <w:rFonts w:hint="default" w:ascii="Times New Roman" w:hAnsi="Times New Roman" w:cs="Times New Roman"/>
                <w:color w:val="auto"/>
                <w:kern w:val="0"/>
                <w:sz w:val="24"/>
              </w:rPr>
              <w:t>，沉淀池容积满足暴雨天气初期雨水收集量的要求，由于本项目</w:t>
            </w:r>
            <w:r>
              <w:rPr>
                <w:rFonts w:hint="default" w:ascii="Times New Roman" w:hAnsi="Times New Roman" w:cs="Times New Roman"/>
                <w:color w:val="auto"/>
                <w:kern w:val="0"/>
                <w:sz w:val="24"/>
                <w:lang w:val="en-US" w:eastAsia="zh-CN"/>
              </w:rPr>
              <w:t>的初期雨水的污染物仅仅为项目投料产生的少量的颗粒物无组织排放，</w:t>
            </w:r>
            <w:r>
              <w:rPr>
                <w:rFonts w:hint="default" w:ascii="Times New Roman" w:hAnsi="Times New Roman" w:cs="Times New Roman"/>
                <w:color w:val="auto"/>
                <w:kern w:val="0"/>
                <w:sz w:val="24"/>
              </w:rPr>
              <w:t>将初期雨水</w:t>
            </w:r>
            <w:r>
              <w:rPr>
                <w:rFonts w:hint="default" w:ascii="Times New Roman" w:hAnsi="Times New Roman" w:cs="Times New Roman"/>
                <w:color w:val="auto"/>
                <w:kern w:val="0"/>
                <w:sz w:val="24"/>
                <w:lang w:val="en-US" w:eastAsia="zh-CN"/>
              </w:rPr>
              <w:t>经过</w:t>
            </w:r>
            <w:r>
              <w:rPr>
                <w:rFonts w:hint="default" w:ascii="Times New Roman" w:hAnsi="Times New Roman" w:cs="Times New Roman"/>
                <w:color w:val="auto"/>
                <w:kern w:val="0"/>
                <w:sz w:val="24"/>
              </w:rPr>
              <w:t>沉淀池</w:t>
            </w:r>
            <w:r>
              <w:rPr>
                <w:rFonts w:hint="default" w:ascii="Times New Roman" w:hAnsi="Times New Roman" w:cs="Times New Roman"/>
                <w:color w:val="auto"/>
                <w:kern w:val="0"/>
                <w:sz w:val="24"/>
                <w:lang w:val="en-US" w:eastAsia="zh-CN"/>
              </w:rPr>
              <w:t>混凝</w:t>
            </w:r>
            <w:r>
              <w:rPr>
                <w:rFonts w:hint="default" w:ascii="Times New Roman" w:hAnsi="Times New Roman" w:cs="Times New Roman"/>
                <w:color w:val="auto"/>
                <w:kern w:val="0"/>
                <w:sz w:val="24"/>
              </w:rPr>
              <w:t>处理后，</w:t>
            </w:r>
            <w:r>
              <w:rPr>
                <w:rFonts w:hint="default" w:ascii="Times New Roman" w:hAnsi="Times New Roman" w:cs="Times New Roman"/>
                <w:color w:val="auto"/>
                <w:kern w:val="0"/>
                <w:sz w:val="24"/>
                <w:lang w:val="en-US" w:eastAsia="zh-CN"/>
              </w:rPr>
              <w:t>直接排入雨水管网</w:t>
            </w:r>
            <w:r>
              <w:rPr>
                <w:rFonts w:hint="default" w:ascii="Times New Roman" w:hAnsi="Times New Roman" w:cs="Times New Roman"/>
                <w:color w:val="auto"/>
                <w:kern w:val="0"/>
                <w:sz w:val="24"/>
              </w:rPr>
              <w:t>。因废水中的主要污染物为悬浮物，本项目的沉淀池将大颗粒的物质通过重力沉降沉淀下来，并且进一步去除小颗粒，为可行技术。</w:t>
            </w:r>
          </w:p>
          <w:p>
            <w:pPr>
              <w:adjustRightInd w:val="0"/>
              <w:snapToGrid w:val="0"/>
              <w:spacing w:line="360" w:lineRule="auto"/>
              <w:ind w:firstLine="482" w:firstLineChars="200"/>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4.2.2.5废水排放监测要求</w:t>
            </w:r>
          </w:p>
          <w:p>
            <w:pPr>
              <w:pStyle w:val="75"/>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项目生活污水经</w:t>
            </w:r>
            <w:r>
              <w:rPr>
                <w:rFonts w:hint="default" w:ascii="Times New Roman" w:hAnsi="Times New Roman" w:cs="Times New Roman"/>
                <w:color w:val="auto"/>
                <w:sz w:val="24"/>
                <w:szCs w:val="24"/>
              </w:rPr>
              <w:t>三级化粪池</w:t>
            </w:r>
            <w:r>
              <w:rPr>
                <w:rFonts w:hint="eastAsia" w:cs="Times New Roman"/>
                <w:color w:val="auto"/>
                <w:sz w:val="24"/>
                <w:szCs w:val="24"/>
                <w:lang w:val="en-US" w:eastAsia="zh-CN"/>
              </w:rPr>
              <w:t>+接触氧化池</w:t>
            </w:r>
            <w:r>
              <w:rPr>
                <w:rFonts w:hint="default" w:ascii="Times New Roman" w:hAnsi="Times New Roman" w:cs="Times New Roman"/>
                <w:color w:val="auto"/>
                <w:sz w:val="24"/>
                <w:szCs w:val="24"/>
              </w:rPr>
              <w:t>预处理后经市政污水管网进入</w:t>
            </w:r>
            <w:r>
              <w:rPr>
                <w:rFonts w:hint="eastAsia" w:ascii="Times New Roman" w:hAnsi="Times New Roman" w:cs="Times New Roman"/>
                <w:color w:val="auto"/>
                <w:sz w:val="24"/>
                <w:szCs w:val="24"/>
                <w:lang w:val="en-US" w:eastAsia="zh-CN"/>
              </w:rPr>
              <w:t>博罗县</w:t>
            </w:r>
            <w:r>
              <w:rPr>
                <w:rFonts w:hint="default" w:ascii="Times New Roman" w:hAnsi="Times New Roman" w:cs="Times New Roman"/>
                <w:color w:val="auto"/>
                <w:sz w:val="24"/>
                <w:szCs w:val="24"/>
              </w:rPr>
              <w:t>园洲镇第五污水处理厂</w:t>
            </w:r>
            <w:r>
              <w:rPr>
                <w:rFonts w:hint="default" w:ascii="Times New Roman" w:hAnsi="Times New Roman" w:cs="Times New Roman"/>
                <w:color w:val="auto"/>
                <w:sz w:val="24"/>
                <w:szCs w:val="24"/>
              </w:rPr>
              <w:t>进行处理；</w:t>
            </w:r>
            <w:r>
              <w:rPr>
                <w:rFonts w:hint="eastAsia" w:cs="Times New Roman"/>
                <w:color w:val="auto"/>
                <w:sz w:val="24"/>
                <w:szCs w:val="24"/>
                <w:lang w:val="en-US" w:eastAsia="zh-CN"/>
              </w:rPr>
              <w:t>根据</w:t>
            </w:r>
            <w:r>
              <w:rPr>
                <w:rFonts w:hint="eastAsia"/>
                <w:color w:val="auto"/>
                <w:lang w:val="en-US" w:eastAsia="zh-CN"/>
              </w:rPr>
              <w:t>《排污许可证申请与核发技术规范 电池工业》（HJ967-2018）可知，生活污水排入市政污水处理厂的无相关的可行污染治理设施名称及工艺，故参考《排污许可证申请与核发技术规范 电子工业》（HJ1031-2019）可知，化粪池处理生活污水属于可行技术。</w:t>
            </w:r>
          </w:p>
          <w:p>
            <w:pPr>
              <w:pStyle w:val="75"/>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纯水制备浓水回用冷却塔循环水，冷却塔用水循环使用</w:t>
            </w:r>
            <w:r>
              <w:rPr>
                <w:rFonts w:hint="default" w:ascii="Times New Roman" w:hAnsi="Times New Roman" w:cs="Times New Roman"/>
                <w:color w:val="auto"/>
                <w:sz w:val="24"/>
                <w:szCs w:val="24"/>
              </w:rPr>
              <w:t>，不外排；不需要开展污水监测。</w:t>
            </w:r>
          </w:p>
          <w:p>
            <w:pPr>
              <w:adjustRightInd w:val="0"/>
              <w:snapToGrid w:val="0"/>
              <w:spacing w:line="360" w:lineRule="auto"/>
              <w:ind w:firstLine="482" w:firstLineChars="200"/>
              <w:rPr>
                <w:rFonts w:hint="default" w:eastAsia="宋体"/>
                <w:b/>
                <w:bCs/>
                <w:color w:val="auto"/>
                <w:sz w:val="24"/>
                <w:lang w:val="en-US" w:eastAsia="zh-CN"/>
              </w:rPr>
            </w:pPr>
            <w:r>
              <w:rPr>
                <w:rFonts w:hint="eastAsia"/>
                <w:b/>
                <w:bCs/>
                <w:color w:val="auto"/>
                <w:sz w:val="24"/>
                <w:lang w:val="en-US" w:eastAsia="zh-CN"/>
              </w:rPr>
              <w:t>雨水监测计划</w:t>
            </w:r>
          </w:p>
          <w:p>
            <w:pPr>
              <w:adjustRightInd w:val="0"/>
              <w:snapToGrid w:val="0"/>
              <w:spacing w:line="360" w:lineRule="auto"/>
              <w:ind w:firstLine="480" w:firstLineChars="200"/>
              <w:rPr>
                <w:color w:val="auto"/>
                <w:sz w:val="24"/>
              </w:rPr>
            </w:pPr>
            <w:r>
              <w:rPr>
                <w:rFonts w:hint="eastAsia"/>
                <w:color w:val="auto"/>
                <w:sz w:val="24"/>
              </w:rPr>
              <w:t>根据《排污单位自行监测技术指南</w:t>
            </w:r>
            <w:r>
              <w:rPr>
                <w:rFonts w:hint="eastAsia"/>
                <w:color w:val="auto"/>
                <w:sz w:val="24"/>
                <w:lang w:val="en-US" w:eastAsia="zh-CN"/>
              </w:rPr>
              <w:t xml:space="preserve"> 电池工业</w:t>
            </w:r>
            <w:r>
              <w:rPr>
                <w:rFonts w:hint="eastAsia"/>
                <w:color w:val="auto"/>
                <w:sz w:val="24"/>
              </w:rPr>
              <w:t>》（</w:t>
            </w:r>
            <w:r>
              <w:rPr>
                <w:color w:val="auto"/>
                <w:sz w:val="24"/>
              </w:rPr>
              <w:t>HJ</w:t>
            </w:r>
            <w:r>
              <w:rPr>
                <w:rFonts w:hint="eastAsia"/>
                <w:color w:val="auto"/>
                <w:sz w:val="24"/>
                <w:lang w:val="en-US" w:eastAsia="zh-CN"/>
              </w:rPr>
              <w:t>1204</w:t>
            </w:r>
            <w:r>
              <w:rPr>
                <w:color w:val="auto"/>
                <w:sz w:val="24"/>
              </w:rPr>
              <w:t>-20</w:t>
            </w:r>
            <w:r>
              <w:rPr>
                <w:rFonts w:hint="eastAsia"/>
                <w:color w:val="auto"/>
                <w:sz w:val="24"/>
                <w:lang w:val="en-US" w:eastAsia="zh-CN"/>
              </w:rPr>
              <w:t>21</w:t>
            </w:r>
            <w:r>
              <w:rPr>
                <w:rFonts w:hint="eastAsia"/>
                <w:color w:val="auto"/>
                <w:sz w:val="24"/>
              </w:rPr>
              <w:t>）</w:t>
            </w:r>
            <w:r>
              <w:rPr>
                <w:rFonts w:hint="eastAsia"/>
                <w:color w:val="auto"/>
                <w:sz w:val="24"/>
                <w:lang w:eastAsia="zh-CN"/>
              </w:rPr>
              <w:t>、</w:t>
            </w:r>
            <w:r>
              <w:rPr>
                <w:rFonts w:hint="eastAsia"/>
                <w:color w:val="auto"/>
                <w:sz w:val="24"/>
              </w:rPr>
              <w:t>《排污</w:t>
            </w:r>
            <w:r>
              <w:rPr>
                <w:rFonts w:hint="eastAsia"/>
                <w:color w:val="auto"/>
                <w:sz w:val="24"/>
                <w:lang w:val="en-US" w:eastAsia="zh-CN"/>
              </w:rPr>
              <w:t>许可证申请与核发技术规范 电池工业</w:t>
            </w:r>
            <w:r>
              <w:rPr>
                <w:rFonts w:hint="eastAsia"/>
                <w:color w:val="auto"/>
                <w:sz w:val="24"/>
              </w:rPr>
              <w:t>》（</w:t>
            </w:r>
            <w:r>
              <w:rPr>
                <w:color w:val="auto"/>
                <w:sz w:val="24"/>
              </w:rPr>
              <w:t>HJ</w:t>
            </w:r>
            <w:r>
              <w:rPr>
                <w:rFonts w:hint="eastAsia"/>
                <w:color w:val="auto"/>
                <w:sz w:val="24"/>
                <w:lang w:val="en-US" w:eastAsia="zh-CN"/>
              </w:rPr>
              <w:t>967</w:t>
            </w:r>
            <w:r>
              <w:rPr>
                <w:color w:val="auto"/>
                <w:sz w:val="24"/>
              </w:rPr>
              <w:t>-20</w:t>
            </w:r>
            <w:r>
              <w:rPr>
                <w:rFonts w:hint="eastAsia"/>
                <w:color w:val="auto"/>
                <w:sz w:val="24"/>
                <w:lang w:val="en-US" w:eastAsia="zh-CN"/>
              </w:rPr>
              <w:t>18</w:t>
            </w:r>
            <w:r>
              <w:rPr>
                <w:rFonts w:hint="eastAsia"/>
                <w:color w:val="auto"/>
                <w:sz w:val="24"/>
              </w:rPr>
              <w:t>），本项目执行废水监测计划如下：</w:t>
            </w:r>
          </w:p>
          <w:p>
            <w:pPr>
              <w:adjustRightInd w:val="0"/>
              <w:snapToGrid w:val="0"/>
              <w:spacing w:line="360" w:lineRule="auto"/>
              <w:ind w:firstLine="482" w:firstLineChars="200"/>
              <w:jc w:val="center"/>
              <w:rPr>
                <w:b/>
                <w:bCs/>
                <w:color w:val="auto"/>
                <w:sz w:val="24"/>
              </w:rPr>
            </w:pPr>
            <w:r>
              <w:rPr>
                <w:rFonts w:hint="eastAsia"/>
                <w:b/>
                <w:bCs/>
                <w:color w:val="auto"/>
                <w:sz w:val="24"/>
              </w:rPr>
              <w:t>表</w:t>
            </w:r>
            <w:r>
              <w:rPr>
                <w:b/>
                <w:bCs/>
                <w:color w:val="auto"/>
                <w:sz w:val="24"/>
              </w:rPr>
              <w:t>4-</w:t>
            </w:r>
            <w:r>
              <w:rPr>
                <w:rFonts w:hint="eastAsia"/>
                <w:b/>
                <w:bCs/>
                <w:color w:val="auto"/>
                <w:sz w:val="24"/>
                <w:lang w:val="en-US" w:eastAsia="zh-CN"/>
              </w:rPr>
              <w:t>24</w:t>
            </w:r>
            <w:r>
              <w:rPr>
                <w:b/>
                <w:bCs/>
                <w:color w:val="auto"/>
                <w:sz w:val="24"/>
              </w:rPr>
              <w:t xml:space="preserve"> </w:t>
            </w:r>
            <w:r>
              <w:rPr>
                <w:rFonts w:hint="eastAsia"/>
                <w:b/>
                <w:bCs/>
                <w:color w:val="auto"/>
                <w:sz w:val="24"/>
                <w:lang w:val="en-US" w:eastAsia="zh-CN"/>
              </w:rPr>
              <w:t>雨水</w:t>
            </w:r>
            <w:r>
              <w:rPr>
                <w:rFonts w:hint="eastAsia"/>
                <w:b/>
                <w:bCs/>
                <w:color w:val="auto"/>
                <w:sz w:val="24"/>
              </w:rPr>
              <w:t>监测计划表</w:t>
            </w:r>
          </w:p>
          <w:tbl>
            <w:tblPr>
              <w:tblStyle w:val="3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638"/>
              <w:gridCol w:w="2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Cs w:val="21"/>
                    </w:rPr>
                  </w:pPr>
                  <w:r>
                    <w:rPr>
                      <w:rFonts w:hint="eastAsia"/>
                      <w:color w:val="auto"/>
                      <w:szCs w:val="21"/>
                    </w:rPr>
                    <w:t>监测点位</w:t>
                  </w:r>
                </w:p>
              </w:tc>
              <w:tc>
                <w:tcPr>
                  <w:tcW w:w="21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Cs w:val="21"/>
                    </w:rPr>
                  </w:pPr>
                  <w:r>
                    <w:rPr>
                      <w:rFonts w:hint="eastAsia"/>
                      <w:color w:val="auto"/>
                      <w:szCs w:val="21"/>
                    </w:rPr>
                    <w:t>监测因子</w:t>
                  </w:r>
                </w:p>
              </w:tc>
              <w:tc>
                <w:tcPr>
                  <w:tcW w:w="1405"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Cs w:val="21"/>
                    </w:rPr>
                  </w:pPr>
                  <w:r>
                    <w:rPr>
                      <w:rFonts w:hint="eastAsia"/>
                      <w:color w:val="auto"/>
                      <w:szCs w:val="21"/>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pct"/>
                  <w:vMerge w:val="restart"/>
                  <w:tcBorders>
                    <w:top w:val="single" w:color="auto" w:sz="4" w:space="0"/>
                    <w:left w:val="single" w:color="auto" w:sz="4" w:space="0"/>
                    <w:right w:val="single" w:color="auto" w:sz="4" w:space="0"/>
                  </w:tcBorders>
                  <w:noWrap w:val="0"/>
                  <w:vAlign w:val="center"/>
                </w:tcPr>
                <w:p>
                  <w:pPr>
                    <w:adjustRightInd w:val="0"/>
                    <w:snapToGrid w:val="0"/>
                    <w:jc w:val="center"/>
                    <w:rPr>
                      <w:color w:val="auto"/>
                      <w:szCs w:val="21"/>
                    </w:rPr>
                  </w:pPr>
                  <w:r>
                    <w:rPr>
                      <w:rFonts w:hint="eastAsia"/>
                      <w:color w:val="auto"/>
                      <w:szCs w:val="21"/>
                      <w:lang w:val="en-US" w:eastAsia="zh-CN"/>
                    </w:rPr>
                    <w:t>YS</w:t>
                  </w:r>
                  <w:r>
                    <w:rPr>
                      <w:color w:val="auto"/>
                      <w:szCs w:val="21"/>
                    </w:rPr>
                    <w:t>001</w:t>
                  </w:r>
                  <w:r>
                    <w:rPr>
                      <w:rFonts w:hint="eastAsia"/>
                      <w:color w:val="auto"/>
                      <w:szCs w:val="21"/>
                      <w:lang w:val="en-US" w:eastAsia="zh-CN"/>
                    </w:rPr>
                    <w:t>雨水</w:t>
                  </w:r>
                  <w:r>
                    <w:rPr>
                      <w:rFonts w:hint="eastAsia"/>
                      <w:color w:val="auto"/>
                      <w:szCs w:val="21"/>
                    </w:rPr>
                    <w:t>排放口</w:t>
                  </w:r>
                </w:p>
              </w:tc>
              <w:tc>
                <w:tcPr>
                  <w:tcW w:w="21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Cs w:val="21"/>
                    </w:rPr>
                  </w:pPr>
                  <w:r>
                    <w:rPr>
                      <w:color w:val="auto"/>
                      <w:szCs w:val="21"/>
                    </w:rPr>
                    <w:t>pH</w:t>
                  </w:r>
                  <w:r>
                    <w:rPr>
                      <w:rFonts w:hint="eastAsia"/>
                      <w:color w:val="auto"/>
                      <w:szCs w:val="21"/>
                    </w:rPr>
                    <w:t>值</w:t>
                  </w:r>
                </w:p>
              </w:tc>
              <w:tc>
                <w:tcPr>
                  <w:tcW w:w="1405" w:type="pct"/>
                  <w:vMerge w:val="restart"/>
                  <w:tcBorders>
                    <w:top w:val="single" w:color="auto" w:sz="4" w:space="0"/>
                    <w:left w:val="single" w:color="auto" w:sz="4" w:space="0"/>
                    <w:right w:val="single" w:color="auto" w:sz="4" w:space="0"/>
                  </w:tcBorders>
                  <w:noWrap w:val="0"/>
                  <w:vAlign w:val="center"/>
                </w:tcPr>
                <w:p>
                  <w:pPr>
                    <w:adjustRightInd w:val="0"/>
                    <w:snapToGrid w:val="0"/>
                    <w:jc w:val="center"/>
                    <w:rPr>
                      <w:rFonts w:hint="eastAsia" w:eastAsia="宋体"/>
                      <w:color w:val="auto"/>
                      <w:szCs w:val="21"/>
                      <w:lang w:val="en-US" w:eastAsia="zh-CN"/>
                    </w:rPr>
                  </w:pPr>
                  <w:r>
                    <w:rPr>
                      <w:rFonts w:hint="eastAsia" w:ascii="Times New Roman" w:hAnsi="Times New Roman" w:eastAsia="宋体" w:cs="Times New Roman"/>
                      <w:color w:val="auto"/>
                      <w:szCs w:val="21"/>
                    </w:rPr>
                    <w:t>1次/</w:t>
                  </w:r>
                  <w:r>
                    <w:rPr>
                      <w:rFonts w:hint="eastAsia" w:ascii="Times New Roman" w:hAnsi="Times New Roman" w:eastAsia="宋体" w:cs="Times New Roman"/>
                      <w:color w:val="auto"/>
                      <w:szCs w:val="21"/>
                      <w:lang w:val="en-US" w:eastAsia="zh-CN"/>
                    </w:rPr>
                    <w:t>月（</w:t>
                  </w:r>
                  <w:r>
                    <w:rPr>
                      <w:rFonts w:hint="eastAsia" w:ascii="Times New Roman" w:hAnsi="Times New Roman" w:eastAsia="宋体" w:cs="Times New Roman"/>
                      <w:color w:val="auto"/>
                      <w:szCs w:val="21"/>
                    </w:rPr>
                    <w:t>若监测一年无异常情况，可放宽至每季度开展一次监测。</w:t>
                  </w:r>
                  <w:r>
                    <w:rPr>
                      <w:rFonts w:hint="eastAsia" w:ascii="Times New Roman" w:hAnsi="Times New Roman" w:eastAsia="宋体"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pct"/>
                  <w:vMerge w:val="continue"/>
                  <w:tcBorders>
                    <w:left w:val="single" w:color="auto" w:sz="4" w:space="0"/>
                    <w:right w:val="single" w:color="auto" w:sz="4" w:space="0"/>
                  </w:tcBorders>
                  <w:noWrap w:val="0"/>
                  <w:vAlign w:val="center"/>
                </w:tcPr>
                <w:p>
                  <w:pPr>
                    <w:adjustRightInd w:val="0"/>
                    <w:snapToGrid w:val="0"/>
                    <w:jc w:val="center"/>
                    <w:rPr>
                      <w:color w:val="auto"/>
                      <w:szCs w:val="21"/>
                    </w:rPr>
                  </w:pPr>
                </w:p>
              </w:tc>
              <w:tc>
                <w:tcPr>
                  <w:tcW w:w="21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总钴</w:t>
                  </w:r>
                </w:p>
              </w:tc>
              <w:tc>
                <w:tcPr>
                  <w:tcW w:w="1405" w:type="pct"/>
                  <w:vMerge w:val="continue"/>
                  <w:tcBorders>
                    <w:left w:val="single" w:color="auto" w:sz="4" w:space="0"/>
                    <w:right w:val="single" w:color="auto" w:sz="4" w:space="0"/>
                  </w:tcBorders>
                  <w:noWrap w:val="0"/>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46" w:type="pct"/>
                  <w:vMerge w:val="continue"/>
                  <w:tcBorders>
                    <w:left w:val="single" w:color="auto" w:sz="4" w:space="0"/>
                    <w:right w:val="single" w:color="auto" w:sz="4" w:space="0"/>
                  </w:tcBorders>
                  <w:noWrap w:val="0"/>
                  <w:vAlign w:val="center"/>
                </w:tcPr>
                <w:p>
                  <w:pPr>
                    <w:adjustRightInd w:val="0"/>
                    <w:snapToGrid w:val="0"/>
                    <w:jc w:val="center"/>
                    <w:rPr>
                      <w:color w:val="auto"/>
                      <w:szCs w:val="21"/>
                    </w:rPr>
                  </w:pPr>
                </w:p>
              </w:tc>
              <w:tc>
                <w:tcPr>
                  <w:tcW w:w="21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color w:val="auto"/>
                      <w:szCs w:val="21"/>
                    </w:rPr>
                  </w:pPr>
                  <w:r>
                    <w:rPr>
                      <w:rFonts w:hint="eastAsia"/>
                      <w:color w:val="auto"/>
                      <w:szCs w:val="21"/>
                      <w:vertAlign w:val="baseline"/>
                      <w:lang w:val="en-US" w:eastAsia="zh-CN"/>
                    </w:rPr>
                    <w:t>总镍</w:t>
                  </w:r>
                </w:p>
              </w:tc>
              <w:tc>
                <w:tcPr>
                  <w:tcW w:w="1405" w:type="pct"/>
                  <w:vMerge w:val="continue"/>
                  <w:tcBorders>
                    <w:left w:val="single" w:color="auto" w:sz="4" w:space="0"/>
                    <w:right w:val="single" w:color="auto" w:sz="4" w:space="0"/>
                  </w:tcBorders>
                  <w:noWrap w:val="0"/>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46" w:type="pct"/>
                  <w:vMerge w:val="continue"/>
                  <w:tcBorders>
                    <w:left w:val="single" w:color="auto" w:sz="4" w:space="0"/>
                    <w:right w:val="single" w:color="auto" w:sz="4" w:space="0"/>
                  </w:tcBorders>
                  <w:noWrap w:val="0"/>
                  <w:vAlign w:val="center"/>
                </w:tcPr>
                <w:p>
                  <w:pPr>
                    <w:adjustRightInd w:val="0"/>
                    <w:snapToGrid w:val="0"/>
                    <w:jc w:val="center"/>
                    <w:rPr>
                      <w:color w:val="auto"/>
                      <w:szCs w:val="21"/>
                    </w:rPr>
                  </w:pPr>
                </w:p>
              </w:tc>
              <w:tc>
                <w:tcPr>
                  <w:tcW w:w="21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eastAsia="宋体"/>
                      <w:color w:val="auto"/>
                      <w:szCs w:val="21"/>
                      <w:lang w:val="en-US" w:eastAsia="zh-CN"/>
                    </w:rPr>
                  </w:pPr>
                  <w:r>
                    <w:rPr>
                      <w:rFonts w:hint="eastAsia"/>
                      <w:color w:val="auto"/>
                      <w:szCs w:val="21"/>
                      <w:lang w:val="en-US" w:eastAsia="zh-CN"/>
                    </w:rPr>
                    <w:t>总锰</w:t>
                  </w:r>
                </w:p>
              </w:tc>
              <w:tc>
                <w:tcPr>
                  <w:tcW w:w="1405" w:type="pct"/>
                  <w:vMerge w:val="continue"/>
                  <w:tcBorders>
                    <w:left w:val="single" w:color="auto" w:sz="4" w:space="0"/>
                    <w:right w:val="single" w:color="auto" w:sz="4" w:space="0"/>
                  </w:tcBorders>
                  <w:noWrap w:val="0"/>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446" w:type="pct"/>
                  <w:vMerge w:val="continue"/>
                  <w:tcBorders>
                    <w:left w:val="single" w:color="auto" w:sz="4" w:space="0"/>
                    <w:right w:val="single" w:color="auto" w:sz="4" w:space="0"/>
                  </w:tcBorders>
                  <w:noWrap w:val="0"/>
                  <w:vAlign w:val="center"/>
                </w:tcPr>
                <w:p>
                  <w:pPr>
                    <w:adjustRightInd w:val="0"/>
                    <w:snapToGrid w:val="0"/>
                    <w:jc w:val="center"/>
                    <w:rPr>
                      <w:color w:val="auto"/>
                      <w:szCs w:val="21"/>
                    </w:rPr>
                  </w:pPr>
                </w:p>
              </w:tc>
              <w:tc>
                <w:tcPr>
                  <w:tcW w:w="21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eastAsia="宋体"/>
                      <w:color w:val="auto"/>
                      <w:szCs w:val="21"/>
                      <w:lang w:eastAsia="zh-CN"/>
                    </w:rPr>
                  </w:pPr>
                  <w:r>
                    <w:rPr>
                      <w:rFonts w:hint="eastAsia"/>
                      <w:color w:val="auto"/>
                      <w:szCs w:val="21"/>
                      <w:lang w:val="en-US" w:eastAsia="zh-CN"/>
                    </w:rPr>
                    <w:t>总铝</w:t>
                  </w:r>
                </w:p>
              </w:tc>
              <w:tc>
                <w:tcPr>
                  <w:tcW w:w="1405" w:type="pct"/>
                  <w:vMerge w:val="continue"/>
                  <w:tcBorders>
                    <w:left w:val="single" w:color="auto" w:sz="4" w:space="0"/>
                    <w:right w:val="single" w:color="auto" w:sz="4" w:space="0"/>
                  </w:tcBorders>
                  <w:noWrap w:val="0"/>
                  <w:vAlign w:val="center"/>
                </w:tcPr>
                <w:p>
                  <w:pPr>
                    <w:adjustRightInd w:val="0"/>
                    <w:snapToGrid w:val="0"/>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1446" w:type="pct"/>
                  <w:vMerge w:val="continue"/>
                  <w:tcBorders>
                    <w:left w:val="single" w:color="auto" w:sz="4" w:space="0"/>
                    <w:bottom w:val="single" w:color="auto" w:sz="4" w:space="0"/>
                    <w:right w:val="single" w:color="auto" w:sz="4" w:space="0"/>
                  </w:tcBorders>
                  <w:noWrap w:val="0"/>
                  <w:vAlign w:val="center"/>
                </w:tcPr>
                <w:p>
                  <w:pPr>
                    <w:adjustRightInd w:val="0"/>
                    <w:snapToGrid w:val="0"/>
                    <w:jc w:val="center"/>
                    <w:rPr>
                      <w:color w:val="auto"/>
                      <w:szCs w:val="21"/>
                    </w:rPr>
                  </w:pPr>
                </w:p>
              </w:tc>
              <w:tc>
                <w:tcPr>
                  <w:tcW w:w="21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default"/>
                      <w:color w:val="auto"/>
                      <w:szCs w:val="21"/>
                      <w:lang w:val="en-US" w:eastAsia="zh-CN"/>
                    </w:rPr>
                  </w:pPr>
                  <w:r>
                    <w:rPr>
                      <w:rFonts w:hint="eastAsia"/>
                      <w:color w:val="auto"/>
                      <w:szCs w:val="21"/>
                      <w:lang w:val="en-US" w:eastAsia="zh-CN"/>
                    </w:rPr>
                    <w:t>总铜</w:t>
                  </w:r>
                </w:p>
              </w:tc>
              <w:tc>
                <w:tcPr>
                  <w:tcW w:w="1405" w:type="pct"/>
                  <w:vMerge w:val="continue"/>
                  <w:tcBorders>
                    <w:left w:val="single" w:color="auto" w:sz="4" w:space="0"/>
                    <w:bottom w:val="single" w:color="auto" w:sz="4" w:space="0"/>
                    <w:right w:val="single" w:color="auto" w:sz="4" w:space="0"/>
                  </w:tcBorders>
                  <w:noWrap w:val="0"/>
                  <w:vAlign w:val="center"/>
                </w:tcPr>
                <w:p>
                  <w:pPr>
                    <w:adjustRightInd w:val="0"/>
                    <w:snapToGrid w:val="0"/>
                    <w:jc w:val="center"/>
                    <w:rPr>
                      <w:color w:val="auto"/>
                      <w:szCs w:val="21"/>
                    </w:rPr>
                  </w:pPr>
                </w:p>
              </w:tc>
            </w:tr>
          </w:tbl>
          <w:p>
            <w:pPr>
              <w:spacing w:line="360" w:lineRule="auto"/>
              <w:ind w:firstLine="482" w:firstLineChars="200"/>
              <w:contextualSpacing/>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4.2.3 噪声</w:t>
            </w:r>
          </w:p>
          <w:p>
            <w:pPr>
              <w:spacing w:line="360" w:lineRule="auto"/>
              <w:ind w:firstLine="482" w:firstLineChars="200"/>
              <w:rPr>
                <w:rFonts w:ascii="Times New Roman" w:hAnsi="Times New Roman"/>
                <w:b/>
                <w:bCs/>
                <w:color w:val="auto"/>
                <w:sz w:val="24"/>
                <w:szCs w:val="24"/>
              </w:rPr>
            </w:pPr>
            <w:r>
              <w:rPr>
                <w:rFonts w:hint="default" w:ascii="Times New Roman" w:hAnsi="Times New Roman" w:cs="Times New Roman"/>
                <w:b/>
                <w:bCs/>
                <w:color w:val="auto"/>
                <w:sz w:val="24"/>
                <w:szCs w:val="24"/>
              </w:rPr>
              <w:t>4.2.3.1噪声</w:t>
            </w:r>
            <w:r>
              <w:rPr>
                <w:rFonts w:ascii="Times New Roman" w:hAnsi="Times New Roman"/>
                <w:b/>
                <w:bCs/>
                <w:color w:val="auto"/>
                <w:sz w:val="24"/>
                <w:szCs w:val="24"/>
              </w:rPr>
              <w:t>源强分析</w:t>
            </w:r>
          </w:p>
          <w:p>
            <w:pPr>
              <w:pStyle w:val="89"/>
              <w:tabs>
                <w:tab w:val="left" w:pos="540"/>
              </w:tabs>
              <w:spacing w:line="360" w:lineRule="auto"/>
              <w:ind w:firstLine="480" w:firstLineChars="200"/>
              <w:rPr>
                <w:rFonts w:hint="eastAsia" w:ascii="Times New Roman" w:hAnsi="Times New Roman" w:eastAsia="宋体" w:cs="Times New Roman"/>
                <w:color w:val="auto"/>
                <w:kern w:val="0"/>
                <w:sz w:val="24"/>
                <w:szCs w:val="24"/>
                <w:highlight w:val="yellow"/>
                <w:lang w:val="en-US" w:eastAsia="zh-CN"/>
              </w:rPr>
            </w:pPr>
            <w:r>
              <w:rPr>
                <w:rFonts w:hint="eastAsia"/>
                <w:color w:val="auto"/>
                <w:sz w:val="24"/>
                <w:szCs w:val="24"/>
              </w:rPr>
              <w:t>项目主要的噪声源来自于车间生产设备</w:t>
            </w:r>
            <w:r>
              <w:rPr>
                <w:rFonts w:hint="eastAsia"/>
                <w:color w:val="auto"/>
                <w:sz w:val="24"/>
                <w:szCs w:val="24"/>
                <w:lang w:eastAsia="zh-CN"/>
              </w:rPr>
              <w:t>及辅助设备</w:t>
            </w:r>
            <w:r>
              <w:rPr>
                <w:rFonts w:hint="eastAsia"/>
                <w:color w:val="auto"/>
                <w:sz w:val="24"/>
                <w:szCs w:val="24"/>
              </w:rPr>
              <w:t>运行噪声，包括</w:t>
            </w:r>
            <w:r>
              <w:rPr>
                <w:rFonts w:hint="eastAsia" w:cs="Times New Roman"/>
                <w:color w:val="auto"/>
                <w:sz w:val="24"/>
                <w:szCs w:val="24"/>
                <w:lang w:val="en-US" w:eastAsia="zh-CN"/>
              </w:rPr>
              <w:t>搅拌机</w:t>
            </w:r>
            <w:r>
              <w:rPr>
                <w:rFonts w:ascii="Times New Roman" w:hAnsi="Times New Roman"/>
                <w:color w:val="auto"/>
                <w:sz w:val="24"/>
                <w:szCs w:val="24"/>
              </w:rPr>
              <w:t>、</w:t>
            </w:r>
            <w:r>
              <w:rPr>
                <w:rFonts w:hint="eastAsia" w:cs="Times New Roman"/>
                <w:color w:val="auto"/>
                <w:sz w:val="24"/>
                <w:szCs w:val="24"/>
                <w:highlight w:val="none"/>
                <w:lang w:val="en-US" w:eastAsia="zh-CN"/>
              </w:rPr>
              <w:t>涂布机</w:t>
            </w:r>
            <w:r>
              <w:rPr>
                <w:rFonts w:ascii="Times New Roman" w:hAnsi="Times New Roman"/>
                <w:color w:val="auto"/>
                <w:sz w:val="24"/>
                <w:szCs w:val="24"/>
              </w:rPr>
              <w:t>、</w:t>
            </w:r>
            <w:r>
              <w:rPr>
                <w:rFonts w:hint="eastAsia" w:ascii="Times New Roman" w:hAnsi="Times New Roman"/>
                <w:color w:val="auto"/>
                <w:sz w:val="24"/>
                <w:szCs w:val="24"/>
                <w:lang w:val="en-US" w:eastAsia="zh-CN"/>
              </w:rPr>
              <w:t>烤炉</w:t>
            </w:r>
            <w:r>
              <w:rPr>
                <w:rFonts w:ascii="Times New Roman" w:hAnsi="Times New Roman"/>
                <w:color w:val="auto"/>
                <w:sz w:val="24"/>
                <w:szCs w:val="24"/>
              </w:rPr>
              <w:t>、</w:t>
            </w:r>
            <w:r>
              <w:rPr>
                <w:rFonts w:hint="eastAsia" w:ascii="Times New Roman" w:hAnsi="Times New Roman"/>
                <w:color w:val="auto"/>
                <w:sz w:val="24"/>
                <w:szCs w:val="24"/>
                <w:lang w:val="en-US" w:eastAsia="zh-CN"/>
              </w:rPr>
              <w:t>辊压</w:t>
            </w:r>
            <w:r>
              <w:rPr>
                <w:rFonts w:hint="eastAsia" w:cs="Times New Roman"/>
                <w:color w:val="auto"/>
                <w:sz w:val="24"/>
                <w:szCs w:val="24"/>
                <w:highlight w:val="none"/>
                <w:lang w:val="en-US" w:eastAsia="zh-CN"/>
              </w:rPr>
              <w:t>机</w:t>
            </w:r>
            <w:r>
              <w:rPr>
                <w:rFonts w:ascii="Times New Roman" w:hAnsi="Times New Roman"/>
                <w:color w:val="auto"/>
                <w:sz w:val="24"/>
                <w:szCs w:val="24"/>
              </w:rPr>
              <w:t>、</w:t>
            </w:r>
            <w:r>
              <w:rPr>
                <w:rFonts w:hint="eastAsia" w:ascii="Times New Roman" w:hAnsi="Times New Roman"/>
                <w:color w:val="auto"/>
                <w:sz w:val="24"/>
                <w:szCs w:val="24"/>
                <w:lang w:val="en-US" w:eastAsia="zh-CN"/>
              </w:rPr>
              <w:t>分条</w:t>
            </w:r>
            <w:r>
              <w:rPr>
                <w:rFonts w:hint="eastAsia" w:ascii="Times New Roman" w:hAnsi="Times New Roman" w:eastAsia="宋体" w:cs="Times New Roman"/>
                <w:b w:val="0"/>
                <w:bCs w:val="0"/>
                <w:color w:val="auto"/>
                <w:sz w:val="24"/>
                <w:szCs w:val="24"/>
                <w:lang w:val="en-US" w:eastAsia="zh-CN"/>
              </w:rPr>
              <w:t>机</w:t>
            </w:r>
            <w:r>
              <w:rPr>
                <w:rFonts w:ascii="Times New Roman" w:hAnsi="Times New Roman"/>
                <w:color w:val="auto"/>
                <w:sz w:val="24"/>
                <w:szCs w:val="24"/>
              </w:rPr>
              <w:t>、</w:t>
            </w:r>
            <w:r>
              <w:rPr>
                <w:rFonts w:hint="eastAsia" w:ascii="Times New Roman" w:hAnsi="Times New Roman"/>
                <w:color w:val="auto"/>
                <w:sz w:val="24"/>
                <w:szCs w:val="24"/>
                <w:lang w:val="en-US" w:eastAsia="zh-CN"/>
              </w:rPr>
              <w:t>制片机</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卷绕</w:t>
            </w:r>
            <w:r>
              <w:rPr>
                <w:rFonts w:hint="default" w:ascii="Times New Roman" w:hAnsi="Times New Roman" w:eastAsia="宋体" w:cs="Times New Roman"/>
                <w:b w:val="0"/>
                <w:bCs w:val="0"/>
                <w:color w:val="auto"/>
                <w:sz w:val="24"/>
                <w:szCs w:val="24"/>
              </w:rPr>
              <w:t>机</w:t>
            </w:r>
            <w:r>
              <w:rPr>
                <w:rFonts w:hint="eastAsia" w:ascii="Times New Roman" w:hAnsi="Times New Roman" w:eastAsia="宋体" w:cs="Times New Roman"/>
                <w:b w:val="0"/>
                <w:bCs w:val="0"/>
                <w:color w:val="auto"/>
                <w:sz w:val="24"/>
                <w:szCs w:val="24"/>
                <w:lang w:eastAsia="zh-CN"/>
              </w:rPr>
              <w:t>、</w:t>
            </w:r>
            <w:r>
              <w:rPr>
                <w:rFonts w:hint="eastAsia" w:ascii="Times New Roman" w:hAnsi="Times New Roman" w:eastAsia="宋体" w:cs="Times New Roman"/>
                <w:b w:val="0"/>
                <w:bCs w:val="0"/>
                <w:color w:val="auto"/>
                <w:sz w:val="24"/>
                <w:szCs w:val="24"/>
                <w:lang w:val="en-US" w:eastAsia="zh-CN"/>
              </w:rPr>
              <w:t>注液机</w:t>
            </w:r>
            <w:r>
              <w:rPr>
                <w:rFonts w:hint="eastAsia"/>
                <w:color w:val="auto"/>
                <w:sz w:val="24"/>
                <w:szCs w:val="24"/>
              </w:rPr>
              <w:t>等加工设备及辅助设备，据类比分析，噪声源强</w:t>
            </w:r>
            <w:r>
              <w:rPr>
                <w:rFonts w:hint="eastAsia"/>
                <w:color w:val="auto"/>
                <w:sz w:val="24"/>
                <w:szCs w:val="24"/>
                <w:lang w:eastAsia="zh-CN"/>
              </w:rPr>
              <w:t>约</w:t>
            </w:r>
            <w:r>
              <w:rPr>
                <w:rFonts w:hint="eastAsia"/>
                <w:color w:val="auto"/>
                <w:sz w:val="24"/>
                <w:szCs w:val="24"/>
              </w:rPr>
              <w:t>为7</w:t>
            </w:r>
            <w:r>
              <w:rPr>
                <w:rFonts w:hint="eastAsia"/>
                <w:color w:val="auto"/>
                <w:sz w:val="24"/>
                <w:szCs w:val="24"/>
                <w:lang w:val="en-US" w:eastAsia="zh-CN"/>
              </w:rPr>
              <w:t>0</w:t>
            </w:r>
            <w:r>
              <w:rPr>
                <w:rFonts w:hint="eastAsia"/>
                <w:color w:val="auto"/>
                <w:sz w:val="24"/>
                <w:szCs w:val="24"/>
              </w:rPr>
              <w:t>~85dB(A)</w:t>
            </w:r>
            <w:r>
              <w:rPr>
                <w:rFonts w:ascii="Times New Roman" w:hAnsi="Times New Roman"/>
                <w:color w:val="auto"/>
                <w:sz w:val="24"/>
                <w:szCs w:val="24"/>
              </w:rPr>
              <w:t>，</w:t>
            </w:r>
            <w:r>
              <w:rPr>
                <w:rFonts w:hint="eastAsia" w:ascii="Times New Roman" w:hAnsi="Times New Roman"/>
                <w:color w:val="auto"/>
                <w:sz w:val="24"/>
                <w:szCs w:val="24"/>
              </w:rPr>
              <w:t>项目主要产生噪声的设备位于生产车间，</w:t>
            </w:r>
            <w:r>
              <w:rPr>
                <w:color w:val="auto"/>
                <w:sz w:val="24"/>
                <w:szCs w:val="24"/>
              </w:rPr>
              <w:t>根据刘惠玲主编的《</w:t>
            </w:r>
            <w:r>
              <w:rPr>
                <w:rFonts w:hint="eastAsia"/>
                <w:color w:val="auto"/>
                <w:sz w:val="24"/>
                <w:szCs w:val="24"/>
              </w:rPr>
              <w:t>环境</w:t>
            </w:r>
            <w:r>
              <w:rPr>
                <w:color w:val="auto"/>
                <w:sz w:val="24"/>
                <w:szCs w:val="24"/>
              </w:rPr>
              <w:t>噪声控制》（2002年10月第1版），采用隔声间（室）技术措施，降噪效果可达20~40dB（A）；减振处理，降噪效果可达5~25dB（A）。本项目通过减振、墙体隔声的方式，噪声效果降低</w:t>
            </w:r>
            <w:r>
              <w:rPr>
                <w:rFonts w:hint="eastAsia"/>
                <w:color w:val="auto"/>
                <w:sz w:val="24"/>
                <w:szCs w:val="24"/>
                <w:lang w:eastAsia="zh-CN"/>
              </w:rPr>
              <w:t>约</w:t>
            </w:r>
            <w:r>
              <w:rPr>
                <w:rFonts w:hint="eastAsia"/>
                <w:color w:val="auto"/>
                <w:sz w:val="24"/>
                <w:szCs w:val="24"/>
                <w:lang w:val="en-US" w:eastAsia="zh-CN"/>
              </w:rPr>
              <w:t>25</w:t>
            </w:r>
            <w:r>
              <w:rPr>
                <w:color w:val="auto"/>
                <w:sz w:val="24"/>
                <w:szCs w:val="24"/>
              </w:rPr>
              <w:t>dB（A）</w:t>
            </w:r>
            <w:r>
              <w:rPr>
                <w:rFonts w:ascii="Times New Roman" w:hAnsi="Times New Roman"/>
                <w:color w:val="auto"/>
                <w:sz w:val="24"/>
                <w:szCs w:val="24"/>
              </w:rPr>
              <w:t>，</w:t>
            </w:r>
            <w:r>
              <w:rPr>
                <w:rFonts w:hint="eastAsia" w:ascii="Times New Roman" w:hAnsi="Times New Roman"/>
                <w:color w:val="auto"/>
                <w:sz w:val="24"/>
                <w:szCs w:val="24"/>
                <w:lang w:eastAsia="zh-CN"/>
              </w:rPr>
              <w:t>项目</w:t>
            </w:r>
            <w:r>
              <w:rPr>
                <w:rFonts w:ascii="Times New Roman" w:hAnsi="Times New Roman"/>
                <w:color w:val="auto"/>
                <w:sz w:val="24"/>
                <w:szCs w:val="24"/>
              </w:rPr>
              <w:t>噪声源强见下表</w:t>
            </w:r>
            <w:r>
              <w:rPr>
                <w:rFonts w:hint="eastAsia" w:ascii="Times New Roman" w:hAnsi="Times New Roman"/>
                <w:color w:val="auto"/>
                <w:sz w:val="24"/>
                <w:szCs w:val="24"/>
                <w:lang w:eastAsia="zh-CN"/>
              </w:rPr>
              <w:t>。</w:t>
            </w: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p>
            <w:pPr>
              <w:pStyle w:val="89"/>
              <w:tabs>
                <w:tab w:val="left" w:pos="540"/>
              </w:tabs>
              <w:spacing w:line="360" w:lineRule="auto"/>
              <w:ind w:firstLine="420" w:firstLineChars="200"/>
              <w:rPr>
                <w:rFonts w:hint="default" w:ascii="Times New Roman" w:hAnsi="Times New Roman" w:eastAsia="宋体" w:cs="Times New Roman"/>
                <w:color w:val="auto"/>
                <w:kern w:val="0"/>
                <w:szCs w:val="21"/>
                <w:lang w:val="en-US" w:eastAsia="zh-CN"/>
              </w:rPr>
            </w:pPr>
          </w:p>
        </w:tc>
      </w:tr>
    </w:tbl>
    <w:p>
      <w:pPr>
        <w:adjustRightInd w:val="0"/>
        <w:snapToGrid w:val="0"/>
        <w:spacing w:line="360" w:lineRule="auto"/>
        <w:rPr>
          <w:rFonts w:hint="default" w:ascii="Times New Roman" w:hAnsi="Times New Roman" w:cs="Times New Roman"/>
          <w:b/>
          <w:color w:val="auto"/>
          <w:kern w:val="0"/>
          <w:sz w:val="28"/>
          <w:szCs w:val="28"/>
        </w:rPr>
        <w:sectPr>
          <w:type w:val="continuous"/>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2"/>
        <w:tblW w:w="20782"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77"/>
        <w:gridCol w:w="2040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80" w:hRule="atLeast"/>
          <w:jc w:val="center"/>
        </w:trPr>
        <w:tc>
          <w:tcPr>
            <w:tcW w:w="377" w:type="dxa"/>
            <w:noWrap w:val="0"/>
            <w:tcMar>
              <w:left w:w="28" w:type="dxa"/>
              <w:right w:w="28" w:type="dxa"/>
            </w:tcMar>
            <w:vAlign w:val="center"/>
          </w:tcPr>
          <w:p>
            <w:pPr>
              <w:pStyle w:val="27"/>
              <w:adjustRightInd w:val="0"/>
              <w:snapToGrid w:val="0"/>
              <w:spacing w:before="0" w:beforeAutospacing="0" w:after="0" w:afterAutospacing="0"/>
              <w:jc w:val="center"/>
              <w:rPr>
                <w:rFonts w:hint="eastAsia" w:cs="宋体"/>
                <w:color w:val="auto"/>
                <w:kern w:val="2"/>
                <w:sz w:val="21"/>
                <w:szCs w:val="21"/>
                <w:lang w:val="en-US" w:eastAsia="zh-CN"/>
              </w:rPr>
            </w:pPr>
            <w:r>
              <w:rPr>
                <w:rFonts w:ascii="Times New Roman" w:hAnsi="Times New Roman" w:eastAsia="黑体"/>
                <w:snapToGrid w:val="0"/>
                <w:color w:val="auto"/>
                <w:sz w:val="21"/>
                <w:szCs w:val="21"/>
              </w:rPr>
              <w:br w:type="page"/>
            </w:r>
            <w:r>
              <w:rPr>
                <w:rFonts w:hint="eastAsia" w:ascii="宋体" w:hAnsi="宋体" w:cs="宋体"/>
                <w:bCs/>
                <w:color w:val="auto"/>
                <w:sz w:val="21"/>
                <w:szCs w:val="21"/>
              </w:rPr>
              <w:t>运营期环境影响和保护措施</w:t>
            </w:r>
          </w:p>
        </w:tc>
        <w:tc>
          <w:tcPr>
            <w:tcW w:w="20405" w:type="dxa"/>
            <w:noWrap w:val="0"/>
            <w:vAlign w:val="top"/>
          </w:tcPr>
          <w:p>
            <w:pPr>
              <w:pStyle w:val="65"/>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center"/>
              <w:textAlignment w:val="baseline"/>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表4</w:t>
            </w:r>
            <w:r>
              <w:rPr>
                <w:rFonts w:hint="eastAsia" w:ascii="宋体" w:hAnsi="宋体" w:eastAsia="宋体" w:cs="宋体"/>
                <w:color w:val="auto"/>
                <w:sz w:val="24"/>
                <w:szCs w:val="24"/>
                <w:lang w:val="en-US" w:eastAsia="zh-CN"/>
              </w:rPr>
              <w:t xml:space="preserve">-25 </w:t>
            </w:r>
            <w:r>
              <w:rPr>
                <w:rFonts w:hint="eastAsia" w:ascii="宋体" w:hAnsi="宋体" w:eastAsia="宋体" w:cs="宋体"/>
                <w:color w:val="auto"/>
                <w:sz w:val="24"/>
                <w:szCs w:val="24"/>
              </w:rPr>
              <w:t>项目室内噪声源强调查清单</w:t>
            </w:r>
          </w:p>
          <w:tbl>
            <w:tblPr>
              <w:tblStyle w:val="32"/>
              <w:tblW w:w="20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38"/>
              <w:gridCol w:w="849"/>
              <w:gridCol w:w="1661"/>
              <w:gridCol w:w="922"/>
              <w:gridCol w:w="1775"/>
              <w:gridCol w:w="788"/>
              <w:gridCol w:w="562"/>
              <w:gridCol w:w="613"/>
              <w:gridCol w:w="625"/>
              <w:gridCol w:w="549"/>
              <w:gridCol w:w="525"/>
              <w:gridCol w:w="562"/>
              <w:gridCol w:w="528"/>
              <w:gridCol w:w="685"/>
              <w:gridCol w:w="712"/>
              <w:gridCol w:w="688"/>
              <w:gridCol w:w="789"/>
              <w:gridCol w:w="1314"/>
              <w:gridCol w:w="1287"/>
              <w:gridCol w:w="749"/>
              <w:gridCol w:w="675"/>
              <w:gridCol w:w="775"/>
              <w:gridCol w:w="750"/>
              <w:gridCol w:w="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序号</w:t>
                  </w:r>
                </w:p>
              </w:tc>
              <w:tc>
                <w:tcPr>
                  <w:tcW w:w="849"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建筑物名称</w:t>
                  </w:r>
                </w:p>
              </w:tc>
              <w:tc>
                <w:tcPr>
                  <w:tcW w:w="1661"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噪声源</w:t>
                  </w:r>
                </w:p>
              </w:tc>
              <w:tc>
                <w:tcPr>
                  <w:tcW w:w="922"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型号</w:t>
                  </w:r>
                </w:p>
              </w:tc>
              <w:tc>
                <w:tcPr>
                  <w:tcW w:w="177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lang w:eastAsia="zh-CN"/>
                    </w:rPr>
                  </w:pPr>
                  <w:r>
                    <w:rPr>
                      <w:rFonts w:hint="eastAsia" w:cs="Times New Roman"/>
                      <w:b/>
                      <w:bCs/>
                      <w:color w:val="auto"/>
                      <w:sz w:val="21"/>
                      <w:szCs w:val="21"/>
                      <w:lang w:eastAsia="zh-CN"/>
                    </w:rPr>
                    <w:t>声源源强</w:t>
                  </w:r>
                </w:p>
              </w:tc>
              <w:tc>
                <w:tcPr>
                  <w:tcW w:w="788"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声源控制措施</w:t>
                  </w:r>
                </w:p>
              </w:tc>
              <w:tc>
                <w:tcPr>
                  <w:tcW w:w="1800" w:type="dxa"/>
                  <w:gridSpan w:val="3"/>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空间相对位置/m</w:t>
                  </w:r>
                </w:p>
              </w:tc>
              <w:tc>
                <w:tcPr>
                  <w:tcW w:w="2164" w:type="dxa"/>
                  <w:gridSpan w:val="4"/>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距室内边界距离/m</w:t>
                  </w:r>
                </w:p>
              </w:tc>
              <w:tc>
                <w:tcPr>
                  <w:tcW w:w="2874" w:type="dxa"/>
                  <w:gridSpan w:val="4"/>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室内边界声级/dB(A)</w:t>
                  </w:r>
                </w:p>
              </w:tc>
              <w:tc>
                <w:tcPr>
                  <w:tcW w:w="1314"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运行时段</w:t>
                  </w:r>
                </w:p>
              </w:tc>
              <w:tc>
                <w:tcPr>
                  <w:tcW w:w="1287"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建筑物插入损失/ dB(A)</w:t>
                  </w:r>
                </w:p>
              </w:tc>
              <w:tc>
                <w:tcPr>
                  <w:tcW w:w="3930" w:type="dxa"/>
                  <w:gridSpan w:val="5"/>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建筑物外噪声声压级/dB(A)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lang w:eastAsia="zh-CN"/>
                    </w:rPr>
                  </w:pP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lang w:eastAsia="zh-CN"/>
                    </w:rPr>
                  </w:pPr>
                </w:p>
              </w:tc>
              <w:tc>
                <w:tcPr>
                  <w:tcW w:w="1661"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rPr>
                  </w:pPr>
                </w:p>
              </w:tc>
              <w:tc>
                <w:tcPr>
                  <w:tcW w:w="922"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lang w:eastAsia="zh-CN"/>
                    </w:rPr>
                  </w:pPr>
                </w:p>
              </w:tc>
              <w:tc>
                <w:tcPr>
                  <w:tcW w:w="177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lang w:eastAsia="zh-CN"/>
                    </w:rPr>
                    <w:t>声压级/距声源距离（dB(A)/m）</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X</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Y</w:t>
                  </w:r>
                </w:p>
              </w:tc>
              <w:tc>
                <w:tcPr>
                  <w:tcW w:w="62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Z</w:t>
                  </w:r>
                </w:p>
              </w:tc>
              <w:tc>
                <w:tcPr>
                  <w:tcW w:w="549"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东</w:t>
                  </w:r>
                </w:p>
              </w:tc>
              <w:tc>
                <w:tcPr>
                  <w:tcW w:w="52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南</w:t>
                  </w: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西</w:t>
                  </w:r>
                </w:p>
              </w:tc>
              <w:tc>
                <w:tcPr>
                  <w:tcW w:w="52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北</w:t>
                  </w:r>
                </w:p>
              </w:tc>
              <w:tc>
                <w:tcPr>
                  <w:tcW w:w="68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sz w:val="21"/>
                      <w:szCs w:val="21"/>
                      <w:lang w:val="en-US" w:eastAsia="zh-CN"/>
                    </w:rPr>
                    <w:t>东</w:t>
                  </w:r>
                </w:p>
              </w:tc>
              <w:tc>
                <w:tcPr>
                  <w:tcW w:w="71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sz w:val="21"/>
                      <w:szCs w:val="21"/>
                      <w:lang w:val="en-US" w:eastAsia="zh-CN"/>
                    </w:rPr>
                    <w:t>南</w:t>
                  </w:r>
                </w:p>
              </w:tc>
              <w:tc>
                <w:tcPr>
                  <w:tcW w:w="68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sz w:val="21"/>
                      <w:szCs w:val="21"/>
                      <w:lang w:val="en-US" w:eastAsia="zh-CN"/>
                    </w:rPr>
                    <w:t>西</w:t>
                  </w:r>
                </w:p>
              </w:tc>
              <w:tc>
                <w:tcPr>
                  <w:tcW w:w="789"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sz w:val="21"/>
                      <w:szCs w:val="21"/>
                      <w:lang w:val="en-US" w:eastAsia="zh-CN"/>
                    </w:rPr>
                    <w:t>北</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p>
              </w:tc>
              <w:tc>
                <w:tcPr>
                  <w:tcW w:w="749"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sz w:val="21"/>
                      <w:szCs w:val="21"/>
                      <w:lang w:val="en-US" w:eastAsia="zh-CN"/>
                    </w:rPr>
                    <w:t>东</w:t>
                  </w:r>
                </w:p>
              </w:tc>
              <w:tc>
                <w:tcPr>
                  <w:tcW w:w="67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sz w:val="21"/>
                      <w:szCs w:val="21"/>
                      <w:lang w:val="en-US" w:eastAsia="zh-CN"/>
                    </w:rPr>
                    <w:t>南</w:t>
                  </w:r>
                </w:p>
              </w:tc>
              <w:tc>
                <w:tcPr>
                  <w:tcW w:w="77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sz w:val="21"/>
                      <w:szCs w:val="21"/>
                      <w:lang w:val="en-US" w:eastAsia="zh-CN"/>
                    </w:rPr>
                    <w:t>西</w:t>
                  </w:r>
                </w:p>
              </w:tc>
              <w:tc>
                <w:tcPr>
                  <w:tcW w:w="750"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b/>
                      <w:bCs/>
                      <w:color w:val="auto"/>
                      <w:kern w:val="0"/>
                      <w:sz w:val="21"/>
                      <w:szCs w:val="21"/>
                      <w:lang w:val="en-US" w:eastAsia="zh-CN" w:bidi="ar-SA"/>
                    </w:rPr>
                  </w:pPr>
                  <w:r>
                    <w:rPr>
                      <w:rFonts w:hint="eastAsia" w:ascii="Times New Roman" w:hAnsi="Times New Roman" w:eastAsia="宋体" w:cs="Times New Roman"/>
                      <w:b/>
                      <w:bCs/>
                      <w:color w:val="auto"/>
                      <w:sz w:val="21"/>
                      <w:szCs w:val="21"/>
                      <w:lang w:val="en-US" w:eastAsia="zh-CN"/>
                    </w:rPr>
                    <w:t>北</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建筑物外距离/m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c>
                <w:tcPr>
                  <w:tcW w:w="849"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生产车间</w:t>
                  </w: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搅拌机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75</w:t>
                  </w:r>
                  <w:r>
                    <w:rPr>
                      <w:rFonts w:hint="default" w:ascii="Times New Roman" w:hAnsi="Times New Roman" w:eastAsia="宋体" w:cs="Times New Roman"/>
                      <w:snapToGrid w:val="0"/>
                      <w:color w:val="auto"/>
                      <w:sz w:val="21"/>
                      <w:szCs w:val="21"/>
                      <w:lang w:val="en-US" w:eastAsia="zh-CN" w:bidi="ar-SA"/>
                    </w:rPr>
                    <w:t>/1</w:t>
                  </w:r>
                </w:p>
              </w:tc>
              <w:tc>
                <w:tcPr>
                  <w:tcW w:w="788"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选用低噪声设备、减振、墙体隔声、合理布局</w:t>
                  </w: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62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43</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kern w:val="0"/>
                      <w:sz w:val="21"/>
                      <w:szCs w:val="21"/>
                      <w:lang w:val="en-US" w:eastAsia="zh-CN"/>
                    </w:rPr>
                    <w:t>5</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rPr>
                    <w:t>7</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15</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51.20</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55.19</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54.30</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51.80</w:t>
                  </w:r>
                </w:p>
              </w:tc>
              <w:tc>
                <w:tcPr>
                  <w:tcW w:w="1314"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实行</w:t>
                  </w:r>
                  <w:r>
                    <w:rPr>
                      <w:rFonts w:hint="eastAsia" w:ascii="Times New Roman" w:hAnsi="Times New Roman" w:eastAsia="宋体" w:cs="Times New Roman"/>
                      <w:color w:val="auto"/>
                      <w:sz w:val="21"/>
                      <w:szCs w:val="21"/>
                      <w:lang w:val="en-US" w:eastAsia="zh-CN"/>
                    </w:rPr>
                    <w:t>两</w:t>
                  </w:r>
                  <w:r>
                    <w:rPr>
                      <w:rFonts w:hint="default" w:ascii="Times New Roman" w:hAnsi="Times New Roman" w:eastAsia="宋体" w:cs="Times New Roman"/>
                      <w:color w:val="auto"/>
                      <w:sz w:val="21"/>
                      <w:szCs w:val="21"/>
                      <w:lang w:val="en-US" w:eastAsia="zh-CN"/>
                    </w:rPr>
                    <w:t>班制，每班工作10小时，年工作时间</w:t>
                  </w:r>
                  <w:r>
                    <w:rPr>
                      <w:rFonts w:hint="eastAsia" w:ascii="Times New Roman" w:hAnsi="Times New Roman" w:eastAsia="宋体" w:cs="Times New Roman"/>
                      <w:color w:val="auto"/>
                      <w:sz w:val="21"/>
                      <w:szCs w:val="21"/>
                      <w:lang w:val="en-US" w:eastAsia="zh-CN"/>
                    </w:rPr>
                    <w:t>280</w:t>
                  </w:r>
                  <w:r>
                    <w:rPr>
                      <w:rFonts w:hint="default" w:ascii="Times New Roman" w:hAnsi="Times New Roman" w:eastAsia="宋体" w:cs="Times New Roman"/>
                      <w:color w:val="auto"/>
                      <w:sz w:val="21"/>
                      <w:szCs w:val="21"/>
                      <w:lang w:val="en-US" w:eastAsia="zh-CN"/>
                    </w:rPr>
                    <w:t>天，每年工作</w:t>
                  </w:r>
                  <w:r>
                    <w:rPr>
                      <w:rFonts w:hint="eastAsia" w:ascii="Times New Roman" w:hAnsi="Times New Roman" w:eastAsia="宋体" w:cs="Times New Roman"/>
                      <w:color w:val="auto"/>
                      <w:sz w:val="21"/>
                      <w:szCs w:val="21"/>
                      <w:lang w:val="en-US" w:eastAsia="zh-CN"/>
                    </w:rPr>
                    <w:t>56</w:t>
                  </w:r>
                  <w:r>
                    <w:rPr>
                      <w:rFonts w:hint="default" w:ascii="Times New Roman" w:hAnsi="Times New Roman" w:eastAsia="宋体" w:cs="Times New Roman"/>
                      <w:color w:val="auto"/>
                      <w:sz w:val="21"/>
                      <w:szCs w:val="21"/>
                      <w:lang w:val="en-US" w:eastAsia="zh-CN"/>
                    </w:rPr>
                    <w:t>00小时</w:t>
                  </w:r>
                </w:p>
              </w:tc>
              <w:tc>
                <w:tcPr>
                  <w:tcW w:w="1287" w:type="dxa"/>
                  <w:vMerge w:val="restart"/>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25dB（A）</w:t>
                  </w: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30.19</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29.3</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26.8</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eastAsia="zh-CN"/>
                    </w:rPr>
                  </w:pPr>
                  <w:r>
                    <w:rPr>
                      <w:rFonts w:hint="eastAsia" w:ascii="Times New Roman" w:hAnsi="Times New Roman" w:eastAsia="宋体" w:cs="Times New Roman"/>
                      <w:snapToGrid w:val="0"/>
                      <w:color w:val="auto"/>
                      <w:sz w:val="21"/>
                      <w:szCs w:val="21"/>
                      <w:lang w:val="en-US" w:eastAsia="zh-CN" w:bidi="ar-SA"/>
                    </w:rPr>
                    <w:t>搅拌机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bidi="ar-SA"/>
                    </w:rPr>
                    <w:t>75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41</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15</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51.19</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55.19</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53.18</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51.80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26.19</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30.19</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28.18</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26.8</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搅拌机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-23</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43</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17</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51.20</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58.38</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54.30</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51.66</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33.38</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29.3</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26.66</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4</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bidi="ar-SA"/>
                    </w:rPr>
                    <w:t>搅拌机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bidi="ar-SA"/>
                    </w:rPr>
                    <w:t>75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41</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17</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51.19</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58.38</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53.18</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51.66</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26.19</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33.38</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28.18</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26.66</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9"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涂布机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70/1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2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Times New Roman" w:hAnsi="Times New Roman" w:eastAsia="宋体" w:cs="Times New Roman"/>
                      <w:i w:val="0"/>
                      <w:iCs w:val="0"/>
                      <w:color w:val="auto"/>
                      <w:kern w:val="0"/>
                      <w:sz w:val="21"/>
                      <w:szCs w:val="21"/>
                      <w:u w:val="none"/>
                      <w:lang w:val="en-US" w:eastAsia="zh-CN" w:bidi="ar"/>
                    </w:rPr>
                    <w:t>9</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bidi="ar-SA"/>
                    </w:rPr>
                    <w:t>2</w:t>
                  </w:r>
                  <w:r>
                    <w:rPr>
                      <w:rFonts w:hint="eastAsia" w:ascii="Times New Roman" w:hAnsi="Times New Roman" w:eastAsia="宋体" w:cs="Times New Roman"/>
                      <w:color w:val="auto"/>
                      <w:kern w:val="0"/>
                      <w:sz w:val="21"/>
                      <w:szCs w:val="21"/>
                      <w:lang w:val="en-US" w:eastAsia="zh-CN" w:bidi="ar-SA"/>
                    </w:rPr>
                    <w:t>1</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46.31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46.51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21.51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21.72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6</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涂布机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70/1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2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46.31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46.51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21.51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rPr>
                    <w:t>7</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烤炉</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70/1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21.72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8</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烤炉</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70/1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9</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辊压机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5</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rPr>
                    <w:t>4</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45</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55.19</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51.19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30.19</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26.19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26.72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10</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辊压机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40</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10</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51.21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51.72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52.82</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56.47</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26.72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27.82</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31.47</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11</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分条机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18</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8</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42</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53.65</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51.20</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28.65</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26.72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12</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eastAsia" w:ascii="Times New Roman" w:hAnsi="Times New Roman" w:eastAsia="宋体" w:cs="Times New Roman"/>
                      <w:snapToGrid w:val="0"/>
                      <w:color w:val="auto"/>
                      <w:sz w:val="21"/>
                      <w:szCs w:val="21"/>
                      <w:lang w:val="en-US" w:eastAsia="zh-CN"/>
                    </w:rPr>
                    <w:t>分条件</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42</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8</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51.20</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51.72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52.32</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56.47</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26.72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27.32</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31.47</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13</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制片机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25</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0"/>
                      <w:sz w:val="21"/>
                      <w:szCs w:val="21"/>
                      <w:lang w:val="en-US" w:eastAsia="zh-CN"/>
                    </w:rPr>
                    <w:t>18</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kern w:val="0"/>
                      <w:sz w:val="21"/>
                      <w:szCs w:val="21"/>
                      <w:lang w:val="en-US" w:eastAsia="zh-CN"/>
                    </w:rPr>
                    <w:t>2</w:t>
                  </w:r>
                  <w:r>
                    <w:rPr>
                      <w:rFonts w:hint="eastAsia" w:ascii="Times New Roman" w:hAnsi="Times New Roman" w:eastAsia="宋体" w:cs="Times New Roman"/>
                      <w:color w:val="auto"/>
                      <w:kern w:val="0"/>
                      <w:sz w:val="21"/>
                      <w:szCs w:val="21"/>
                      <w:lang w:val="en-US" w:eastAsia="zh-CN"/>
                    </w:rPr>
                    <w:t>5</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51.60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61.42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26.6</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36.42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14</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制片机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51.72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56.47</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26.72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31.47</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15</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制片机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51.90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54.30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26.9</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29.3</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16</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制片机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27</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18</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23</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51.33</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51.60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51.45</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61.42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26.33</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26.6</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26.45</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36.42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17</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制片机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18</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51.31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51.60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51.51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61.42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26.6</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26.51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36.42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18</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制片机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27</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23</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51.33</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51.72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51.45</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56.47</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26.33</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26.72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26.45</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31.47</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19</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制片机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18</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51.31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51.60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51.51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61.42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26.6</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26.51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36.42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20</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制片机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18</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51.31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51.60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51.51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61.42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26.6</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26.51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36.42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21</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卷绕机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8</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rPr>
                    <w:t>4</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17</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val="en-US" w:eastAsia="zh-CN"/>
                    </w:rPr>
                    <w:t>14</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rPr>
                    <w:t>3</w:t>
                  </w:r>
                  <w:r>
                    <w:rPr>
                      <w:rFonts w:hint="eastAsia" w:ascii="Times New Roman" w:hAnsi="Times New Roman" w:eastAsia="宋体" w:cs="Times New Roman"/>
                      <w:color w:val="auto"/>
                      <w:kern w:val="0"/>
                      <w:sz w:val="21"/>
                      <w:szCs w:val="21"/>
                      <w:lang w:val="en-US" w:eastAsia="zh-CN"/>
                    </w:rPr>
                    <w:t>3</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51.66</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51.90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51.27</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54.30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26.66</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26.9</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26.27</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29.3</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22</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卷绕机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8</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17</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33</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51.66</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51.72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51.27</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56.47</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26.66</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26.72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26.27</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31.47</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23</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卷绕机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51.80</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51.90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51.25</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54.30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26.8</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26.9</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26.25</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29.3</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24</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卷绕机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51.80</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51.72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51.25</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56.47</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26.8</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26.72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26.25</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31.47</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25</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卷绕机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1.2</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51.55</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51.90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51.29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54.30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26.55</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26.9</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26.29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29.3</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26</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冲壳机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80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23</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3</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2</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47</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Times New Roman" w:hAnsi="Times New Roman" w:eastAsia="宋体" w:cs="Times New Roman"/>
                      <w:i w:val="0"/>
                      <w:iCs w:val="0"/>
                      <w:color w:val="auto"/>
                      <w:kern w:val="0"/>
                      <w:sz w:val="21"/>
                      <w:szCs w:val="21"/>
                      <w:u w:val="none"/>
                      <w:lang w:val="en-US" w:eastAsia="zh-CN" w:bidi="ar"/>
                    </w:rPr>
                    <w:t>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66.42</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66.42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56.18</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41.42</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31.18</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31.6</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27</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冲壳机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highlight w:val="none"/>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highlight w:val="none"/>
                      <w:lang w:val="en-US" w:eastAsia="zh-CN" w:bidi="ar-SA"/>
                    </w:rPr>
                  </w:pPr>
                  <w:r>
                    <w:rPr>
                      <w:rFonts w:hint="eastAsia" w:ascii="Times New Roman" w:hAnsi="Times New Roman" w:eastAsia="宋体" w:cs="Times New Roman"/>
                      <w:snapToGrid w:val="0"/>
                      <w:color w:val="auto"/>
                      <w:sz w:val="21"/>
                      <w:szCs w:val="21"/>
                      <w:lang w:val="en-US" w:eastAsia="zh-CN" w:bidi="ar-SA"/>
                    </w:rPr>
                    <w:t>80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right="0"/>
                    <w:jc w:val="center"/>
                    <w:rPr>
                      <w:rFonts w:hint="default" w:ascii="Times New Roman" w:hAnsi="Times New Roman" w:eastAsia="宋体" w:cs="Times New Roman"/>
                      <w:color w:val="auto"/>
                      <w:sz w:val="21"/>
                      <w:szCs w:val="21"/>
                      <w:lang w:val="en-US" w:eastAsia="zh-CN"/>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61.47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66.42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56.19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36.47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31.19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31.6</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28</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冲壳机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80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23</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47</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66.42</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56.18</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41.42</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31.18</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31.72</w:t>
                  </w:r>
                </w:p>
              </w:tc>
              <w:tc>
                <w:tcPr>
                  <w:tcW w:w="981"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29</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冲壳机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80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61.47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56.19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36.47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31.19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31.72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30</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15</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Times New Roman" w:hAnsi="Times New Roman" w:eastAsia="宋体" w:cs="Times New Roman"/>
                      <w:i w:val="0"/>
                      <w:iCs w:val="0"/>
                      <w:color w:val="auto"/>
                      <w:kern w:val="0"/>
                      <w:sz w:val="21"/>
                      <w:szCs w:val="21"/>
                      <w:u w:val="none"/>
                      <w:lang w:val="en-US" w:eastAsia="zh-CN" w:bidi="ar"/>
                    </w:rPr>
                    <w:t>0</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0"/>
                      <w:sz w:val="21"/>
                      <w:szCs w:val="21"/>
                      <w:lang w:val="en-US" w:eastAsia="zh-CN" w:bidi="ar-SA"/>
                    </w:rPr>
                    <w:t>4</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0"/>
                      <w:sz w:val="21"/>
                      <w:szCs w:val="21"/>
                      <w:lang w:val="en-US" w:eastAsia="zh-CN" w:bidi="ar-SA"/>
                    </w:rPr>
                    <w:t>40</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Times New Roman" w:hAnsi="Times New Roman" w:eastAsia="宋体" w:cs="Times New Roman"/>
                      <w:i w:val="0"/>
                      <w:iCs w:val="0"/>
                      <w:color w:val="auto"/>
                      <w:kern w:val="0"/>
                      <w:sz w:val="21"/>
                      <w:szCs w:val="21"/>
                      <w:u w:val="none"/>
                      <w:lang w:val="en-US" w:eastAsia="zh-CN" w:bidi="ar"/>
                    </w:rPr>
                    <w:t>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47.54</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46.22</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22.54</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21.22</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21.72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31</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15</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10</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40</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47.54</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49.30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46.22</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46.90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22.54</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24.3</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21.22</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21.9</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32</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15</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10</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40</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47.54</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46.22</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22.54</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21.22</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33</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15</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10</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40</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47.54</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48.18</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46.22</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47.15</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22.54</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23.18</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21.22</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22.15</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34</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17</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48.18</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49.30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23.18</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24.3</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35</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17</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48.18</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49.30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46.90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23.18</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24.3</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21.9</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36</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17</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48.18</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46.21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23.18</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37</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17</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48.18</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48.18</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46.21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47.15</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23.18</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23.18</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22.15</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38</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37</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47.15</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46.23</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49.30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22.15</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21.23</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24.3</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39</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37</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kern w:val="2"/>
                      <w:sz w:val="21"/>
                      <w:szCs w:val="21"/>
                      <w:lang w:val="en-US" w:eastAsia="zh-CN" w:bidi="ar-SA"/>
                    </w:rPr>
                    <w:t>14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0"/>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47.15</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49.30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46.23</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46.90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22.15</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24.3</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21.23</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21.9</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40</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13</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2</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37</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47.15</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46.23</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22.15</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21.23</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41</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顶侧封机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13</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37</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47.15</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48.18</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46.23</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47.15</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22.15</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23.18</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21.23</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22.15</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42</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烤箱</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25</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sz w:val="21"/>
                      <w:szCs w:val="21"/>
                      <w:lang w:val="en-US" w:eastAsia="zh-CN"/>
                    </w:rPr>
                  </w:pPr>
                  <w:r>
                    <w:rPr>
                      <w:rFonts w:hint="eastAsia" w:ascii="Times New Roman" w:hAnsi="Times New Roman" w:cs="Times New Roman"/>
                      <w:color w:val="auto"/>
                      <w:kern w:val="0"/>
                      <w:sz w:val="21"/>
                      <w:szCs w:val="21"/>
                      <w:lang w:val="en-US" w:eastAsia="zh-CN" w:bidi="ar-SA"/>
                    </w:rPr>
                    <w:t>4</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 w:val="21"/>
                      <w:szCs w:val="21"/>
                      <w:lang w:val="en-US" w:eastAsia="zh-CN" w:bidi="ar-SA"/>
                    </w:rPr>
                    <w:t>2</w:t>
                  </w:r>
                  <w:r>
                    <w:rPr>
                      <w:rFonts w:hint="eastAsia" w:ascii="Times New Roman" w:hAnsi="Times New Roman" w:cs="Times New Roman"/>
                      <w:color w:val="auto"/>
                      <w:kern w:val="0"/>
                      <w:sz w:val="21"/>
                      <w:szCs w:val="21"/>
                      <w:lang w:val="en-US" w:eastAsia="zh-CN" w:bidi="ar-SA"/>
                    </w:rPr>
                    <w:t>5</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1</w:t>
                  </w:r>
                  <w:r>
                    <w:rPr>
                      <w:rFonts w:hint="eastAsia" w:ascii="Times New Roman" w:hAnsi="Times New Roman" w:eastAsia="宋体" w:cs="Times New Roman"/>
                      <w:i w:val="0"/>
                      <w:iCs w:val="0"/>
                      <w:color w:val="auto"/>
                      <w:kern w:val="0"/>
                      <w:sz w:val="21"/>
                      <w:szCs w:val="21"/>
                      <w:u w:val="none"/>
                      <w:lang w:val="en-US" w:eastAsia="zh-CN" w:bidi="ar"/>
                    </w:rPr>
                    <w:t>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21.72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43</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烤箱</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44</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烤箱</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0</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21.72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45</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烤箱</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27</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25</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46.33</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21.33</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46</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烤箱</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27</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23</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46.33</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46.45</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21.33</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21.45</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21.72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47</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烤箱</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18</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56.42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46.51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46.60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21.51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48</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烤箱</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29</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46.51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21.51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21.72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49</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烤箱</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-5</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-6</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30</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16</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46.29</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51.47</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46.55</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46.72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21.29</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26.47</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21.55</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21.72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50</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注液机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0</w:t>
                  </w:r>
                </w:p>
              </w:tc>
              <w:tc>
                <w:tcPr>
                  <w:tcW w:w="613"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Times New Roman" w:hAnsi="Times New Roman" w:eastAsia="宋体" w:cs="Times New Roman"/>
                      <w:i w:val="0"/>
                      <w:iCs w:val="0"/>
                      <w:color w:val="auto"/>
                      <w:kern w:val="0"/>
                      <w:sz w:val="21"/>
                      <w:szCs w:val="21"/>
                      <w:u w:val="none"/>
                      <w:lang w:val="en-US" w:eastAsia="zh-CN" w:bidi="ar"/>
                    </w:rPr>
                    <w:t>5</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cs="Times New Roman"/>
                      <w:color w:val="auto"/>
                      <w:kern w:val="0"/>
                      <w:sz w:val="21"/>
                      <w:szCs w:val="21"/>
                      <w:lang w:val="en-US" w:eastAsia="zh-CN" w:bidi="ar-SA"/>
                    </w:rPr>
                    <w:t>8</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 w:val="21"/>
                      <w:szCs w:val="21"/>
                      <w:lang w:val="en-US" w:eastAsia="zh-CN" w:bidi="ar-SA"/>
                    </w:rPr>
                    <w:t>2</w:t>
                  </w:r>
                  <w:r>
                    <w:rPr>
                      <w:rFonts w:hint="eastAsia" w:ascii="Times New Roman" w:hAnsi="Times New Roman" w:cs="Times New Roman"/>
                      <w:color w:val="auto"/>
                      <w:kern w:val="0"/>
                      <w:sz w:val="21"/>
                      <w:szCs w:val="21"/>
                      <w:lang w:val="en-US" w:eastAsia="zh-CN" w:bidi="ar-SA"/>
                    </w:rPr>
                    <w:t>5</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53.18</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52.15</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28.18</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27.15</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51</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注液机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0</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25</w:t>
                  </w:r>
                </w:p>
              </w:tc>
              <w:tc>
                <w:tcPr>
                  <w:tcW w:w="525"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6</w:t>
                  </w: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25</w:t>
                  </w:r>
                </w:p>
              </w:tc>
              <w:tc>
                <w:tcPr>
                  <w:tcW w:w="52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51.37</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54.30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51.90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26.37</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29.3</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26.9</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52</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注液机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27</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8</w:t>
                  </w: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23</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51.33</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53.18</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51.45</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52.15</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26.33</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28.18</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26.45</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27.15</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53</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注液机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27</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6</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23</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14</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51.33</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54.30</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51.90</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26.33</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29.3</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26.9</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54</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注液机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7</w:t>
                  </w:r>
                  <w:r>
                    <w:rPr>
                      <w:rFonts w:hint="eastAsia" w:ascii="Times New Roman" w:hAnsi="Times New Roman" w:eastAsia="宋体" w:cs="Times New Roman"/>
                      <w:snapToGrid w:val="0"/>
                      <w:color w:val="auto"/>
                      <w:sz w:val="21"/>
                      <w:szCs w:val="21"/>
                      <w:lang w:val="en-US" w:eastAsia="zh-CN" w:bidi="ar-SA"/>
                    </w:rPr>
                    <w:t>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-2</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26</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8</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24</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51.35</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53.18</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51.42</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52.15</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26.35</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28.18</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26.42</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27.15</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55</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二封机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7</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w:t>
                  </w:r>
                  <w:r>
                    <w:rPr>
                      <w:rFonts w:hint="eastAsia" w:ascii="Times New Roman" w:hAnsi="Times New Roman" w:eastAsia="宋体" w:cs="Times New Roman"/>
                      <w:i w:val="0"/>
                      <w:iCs w:val="0"/>
                      <w:color w:val="auto"/>
                      <w:kern w:val="0"/>
                      <w:sz w:val="21"/>
                      <w:szCs w:val="21"/>
                      <w:u w:val="none"/>
                      <w:lang w:val="en-US" w:eastAsia="zh-CN" w:bidi="ar"/>
                    </w:rPr>
                    <w:t>3</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17</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kern w:val="0"/>
                      <w:sz w:val="21"/>
                      <w:szCs w:val="21"/>
                      <w:lang w:val="en-US" w:eastAsia="zh-CN" w:bidi="ar-SA"/>
                    </w:rPr>
                    <w:t>2</w:t>
                  </w:r>
                  <w:r>
                    <w:rPr>
                      <w:rFonts w:hint="eastAsia" w:ascii="Times New Roman" w:hAnsi="Times New Roman" w:cs="Times New Roman"/>
                      <w:color w:val="auto"/>
                      <w:kern w:val="0"/>
                      <w:sz w:val="21"/>
                      <w:szCs w:val="21"/>
                      <w:lang w:val="en-US" w:eastAsia="zh-CN" w:bidi="ar-SA"/>
                    </w:rPr>
                    <w:t>7</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46.45</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46.66</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46.33</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53.38</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21.45</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21.66</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21.33</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28.38</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56</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二封机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23</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19</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27</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46.45</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46.55</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46.33</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62.13</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21.45</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21.55</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21.33</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37.13</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57</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二封机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7</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17</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29</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46.51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46.66</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53.38</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21.51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21.66</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28.38</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58</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二封机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4</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21</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19</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29</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46.51</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46.55</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46.31</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62.13</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21.51</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21.55</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21.31</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37.13</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59</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二封机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70</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5</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8</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w:t>
                  </w:r>
                </w:p>
              </w:tc>
              <w:tc>
                <w:tcPr>
                  <w:tcW w:w="5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17</w:t>
                  </w:r>
                </w:p>
              </w:tc>
              <w:tc>
                <w:tcPr>
                  <w:tcW w:w="562"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30</w:t>
                  </w:r>
                </w:p>
              </w:tc>
              <w:tc>
                <w:tcPr>
                  <w:tcW w:w="528"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46.60</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46.66</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46.29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56.42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21.66</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21.29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31.42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60</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eastAsia="宋体"/>
                      <w:color w:val="auto"/>
                      <w:sz w:val="21"/>
                      <w:szCs w:val="21"/>
                      <w:lang w:val="en-US" w:eastAsia="zh-CN"/>
                    </w:rPr>
                  </w:pPr>
                  <w:r>
                    <w:rPr>
                      <w:rFonts w:hint="eastAsia"/>
                      <w:color w:val="auto"/>
                      <w:sz w:val="21"/>
                      <w:szCs w:val="21"/>
                      <w:lang w:val="en-US" w:eastAsia="zh-CN"/>
                    </w:rPr>
                    <w:t>空压机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85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20</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45</w:t>
                  </w:r>
                </w:p>
              </w:tc>
              <w:tc>
                <w:tcPr>
                  <w:tcW w:w="525"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11</w:t>
                  </w:r>
                </w:p>
              </w:tc>
              <w:tc>
                <w:tcPr>
                  <w:tcW w:w="562" w:type="dxa"/>
                  <w:tcBorders>
                    <w:tl2br w:val="nil"/>
                    <w:tr2bl w:val="nil"/>
                  </w:tcBorders>
                  <w:noWrap w:val="0"/>
                  <w:vAlign w:val="center"/>
                </w:tcPr>
                <w:p>
                  <w:pPr>
                    <w:keepNext w:val="0"/>
                    <w:keepLines w:val="0"/>
                    <w:pageBreakBefore w:val="0"/>
                    <w:widowControl/>
                    <w:tabs>
                      <w:tab w:val="left" w:pos="2310"/>
                    </w:tabs>
                    <w:kinsoku/>
                    <w:wordWrap/>
                    <w:overflowPunct/>
                    <w:topLinePunct w:val="0"/>
                    <w:autoSpaceDE/>
                    <w:autoSpaceDN/>
                    <w:bidi w:val="0"/>
                    <w:adjustRightInd w:val="0"/>
                    <w:snapToGrid w:val="0"/>
                    <w:jc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cs="Times New Roman"/>
                      <w:color w:val="auto"/>
                      <w:kern w:val="0"/>
                      <w:sz w:val="21"/>
                      <w:szCs w:val="21"/>
                      <w:lang w:val="en-US" w:eastAsia="zh-CN" w:bidi="ar-SA"/>
                    </w:rPr>
                    <w:t>5</w:t>
                  </w:r>
                </w:p>
              </w:tc>
              <w:tc>
                <w:tcPr>
                  <w:tcW w:w="52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kern w:val="2"/>
                      <w:sz w:val="21"/>
                      <w:szCs w:val="21"/>
                      <w:lang w:val="en-US" w:eastAsia="zh-CN" w:bidi="ar-SA"/>
                    </w:rPr>
                    <w:t>9</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61.19</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62.32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65.19</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62.82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36.19</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37.32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40.19</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37.82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3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61</w:t>
                  </w:r>
                </w:p>
              </w:tc>
              <w:tc>
                <w:tcPr>
                  <w:tcW w:w="849"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166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eastAsia="宋体"/>
                      <w:color w:val="auto"/>
                      <w:sz w:val="21"/>
                      <w:szCs w:val="21"/>
                      <w:lang w:val="en-US" w:eastAsia="zh-CN"/>
                    </w:rPr>
                  </w:pPr>
                  <w:r>
                    <w:rPr>
                      <w:rFonts w:hint="eastAsia"/>
                      <w:color w:val="auto"/>
                      <w:sz w:val="21"/>
                      <w:szCs w:val="21"/>
                      <w:lang w:val="en-US" w:eastAsia="zh-CN"/>
                    </w:rPr>
                    <w:t>空压机</w:t>
                  </w:r>
                </w:p>
              </w:tc>
              <w:tc>
                <w:tcPr>
                  <w:tcW w:w="92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default" w:ascii="Times New Roman" w:hAnsi="Times New Roman" w:eastAsia="宋体" w:cs="Times New Roman"/>
                      <w:snapToGrid w:val="0"/>
                      <w:color w:val="auto"/>
                      <w:sz w:val="21"/>
                      <w:szCs w:val="21"/>
                      <w:lang w:val="en-US" w:eastAsia="zh-CN" w:bidi="ar-SA"/>
                    </w:rPr>
                    <w:t>点源</w:t>
                  </w:r>
                </w:p>
              </w:tc>
              <w:tc>
                <w:tcPr>
                  <w:tcW w:w="1775"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sz w:val="21"/>
                      <w:szCs w:val="21"/>
                      <w:lang w:val="en-US" w:eastAsia="zh-CN" w:bidi="ar-SA"/>
                    </w:rPr>
                  </w:pPr>
                  <w:r>
                    <w:rPr>
                      <w:rFonts w:hint="eastAsia" w:ascii="Times New Roman" w:hAnsi="Times New Roman" w:eastAsia="宋体" w:cs="Times New Roman"/>
                      <w:snapToGrid w:val="0"/>
                      <w:color w:val="auto"/>
                      <w:sz w:val="21"/>
                      <w:szCs w:val="21"/>
                      <w:lang w:val="en-US" w:eastAsia="zh-CN" w:bidi="ar-SA"/>
                    </w:rPr>
                    <w:t>85</w:t>
                  </w:r>
                  <w:r>
                    <w:rPr>
                      <w:rFonts w:hint="default" w:ascii="Times New Roman" w:hAnsi="Times New Roman" w:eastAsia="宋体" w:cs="Times New Roman"/>
                      <w:snapToGrid w:val="0"/>
                      <w:color w:val="auto"/>
                      <w:sz w:val="21"/>
                      <w:szCs w:val="21"/>
                      <w:lang w:val="en-US" w:eastAsia="zh-CN" w:bidi="ar-SA"/>
                    </w:rPr>
                    <w:t>/1</w:t>
                  </w:r>
                </w:p>
              </w:tc>
              <w:tc>
                <w:tcPr>
                  <w:tcW w:w="788"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18</w:t>
                  </w:r>
                </w:p>
              </w:tc>
              <w:tc>
                <w:tcPr>
                  <w:tcW w:w="613"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w:t>
                  </w:r>
                </w:p>
              </w:tc>
              <w:tc>
                <w:tcPr>
                  <w:tcW w:w="625"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kern w:val="0"/>
                      <w:sz w:val="21"/>
                      <w:szCs w:val="21"/>
                      <w:lang w:val="en-US" w:eastAsia="zh-CN" w:bidi="ar-SA"/>
                    </w:rPr>
                    <w:t>6.8</w:t>
                  </w:r>
                </w:p>
              </w:tc>
              <w:tc>
                <w:tcPr>
                  <w:tcW w:w="549"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43</w:t>
                  </w:r>
                </w:p>
              </w:tc>
              <w:tc>
                <w:tcPr>
                  <w:tcW w:w="525" w:type="dxa"/>
                  <w:tcBorders>
                    <w:tl2br w:val="nil"/>
                    <w:tr2bl w:val="nil"/>
                  </w:tcBorders>
                  <w:noWrap w:val="0"/>
                  <w:vAlign w:val="center"/>
                </w:tcPr>
                <w:p>
                  <w:pPr>
                    <w:pStyle w:val="67"/>
                    <w:keepNext w:val="0"/>
                    <w:keepLines w:val="0"/>
                    <w:pageBreakBefore w:val="0"/>
                    <w:suppressLineNumbers w:val="0"/>
                    <w:tabs>
                      <w:tab w:val="left" w:pos="209"/>
                      <w:tab w:val="clear" w:pos="3480"/>
                    </w:tabs>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11</w:t>
                  </w:r>
                </w:p>
              </w:tc>
              <w:tc>
                <w:tcPr>
                  <w:tcW w:w="562"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7</w:t>
                  </w:r>
                </w:p>
              </w:tc>
              <w:tc>
                <w:tcPr>
                  <w:tcW w:w="528" w:type="dxa"/>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bidi="ar-SA"/>
                    </w:rPr>
                  </w:pPr>
                  <w:r>
                    <w:rPr>
                      <w:rFonts w:hint="eastAsia" w:ascii="Times New Roman" w:hAnsi="Times New Roman" w:eastAsia="宋体" w:cs="Times New Roman"/>
                      <w:color w:val="auto"/>
                      <w:sz w:val="21"/>
                      <w:szCs w:val="21"/>
                      <w:lang w:val="en-US" w:eastAsia="zh-CN" w:bidi="ar-SA"/>
                    </w:rPr>
                    <w:t>9</w:t>
                  </w:r>
                </w:p>
              </w:tc>
              <w:tc>
                <w:tcPr>
                  <w:tcW w:w="68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61.20</w:t>
                  </w:r>
                </w:p>
              </w:tc>
              <w:tc>
                <w:tcPr>
                  <w:tcW w:w="712"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62.32</w:t>
                  </w:r>
                </w:p>
              </w:tc>
              <w:tc>
                <w:tcPr>
                  <w:tcW w:w="688"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63.65</w:t>
                  </w:r>
                </w:p>
              </w:tc>
              <w:tc>
                <w:tcPr>
                  <w:tcW w:w="78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center"/>
                    <w:rPr>
                      <w:rFonts w:hint="default" w:ascii="Times New Roman" w:hAnsi="Times New Roman" w:eastAsia="宋体" w:cs="Times New Roman"/>
                      <w:color w:val="auto"/>
                      <w:sz w:val="21"/>
                      <w:szCs w:val="21"/>
                      <w:lang w:val="en-US" w:eastAsia="zh-CN" w:bidi="ar-SA"/>
                    </w:rPr>
                  </w:pPr>
                  <w:r>
                    <w:rPr>
                      <w:rFonts w:hint="eastAsia" w:ascii="宋体" w:hAnsi="宋体" w:eastAsia="宋体" w:cs="宋体"/>
                      <w:i w:val="0"/>
                      <w:iCs w:val="0"/>
                      <w:color w:val="auto"/>
                      <w:kern w:val="0"/>
                      <w:sz w:val="21"/>
                      <w:szCs w:val="21"/>
                      <w:u w:val="none"/>
                      <w:lang w:val="en-US" w:eastAsia="zh-CN" w:bidi="ar"/>
                    </w:rPr>
                    <w:t>62.82</w:t>
                  </w:r>
                </w:p>
              </w:tc>
              <w:tc>
                <w:tcPr>
                  <w:tcW w:w="1314"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1287" w:type="dxa"/>
                  <w:vMerge w:val="continue"/>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p>
              </w:tc>
              <w:tc>
                <w:tcPr>
                  <w:tcW w:w="749"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36.2</w:t>
                  </w:r>
                </w:p>
              </w:tc>
              <w:tc>
                <w:tcPr>
                  <w:tcW w:w="6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37.32</w:t>
                  </w:r>
                </w:p>
              </w:tc>
              <w:tc>
                <w:tcPr>
                  <w:tcW w:w="775"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38.65</w:t>
                  </w:r>
                </w:p>
              </w:tc>
              <w:tc>
                <w:tcPr>
                  <w:tcW w:w="750" w:type="dxa"/>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jc w:val="center"/>
                    <w:textAlignment w:val="bottom"/>
                    <w:rPr>
                      <w:rFonts w:hint="default" w:ascii="Times New Roman" w:hAnsi="Times New Roman" w:eastAsia="宋体" w:cs="Times New Roman"/>
                      <w:color w:val="auto"/>
                      <w:sz w:val="21"/>
                      <w:szCs w:val="21"/>
                      <w:lang w:val="en-US" w:eastAsia="zh-CN"/>
                    </w:rPr>
                  </w:pPr>
                  <w:r>
                    <w:rPr>
                      <w:rFonts w:hint="eastAsia" w:ascii="宋体" w:hAnsi="宋体" w:eastAsia="宋体" w:cs="宋体"/>
                      <w:i w:val="0"/>
                      <w:iCs w:val="0"/>
                      <w:color w:val="auto"/>
                      <w:kern w:val="0"/>
                      <w:sz w:val="21"/>
                      <w:szCs w:val="21"/>
                      <w:u w:val="none"/>
                      <w:lang w:val="en-US" w:eastAsia="zh-CN" w:bidi="ar"/>
                    </w:rPr>
                    <w:t>37.82</w:t>
                  </w:r>
                </w:p>
              </w:tc>
              <w:tc>
                <w:tcPr>
                  <w:tcW w:w="981" w:type="dxa"/>
                  <w:tcBorders>
                    <w:tl2br w:val="nil"/>
                    <w:tr2bl w:val="nil"/>
                  </w:tcBorders>
                  <w:noWrap w:val="0"/>
                  <w:vAlign w:val="center"/>
                </w:tcPr>
                <w:p>
                  <w:pPr>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20202" w:type="dxa"/>
                  <w:gridSpan w:val="24"/>
                  <w:tcBorders>
                    <w:tl2br w:val="nil"/>
                    <w:tr2bl w:val="nil"/>
                  </w:tcBorders>
                  <w:noWrap w:val="0"/>
                  <w:vAlign w:val="center"/>
                </w:tcPr>
                <w:p>
                  <w:pPr>
                    <w:pStyle w:val="67"/>
                    <w:keepNext w:val="0"/>
                    <w:keepLines w:val="0"/>
                    <w:pageBreakBefore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left"/>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注：①空间相对位置</w:t>
                  </w:r>
                  <w:r>
                    <w:rPr>
                      <w:rFonts w:hint="eastAsia" w:ascii="Times New Roman" w:hAnsi="Times New Roman" w:eastAsia="宋体" w:cs="Times New Roman"/>
                      <w:color w:val="auto"/>
                      <w:sz w:val="21"/>
                      <w:szCs w:val="21"/>
                      <w:lang w:val="en-US" w:eastAsia="zh-CN"/>
                    </w:rPr>
                    <w:t>Z</w:t>
                  </w:r>
                  <w:r>
                    <w:rPr>
                      <w:rFonts w:hint="default" w:ascii="Times New Roman" w:hAnsi="Times New Roman" w:eastAsia="宋体" w:cs="Times New Roman"/>
                      <w:color w:val="auto"/>
                      <w:sz w:val="21"/>
                      <w:szCs w:val="21"/>
                      <w:lang w:val="en-US" w:eastAsia="zh-CN"/>
                    </w:rPr>
                    <w:t>代表设备</w:t>
                  </w:r>
                  <w:r>
                    <w:rPr>
                      <w:rFonts w:hint="eastAsia" w:ascii="Times New Roman" w:hAnsi="Times New Roman" w:eastAsia="宋体" w:cs="Times New Roman"/>
                      <w:color w:val="auto"/>
                      <w:sz w:val="21"/>
                      <w:szCs w:val="21"/>
                      <w:lang w:val="en-US" w:eastAsia="zh-CN"/>
                    </w:rPr>
                    <w:t>距</w:t>
                  </w:r>
                  <w:r>
                    <w:rPr>
                      <w:rFonts w:hint="default" w:ascii="Times New Roman" w:hAnsi="Times New Roman" w:eastAsia="宋体" w:cs="Times New Roman"/>
                      <w:color w:val="auto"/>
                      <w:sz w:val="21"/>
                      <w:szCs w:val="21"/>
                      <w:lang w:val="en-US" w:eastAsia="zh-CN"/>
                    </w:rPr>
                    <w:t>离地</w:t>
                  </w:r>
                  <w:r>
                    <w:rPr>
                      <w:rFonts w:hint="eastAsia" w:ascii="Times New Roman" w:hAnsi="Times New Roman" w:eastAsia="宋体" w:cs="Times New Roman"/>
                      <w:color w:val="auto"/>
                      <w:sz w:val="21"/>
                      <w:szCs w:val="21"/>
                      <w:lang w:val="en-US" w:eastAsia="zh-CN"/>
                    </w:rPr>
                    <w:t>面</w:t>
                  </w:r>
                  <w:r>
                    <w:rPr>
                      <w:rFonts w:hint="default" w:ascii="Times New Roman" w:hAnsi="Times New Roman" w:eastAsia="宋体" w:cs="Times New Roman"/>
                      <w:color w:val="auto"/>
                      <w:sz w:val="21"/>
                      <w:szCs w:val="21"/>
                      <w:lang w:val="en-US" w:eastAsia="zh-CN"/>
                    </w:rPr>
                    <w:t>高度；②</w:t>
                  </w:r>
                  <w:r>
                    <w:rPr>
                      <w:rFonts w:hint="eastAsia" w:ascii="Times New Roman" w:hAnsi="Times New Roman" w:eastAsia="宋体" w:cs="Times New Roman"/>
                      <w:color w:val="auto"/>
                      <w:sz w:val="21"/>
                      <w:szCs w:val="21"/>
                      <w:lang w:val="en-US" w:eastAsia="zh-CN"/>
                    </w:rPr>
                    <w:t>室内噪声</w:t>
                  </w:r>
                  <w:r>
                    <w:rPr>
                      <w:rFonts w:hint="default" w:ascii="Times New Roman" w:hAnsi="Times New Roman" w:eastAsia="宋体" w:cs="Times New Roman"/>
                      <w:color w:val="auto"/>
                      <w:sz w:val="21"/>
                      <w:szCs w:val="21"/>
                      <w:lang w:val="en-US" w:eastAsia="zh-CN"/>
                    </w:rPr>
                    <w:t>源</w:t>
                  </w:r>
                  <w:r>
                    <w:rPr>
                      <w:rFonts w:hint="eastAsia" w:ascii="Times New Roman" w:hAnsi="Times New Roman" w:eastAsia="宋体" w:cs="Times New Roman"/>
                      <w:color w:val="auto"/>
                      <w:sz w:val="21"/>
                      <w:szCs w:val="21"/>
                      <w:lang w:val="en-US" w:eastAsia="zh-CN"/>
                    </w:rPr>
                    <w:t>以生产车间中心</w:t>
                  </w:r>
                  <w:r>
                    <w:rPr>
                      <w:rFonts w:hint="default" w:ascii="Times New Roman" w:hAnsi="Times New Roman" w:eastAsia="宋体" w:cs="Times New Roman"/>
                      <w:color w:val="auto"/>
                      <w:sz w:val="21"/>
                      <w:szCs w:val="21"/>
                      <w:lang w:val="en-US" w:eastAsia="zh-CN"/>
                    </w:rPr>
                    <w:t>为原点坐标（0.0）</w:t>
                  </w:r>
                  <w:r>
                    <w:rPr>
                      <w:rFonts w:hint="eastAsia" w:ascii="Times New Roman" w:hAnsi="Times New Roman" w:eastAsia="宋体" w:cs="Times New Roman"/>
                      <w:color w:val="auto"/>
                      <w:sz w:val="21"/>
                      <w:szCs w:val="21"/>
                      <w:lang w:val="en-US" w:eastAsia="zh-CN"/>
                    </w:rPr>
                    <w:t>，正东向为X轴正方向，正北向为Y轴正方向</w:t>
                  </w:r>
                  <w:r>
                    <w:rPr>
                      <w:rFonts w:hint="default" w:ascii="Times New Roman" w:hAnsi="Times New Roman" w:eastAsia="宋体" w:cs="Times New Roman"/>
                      <w:color w:val="auto"/>
                      <w:sz w:val="21"/>
                      <w:szCs w:val="21"/>
                      <w:lang w:val="en-US" w:eastAsia="zh-CN"/>
                    </w:rPr>
                    <w:t>。</w:t>
                  </w:r>
                </w:p>
              </w:tc>
            </w:tr>
          </w:tbl>
          <w:p>
            <w:pPr>
              <w:pStyle w:val="5"/>
              <w:keepNext w:val="0"/>
              <w:keepLines w:val="0"/>
              <w:pageBreakBefore w:val="0"/>
              <w:widowControl w:val="0"/>
              <w:kinsoku/>
              <w:wordWrap/>
              <w:overflowPunct/>
              <w:topLinePunct w:val="0"/>
              <w:autoSpaceDE/>
              <w:autoSpaceDN/>
              <w:bidi w:val="0"/>
              <w:adjustRightInd w:val="0"/>
              <w:snapToGrid w:val="0"/>
              <w:spacing w:before="157" w:beforeLines="50" w:line="360" w:lineRule="auto"/>
              <w:ind w:left="0" w:leftChars="0" w:firstLine="0" w:firstLineChars="0"/>
              <w:jc w:val="center"/>
              <w:textAlignment w:val="baseline"/>
              <w:rPr>
                <w:rFonts w:hint="eastAsia"/>
                <w:color w:val="auto"/>
                <w:sz w:val="24"/>
                <w:szCs w:val="20"/>
                <w:lang w:eastAsia="zh-CN"/>
              </w:rPr>
            </w:pPr>
            <w:r>
              <w:rPr>
                <w:rFonts w:hint="default" w:ascii="Times New Roman" w:hAnsi="Times New Roman" w:cs="Times New Roman"/>
                <w:b/>
                <w:bCs/>
                <w:color w:val="auto"/>
                <w:sz w:val="24"/>
                <w:szCs w:val="20"/>
              </w:rPr>
              <w:t>表4</w:t>
            </w:r>
            <w:r>
              <w:rPr>
                <w:rFonts w:hint="eastAsia" w:ascii="Times New Roman" w:hAnsi="Times New Roman" w:cs="Times New Roman"/>
                <w:b/>
                <w:bCs/>
                <w:color w:val="auto"/>
                <w:sz w:val="24"/>
                <w:szCs w:val="20"/>
                <w:lang w:val="en-US" w:eastAsia="zh-CN"/>
              </w:rPr>
              <w:t xml:space="preserve">-26 </w:t>
            </w:r>
            <w:r>
              <w:rPr>
                <w:rFonts w:hint="default" w:ascii="Times New Roman" w:hAnsi="Times New Roman" w:cs="Times New Roman"/>
                <w:b/>
                <w:bCs/>
                <w:color w:val="auto"/>
                <w:sz w:val="24"/>
                <w:szCs w:val="20"/>
              </w:rPr>
              <w:t>项目</w:t>
            </w:r>
            <w:r>
              <w:rPr>
                <w:rFonts w:hint="eastAsia" w:cs="Times New Roman"/>
                <w:b/>
                <w:bCs/>
                <w:color w:val="auto"/>
                <w:sz w:val="24"/>
                <w:szCs w:val="20"/>
                <w:lang w:eastAsia="zh-CN"/>
              </w:rPr>
              <w:t>室外</w:t>
            </w:r>
            <w:r>
              <w:rPr>
                <w:rFonts w:hint="default" w:ascii="Times New Roman" w:hAnsi="Times New Roman" w:cs="Times New Roman"/>
                <w:b/>
                <w:bCs/>
                <w:color w:val="auto"/>
                <w:sz w:val="24"/>
                <w:szCs w:val="20"/>
              </w:rPr>
              <w:t>噪声源强调查清单</w:t>
            </w:r>
          </w:p>
          <w:tbl>
            <w:tblPr>
              <w:tblStyle w:val="32"/>
              <w:tblW w:w="20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81"/>
              <w:gridCol w:w="2050"/>
              <w:gridCol w:w="1050"/>
              <w:gridCol w:w="3100"/>
              <w:gridCol w:w="2663"/>
              <w:gridCol w:w="887"/>
              <w:gridCol w:w="825"/>
              <w:gridCol w:w="974"/>
              <w:gridCol w:w="1962"/>
              <w:gridCol w:w="58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81" w:type="dxa"/>
                  <w:vMerge w:val="restart"/>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eastAsia" w:cs="Times New Roman"/>
                      <w:b/>
                      <w:bCs/>
                      <w:color w:val="auto"/>
                      <w:szCs w:val="20"/>
                      <w:lang w:eastAsia="zh-CN"/>
                    </w:rPr>
                    <w:t>序号</w:t>
                  </w:r>
                </w:p>
              </w:tc>
              <w:tc>
                <w:tcPr>
                  <w:tcW w:w="2050" w:type="dxa"/>
                  <w:vMerge w:val="restart"/>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default" w:ascii="Times New Roman" w:hAnsi="Times New Roman" w:cs="Times New Roman"/>
                      <w:b/>
                      <w:bCs/>
                      <w:color w:val="auto"/>
                      <w:szCs w:val="20"/>
                    </w:rPr>
                    <w:t>噪声源</w:t>
                  </w:r>
                </w:p>
              </w:tc>
              <w:tc>
                <w:tcPr>
                  <w:tcW w:w="1050" w:type="dxa"/>
                  <w:vMerge w:val="restart"/>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eastAsia" w:cs="Times New Roman"/>
                      <w:b/>
                      <w:bCs/>
                      <w:color w:val="auto"/>
                      <w:szCs w:val="20"/>
                      <w:lang w:eastAsia="zh-CN"/>
                    </w:rPr>
                    <w:t>型号</w:t>
                  </w:r>
                </w:p>
              </w:tc>
              <w:tc>
                <w:tcPr>
                  <w:tcW w:w="3100"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eastAsia" w:cs="Times New Roman"/>
                      <w:b/>
                      <w:bCs/>
                      <w:color w:val="auto"/>
                      <w:szCs w:val="20"/>
                      <w:lang w:eastAsia="zh-CN"/>
                    </w:rPr>
                    <w:t>声源源强</w:t>
                  </w:r>
                </w:p>
              </w:tc>
              <w:tc>
                <w:tcPr>
                  <w:tcW w:w="2663" w:type="dxa"/>
                  <w:vMerge w:val="restart"/>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ascii="Times New Roman" w:hAnsi="Times New Roman" w:eastAsia="宋体" w:cs="Times New Roman"/>
                      <w:color w:val="auto"/>
                      <w:szCs w:val="20"/>
                      <w:lang w:val="en-US" w:eastAsia="zh-CN"/>
                    </w:rPr>
                  </w:pPr>
                  <w:r>
                    <w:rPr>
                      <w:rFonts w:hint="default" w:ascii="Times New Roman" w:hAnsi="Times New Roman" w:eastAsia="宋体" w:cs="Times New Roman"/>
                      <w:b/>
                      <w:bCs/>
                      <w:color w:val="auto"/>
                      <w:szCs w:val="20"/>
                      <w:lang w:val="en-US" w:eastAsia="zh-CN"/>
                    </w:rPr>
                    <w:t>声源控制措施</w:t>
                  </w:r>
                </w:p>
              </w:tc>
              <w:tc>
                <w:tcPr>
                  <w:tcW w:w="2686" w:type="dxa"/>
                  <w:gridSpan w:val="3"/>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default" w:ascii="Times New Roman" w:hAnsi="Times New Roman" w:eastAsia="宋体" w:cs="Times New Roman"/>
                      <w:b/>
                      <w:bCs/>
                      <w:color w:val="auto"/>
                      <w:szCs w:val="20"/>
                      <w:lang w:val="en-US" w:eastAsia="zh-CN"/>
                    </w:rPr>
                    <w:t>空间相对位置/m</w:t>
                  </w:r>
                </w:p>
              </w:tc>
              <w:tc>
                <w:tcPr>
                  <w:tcW w:w="1962" w:type="dxa"/>
                  <w:vMerge w:val="restart"/>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eastAsia" w:cs="Times New Roman"/>
                      <w:b/>
                      <w:bCs/>
                      <w:color w:val="auto"/>
                      <w:szCs w:val="20"/>
                      <w:lang w:val="en-US" w:eastAsia="zh-CN"/>
                    </w:rPr>
                    <w:t>降噪后源强/</w:t>
                  </w:r>
                  <w:r>
                    <w:rPr>
                      <w:rFonts w:hint="eastAsia" w:cs="Times New Roman"/>
                      <w:b/>
                      <w:bCs/>
                      <w:color w:val="auto"/>
                      <w:szCs w:val="20"/>
                      <w:lang w:eastAsia="zh-CN"/>
                    </w:rPr>
                    <w:t>dB(A)</w:t>
                  </w:r>
                </w:p>
              </w:tc>
              <w:tc>
                <w:tcPr>
                  <w:tcW w:w="5862" w:type="dxa"/>
                  <w:vMerge w:val="restart"/>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cs="Times New Roman"/>
                      <w:color w:val="auto"/>
                      <w:szCs w:val="20"/>
                      <w:lang w:val="en-US" w:eastAsia="zh-CN"/>
                    </w:rPr>
                  </w:pPr>
                  <w:r>
                    <w:rPr>
                      <w:rFonts w:hint="eastAsia" w:cs="Times New Roman"/>
                      <w:b/>
                      <w:bCs/>
                      <w:color w:val="auto"/>
                      <w:szCs w:val="20"/>
                      <w:lang w:val="en-US" w:eastAsia="zh-CN"/>
                    </w:rPr>
                    <w:t>运行时段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81"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cs="Times New Roman"/>
                      <w:color w:val="auto"/>
                      <w:sz w:val="21"/>
                      <w:szCs w:val="20"/>
                      <w:lang w:val="en-US" w:eastAsia="zh-CN" w:bidi="ar-SA"/>
                    </w:rPr>
                  </w:pPr>
                </w:p>
              </w:tc>
              <w:tc>
                <w:tcPr>
                  <w:tcW w:w="2050"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snapToGrid w:val="0"/>
                      <w:color w:val="auto"/>
                      <w:sz w:val="21"/>
                      <w:szCs w:val="21"/>
                      <w:lang w:eastAsia="zh-CN"/>
                    </w:rPr>
                  </w:pPr>
                </w:p>
              </w:tc>
              <w:tc>
                <w:tcPr>
                  <w:tcW w:w="1050" w:type="dxa"/>
                  <w:vMerge w:val="continue"/>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cs="Times New Roman"/>
                      <w:snapToGrid w:val="0"/>
                      <w:color w:val="auto"/>
                      <w:sz w:val="21"/>
                      <w:szCs w:val="21"/>
                      <w:lang w:val="en-US" w:eastAsia="zh-CN" w:bidi="ar-SA"/>
                    </w:rPr>
                  </w:pPr>
                </w:p>
              </w:tc>
              <w:tc>
                <w:tcPr>
                  <w:tcW w:w="3100"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eastAsia" w:cs="Times New Roman"/>
                      <w:b/>
                      <w:bCs/>
                      <w:color w:val="auto"/>
                      <w:szCs w:val="20"/>
                      <w:lang w:eastAsia="zh-CN"/>
                    </w:rPr>
                    <w:t>声压级/距声源距离（dB(A)/m）</w:t>
                  </w:r>
                </w:p>
              </w:tc>
              <w:tc>
                <w:tcPr>
                  <w:tcW w:w="2663"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ascii="Times New Roman" w:hAnsi="Times New Roman" w:eastAsia="宋体" w:cs="Times New Roman"/>
                      <w:color w:val="auto"/>
                      <w:szCs w:val="20"/>
                      <w:lang w:val="en-US" w:eastAsia="zh-CN"/>
                    </w:rPr>
                  </w:pPr>
                </w:p>
              </w:tc>
              <w:tc>
                <w:tcPr>
                  <w:tcW w:w="887"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eastAsia" w:cs="Times New Roman"/>
                      <w:b/>
                      <w:bCs/>
                      <w:color w:val="auto"/>
                      <w:szCs w:val="20"/>
                      <w:lang w:val="en-US" w:eastAsia="zh-CN"/>
                    </w:rPr>
                    <w:t>X</w:t>
                  </w:r>
                </w:p>
              </w:tc>
              <w:tc>
                <w:tcPr>
                  <w:tcW w:w="825"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eastAsia" w:cs="Times New Roman"/>
                      <w:b/>
                      <w:bCs/>
                      <w:color w:val="auto"/>
                      <w:szCs w:val="20"/>
                      <w:lang w:val="en-US" w:eastAsia="zh-CN"/>
                    </w:rPr>
                    <w:t>Y</w:t>
                  </w:r>
                </w:p>
              </w:tc>
              <w:tc>
                <w:tcPr>
                  <w:tcW w:w="974"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ascii="Times New Roman" w:hAnsi="Times New Roman" w:eastAsia="宋体" w:cs="Times New Roman"/>
                      <w:b/>
                      <w:bCs/>
                      <w:color w:val="auto"/>
                      <w:sz w:val="21"/>
                      <w:szCs w:val="20"/>
                      <w:lang w:val="en-US" w:eastAsia="zh-CN" w:bidi="ar-SA"/>
                    </w:rPr>
                  </w:pPr>
                  <w:r>
                    <w:rPr>
                      <w:rFonts w:hint="eastAsia" w:cs="Times New Roman"/>
                      <w:b/>
                      <w:bCs/>
                      <w:color w:val="auto"/>
                      <w:szCs w:val="20"/>
                      <w:lang w:val="en-US" w:eastAsia="zh-CN"/>
                    </w:rPr>
                    <w:t>Z</w:t>
                  </w:r>
                </w:p>
              </w:tc>
              <w:tc>
                <w:tcPr>
                  <w:tcW w:w="1962"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cs="Times New Roman"/>
                      <w:color w:val="auto"/>
                      <w:szCs w:val="20"/>
                      <w:lang w:val="en-US" w:eastAsia="zh-CN"/>
                    </w:rPr>
                  </w:pPr>
                </w:p>
              </w:tc>
              <w:tc>
                <w:tcPr>
                  <w:tcW w:w="5862"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cs="Times New Roman"/>
                      <w:color w:val="auto"/>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81"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ascii="Times New Roman" w:hAnsi="Times New Roman" w:eastAsia="宋体" w:cs="Times New Roman"/>
                      <w:color w:val="auto"/>
                      <w:sz w:val="21"/>
                      <w:szCs w:val="20"/>
                      <w:lang w:val="en-US" w:eastAsia="zh-CN" w:bidi="ar-SA"/>
                    </w:rPr>
                  </w:pPr>
                  <w:r>
                    <w:rPr>
                      <w:rFonts w:hint="eastAsia" w:cs="Times New Roman"/>
                      <w:color w:val="auto"/>
                      <w:sz w:val="21"/>
                      <w:szCs w:val="20"/>
                      <w:lang w:val="en-US" w:eastAsia="zh-CN" w:bidi="ar-SA"/>
                    </w:rPr>
                    <w:t>1</w:t>
                  </w:r>
                </w:p>
              </w:tc>
              <w:tc>
                <w:tcPr>
                  <w:tcW w:w="2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ascii="Times New Roman" w:hAnsi="Times New Roman" w:eastAsia="宋体" w:cs="Times New Roman"/>
                      <w:snapToGrid w:val="0"/>
                      <w:color w:val="auto"/>
                      <w:kern w:val="2"/>
                      <w:sz w:val="21"/>
                      <w:szCs w:val="21"/>
                      <w:lang w:val="en-US" w:eastAsia="zh-CN" w:bidi="ar-SA"/>
                    </w:rPr>
                  </w:pPr>
                  <w:r>
                    <w:rPr>
                      <w:rFonts w:hint="eastAsia" w:ascii="Times New Roman" w:hAnsi="Times New Roman" w:eastAsia="宋体" w:cs="Times New Roman"/>
                      <w:snapToGrid w:val="0"/>
                      <w:color w:val="auto"/>
                      <w:kern w:val="2"/>
                      <w:sz w:val="21"/>
                      <w:szCs w:val="21"/>
                      <w:lang w:val="en-US" w:eastAsia="zh-CN" w:bidi="ar-SA"/>
                    </w:rPr>
                    <w:t>NMP回收系统</w:t>
                  </w:r>
                </w:p>
              </w:tc>
              <w:tc>
                <w:tcPr>
                  <w:tcW w:w="1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ascii="Times New Roman" w:hAnsi="Times New Roman" w:eastAsia="宋体"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点源</w:t>
                  </w:r>
                </w:p>
              </w:tc>
              <w:tc>
                <w:tcPr>
                  <w:tcW w:w="31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ascii="Times New Roman" w:hAnsi="Times New Roman" w:eastAsia="宋体"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70/1</w:t>
                  </w:r>
                </w:p>
              </w:tc>
              <w:tc>
                <w:tcPr>
                  <w:tcW w:w="2663" w:type="dxa"/>
                  <w:vMerge w:val="restart"/>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ascii="Times New Roman" w:hAnsi="Times New Roman" w:eastAsia="宋体" w:cs="Times New Roman"/>
                      <w:color w:val="auto"/>
                      <w:szCs w:val="20"/>
                      <w:lang w:val="en-US" w:eastAsia="zh-CN"/>
                    </w:rPr>
                  </w:pPr>
                  <w:r>
                    <w:rPr>
                      <w:rFonts w:hint="default" w:ascii="Times New Roman" w:hAnsi="Times New Roman" w:eastAsia="宋体" w:cs="Times New Roman"/>
                      <w:color w:val="auto"/>
                      <w:szCs w:val="20"/>
                      <w:lang w:val="en-US" w:eastAsia="zh-CN"/>
                    </w:rPr>
                    <w:t>采取消声、减振措施</w:t>
                  </w:r>
                </w:p>
              </w:tc>
              <w:tc>
                <w:tcPr>
                  <w:tcW w:w="887"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ascii="Times New Roman" w:hAnsi="Times New Roman" w:eastAsia="宋体" w:cs="Times New Roman"/>
                      <w:color w:val="auto"/>
                      <w:szCs w:val="20"/>
                      <w:lang w:val="en-US" w:eastAsia="zh-CN"/>
                    </w:rPr>
                  </w:pPr>
                  <w:r>
                    <w:rPr>
                      <w:rFonts w:hint="eastAsia" w:ascii="Times New Roman" w:hAnsi="Times New Roman" w:eastAsia="宋体" w:cs="Times New Roman"/>
                      <w:color w:val="auto"/>
                      <w:szCs w:val="20"/>
                      <w:lang w:val="en-US" w:eastAsia="zh-CN"/>
                    </w:rPr>
                    <w:t>3</w:t>
                  </w:r>
                </w:p>
              </w:tc>
              <w:tc>
                <w:tcPr>
                  <w:tcW w:w="825"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ascii="Times New Roman" w:hAnsi="Times New Roman" w:eastAsia="宋体" w:cs="Times New Roman"/>
                      <w:color w:val="auto"/>
                      <w:szCs w:val="20"/>
                      <w:lang w:val="en-US" w:eastAsia="zh-CN"/>
                    </w:rPr>
                  </w:pPr>
                  <w:r>
                    <w:rPr>
                      <w:rFonts w:hint="eastAsia" w:ascii="Times New Roman" w:hAnsi="Times New Roman" w:eastAsia="宋体" w:cs="Times New Roman"/>
                      <w:color w:val="auto"/>
                      <w:szCs w:val="20"/>
                      <w:lang w:val="en-US" w:eastAsia="zh-CN"/>
                    </w:rPr>
                    <w:t>2</w:t>
                  </w:r>
                </w:p>
              </w:tc>
              <w:tc>
                <w:tcPr>
                  <w:tcW w:w="974"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ascii="Times New Roman" w:hAnsi="Times New Roman" w:eastAsia="宋体" w:cs="Times New Roman"/>
                      <w:color w:val="auto"/>
                      <w:szCs w:val="20"/>
                      <w:lang w:val="en-US" w:eastAsia="zh-CN"/>
                    </w:rPr>
                  </w:pPr>
                  <w:r>
                    <w:rPr>
                      <w:rFonts w:hint="eastAsia" w:ascii="Times New Roman" w:hAnsi="Times New Roman" w:eastAsia="宋体" w:cs="Times New Roman"/>
                      <w:color w:val="auto"/>
                      <w:szCs w:val="20"/>
                      <w:lang w:val="en-US" w:eastAsia="zh-CN"/>
                    </w:rPr>
                    <w:t>13.2</w:t>
                  </w:r>
                </w:p>
              </w:tc>
              <w:tc>
                <w:tcPr>
                  <w:tcW w:w="1962"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Cs w:val="20"/>
                      <w:lang w:val="en-US" w:eastAsia="zh-CN"/>
                    </w:rPr>
                  </w:pPr>
                  <w:r>
                    <w:rPr>
                      <w:rFonts w:hint="eastAsia" w:cs="Times New Roman"/>
                      <w:color w:val="auto"/>
                      <w:szCs w:val="20"/>
                      <w:lang w:val="en-US" w:eastAsia="zh-CN"/>
                    </w:rPr>
                    <w:t>55</w:t>
                  </w:r>
                </w:p>
              </w:tc>
              <w:tc>
                <w:tcPr>
                  <w:tcW w:w="5862" w:type="dxa"/>
                  <w:vMerge w:val="restart"/>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cs="Times New Roman"/>
                      <w:color w:val="auto"/>
                      <w:szCs w:val="20"/>
                      <w:lang w:val="en-US" w:eastAsia="zh-CN"/>
                    </w:rPr>
                  </w:pPr>
                  <w:r>
                    <w:rPr>
                      <w:rFonts w:hint="default" w:ascii="Times New Roman" w:hAnsi="Times New Roman" w:eastAsia="宋体" w:cs="Times New Roman"/>
                      <w:color w:val="auto"/>
                      <w:sz w:val="21"/>
                      <w:szCs w:val="21"/>
                      <w:lang w:val="en-US" w:eastAsia="zh-CN"/>
                    </w:rPr>
                    <w:t>实行</w:t>
                  </w:r>
                  <w:r>
                    <w:rPr>
                      <w:rFonts w:hint="eastAsia" w:ascii="Times New Roman" w:hAnsi="Times New Roman" w:eastAsia="宋体" w:cs="Times New Roman"/>
                      <w:color w:val="auto"/>
                      <w:sz w:val="21"/>
                      <w:szCs w:val="21"/>
                      <w:lang w:val="en-US" w:eastAsia="zh-CN"/>
                    </w:rPr>
                    <w:t>两</w:t>
                  </w:r>
                  <w:r>
                    <w:rPr>
                      <w:rFonts w:hint="default" w:ascii="Times New Roman" w:hAnsi="Times New Roman" w:eastAsia="宋体" w:cs="Times New Roman"/>
                      <w:color w:val="auto"/>
                      <w:sz w:val="21"/>
                      <w:szCs w:val="21"/>
                      <w:lang w:val="en-US" w:eastAsia="zh-CN"/>
                    </w:rPr>
                    <w:t>班制，每班工作10小时，年工作时间</w:t>
                  </w:r>
                  <w:r>
                    <w:rPr>
                      <w:rFonts w:hint="eastAsia" w:ascii="Times New Roman" w:hAnsi="Times New Roman" w:eastAsia="宋体" w:cs="Times New Roman"/>
                      <w:color w:val="auto"/>
                      <w:sz w:val="21"/>
                      <w:szCs w:val="21"/>
                      <w:lang w:val="en-US" w:eastAsia="zh-CN"/>
                    </w:rPr>
                    <w:t>280</w:t>
                  </w:r>
                  <w:r>
                    <w:rPr>
                      <w:rFonts w:hint="default" w:ascii="Times New Roman" w:hAnsi="Times New Roman" w:eastAsia="宋体" w:cs="Times New Roman"/>
                      <w:color w:val="auto"/>
                      <w:sz w:val="21"/>
                      <w:szCs w:val="21"/>
                      <w:lang w:val="en-US" w:eastAsia="zh-CN"/>
                    </w:rPr>
                    <w:t>天，每年工作</w:t>
                  </w:r>
                  <w:r>
                    <w:rPr>
                      <w:rFonts w:hint="eastAsia" w:ascii="Times New Roman" w:hAnsi="Times New Roman" w:eastAsia="宋体" w:cs="Times New Roman"/>
                      <w:color w:val="auto"/>
                      <w:sz w:val="21"/>
                      <w:szCs w:val="21"/>
                      <w:lang w:val="en-US" w:eastAsia="zh-CN"/>
                    </w:rPr>
                    <w:t>56</w:t>
                  </w:r>
                  <w:r>
                    <w:rPr>
                      <w:rFonts w:hint="default" w:ascii="Times New Roman" w:hAnsi="Times New Roman" w:eastAsia="宋体" w:cs="Times New Roman"/>
                      <w:color w:val="auto"/>
                      <w:sz w:val="21"/>
                      <w:szCs w:val="21"/>
                      <w:lang w:val="en-US" w:eastAsia="zh-CN"/>
                    </w:rPr>
                    <w:t>00小时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81"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 w:val="21"/>
                      <w:szCs w:val="20"/>
                      <w:lang w:val="en-US" w:eastAsia="zh-CN" w:bidi="ar-SA"/>
                    </w:rPr>
                  </w:pPr>
                  <w:r>
                    <w:rPr>
                      <w:rFonts w:hint="eastAsia" w:cs="Times New Roman"/>
                      <w:color w:val="auto"/>
                      <w:sz w:val="21"/>
                      <w:szCs w:val="20"/>
                      <w:lang w:val="en-US" w:eastAsia="zh-CN" w:bidi="ar-SA"/>
                    </w:rPr>
                    <w:t>2</w:t>
                  </w:r>
                </w:p>
              </w:tc>
              <w:tc>
                <w:tcPr>
                  <w:tcW w:w="2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eastAsia="宋体"/>
                      <w:color w:val="auto"/>
                      <w:kern w:val="2"/>
                      <w:sz w:val="21"/>
                      <w:szCs w:val="21"/>
                      <w:lang w:val="en-US" w:eastAsia="zh-CN" w:bidi="ar-SA"/>
                    </w:rPr>
                  </w:pPr>
                  <w:r>
                    <w:rPr>
                      <w:rFonts w:hint="eastAsia"/>
                      <w:color w:val="auto"/>
                      <w:sz w:val="21"/>
                      <w:szCs w:val="21"/>
                      <w:lang w:val="en-US" w:eastAsia="zh-CN"/>
                    </w:rPr>
                    <w:t>纯水机</w:t>
                  </w:r>
                </w:p>
              </w:tc>
              <w:tc>
                <w:tcPr>
                  <w:tcW w:w="1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snapToGrid w:val="0"/>
                      <w:color w:val="auto"/>
                      <w:sz w:val="21"/>
                      <w:szCs w:val="21"/>
                      <w:lang w:val="en-US" w:eastAsia="zh-CN"/>
                    </w:rPr>
                  </w:pPr>
                  <w:r>
                    <w:rPr>
                      <w:rFonts w:hint="eastAsia" w:cs="Times New Roman"/>
                      <w:snapToGrid w:val="0"/>
                      <w:color w:val="auto"/>
                      <w:sz w:val="21"/>
                      <w:szCs w:val="21"/>
                      <w:lang w:val="en-US" w:eastAsia="zh-CN" w:bidi="ar-SA"/>
                    </w:rPr>
                    <w:t>点源</w:t>
                  </w:r>
                </w:p>
              </w:tc>
              <w:tc>
                <w:tcPr>
                  <w:tcW w:w="31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snapToGrid w:val="0"/>
                      <w:color w:val="auto"/>
                      <w:sz w:val="21"/>
                      <w:szCs w:val="21"/>
                      <w:lang w:val="en-US" w:eastAsia="zh-CN"/>
                    </w:rPr>
                  </w:pPr>
                  <w:r>
                    <w:rPr>
                      <w:rFonts w:hint="eastAsia" w:cs="Times New Roman"/>
                      <w:snapToGrid w:val="0"/>
                      <w:color w:val="auto"/>
                      <w:sz w:val="21"/>
                      <w:szCs w:val="21"/>
                      <w:lang w:val="en-US" w:eastAsia="zh-CN" w:bidi="ar-SA"/>
                    </w:rPr>
                    <w:t>70/1</w:t>
                  </w:r>
                </w:p>
              </w:tc>
              <w:tc>
                <w:tcPr>
                  <w:tcW w:w="2663"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eastAsia" w:cs="Times New Roman"/>
                      <w:color w:val="auto"/>
                      <w:szCs w:val="20"/>
                      <w:lang w:val="en-US" w:eastAsia="zh-CN"/>
                    </w:rPr>
                  </w:pPr>
                </w:p>
              </w:tc>
              <w:tc>
                <w:tcPr>
                  <w:tcW w:w="887"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cs="Times New Roman"/>
                      <w:color w:val="auto"/>
                      <w:szCs w:val="20"/>
                      <w:lang w:val="en-US" w:eastAsia="zh-CN"/>
                    </w:rPr>
                  </w:pPr>
                  <w:r>
                    <w:rPr>
                      <w:rFonts w:hint="eastAsia" w:cs="Times New Roman"/>
                      <w:color w:val="auto"/>
                      <w:szCs w:val="20"/>
                      <w:lang w:val="en-US" w:eastAsia="zh-CN"/>
                    </w:rPr>
                    <w:t>5</w:t>
                  </w:r>
                </w:p>
              </w:tc>
              <w:tc>
                <w:tcPr>
                  <w:tcW w:w="825"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cs="Times New Roman"/>
                      <w:color w:val="auto"/>
                      <w:szCs w:val="20"/>
                      <w:lang w:val="en-US" w:eastAsia="zh-CN"/>
                    </w:rPr>
                  </w:pPr>
                  <w:r>
                    <w:rPr>
                      <w:rFonts w:hint="eastAsia" w:cs="Times New Roman"/>
                      <w:color w:val="auto"/>
                      <w:szCs w:val="20"/>
                      <w:lang w:val="en-US" w:eastAsia="zh-CN"/>
                    </w:rPr>
                    <w:t>-2</w:t>
                  </w:r>
                </w:p>
              </w:tc>
              <w:tc>
                <w:tcPr>
                  <w:tcW w:w="97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Cs w:val="20"/>
                      <w:lang w:val="en-US" w:eastAsia="zh-CN"/>
                    </w:rPr>
                  </w:pPr>
                  <w:r>
                    <w:rPr>
                      <w:rFonts w:hint="eastAsia" w:cs="Times New Roman"/>
                      <w:color w:val="auto"/>
                      <w:szCs w:val="20"/>
                      <w:lang w:val="en-US" w:eastAsia="zh-CN"/>
                    </w:rPr>
                    <w:t>13.2</w:t>
                  </w:r>
                </w:p>
              </w:tc>
              <w:tc>
                <w:tcPr>
                  <w:tcW w:w="196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Cs w:val="20"/>
                      <w:lang w:val="en-US" w:eastAsia="zh-CN"/>
                    </w:rPr>
                  </w:pPr>
                  <w:r>
                    <w:rPr>
                      <w:rFonts w:hint="eastAsia" w:cs="Times New Roman"/>
                      <w:color w:val="auto"/>
                      <w:szCs w:val="20"/>
                      <w:lang w:val="en-US" w:eastAsia="zh-CN"/>
                    </w:rPr>
                    <w:t>55</w:t>
                  </w:r>
                </w:p>
              </w:tc>
              <w:tc>
                <w:tcPr>
                  <w:tcW w:w="5862"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cs="Times New Roman"/>
                      <w:color w:val="auto"/>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81"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 w:val="21"/>
                      <w:szCs w:val="20"/>
                      <w:lang w:val="en-US" w:eastAsia="zh-CN" w:bidi="ar-SA"/>
                    </w:rPr>
                  </w:pPr>
                  <w:r>
                    <w:rPr>
                      <w:rFonts w:hint="eastAsia" w:cs="Times New Roman"/>
                      <w:color w:val="auto"/>
                      <w:sz w:val="21"/>
                      <w:szCs w:val="20"/>
                      <w:lang w:val="en-US" w:eastAsia="zh-CN" w:bidi="ar-SA"/>
                    </w:rPr>
                    <w:t>3</w:t>
                  </w:r>
                </w:p>
              </w:tc>
              <w:tc>
                <w:tcPr>
                  <w:tcW w:w="2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eastAsia="宋体"/>
                      <w:color w:val="auto"/>
                      <w:kern w:val="2"/>
                      <w:sz w:val="21"/>
                      <w:szCs w:val="21"/>
                      <w:lang w:val="en-US" w:eastAsia="zh-CN" w:bidi="ar-SA"/>
                    </w:rPr>
                  </w:pPr>
                  <w:r>
                    <w:rPr>
                      <w:rFonts w:hint="eastAsia"/>
                      <w:color w:val="auto"/>
                      <w:sz w:val="21"/>
                      <w:szCs w:val="21"/>
                      <w:lang w:val="en-US" w:eastAsia="zh-CN"/>
                    </w:rPr>
                    <w:t>冷却水塔</w:t>
                  </w:r>
                </w:p>
              </w:tc>
              <w:tc>
                <w:tcPr>
                  <w:tcW w:w="1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点源</w:t>
                  </w:r>
                </w:p>
              </w:tc>
              <w:tc>
                <w:tcPr>
                  <w:tcW w:w="31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80/1</w:t>
                  </w:r>
                </w:p>
              </w:tc>
              <w:tc>
                <w:tcPr>
                  <w:tcW w:w="2663"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eastAsia" w:cs="Times New Roman"/>
                      <w:color w:val="auto"/>
                      <w:szCs w:val="20"/>
                      <w:lang w:val="en-US" w:eastAsia="zh-CN"/>
                    </w:rPr>
                  </w:pPr>
                </w:p>
              </w:tc>
              <w:tc>
                <w:tcPr>
                  <w:tcW w:w="887"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cs="Times New Roman"/>
                      <w:color w:val="auto"/>
                      <w:szCs w:val="20"/>
                      <w:lang w:val="en-US" w:eastAsia="zh-CN"/>
                    </w:rPr>
                  </w:pPr>
                  <w:r>
                    <w:rPr>
                      <w:rFonts w:hint="eastAsia" w:cs="Times New Roman"/>
                      <w:color w:val="auto"/>
                      <w:szCs w:val="20"/>
                      <w:lang w:val="en-US" w:eastAsia="zh-CN"/>
                    </w:rPr>
                    <w:t>5</w:t>
                  </w:r>
                </w:p>
              </w:tc>
              <w:tc>
                <w:tcPr>
                  <w:tcW w:w="825"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cs="Times New Roman"/>
                      <w:color w:val="auto"/>
                      <w:szCs w:val="20"/>
                      <w:lang w:val="en-US" w:eastAsia="zh-CN"/>
                    </w:rPr>
                  </w:pPr>
                  <w:r>
                    <w:rPr>
                      <w:rFonts w:hint="eastAsia" w:cs="Times New Roman"/>
                      <w:color w:val="auto"/>
                      <w:szCs w:val="20"/>
                      <w:lang w:val="en-US" w:eastAsia="zh-CN"/>
                    </w:rPr>
                    <w:t>2</w:t>
                  </w:r>
                </w:p>
              </w:tc>
              <w:tc>
                <w:tcPr>
                  <w:tcW w:w="97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Cs w:val="20"/>
                      <w:lang w:val="en-US" w:eastAsia="zh-CN"/>
                    </w:rPr>
                  </w:pPr>
                  <w:r>
                    <w:rPr>
                      <w:rFonts w:hint="eastAsia" w:cs="Times New Roman"/>
                      <w:color w:val="auto"/>
                      <w:szCs w:val="20"/>
                      <w:lang w:val="en-US" w:eastAsia="zh-CN"/>
                    </w:rPr>
                    <w:t>13.2</w:t>
                  </w:r>
                </w:p>
              </w:tc>
              <w:tc>
                <w:tcPr>
                  <w:tcW w:w="196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Cs w:val="20"/>
                      <w:lang w:val="en-US" w:eastAsia="zh-CN"/>
                    </w:rPr>
                  </w:pPr>
                  <w:r>
                    <w:rPr>
                      <w:rFonts w:hint="eastAsia" w:cs="Times New Roman"/>
                      <w:color w:val="auto"/>
                      <w:szCs w:val="20"/>
                      <w:lang w:val="en-US" w:eastAsia="zh-CN"/>
                    </w:rPr>
                    <w:t>65</w:t>
                  </w:r>
                </w:p>
              </w:tc>
              <w:tc>
                <w:tcPr>
                  <w:tcW w:w="5862"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cs="Times New Roman"/>
                      <w:color w:val="auto"/>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81"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 w:val="21"/>
                      <w:szCs w:val="20"/>
                      <w:lang w:val="en-US" w:eastAsia="zh-CN" w:bidi="ar-SA"/>
                    </w:rPr>
                  </w:pPr>
                  <w:r>
                    <w:rPr>
                      <w:rFonts w:hint="eastAsia" w:cs="Times New Roman"/>
                      <w:color w:val="auto"/>
                      <w:sz w:val="21"/>
                      <w:szCs w:val="20"/>
                      <w:lang w:val="en-US" w:eastAsia="zh-CN" w:bidi="ar-SA"/>
                    </w:rPr>
                    <w:t>4</w:t>
                  </w:r>
                </w:p>
              </w:tc>
              <w:tc>
                <w:tcPr>
                  <w:tcW w:w="2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eastAsia="宋体"/>
                      <w:color w:val="auto"/>
                      <w:kern w:val="2"/>
                      <w:sz w:val="21"/>
                      <w:szCs w:val="21"/>
                      <w:lang w:val="en-US" w:eastAsia="zh-CN" w:bidi="ar-SA"/>
                    </w:rPr>
                  </w:pPr>
                  <w:r>
                    <w:rPr>
                      <w:rFonts w:hint="eastAsia"/>
                      <w:color w:val="auto"/>
                      <w:sz w:val="21"/>
                      <w:szCs w:val="21"/>
                      <w:lang w:val="en-US" w:eastAsia="zh-CN"/>
                    </w:rPr>
                    <w:t>冷却水塔</w:t>
                  </w:r>
                </w:p>
              </w:tc>
              <w:tc>
                <w:tcPr>
                  <w:tcW w:w="1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sz w:val="21"/>
                      <w:szCs w:val="21"/>
                      <w:lang w:val="en-US" w:eastAsia="zh-CN" w:bidi="ar-SA"/>
                    </w:rPr>
                    <w:t>点源</w:t>
                  </w:r>
                </w:p>
              </w:tc>
              <w:tc>
                <w:tcPr>
                  <w:tcW w:w="31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80/1</w:t>
                  </w:r>
                </w:p>
              </w:tc>
              <w:tc>
                <w:tcPr>
                  <w:tcW w:w="2663"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eastAsia" w:cs="Times New Roman"/>
                      <w:color w:val="auto"/>
                      <w:szCs w:val="20"/>
                      <w:lang w:val="en-US" w:eastAsia="zh-CN"/>
                    </w:rPr>
                  </w:pPr>
                </w:p>
              </w:tc>
              <w:tc>
                <w:tcPr>
                  <w:tcW w:w="887"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cs="Times New Roman"/>
                      <w:color w:val="auto"/>
                      <w:szCs w:val="20"/>
                      <w:lang w:val="en-US" w:eastAsia="zh-CN"/>
                    </w:rPr>
                  </w:pPr>
                  <w:r>
                    <w:rPr>
                      <w:rFonts w:hint="eastAsia" w:cs="Times New Roman"/>
                      <w:color w:val="auto"/>
                      <w:szCs w:val="20"/>
                      <w:lang w:val="en-US" w:eastAsia="zh-CN"/>
                    </w:rPr>
                    <w:t>3</w:t>
                  </w:r>
                </w:p>
              </w:tc>
              <w:tc>
                <w:tcPr>
                  <w:tcW w:w="825"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cs="Times New Roman"/>
                      <w:color w:val="auto"/>
                      <w:szCs w:val="20"/>
                      <w:lang w:val="en-US" w:eastAsia="zh-CN"/>
                    </w:rPr>
                  </w:pPr>
                  <w:r>
                    <w:rPr>
                      <w:rFonts w:hint="eastAsia" w:cs="Times New Roman"/>
                      <w:color w:val="auto"/>
                      <w:szCs w:val="20"/>
                      <w:lang w:val="en-US" w:eastAsia="zh-CN"/>
                    </w:rPr>
                    <w:t>2</w:t>
                  </w:r>
                </w:p>
              </w:tc>
              <w:tc>
                <w:tcPr>
                  <w:tcW w:w="974"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Cs w:val="20"/>
                      <w:lang w:val="en-US" w:eastAsia="zh-CN"/>
                    </w:rPr>
                  </w:pPr>
                  <w:r>
                    <w:rPr>
                      <w:rFonts w:hint="eastAsia" w:cs="Times New Roman"/>
                      <w:color w:val="auto"/>
                      <w:szCs w:val="20"/>
                      <w:lang w:val="en-US" w:eastAsia="zh-CN"/>
                    </w:rPr>
                    <w:t>13.2</w:t>
                  </w:r>
                </w:p>
              </w:tc>
              <w:tc>
                <w:tcPr>
                  <w:tcW w:w="1962"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Cs w:val="20"/>
                      <w:lang w:val="en-US" w:eastAsia="zh-CN"/>
                    </w:rPr>
                  </w:pPr>
                  <w:r>
                    <w:rPr>
                      <w:rFonts w:hint="eastAsia" w:cs="Times New Roman"/>
                      <w:color w:val="auto"/>
                      <w:szCs w:val="20"/>
                      <w:lang w:val="en-US" w:eastAsia="zh-CN"/>
                    </w:rPr>
                    <w:t>65</w:t>
                  </w:r>
                </w:p>
              </w:tc>
              <w:tc>
                <w:tcPr>
                  <w:tcW w:w="5862"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cs="Times New Roman"/>
                      <w:color w:val="auto"/>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34" w:hRule="atLeast"/>
                <w:jc w:val="center"/>
              </w:trPr>
              <w:tc>
                <w:tcPr>
                  <w:tcW w:w="881"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 w:val="21"/>
                      <w:szCs w:val="20"/>
                      <w:lang w:val="en-US" w:eastAsia="zh-CN" w:bidi="ar-SA"/>
                    </w:rPr>
                  </w:pPr>
                  <w:r>
                    <w:rPr>
                      <w:rFonts w:hint="eastAsia" w:cs="Times New Roman"/>
                      <w:color w:val="auto"/>
                      <w:sz w:val="21"/>
                      <w:szCs w:val="20"/>
                      <w:lang w:val="en-US" w:eastAsia="zh-CN" w:bidi="ar-SA"/>
                    </w:rPr>
                    <w:t>5</w:t>
                  </w:r>
                </w:p>
              </w:tc>
              <w:tc>
                <w:tcPr>
                  <w:tcW w:w="2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ascii="Times New Roman" w:hAnsi="Times New Roman"/>
                      <w:color w:val="auto"/>
                      <w:sz w:val="21"/>
                      <w:szCs w:val="21"/>
                      <w:lang w:eastAsia="zh-CN"/>
                    </w:rPr>
                  </w:pPr>
                  <w:r>
                    <w:rPr>
                      <w:rFonts w:hint="eastAsia"/>
                      <w:color w:val="auto"/>
                      <w:sz w:val="21"/>
                      <w:szCs w:val="21"/>
                      <w:lang w:val="en-US" w:eastAsia="zh-CN"/>
                    </w:rPr>
                    <w:t>废气处理装置</w:t>
                  </w:r>
                </w:p>
              </w:tc>
              <w:tc>
                <w:tcPr>
                  <w:tcW w:w="105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eastAsia"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点源</w:t>
                  </w:r>
                </w:p>
              </w:tc>
              <w:tc>
                <w:tcPr>
                  <w:tcW w:w="310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240" w:lineRule="auto"/>
                    <w:ind w:left="0" w:leftChars="0" w:right="0" w:rightChars="0" w:firstLine="0" w:firstLineChars="0"/>
                    <w:jc w:val="center"/>
                    <w:textAlignment w:val="baseline"/>
                    <w:rPr>
                      <w:rFonts w:hint="default" w:cs="Times New Roman"/>
                      <w:snapToGrid w:val="0"/>
                      <w:color w:val="auto"/>
                      <w:sz w:val="21"/>
                      <w:szCs w:val="21"/>
                      <w:lang w:val="en-US" w:eastAsia="zh-CN" w:bidi="ar-SA"/>
                    </w:rPr>
                  </w:pPr>
                  <w:r>
                    <w:rPr>
                      <w:rFonts w:hint="eastAsia" w:cs="Times New Roman"/>
                      <w:snapToGrid w:val="0"/>
                      <w:color w:val="auto"/>
                      <w:sz w:val="21"/>
                      <w:szCs w:val="21"/>
                      <w:lang w:val="en-US" w:eastAsia="zh-CN" w:bidi="ar-SA"/>
                    </w:rPr>
                    <w:t>85/1</w:t>
                  </w:r>
                </w:p>
              </w:tc>
              <w:tc>
                <w:tcPr>
                  <w:tcW w:w="2663"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eastAsia" w:cs="Times New Roman"/>
                      <w:color w:val="auto"/>
                      <w:szCs w:val="20"/>
                      <w:lang w:val="en-US" w:eastAsia="zh-CN"/>
                    </w:rPr>
                  </w:pPr>
                </w:p>
              </w:tc>
              <w:tc>
                <w:tcPr>
                  <w:tcW w:w="887"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cs="Times New Roman"/>
                      <w:color w:val="auto"/>
                      <w:szCs w:val="20"/>
                      <w:lang w:val="en-US" w:eastAsia="zh-CN"/>
                    </w:rPr>
                  </w:pPr>
                  <w:r>
                    <w:rPr>
                      <w:rFonts w:hint="eastAsia" w:cs="Times New Roman"/>
                      <w:color w:val="auto"/>
                      <w:szCs w:val="20"/>
                      <w:lang w:val="en-US" w:eastAsia="zh-CN"/>
                    </w:rPr>
                    <w:t>8</w:t>
                  </w:r>
                </w:p>
              </w:tc>
              <w:tc>
                <w:tcPr>
                  <w:tcW w:w="825"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right="0"/>
                    <w:jc w:val="center"/>
                    <w:textAlignment w:val="baseline"/>
                    <w:rPr>
                      <w:rFonts w:hint="default" w:cs="Times New Roman"/>
                      <w:color w:val="auto"/>
                      <w:szCs w:val="20"/>
                      <w:lang w:val="en-US" w:eastAsia="zh-CN"/>
                    </w:rPr>
                  </w:pPr>
                  <w:r>
                    <w:rPr>
                      <w:rFonts w:hint="eastAsia" w:cs="Times New Roman"/>
                      <w:color w:val="auto"/>
                      <w:szCs w:val="20"/>
                      <w:lang w:val="en-US" w:eastAsia="zh-CN"/>
                    </w:rPr>
                    <w:t>2</w:t>
                  </w:r>
                </w:p>
              </w:tc>
              <w:tc>
                <w:tcPr>
                  <w:tcW w:w="974"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Cs w:val="20"/>
                      <w:lang w:val="en-US" w:eastAsia="zh-CN"/>
                    </w:rPr>
                  </w:pPr>
                  <w:r>
                    <w:rPr>
                      <w:rFonts w:hint="eastAsia" w:cs="Times New Roman"/>
                      <w:color w:val="auto"/>
                      <w:szCs w:val="20"/>
                      <w:lang w:val="en-US" w:eastAsia="zh-CN"/>
                    </w:rPr>
                    <w:t>13.2</w:t>
                  </w:r>
                </w:p>
              </w:tc>
              <w:tc>
                <w:tcPr>
                  <w:tcW w:w="1962" w:type="dxa"/>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default" w:cs="Times New Roman"/>
                      <w:color w:val="auto"/>
                      <w:szCs w:val="20"/>
                      <w:lang w:val="en-US" w:eastAsia="zh-CN"/>
                    </w:rPr>
                  </w:pPr>
                  <w:r>
                    <w:rPr>
                      <w:rFonts w:hint="eastAsia" w:cs="Times New Roman"/>
                      <w:color w:val="auto"/>
                      <w:szCs w:val="20"/>
                      <w:lang w:val="en-US" w:eastAsia="zh-CN"/>
                    </w:rPr>
                    <w:t>70</w:t>
                  </w:r>
                </w:p>
              </w:tc>
              <w:tc>
                <w:tcPr>
                  <w:tcW w:w="5862" w:type="dxa"/>
                  <w:vMerge w:val="continue"/>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center"/>
                    <w:textAlignment w:val="baseline"/>
                    <w:rPr>
                      <w:rFonts w:hint="eastAsia" w:cs="Times New Roman"/>
                      <w:color w:val="auto"/>
                      <w:szCs w:val="2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7" w:hRule="atLeast"/>
                <w:jc w:val="center"/>
              </w:trPr>
              <w:tc>
                <w:tcPr>
                  <w:tcW w:w="20254" w:type="dxa"/>
                  <w:gridSpan w:val="10"/>
                  <w:tcBorders>
                    <w:tl2br w:val="nil"/>
                    <w:tr2bl w:val="nil"/>
                  </w:tcBorders>
                  <w:noWrap w:val="0"/>
                  <w:vAlign w:val="center"/>
                </w:tcPr>
                <w:p>
                  <w:pPr>
                    <w:pStyle w:val="67"/>
                    <w:keepNext w:val="0"/>
                    <w:keepLines w:val="0"/>
                    <w:pageBreakBefore w:val="0"/>
                    <w:widowControl w:val="0"/>
                    <w:suppressLineNumbers w:val="0"/>
                    <w:kinsoku/>
                    <w:wordWrap/>
                    <w:overflowPunct/>
                    <w:topLinePunct w:val="0"/>
                    <w:autoSpaceDE/>
                    <w:autoSpaceDN/>
                    <w:bidi w:val="0"/>
                    <w:adjustRightInd w:val="0"/>
                    <w:spacing w:before="0" w:beforeLines="0" w:beforeAutospacing="0" w:after="0" w:afterLines="0" w:afterAutospacing="0"/>
                    <w:ind w:left="0" w:leftChars="0" w:right="0" w:rightChars="0" w:firstLine="0" w:firstLineChars="0"/>
                    <w:jc w:val="left"/>
                    <w:textAlignment w:val="baseline"/>
                    <w:rPr>
                      <w:rFonts w:hint="default" w:cs="Times New Roman"/>
                      <w:color w:val="auto"/>
                      <w:szCs w:val="20"/>
                      <w:lang w:val="en-US" w:eastAsia="zh-CN"/>
                    </w:rPr>
                  </w:pPr>
                  <w:r>
                    <w:rPr>
                      <w:rFonts w:hint="default" w:ascii="Times New Roman" w:hAnsi="Times New Roman" w:eastAsia="宋体" w:cs="Times New Roman"/>
                      <w:color w:val="auto"/>
                      <w:sz w:val="21"/>
                      <w:szCs w:val="21"/>
                      <w:lang w:val="en-US" w:eastAsia="zh-CN"/>
                    </w:rPr>
                    <w:t>注：①空间相对位置</w:t>
                  </w:r>
                  <w:r>
                    <w:rPr>
                      <w:rFonts w:hint="eastAsia" w:ascii="Times New Roman" w:hAnsi="Times New Roman" w:eastAsia="宋体" w:cs="Times New Roman"/>
                      <w:color w:val="auto"/>
                      <w:sz w:val="21"/>
                      <w:szCs w:val="21"/>
                      <w:lang w:val="en-US" w:eastAsia="zh-CN"/>
                    </w:rPr>
                    <w:t>Z</w:t>
                  </w:r>
                  <w:r>
                    <w:rPr>
                      <w:rFonts w:hint="default" w:ascii="Times New Roman" w:hAnsi="Times New Roman" w:eastAsia="宋体" w:cs="Times New Roman"/>
                      <w:color w:val="auto"/>
                      <w:sz w:val="21"/>
                      <w:szCs w:val="21"/>
                      <w:lang w:val="en-US" w:eastAsia="zh-CN"/>
                    </w:rPr>
                    <w:t>代表设备</w:t>
                  </w:r>
                  <w:r>
                    <w:rPr>
                      <w:rFonts w:hint="eastAsia" w:ascii="Times New Roman" w:hAnsi="Times New Roman" w:eastAsia="宋体" w:cs="Times New Roman"/>
                      <w:color w:val="auto"/>
                      <w:sz w:val="21"/>
                      <w:szCs w:val="21"/>
                      <w:lang w:val="en-US" w:eastAsia="zh-CN"/>
                    </w:rPr>
                    <w:t>距</w:t>
                  </w:r>
                  <w:r>
                    <w:rPr>
                      <w:rFonts w:hint="default" w:ascii="Times New Roman" w:hAnsi="Times New Roman" w:eastAsia="宋体" w:cs="Times New Roman"/>
                      <w:color w:val="auto"/>
                      <w:sz w:val="21"/>
                      <w:szCs w:val="21"/>
                      <w:lang w:val="en-US" w:eastAsia="zh-CN"/>
                    </w:rPr>
                    <w:t>离地</w:t>
                  </w:r>
                  <w:r>
                    <w:rPr>
                      <w:rFonts w:hint="eastAsia" w:ascii="Times New Roman" w:hAnsi="Times New Roman" w:eastAsia="宋体" w:cs="Times New Roman"/>
                      <w:color w:val="auto"/>
                      <w:sz w:val="21"/>
                      <w:szCs w:val="21"/>
                      <w:lang w:val="en-US" w:eastAsia="zh-CN"/>
                    </w:rPr>
                    <w:t>面</w:t>
                  </w:r>
                  <w:r>
                    <w:rPr>
                      <w:rFonts w:hint="default" w:ascii="Times New Roman" w:hAnsi="Times New Roman" w:eastAsia="宋体" w:cs="Times New Roman"/>
                      <w:color w:val="auto"/>
                      <w:sz w:val="21"/>
                      <w:szCs w:val="21"/>
                      <w:lang w:val="en-US" w:eastAsia="zh-CN"/>
                    </w:rPr>
                    <w:t>高度；②</w:t>
                  </w:r>
                  <w:r>
                    <w:rPr>
                      <w:rFonts w:hint="eastAsia" w:ascii="Times New Roman" w:hAnsi="Times New Roman" w:eastAsia="宋体" w:cs="Times New Roman"/>
                      <w:color w:val="auto"/>
                      <w:sz w:val="21"/>
                      <w:szCs w:val="21"/>
                      <w:lang w:val="en-US" w:eastAsia="zh-CN"/>
                    </w:rPr>
                    <w:t>室外</w:t>
                  </w:r>
                  <w:r>
                    <w:rPr>
                      <w:rFonts w:hint="default" w:ascii="Times New Roman" w:hAnsi="Times New Roman" w:eastAsia="宋体" w:cs="Times New Roman"/>
                      <w:color w:val="auto"/>
                      <w:sz w:val="21"/>
                      <w:szCs w:val="21"/>
                      <w:lang w:val="en-US" w:eastAsia="zh-CN"/>
                    </w:rPr>
                    <w:t>噪声源</w:t>
                  </w:r>
                  <w:r>
                    <w:rPr>
                      <w:rFonts w:hint="eastAsia" w:ascii="Times New Roman" w:hAnsi="Times New Roman" w:eastAsia="宋体" w:cs="Times New Roman"/>
                      <w:color w:val="auto"/>
                      <w:sz w:val="21"/>
                      <w:szCs w:val="21"/>
                      <w:lang w:val="en-US" w:eastAsia="zh-CN"/>
                    </w:rPr>
                    <w:t>以生产车间中心</w:t>
                  </w:r>
                  <w:r>
                    <w:rPr>
                      <w:rFonts w:hint="default" w:ascii="Times New Roman" w:hAnsi="Times New Roman" w:eastAsia="宋体" w:cs="Times New Roman"/>
                      <w:color w:val="auto"/>
                      <w:sz w:val="21"/>
                      <w:szCs w:val="21"/>
                      <w:lang w:val="en-US" w:eastAsia="zh-CN"/>
                    </w:rPr>
                    <w:t>为原点坐标（0.0）</w:t>
                  </w:r>
                  <w:r>
                    <w:rPr>
                      <w:rFonts w:hint="eastAsia" w:ascii="Times New Roman" w:hAnsi="Times New Roman" w:eastAsia="宋体" w:cs="Times New Roman"/>
                      <w:color w:val="auto"/>
                      <w:sz w:val="21"/>
                      <w:szCs w:val="21"/>
                      <w:lang w:val="en-US" w:eastAsia="zh-CN"/>
                    </w:rPr>
                    <w:t>，正东向为X轴正方向，正北向为Y轴正方向；</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380" w:firstLineChars="200"/>
              <w:jc w:val="both"/>
              <w:textAlignment w:val="auto"/>
              <w:rPr>
                <w:rFonts w:ascii="宋体" w:hAnsi="宋体" w:cs="宋体"/>
                <w:bCs/>
                <w:color w:val="auto"/>
                <w:spacing w:val="-10"/>
                <w:szCs w:val="21"/>
              </w:rPr>
            </w:pPr>
          </w:p>
        </w:tc>
      </w:tr>
    </w:tbl>
    <w:p>
      <w:pPr>
        <w:adjustRightInd w:val="0"/>
        <w:snapToGrid w:val="0"/>
        <w:spacing w:line="360" w:lineRule="auto"/>
        <w:rPr>
          <w:rFonts w:hint="default" w:ascii="Times New Roman" w:hAnsi="Times New Roman" w:cs="Times New Roman"/>
          <w:b/>
          <w:color w:val="auto"/>
          <w:kern w:val="0"/>
          <w:sz w:val="28"/>
          <w:szCs w:val="28"/>
        </w:rPr>
        <w:sectPr>
          <w:pgSz w:w="23811" w:h="16838" w:orient="landscape"/>
          <w:pgMar w:top="1531" w:right="1701" w:bottom="1531" w:left="2127" w:header="851" w:footer="851" w:gutter="0"/>
          <w:pgBorders>
            <w:top w:val="none" w:sz="0" w:space="0"/>
            <w:left w:val="none" w:sz="0" w:space="0"/>
            <w:bottom w:val="none" w:sz="0" w:space="0"/>
            <w:right w:val="none" w:sz="0" w:space="0"/>
          </w:pgBorders>
          <w:pgNumType w:fmt="decimal"/>
          <w:cols w:space="720" w:num="1"/>
          <w:docGrid w:linePitch="312" w:charSpace="0"/>
        </w:sectPr>
      </w:pPr>
    </w:p>
    <w:tbl>
      <w:tblPr>
        <w:tblStyle w:val="33"/>
        <w:tblW w:w="0" w:type="auto"/>
        <w:tblInd w:w="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
        <w:gridCol w:w="8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0" w:hRule="atLeast"/>
        </w:trPr>
        <w:tc>
          <w:tcPr>
            <w:tcW w:w="240" w:type="dxa"/>
            <w:noWrap w:val="0"/>
            <w:vAlign w:val="top"/>
          </w:tcPr>
          <w:p>
            <w:pPr>
              <w:adjustRightInd w:val="0"/>
              <w:snapToGrid w:val="0"/>
              <w:spacing w:line="360" w:lineRule="auto"/>
              <w:rPr>
                <w:rFonts w:hint="default" w:ascii="Times New Roman" w:hAnsi="Times New Roman" w:cs="Times New Roman"/>
                <w:b/>
                <w:color w:val="auto"/>
                <w:kern w:val="0"/>
                <w:sz w:val="28"/>
                <w:szCs w:val="28"/>
                <w:vertAlign w:val="baseline"/>
              </w:rPr>
            </w:pPr>
          </w:p>
        </w:tc>
        <w:tc>
          <w:tcPr>
            <w:tcW w:w="8772" w:type="dxa"/>
            <w:noWrap w:val="0"/>
            <w:vAlign w:val="top"/>
          </w:tcPr>
          <w:p>
            <w:pPr>
              <w:spacing w:before="120" w:beforeLines="50" w:line="360" w:lineRule="auto"/>
              <w:ind w:firstLine="482" w:firstLineChars="200"/>
              <w:rPr>
                <w:rFonts w:ascii="Times New Roman" w:hAnsi="Times New Roman"/>
                <w:b/>
                <w:bCs/>
                <w:color w:val="auto"/>
                <w:sz w:val="24"/>
                <w:szCs w:val="24"/>
              </w:rPr>
            </w:pPr>
            <w:r>
              <w:rPr>
                <w:rFonts w:hint="eastAsia" w:ascii="Times New Roman" w:hAnsi="Times New Roman"/>
                <w:b/>
                <w:bCs/>
                <w:color w:val="auto"/>
                <w:sz w:val="24"/>
                <w:szCs w:val="24"/>
              </w:rPr>
              <w:t xml:space="preserve">4.2.3.2 </w:t>
            </w:r>
            <w:r>
              <w:rPr>
                <w:rFonts w:ascii="Times New Roman" w:hAnsi="Times New Roman"/>
                <w:b/>
                <w:bCs/>
                <w:color w:val="auto"/>
                <w:sz w:val="24"/>
                <w:szCs w:val="24"/>
              </w:rPr>
              <w:t>噪声环境影响分析</w:t>
            </w:r>
          </w:p>
          <w:p>
            <w:pPr>
              <w:spacing w:line="360" w:lineRule="auto"/>
              <w:ind w:firstLine="480" w:firstLineChars="200"/>
              <w:rPr>
                <w:rFonts w:ascii="Times New Roman" w:hAnsi="Times New Roman"/>
                <w:color w:val="auto"/>
                <w:sz w:val="24"/>
                <w:szCs w:val="24"/>
              </w:rPr>
            </w:pPr>
            <w:r>
              <w:rPr>
                <w:rFonts w:hint="eastAsia" w:ascii="Times New Roman" w:hAnsi="Times New Roman"/>
                <w:color w:val="auto"/>
                <w:sz w:val="24"/>
                <w:szCs w:val="24"/>
                <w:lang w:eastAsia="zh-CN"/>
              </w:rPr>
              <w:t>固定声源的噪声向周围传播过程中，会发生反射、折射、衍射、吸收等现象。因此，随传播距离的增加而产生的衰减量并不按简单的几何规律计算。根据《环境影响评价技术导则</w:t>
            </w:r>
            <w:r>
              <w:rPr>
                <w:rFonts w:hint="eastAsia" w:ascii="Times New Roman" w:hAnsi="Times New Roman"/>
                <w:color w:val="auto"/>
                <w:sz w:val="24"/>
                <w:szCs w:val="24"/>
                <w:lang w:val="en-US" w:eastAsia="zh-CN"/>
              </w:rPr>
              <w:t xml:space="preserve"> </w:t>
            </w:r>
            <w:r>
              <w:rPr>
                <w:rFonts w:hint="eastAsia" w:ascii="Times New Roman" w:hAnsi="Times New Roman"/>
                <w:color w:val="auto"/>
                <w:sz w:val="24"/>
                <w:szCs w:val="24"/>
                <w:lang w:eastAsia="zh-CN"/>
              </w:rPr>
              <w:t>声环境》（HJ2.4-2021）对室内声源的预测方法，声源位于室内，室内声源可采用等效室外声源声功率级法进行计算</w:t>
            </w:r>
            <w:r>
              <w:rPr>
                <w:rFonts w:ascii="Times New Roman" w:hAnsi="Times New Roman"/>
                <w:color w:val="auto"/>
                <w:sz w:val="24"/>
                <w:szCs w:val="24"/>
              </w:rPr>
              <w:t>。</w:t>
            </w:r>
          </w:p>
          <w:p>
            <w:pPr>
              <w:spacing w:line="360" w:lineRule="auto"/>
              <w:ind w:firstLine="480" w:firstLineChars="200"/>
              <w:rPr>
                <w:rFonts w:hint="eastAsia" w:ascii="Times New Roman" w:hAnsi="Times New Roman" w:eastAsia="宋体"/>
                <w:color w:val="auto"/>
                <w:sz w:val="24"/>
                <w:szCs w:val="24"/>
                <w:lang w:eastAsia="zh-CN"/>
              </w:rPr>
            </w:pP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1</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预测模式选择</w:t>
            </w:r>
          </w:p>
          <w:p>
            <w:pPr>
              <w:spacing w:line="360" w:lineRule="auto"/>
              <w:ind w:firstLine="480" w:firstLineChars="200"/>
              <w:rPr>
                <w:rFonts w:hint="eastAsia" w:ascii="Times New Roman" w:hAnsi="Times New Roman" w:eastAsia="宋体"/>
                <w:color w:val="auto"/>
                <w:sz w:val="24"/>
                <w:szCs w:val="24"/>
                <w:lang w:eastAsia="zh-CN"/>
              </w:rPr>
            </w:pPr>
            <w:r>
              <w:rPr>
                <w:rFonts w:ascii="Times New Roman" w:hAnsi="Times New Roman"/>
                <w:color w:val="auto"/>
                <w:sz w:val="24"/>
                <w:szCs w:val="24"/>
              </w:rPr>
              <w:t>根据《环境影响评价技术导则</w:t>
            </w:r>
            <w:r>
              <w:rPr>
                <w:rFonts w:hint="eastAsia" w:ascii="Times New Roman" w:hAnsi="Times New Roman"/>
                <w:color w:val="auto"/>
                <w:sz w:val="24"/>
                <w:szCs w:val="24"/>
                <w:lang w:val="en-US" w:eastAsia="zh-CN"/>
              </w:rPr>
              <w:t xml:space="preserve"> </w:t>
            </w:r>
            <w:r>
              <w:rPr>
                <w:rFonts w:ascii="Times New Roman" w:hAnsi="Times New Roman"/>
                <w:color w:val="auto"/>
                <w:sz w:val="24"/>
                <w:szCs w:val="24"/>
              </w:rPr>
              <w:t>声环境》</w:t>
            </w:r>
            <w:r>
              <w:rPr>
                <w:rFonts w:hint="eastAsia" w:ascii="Times New Roman" w:hAnsi="Times New Roman"/>
                <w:color w:val="auto"/>
                <w:sz w:val="24"/>
                <w:szCs w:val="24"/>
              </w:rPr>
              <w:t>（</w:t>
            </w:r>
            <w:r>
              <w:rPr>
                <w:rFonts w:ascii="Times New Roman" w:hAnsi="Times New Roman"/>
                <w:color w:val="auto"/>
                <w:sz w:val="24"/>
                <w:szCs w:val="24"/>
              </w:rPr>
              <w:t>HJ2.4-</w:t>
            </w:r>
            <w:r>
              <w:rPr>
                <w:rFonts w:hint="default" w:ascii="Times New Roman" w:hAnsi="Times New Roman"/>
                <w:color w:val="auto"/>
                <w:sz w:val="24"/>
                <w:szCs w:val="24"/>
                <w:lang w:val="en-US" w:eastAsia="zh-CN"/>
              </w:rPr>
              <w:t>2021</w:t>
            </w:r>
            <w:r>
              <w:rPr>
                <w:rFonts w:hint="eastAsia" w:ascii="Times New Roman" w:hAnsi="Times New Roman"/>
                <w:color w:val="auto"/>
                <w:sz w:val="24"/>
                <w:szCs w:val="24"/>
              </w:rPr>
              <w:t>）</w:t>
            </w:r>
            <w:r>
              <w:rPr>
                <w:rFonts w:ascii="Times New Roman" w:hAnsi="Times New Roman"/>
                <w:color w:val="auto"/>
                <w:sz w:val="24"/>
                <w:szCs w:val="24"/>
              </w:rPr>
              <w:t>附录A和附录B的要求，选择适合的模式预测本建设项目主要声源排放噪声随距离的衰减变化规律</w:t>
            </w:r>
            <w:r>
              <w:rPr>
                <w:rFonts w:hint="eastAsia" w:ascii="Times New Roman" w:hAnsi="Times New Roman"/>
                <w:color w:val="auto"/>
                <w:sz w:val="24"/>
                <w:szCs w:val="24"/>
                <w:lang w:eastAsia="zh-CN"/>
              </w:rPr>
              <w:t>。</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①对室外噪声源主要考虑噪声的几何发散衰减及环境因素衰减：</w:t>
            </w:r>
          </w:p>
          <w:p>
            <w:pPr>
              <w:spacing w:line="360" w:lineRule="auto"/>
              <w:jc w:val="center"/>
              <w:rPr>
                <w:rFonts w:hint="eastAsia" w:ascii="Times New Roman" w:hAnsi="Times New Roman" w:eastAsia="宋体"/>
                <w:color w:val="auto"/>
                <w:sz w:val="24"/>
                <w:szCs w:val="24"/>
                <w:lang w:eastAsia="zh-CN"/>
              </w:rPr>
            </w:pPr>
            <w:r>
              <w:rPr>
                <w:rFonts w:hint="eastAsia" w:ascii="Times New Roman" w:hAnsi="Times New Roman" w:eastAsia="宋体"/>
                <w:color w:val="auto"/>
                <w:position w:val="-14"/>
                <w:sz w:val="24"/>
                <w:szCs w:val="24"/>
                <w:lang w:eastAsia="zh-CN"/>
              </w:rPr>
              <w:object>
                <v:shape id="_x0000_i1031" o:spt="75" type="#_x0000_t75" style="height:19pt;width:130pt;" o:ole="t" filled="f" o:preferrelative="t" stroked="f" coordsize="21600,21600">
                  <v:path/>
                  <v:fill on="f" focussize="0,0"/>
                  <v:stroke on="f"/>
                  <v:imagedata r:id="rId30" o:title=""/>
                  <o:lock v:ext="edit" aspectratio="t"/>
                  <w10:wrap type="none"/>
                  <w10:anchorlock/>
                </v:shape>
                <o:OLEObject Type="Embed" ProgID="Equation.KSEE3" ShapeID="_x0000_i1031" DrawAspect="Content" ObjectID="_1468075731" r:id="rId29">
                  <o:LockedField>false</o:LockedField>
                </o:OLEObject>
              </w:objec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式中：</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default" w:ascii="Times New Roman" w:hAnsi="Times New Roman" w:cs="Times New Roman"/>
                <w:i/>
                <w:iCs/>
                <w:color w:val="auto"/>
                <w:sz w:val="24"/>
                <w:szCs w:val="24"/>
              </w:rPr>
              <w:t>L</w:t>
            </w:r>
            <w:r>
              <w:rPr>
                <w:rFonts w:hint="eastAsia" w:ascii="Times New Roman" w:hAnsi="Times New Roman" w:cs="Times New Roman"/>
                <w:i/>
                <w:iCs/>
                <w:color w:val="auto"/>
                <w:sz w:val="24"/>
                <w:szCs w:val="24"/>
                <w:vertAlign w:val="subscript"/>
                <w:lang w:val="en-US" w:eastAsia="zh-CN"/>
              </w:rPr>
              <w:t>p</w:t>
            </w:r>
            <w:r>
              <w:rPr>
                <w:rFonts w:hint="eastAsia" w:ascii="Times New Roman" w:hAnsi="Times New Roman" w:cs="Times New Roman"/>
                <w:color w:val="auto"/>
                <w:sz w:val="24"/>
                <w:szCs w:val="24"/>
                <w:lang w:eastAsia="zh-CN"/>
              </w:rPr>
              <w:t>（</w:t>
            </w:r>
            <w:r>
              <w:rPr>
                <w:rFonts w:hint="eastAsia" w:ascii="Times New Roman" w:hAnsi="Times New Roman" w:cs="Times New Roman"/>
                <w:i/>
                <w:iCs/>
                <w:color w:val="auto"/>
                <w:sz w:val="24"/>
                <w:szCs w:val="24"/>
                <w:lang w:val="en-US" w:eastAsia="zh-CN"/>
              </w:rPr>
              <w:t>r</w:t>
            </w:r>
            <w:r>
              <w:rPr>
                <w:rFonts w:hint="eastAsia"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lang w:eastAsia="zh-CN"/>
              </w:rPr>
              <w:t>—预测点处声压级，dB</w:t>
            </w:r>
            <w:r>
              <w:rPr>
                <w:rFonts w:hint="default" w:ascii="Times New Roman" w:hAnsi="Times New Roman" w:cs="Times New Roman"/>
                <w:color w:val="auto"/>
                <w:sz w:val="24"/>
                <w:szCs w:val="24"/>
              </w:rPr>
              <w:t>；</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i/>
                <w:iCs/>
                <w:color w:val="auto"/>
                <w:sz w:val="24"/>
                <w:szCs w:val="24"/>
              </w:rPr>
              <w:t>L</w:t>
            </w:r>
            <w:r>
              <w:rPr>
                <w:rFonts w:hint="eastAsia" w:ascii="Times New Roman" w:hAnsi="Times New Roman" w:cs="Times New Roman"/>
                <w:i/>
                <w:iCs/>
                <w:color w:val="auto"/>
                <w:sz w:val="24"/>
                <w:szCs w:val="24"/>
                <w:vertAlign w:val="subscript"/>
                <w:lang w:val="en-US" w:eastAsia="zh-CN"/>
              </w:rPr>
              <w:t>p</w:t>
            </w:r>
            <w:r>
              <w:rPr>
                <w:rFonts w:hint="eastAsia" w:ascii="Times New Roman" w:hAnsi="Times New Roman" w:cs="Times New Roman"/>
                <w:color w:val="auto"/>
                <w:sz w:val="24"/>
                <w:szCs w:val="24"/>
                <w:lang w:eastAsia="zh-CN"/>
              </w:rPr>
              <w:t>（</w:t>
            </w:r>
            <w:r>
              <w:rPr>
                <w:rFonts w:hint="eastAsia" w:ascii="Times New Roman" w:hAnsi="Times New Roman" w:cs="Times New Roman"/>
                <w:i/>
                <w:iCs/>
                <w:color w:val="auto"/>
                <w:sz w:val="24"/>
                <w:szCs w:val="24"/>
                <w:lang w:val="en-US" w:eastAsia="zh-CN"/>
              </w:rPr>
              <w:t>r</w:t>
            </w:r>
            <w:r>
              <w:rPr>
                <w:rFonts w:hint="eastAsia" w:ascii="Times New Roman" w:hAnsi="Times New Roman" w:cs="Times New Roman"/>
                <w:i w:val="0"/>
                <w:iCs w:val="0"/>
                <w:color w:val="auto"/>
                <w:sz w:val="24"/>
                <w:szCs w:val="24"/>
                <w:vertAlign w:val="subscript"/>
                <w:lang w:val="en-US" w:eastAsia="zh-CN"/>
              </w:rPr>
              <w:t>0</w:t>
            </w:r>
            <w:r>
              <w:rPr>
                <w:rFonts w:hint="eastAsia" w:ascii="Times New Roman" w:hAnsi="Times New Roman" w:cs="Times New Roman"/>
                <w:color w:val="auto"/>
                <w:sz w:val="24"/>
                <w:szCs w:val="24"/>
                <w:lang w:eastAsia="zh-CN"/>
              </w:rPr>
              <w:t>）</w:t>
            </w:r>
            <w:r>
              <w:rPr>
                <w:rFonts w:hint="default" w:ascii="Times New Roman" w:hAnsi="Times New Roman" w:eastAsia="宋体" w:cs="Times New Roman"/>
                <w:color w:val="auto"/>
                <w:sz w:val="24"/>
                <w:szCs w:val="24"/>
                <w:lang w:eastAsia="zh-CN"/>
              </w:rPr>
              <w:t>—参考位置</w:t>
            </w:r>
            <w:r>
              <w:rPr>
                <w:rFonts w:hint="default" w:ascii="Times New Roman" w:hAnsi="Times New Roman" w:eastAsia="宋体" w:cs="Times New Roman"/>
                <w:i/>
                <w:iCs/>
                <w:color w:val="auto"/>
                <w:sz w:val="24"/>
                <w:szCs w:val="24"/>
                <w:lang w:eastAsia="zh-CN"/>
              </w:rPr>
              <w:t>r</w:t>
            </w:r>
            <w:r>
              <w:rPr>
                <w:rFonts w:hint="default" w:ascii="Times New Roman" w:hAnsi="Times New Roman" w:eastAsia="宋体" w:cs="Times New Roman"/>
                <w:color w:val="auto"/>
                <w:sz w:val="24"/>
                <w:szCs w:val="24"/>
                <w:vertAlign w:val="subscript"/>
                <w:lang w:eastAsia="zh-CN"/>
              </w:rPr>
              <w:t>0</w:t>
            </w:r>
            <w:r>
              <w:rPr>
                <w:rFonts w:hint="default" w:ascii="Times New Roman" w:hAnsi="Times New Roman" w:eastAsia="宋体" w:cs="Times New Roman"/>
                <w:color w:val="auto"/>
                <w:sz w:val="24"/>
                <w:szCs w:val="24"/>
                <w:lang w:eastAsia="zh-CN"/>
              </w:rPr>
              <w:t>处的声压级，dB</w:t>
            </w:r>
            <w:r>
              <w:rPr>
                <w:rFonts w:hint="default" w:ascii="Times New Roman" w:hAnsi="Times New Roman" w:cs="Times New Roman"/>
                <w:color w:val="auto"/>
                <w:sz w:val="24"/>
                <w:szCs w:val="24"/>
              </w:rPr>
              <w:t>；</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i/>
                <w:iCs/>
                <w:color w:val="auto"/>
                <w:sz w:val="24"/>
                <w:szCs w:val="24"/>
              </w:rPr>
              <w:t>r</w:t>
            </w:r>
            <w:r>
              <w:rPr>
                <w:rFonts w:hint="default" w:ascii="Times New Roman" w:hAnsi="Times New Roman" w:eastAsia="宋体" w:cs="Times New Roman"/>
                <w:color w:val="auto"/>
                <w:sz w:val="24"/>
                <w:szCs w:val="24"/>
                <w:lang w:eastAsia="zh-CN"/>
              </w:rPr>
              <w:t>—预测点距声源的距离</w:t>
            </w:r>
            <w:r>
              <w:rPr>
                <w:rFonts w:hint="default" w:ascii="Times New Roman" w:hAnsi="Times New Roman" w:cs="Times New Roman"/>
                <w:color w:val="auto"/>
                <w:sz w:val="24"/>
                <w:szCs w:val="24"/>
              </w:rPr>
              <w:t>；</w:t>
            </w:r>
          </w:p>
          <w:p>
            <w:pPr>
              <w:spacing w:line="360" w:lineRule="auto"/>
              <w:ind w:firstLine="480" w:firstLineChars="200"/>
              <w:rPr>
                <w:rFonts w:hint="default" w:ascii="Times New Roman" w:hAnsi="Times New Roman" w:cs="Times New Roman"/>
                <w:color w:val="auto"/>
                <w:sz w:val="24"/>
                <w:szCs w:val="24"/>
              </w:rPr>
            </w:pPr>
            <w:r>
              <w:rPr>
                <w:rFonts w:hint="eastAsia" w:ascii="Times New Roman" w:hAnsi="Times New Roman" w:cs="Times New Roman"/>
                <w:i/>
                <w:iCs/>
                <w:color w:val="auto"/>
                <w:sz w:val="24"/>
                <w:szCs w:val="24"/>
                <w:lang w:val="en-US" w:eastAsia="zh-CN"/>
              </w:rPr>
              <w:t>r</w:t>
            </w:r>
            <w:r>
              <w:rPr>
                <w:rFonts w:hint="eastAsia" w:ascii="Times New Roman" w:hAnsi="Times New Roman" w:cs="Times New Roman"/>
                <w:color w:val="auto"/>
                <w:sz w:val="24"/>
                <w:szCs w:val="24"/>
                <w:vertAlign w:val="subscript"/>
                <w:lang w:val="en-US" w:eastAsia="zh-CN"/>
              </w:rPr>
              <w:t>0</w:t>
            </w:r>
            <w:r>
              <w:rPr>
                <w:rFonts w:hint="default" w:ascii="Times New Roman" w:hAnsi="Times New Roman" w:eastAsia="宋体" w:cs="Times New Roman"/>
                <w:color w:val="auto"/>
                <w:sz w:val="24"/>
                <w:szCs w:val="24"/>
                <w:lang w:eastAsia="zh-CN"/>
              </w:rPr>
              <w:t>—参考位置距声源的距离</w:t>
            </w:r>
            <w:r>
              <w:rPr>
                <w:rFonts w:hint="default" w:ascii="Times New Roman" w:hAnsi="Times New Roman" w:cs="Times New Roman"/>
                <w:color w:val="auto"/>
                <w:sz w:val="24"/>
                <w:szCs w:val="24"/>
              </w:rPr>
              <w:t>。</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②对室内噪声源采用室内声源噪声模式并换算成等效的室外声源：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olor w:val="auto"/>
                <w:sz w:val="24"/>
                <w:szCs w:val="24"/>
                <w:lang w:eastAsia="zh-CN"/>
              </w:rPr>
            </w:pPr>
            <w:r>
              <w:rPr>
                <w:rFonts w:hint="eastAsia" w:ascii="Times New Roman" w:hAnsi="Times New Roman"/>
                <w:color w:val="auto"/>
                <w:sz w:val="24"/>
                <w:szCs w:val="24"/>
                <w:lang w:val="en-US" w:eastAsia="zh-CN"/>
              </w:rPr>
              <w:t>a.</w:t>
            </w:r>
            <w:r>
              <w:rPr>
                <w:rFonts w:hint="eastAsia" w:ascii="Times New Roman" w:hAnsi="Times New Roman" w:eastAsia="宋体"/>
                <w:color w:val="auto"/>
                <w:sz w:val="24"/>
                <w:szCs w:val="24"/>
                <w:lang w:eastAsia="zh-CN"/>
              </w:rPr>
              <w:t>声源位于室内，室内声源可采用等效室外声源声功率级法进行计算。设靠近开口处（或窗户）室内、室外某倍频带的声压级或A声级分别为</w:t>
            </w:r>
            <w:r>
              <w:rPr>
                <w:rFonts w:ascii="Times New Roman" w:hAnsi="Times New Roman"/>
                <w:i/>
                <w:iCs/>
                <w:color w:val="auto"/>
                <w:sz w:val="24"/>
                <w:szCs w:val="24"/>
              </w:rPr>
              <w:t>L</w:t>
            </w:r>
            <w:r>
              <w:rPr>
                <w:rFonts w:hint="eastAsia" w:ascii="Times New Roman" w:hAnsi="Times New Roman"/>
                <w:i/>
                <w:iCs/>
                <w:color w:val="auto"/>
                <w:sz w:val="24"/>
                <w:szCs w:val="24"/>
                <w:vertAlign w:val="subscript"/>
                <w:lang w:val="en-US" w:eastAsia="zh-CN"/>
              </w:rPr>
              <w:t>p</w:t>
            </w:r>
            <w:r>
              <w:rPr>
                <w:rFonts w:hint="eastAsia" w:ascii="Times New Roman" w:hAnsi="Times New Roman"/>
                <w:color w:val="auto"/>
                <w:sz w:val="24"/>
                <w:szCs w:val="24"/>
                <w:vertAlign w:val="subscript"/>
                <w:lang w:val="en-US" w:eastAsia="zh-CN"/>
              </w:rPr>
              <w:t>1</w:t>
            </w:r>
            <w:r>
              <w:rPr>
                <w:rFonts w:hint="eastAsia" w:ascii="Times New Roman" w:hAnsi="Times New Roman" w:eastAsia="宋体"/>
                <w:color w:val="auto"/>
                <w:sz w:val="24"/>
                <w:szCs w:val="24"/>
                <w:lang w:eastAsia="zh-CN"/>
              </w:rPr>
              <w:t>和</w:t>
            </w:r>
            <w:r>
              <w:rPr>
                <w:rFonts w:ascii="Times New Roman" w:hAnsi="Times New Roman"/>
                <w:i/>
                <w:iCs/>
                <w:color w:val="auto"/>
                <w:sz w:val="24"/>
                <w:szCs w:val="24"/>
              </w:rPr>
              <w:t>L</w:t>
            </w:r>
            <w:r>
              <w:rPr>
                <w:rFonts w:hint="eastAsia" w:ascii="Times New Roman" w:hAnsi="Times New Roman"/>
                <w:i/>
                <w:iCs/>
                <w:color w:val="auto"/>
                <w:sz w:val="24"/>
                <w:szCs w:val="24"/>
                <w:vertAlign w:val="subscript"/>
                <w:lang w:val="en-US" w:eastAsia="zh-CN"/>
              </w:rPr>
              <w:t>p</w:t>
            </w:r>
            <w:r>
              <w:rPr>
                <w:rFonts w:hint="eastAsia" w:ascii="Times New Roman" w:hAnsi="Times New Roman"/>
                <w:color w:val="auto"/>
                <w:sz w:val="24"/>
                <w:szCs w:val="24"/>
                <w:vertAlign w:val="subscript"/>
                <w:lang w:val="en-US" w:eastAsia="zh-CN"/>
              </w:rPr>
              <w:t>2</w:t>
            </w:r>
            <w:r>
              <w:rPr>
                <w:rFonts w:hint="eastAsia" w:ascii="Times New Roman" w:hAnsi="Times New Roman" w:eastAsia="宋体"/>
                <w:color w:val="auto"/>
                <w:sz w:val="24"/>
                <w:szCs w:val="24"/>
                <w:lang w:eastAsia="zh-CN"/>
              </w:rPr>
              <w:t>。若声源所在室内声场为近似扩散声场，则室外的倍频带声压级可按</w:t>
            </w:r>
            <w:r>
              <w:rPr>
                <w:rFonts w:hint="eastAsia" w:ascii="Times New Roman" w:hAnsi="Times New Roman"/>
                <w:color w:val="auto"/>
                <w:sz w:val="24"/>
                <w:szCs w:val="24"/>
                <w:lang w:eastAsia="zh-CN"/>
              </w:rPr>
              <w:t>下</w:t>
            </w:r>
            <w:r>
              <w:rPr>
                <w:rFonts w:hint="eastAsia" w:ascii="Times New Roman" w:hAnsi="Times New Roman" w:eastAsia="宋体"/>
                <w:color w:val="auto"/>
                <w:sz w:val="24"/>
                <w:szCs w:val="24"/>
                <w:lang w:eastAsia="zh-CN"/>
              </w:rPr>
              <w:t>式近似求出</w:t>
            </w:r>
            <w:r>
              <w:rPr>
                <w:rFonts w:hint="eastAsia" w:ascii="Times New Roman" w:hAnsi="Times New Roman"/>
                <w:color w:val="auto"/>
                <w:sz w:val="24"/>
                <w:szCs w:val="24"/>
                <w:lang w:eastAsia="zh-CN"/>
              </w:rPr>
              <w:t>。</w:t>
            </w:r>
          </w:p>
          <w:p>
            <w:pPr>
              <w:spacing w:line="360" w:lineRule="auto"/>
              <w:jc w:val="center"/>
              <w:rPr>
                <w:rFonts w:hint="eastAsia" w:ascii="Times New Roman" w:hAnsi="Times New Roman" w:eastAsia="宋体"/>
                <w:color w:val="auto"/>
                <w:sz w:val="24"/>
                <w:szCs w:val="24"/>
                <w:lang w:eastAsia="zh-CN"/>
              </w:rPr>
            </w:pPr>
            <w:r>
              <w:rPr>
                <w:rFonts w:hint="eastAsia" w:ascii="Times New Roman" w:hAnsi="Times New Roman" w:eastAsia="宋体"/>
                <w:color w:val="auto"/>
                <w:position w:val="-14"/>
                <w:sz w:val="24"/>
                <w:szCs w:val="24"/>
                <w:lang w:eastAsia="zh-CN"/>
              </w:rPr>
              <w:object>
                <v:shape id="_x0000_i1032" o:spt="75" type="#_x0000_t75" style="height:19pt;width:95pt;" o:ole="t" filled="f" o:preferrelative="t" stroked="f" coordsize="21600,21600">
                  <v:path/>
                  <v:fill on="f" focussize="0,0"/>
                  <v:stroke on="f"/>
                  <v:imagedata r:id="rId32" o:title=""/>
                  <o:lock v:ext="edit" aspectratio="t"/>
                  <w10:wrap type="none"/>
                  <w10:anchorlock/>
                </v:shape>
                <o:OLEObject Type="Embed" ProgID="Equation.KSEE3" ShapeID="_x0000_i1032" DrawAspect="Content" ObjectID="_1468075732" r:id="rId31">
                  <o:LockedField>false</o:LockedField>
                </o:OLEObject>
              </w:objec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式中：</w:t>
            </w:r>
          </w:p>
          <w:p>
            <w:pPr>
              <w:spacing w:line="360" w:lineRule="auto"/>
              <w:ind w:firstLine="480" w:firstLineChars="200"/>
              <w:rPr>
                <w:rFonts w:ascii="Times New Roman" w:hAnsi="Times New Roman"/>
                <w:color w:val="auto"/>
                <w:sz w:val="24"/>
                <w:szCs w:val="24"/>
              </w:rPr>
            </w:pPr>
            <w:r>
              <w:rPr>
                <w:rFonts w:ascii="Times New Roman" w:hAnsi="Times New Roman"/>
                <w:i/>
                <w:iCs/>
                <w:color w:val="auto"/>
                <w:sz w:val="24"/>
                <w:szCs w:val="24"/>
              </w:rPr>
              <w:t>L</w:t>
            </w:r>
            <w:r>
              <w:rPr>
                <w:rFonts w:hint="eastAsia" w:ascii="Times New Roman" w:hAnsi="Times New Roman"/>
                <w:i/>
                <w:iCs/>
                <w:color w:val="auto"/>
                <w:sz w:val="24"/>
                <w:szCs w:val="24"/>
                <w:vertAlign w:val="subscript"/>
                <w:lang w:val="en-US" w:eastAsia="zh-CN"/>
              </w:rPr>
              <w:t>p</w:t>
            </w:r>
            <w:r>
              <w:rPr>
                <w:rFonts w:hint="eastAsia" w:ascii="Times New Roman" w:hAnsi="Times New Roman"/>
                <w:color w:val="auto"/>
                <w:sz w:val="24"/>
                <w:szCs w:val="24"/>
                <w:vertAlign w:val="subscript"/>
                <w:lang w:val="en-US" w:eastAsia="zh-CN"/>
              </w:rPr>
              <w:t>1</w:t>
            </w:r>
            <w:r>
              <w:rPr>
                <w:rFonts w:hint="default" w:ascii="Times New Roman" w:hAnsi="Times New Roman" w:eastAsia="宋体" w:cs="Times New Roman"/>
                <w:color w:val="auto"/>
                <w:sz w:val="24"/>
                <w:szCs w:val="24"/>
                <w:lang w:eastAsia="zh-CN"/>
              </w:rPr>
              <w:t>—靠近开口处（或窗户）室内某倍频带的声压级或A声级</w:t>
            </w:r>
            <w:r>
              <w:rPr>
                <w:rFonts w:ascii="Times New Roman" w:hAnsi="Times New Roman"/>
                <w:color w:val="auto"/>
                <w:sz w:val="24"/>
                <w:szCs w:val="24"/>
              </w:rPr>
              <w:t>，dB；</w:t>
            </w:r>
          </w:p>
          <w:p>
            <w:pPr>
              <w:spacing w:line="360" w:lineRule="auto"/>
              <w:ind w:firstLine="480" w:firstLineChars="200"/>
              <w:rPr>
                <w:rFonts w:ascii="Times New Roman" w:hAnsi="Times New Roman"/>
                <w:color w:val="auto"/>
                <w:sz w:val="24"/>
                <w:szCs w:val="24"/>
              </w:rPr>
            </w:pPr>
            <w:r>
              <w:rPr>
                <w:rFonts w:ascii="Times New Roman" w:hAnsi="Times New Roman"/>
                <w:i/>
                <w:iCs/>
                <w:color w:val="auto"/>
                <w:sz w:val="24"/>
                <w:szCs w:val="24"/>
              </w:rPr>
              <w:t>L</w:t>
            </w:r>
            <w:r>
              <w:rPr>
                <w:rFonts w:hint="eastAsia" w:ascii="Times New Roman" w:hAnsi="Times New Roman"/>
                <w:i/>
                <w:iCs/>
                <w:color w:val="auto"/>
                <w:sz w:val="24"/>
                <w:szCs w:val="24"/>
                <w:vertAlign w:val="subscript"/>
                <w:lang w:val="en-US" w:eastAsia="zh-CN"/>
              </w:rPr>
              <w:t>p</w:t>
            </w:r>
            <w:r>
              <w:rPr>
                <w:rFonts w:hint="eastAsia" w:ascii="Times New Roman" w:hAnsi="Times New Roman"/>
                <w:color w:val="auto"/>
                <w:sz w:val="24"/>
                <w:szCs w:val="24"/>
                <w:vertAlign w:val="subscript"/>
                <w:lang w:val="en-US" w:eastAsia="zh-CN"/>
              </w:rPr>
              <w:t>2</w:t>
            </w:r>
            <w:r>
              <w:rPr>
                <w:rFonts w:hint="default" w:ascii="Times New Roman" w:hAnsi="Times New Roman" w:eastAsia="宋体" w:cs="Times New Roman"/>
                <w:color w:val="auto"/>
                <w:sz w:val="24"/>
                <w:szCs w:val="24"/>
                <w:lang w:eastAsia="zh-CN"/>
              </w:rPr>
              <w:t>—</w:t>
            </w:r>
            <w:r>
              <w:rPr>
                <w:rFonts w:hint="eastAsia" w:ascii="Times New Roman" w:hAnsi="Times New Roman"/>
                <w:color w:val="auto"/>
                <w:sz w:val="24"/>
                <w:szCs w:val="24"/>
              </w:rPr>
              <w:t>靠近开口处（或窗户）室外某倍频带的声压级或A声级</w:t>
            </w:r>
            <w:r>
              <w:rPr>
                <w:rFonts w:ascii="Times New Roman" w:hAnsi="Times New Roman"/>
                <w:color w:val="auto"/>
                <w:sz w:val="24"/>
                <w:szCs w:val="24"/>
              </w:rPr>
              <w:t>，dB；</w:t>
            </w:r>
          </w:p>
          <w:p>
            <w:pPr>
              <w:spacing w:line="360" w:lineRule="auto"/>
              <w:ind w:firstLine="480" w:firstLineChars="200"/>
              <w:rPr>
                <w:rFonts w:ascii="Times New Roman" w:hAnsi="Times New Roman"/>
                <w:i/>
                <w:iCs/>
                <w:color w:val="auto"/>
                <w:sz w:val="24"/>
                <w:szCs w:val="24"/>
              </w:rPr>
            </w:pPr>
            <w:r>
              <w:rPr>
                <w:rFonts w:hint="default" w:ascii="Times New Roman" w:hAnsi="Times New Roman" w:eastAsia="宋体" w:cs="Times New Roman"/>
                <w:i/>
                <w:iCs/>
                <w:color w:val="auto"/>
                <w:sz w:val="24"/>
                <w:szCs w:val="24"/>
                <w:lang w:eastAsia="zh-CN"/>
              </w:rPr>
              <w:t>TL</w:t>
            </w:r>
            <w:r>
              <w:rPr>
                <w:rFonts w:hint="default" w:ascii="Times New Roman" w:hAnsi="Times New Roman" w:eastAsia="宋体" w:cs="Times New Roman"/>
                <w:color w:val="auto"/>
                <w:sz w:val="24"/>
                <w:szCs w:val="24"/>
                <w:lang w:eastAsia="zh-CN"/>
              </w:rPr>
              <w:t>—隔墙（或窗户）倍频带或A声级的隔声量，dB</w:t>
            </w:r>
            <w:r>
              <w:rPr>
                <w:rFonts w:hint="eastAsia" w:ascii="Times New Roman" w:hAnsi="Times New Roman" w:eastAsia="宋体" w:cs="Times New Roman"/>
                <w:color w:val="auto"/>
                <w:sz w:val="24"/>
                <w:szCs w:val="24"/>
                <w:lang w:eastAsia="zh-CN"/>
              </w:rPr>
              <w:t>。</w:t>
            </w:r>
          </w:p>
          <w:p>
            <w:pPr>
              <w:spacing w:line="360" w:lineRule="auto"/>
              <w:ind w:firstLine="480" w:firstLineChars="200"/>
              <w:rPr>
                <w:rFonts w:hint="eastAsia" w:ascii="Times New Roman" w:hAnsi="Times New Roman" w:eastAsia="宋体"/>
                <w:i w:val="0"/>
                <w:iCs w:val="0"/>
                <w:color w:val="auto"/>
                <w:sz w:val="24"/>
                <w:szCs w:val="24"/>
                <w:lang w:eastAsia="zh-CN"/>
              </w:rPr>
            </w:pPr>
            <w:r>
              <w:rPr>
                <w:rFonts w:hint="eastAsia" w:ascii="Times New Roman" w:hAnsi="Times New Roman"/>
                <w:i w:val="0"/>
                <w:iCs w:val="0"/>
                <w:color w:val="auto"/>
                <w:sz w:val="24"/>
                <w:szCs w:val="24"/>
                <w:lang w:val="en-US" w:eastAsia="zh-CN"/>
              </w:rPr>
              <w:t>b.</w:t>
            </w:r>
            <w:r>
              <w:rPr>
                <w:rFonts w:hint="eastAsia" w:ascii="Times New Roman" w:hAnsi="Times New Roman"/>
                <w:i w:val="0"/>
                <w:iCs w:val="0"/>
                <w:color w:val="auto"/>
                <w:sz w:val="24"/>
                <w:szCs w:val="24"/>
              </w:rPr>
              <w:t>室内声源靠近围护结构处产生的倍频带声压级或A声级</w:t>
            </w:r>
            <w:r>
              <w:rPr>
                <w:rFonts w:hint="eastAsia" w:ascii="Times New Roman" w:hAnsi="Times New Roman"/>
                <w:i w:val="0"/>
                <w:iCs w:val="0"/>
                <w:color w:val="auto"/>
                <w:sz w:val="24"/>
                <w:szCs w:val="24"/>
                <w:lang w:eastAsia="zh-CN"/>
              </w:rPr>
              <w:t>。</w:t>
            </w:r>
          </w:p>
          <w:p>
            <w:pPr>
              <w:spacing w:line="360" w:lineRule="auto"/>
              <w:jc w:val="center"/>
              <w:rPr>
                <w:rFonts w:hint="eastAsia" w:ascii="Times New Roman" w:hAnsi="Times New Roman" w:eastAsia="宋体"/>
                <w:color w:val="auto"/>
                <w:sz w:val="24"/>
                <w:szCs w:val="24"/>
                <w:lang w:eastAsia="zh-CN"/>
              </w:rPr>
            </w:pPr>
            <w:r>
              <w:rPr>
                <w:rFonts w:hint="eastAsia" w:ascii="Times New Roman" w:hAnsi="Times New Roman" w:eastAsia="宋体"/>
                <w:color w:val="auto"/>
                <w:position w:val="-28"/>
                <w:sz w:val="24"/>
                <w:szCs w:val="24"/>
                <w:lang w:eastAsia="zh-CN"/>
              </w:rPr>
              <w:object>
                <v:shape id="_x0000_i1033" o:spt="75" type="#_x0000_t75" style="height:34pt;width:132pt;" o:ole="t" filled="f" o:preferrelative="t" stroked="f" coordsize="21600,21600">
                  <v:path/>
                  <v:fill on="f" focussize="0,0"/>
                  <v:stroke on="f"/>
                  <v:imagedata r:id="rId34" o:title=""/>
                  <o:lock v:ext="edit" aspectratio="t"/>
                  <w10:wrap type="none"/>
                  <w10:anchorlock/>
                </v:shape>
                <o:OLEObject Type="Embed" ProgID="Equation.KSEE3" ShapeID="_x0000_i1033" DrawAspect="Content" ObjectID="_1468075733" r:id="rId33">
                  <o:LockedField>false</o:LockedField>
                </o:OLEObject>
              </w:object>
            </w:r>
          </w:p>
          <w:p>
            <w:pPr>
              <w:spacing w:line="360" w:lineRule="auto"/>
              <w:ind w:firstLine="480" w:firstLineChars="200"/>
              <w:rPr>
                <w:rFonts w:ascii="Times New Roman" w:hAnsi="Times New Roman"/>
                <w:i/>
                <w:iCs/>
                <w:color w:val="auto"/>
                <w:sz w:val="24"/>
                <w:szCs w:val="24"/>
              </w:rPr>
            </w:pPr>
            <w:r>
              <w:rPr>
                <w:rFonts w:ascii="Times New Roman" w:hAnsi="Times New Roman"/>
                <w:color w:val="auto"/>
                <w:sz w:val="24"/>
                <w:szCs w:val="24"/>
              </w:rPr>
              <w:t>式中：</w:t>
            </w:r>
          </w:p>
          <w:p>
            <w:pPr>
              <w:spacing w:line="360" w:lineRule="auto"/>
              <w:ind w:firstLine="480" w:firstLineChars="200"/>
              <w:rPr>
                <w:rFonts w:hint="eastAsia" w:ascii="Times New Roman" w:hAnsi="Times New Roman"/>
                <w:color w:val="auto"/>
                <w:sz w:val="24"/>
                <w:szCs w:val="24"/>
                <w:lang w:eastAsia="zh-CN"/>
              </w:rPr>
            </w:pPr>
            <w:r>
              <w:rPr>
                <w:rFonts w:ascii="Times New Roman" w:hAnsi="Times New Roman"/>
                <w:i/>
                <w:iCs/>
                <w:color w:val="auto"/>
                <w:sz w:val="24"/>
                <w:szCs w:val="24"/>
              </w:rPr>
              <w:t>L</w:t>
            </w:r>
            <w:r>
              <w:rPr>
                <w:rFonts w:hint="eastAsia" w:ascii="Times New Roman" w:hAnsi="Times New Roman"/>
                <w:i/>
                <w:iCs/>
                <w:color w:val="auto"/>
                <w:sz w:val="24"/>
                <w:szCs w:val="24"/>
                <w:vertAlign w:val="subscript"/>
                <w:lang w:val="en-US" w:eastAsia="zh-CN"/>
              </w:rPr>
              <w:t>p</w:t>
            </w:r>
            <w:r>
              <w:rPr>
                <w:rFonts w:hint="eastAsia" w:ascii="Times New Roman" w:hAnsi="Times New Roman"/>
                <w:color w:val="auto"/>
                <w:sz w:val="24"/>
                <w:szCs w:val="24"/>
                <w:vertAlign w:val="subscript"/>
                <w:lang w:val="en-US" w:eastAsia="zh-CN"/>
              </w:rPr>
              <w:t>1</w:t>
            </w:r>
            <w:r>
              <w:rPr>
                <w:rFonts w:hint="default" w:ascii="Times New Roman" w:hAnsi="Times New Roman" w:eastAsia="宋体" w:cs="Times New Roman"/>
                <w:color w:val="auto"/>
                <w:sz w:val="24"/>
                <w:szCs w:val="24"/>
                <w:lang w:eastAsia="zh-CN"/>
              </w:rPr>
              <w:t>—靠近开口处（或窗户）室内某倍频带的声压级或A声级</w:t>
            </w:r>
            <w:r>
              <w:rPr>
                <w:rFonts w:ascii="Times New Roman" w:hAnsi="Times New Roman"/>
                <w:color w:val="auto"/>
                <w:sz w:val="24"/>
                <w:szCs w:val="24"/>
              </w:rPr>
              <w:t>，dB</w:t>
            </w:r>
            <w:r>
              <w:rPr>
                <w:rFonts w:hint="eastAsia" w:ascii="Times New Roman" w:hAnsi="Times New Roman"/>
                <w:color w:val="auto"/>
                <w:sz w:val="24"/>
                <w:szCs w:val="24"/>
                <w:lang w:eastAsia="zh-CN"/>
              </w:rPr>
              <w:t>；</w:t>
            </w:r>
          </w:p>
          <w:p>
            <w:pPr>
              <w:pStyle w:val="30"/>
              <w:keepNext w:val="0"/>
              <w:keepLines w:val="0"/>
              <w:pageBreakBefore w:val="0"/>
              <w:widowControl/>
              <w:kinsoku/>
              <w:wordWrap/>
              <w:overflowPunct/>
              <w:topLinePunct w:val="0"/>
              <w:autoSpaceDE/>
              <w:autoSpaceDN/>
              <w:bidi w:val="0"/>
              <w:adjustRightInd w:val="0"/>
              <w:snapToGrid w:val="0"/>
              <w:spacing w:before="0" w:after="0" w:line="360" w:lineRule="auto"/>
              <w:ind w:right="0"/>
              <w:textAlignment w:val="auto"/>
              <w:rPr>
                <w:rFonts w:hint="eastAsia" w:ascii="Times New Roman" w:hAnsi="Times New Roman" w:eastAsia="宋体" w:cs="Times New Roman"/>
                <w:i/>
                <w:iCs/>
                <w:color w:val="auto"/>
                <w:sz w:val="24"/>
                <w:szCs w:val="24"/>
                <w:lang w:eastAsia="zh-CN"/>
              </w:rPr>
            </w:pPr>
            <w:r>
              <w:rPr>
                <w:rFonts w:ascii="Times New Roman" w:hAnsi="Times New Roman"/>
                <w:i/>
                <w:iCs/>
                <w:color w:val="auto"/>
                <w:sz w:val="24"/>
                <w:szCs w:val="24"/>
              </w:rPr>
              <w:t>L</w:t>
            </w:r>
            <w:r>
              <w:rPr>
                <w:rFonts w:hint="eastAsia" w:ascii="Times New Roman" w:hAnsi="Times New Roman"/>
                <w:i/>
                <w:iCs/>
                <w:color w:val="auto"/>
                <w:sz w:val="24"/>
                <w:szCs w:val="24"/>
                <w:vertAlign w:val="subscript"/>
                <w:lang w:val="en-US" w:eastAsia="zh-CN"/>
              </w:rPr>
              <w:t>w</w:t>
            </w:r>
            <w:r>
              <w:rPr>
                <w:rFonts w:hint="default" w:ascii="Times New Roman" w:hAnsi="Times New Roman" w:eastAsia="宋体" w:cs="Times New Roman"/>
                <w:color w:val="auto"/>
                <w:sz w:val="24"/>
                <w:szCs w:val="24"/>
                <w:lang w:eastAsia="zh-CN"/>
              </w:rPr>
              <w:t>—点声源声功率级（A 计权或倍频带）</w:t>
            </w:r>
            <w:r>
              <w:rPr>
                <w:rFonts w:ascii="Times New Roman" w:hAnsi="Times New Roman"/>
                <w:color w:val="auto"/>
                <w:sz w:val="24"/>
                <w:szCs w:val="24"/>
              </w:rPr>
              <w:t>，dB</w:t>
            </w:r>
            <w:r>
              <w:rPr>
                <w:rFonts w:hint="eastAsia" w:ascii="Times New Roman" w:hAnsi="Times New Roman"/>
                <w:color w:val="auto"/>
                <w:sz w:val="24"/>
                <w:szCs w:val="24"/>
                <w:lang w:eastAsia="zh-CN"/>
              </w:rPr>
              <w:t>；</w:t>
            </w:r>
          </w:p>
          <w:p>
            <w:pPr>
              <w:pStyle w:val="30"/>
              <w:keepNext w:val="0"/>
              <w:keepLines w:val="0"/>
              <w:pageBreakBefore w:val="0"/>
              <w:widowControl/>
              <w:kinsoku/>
              <w:wordWrap/>
              <w:overflowPunct/>
              <w:topLinePunct w:val="0"/>
              <w:autoSpaceDE/>
              <w:autoSpaceDN/>
              <w:bidi w:val="0"/>
              <w:adjustRightInd w:val="0"/>
              <w:snapToGrid w:val="0"/>
              <w:spacing w:before="0" w:after="0" w:line="360" w:lineRule="auto"/>
              <w:ind w:right="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i/>
                <w:iCs/>
                <w:color w:val="auto"/>
                <w:sz w:val="24"/>
                <w:szCs w:val="24"/>
                <w:lang w:eastAsia="zh-CN"/>
              </w:rPr>
              <w:t>Q</w:t>
            </w:r>
            <w:r>
              <w:rPr>
                <w:rFonts w:hint="default" w:ascii="Times New Roman" w:hAnsi="Times New Roman" w:eastAsia="宋体" w:cs="Times New Roman"/>
                <w:color w:val="auto"/>
                <w:sz w:val="24"/>
                <w:szCs w:val="24"/>
                <w:lang w:eastAsia="zh-CN"/>
              </w:rPr>
              <w:t>—指向性因数；</w:t>
            </w:r>
          </w:p>
          <w:p>
            <w:pPr>
              <w:pStyle w:val="30"/>
              <w:keepNext w:val="0"/>
              <w:keepLines w:val="0"/>
              <w:pageBreakBefore w:val="0"/>
              <w:widowControl/>
              <w:kinsoku/>
              <w:wordWrap/>
              <w:overflowPunct/>
              <w:topLinePunct w:val="0"/>
              <w:autoSpaceDE/>
              <w:autoSpaceDN/>
              <w:bidi w:val="0"/>
              <w:adjustRightInd w:val="0"/>
              <w:snapToGrid w:val="0"/>
              <w:spacing w:before="0" w:after="0" w:line="360" w:lineRule="auto"/>
              <w:ind w:right="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i/>
                <w:iCs/>
                <w:color w:val="auto"/>
                <w:sz w:val="24"/>
                <w:szCs w:val="24"/>
                <w:lang w:eastAsia="zh-CN"/>
              </w:rPr>
              <w:t>R</w:t>
            </w:r>
            <w:r>
              <w:rPr>
                <w:rFonts w:hint="default" w:ascii="Times New Roman" w:hAnsi="Times New Roman" w:eastAsia="宋体" w:cs="Times New Roman"/>
                <w:color w:val="auto"/>
                <w:sz w:val="24"/>
                <w:szCs w:val="24"/>
                <w:lang w:eastAsia="zh-CN"/>
              </w:rPr>
              <w:t>—房间常数；</w:t>
            </w:r>
          </w:p>
          <w:p>
            <w:pPr>
              <w:pStyle w:val="30"/>
              <w:keepNext w:val="0"/>
              <w:keepLines w:val="0"/>
              <w:pageBreakBefore w:val="0"/>
              <w:widowControl/>
              <w:kinsoku/>
              <w:wordWrap/>
              <w:overflowPunct/>
              <w:topLinePunct w:val="0"/>
              <w:autoSpaceDE/>
              <w:autoSpaceDN/>
              <w:bidi w:val="0"/>
              <w:adjustRightInd w:val="0"/>
              <w:snapToGrid w:val="0"/>
              <w:spacing w:before="0" w:after="0" w:line="360" w:lineRule="auto"/>
              <w:ind w:right="0"/>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i/>
                <w:iCs/>
                <w:color w:val="auto"/>
                <w:sz w:val="24"/>
                <w:szCs w:val="24"/>
                <w:lang w:eastAsia="zh-CN"/>
              </w:rPr>
              <w:t>r</w:t>
            </w:r>
            <w:r>
              <w:rPr>
                <w:rFonts w:hint="default" w:ascii="Times New Roman" w:hAnsi="Times New Roman" w:eastAsia="宋体" w:cs="Times New Roman"/>
                <w:color w:val="auto"/>
                <w:sz w:val="24"/>
                <w:szCs w:val="24"/>
                <w:lang w:eastAsia="zh-CN"/>
              </w:rPr>
              <w:t>—声源到靠近围护结构某点处的距离，m</w:t>
            </w:r>
            <w:r>
              <w:rPr>
                <w:rFonts w:hint="eastAsia" w:ascii="Times New Roman" w:hAnsi="Times New Roman" w:eastAsia="宋体" w:cs="Times New Roman"/>
                <w:color w:val="auto"/>
                <w:sz w:val="24"/>
                <w:szCs w:val="24"/>
                <w:lang w:eastAsia="zh-CN"/>
              </w:rPr>
              <w:t>。</w:t>
            </w:r>
          </w:p>
          <w:p>
            <w:pPr>
              <w:spacing w:line="360" w:lineRule="auto"/>
              <w:ind w:firstLine="480" w:firstLineChars="200"/>
              <w:jc w:val="both"/>
              <w:rPr>
                <w:rFonts w:hint="eastAsia" w:ascii="Times New Roman" w:hAnsi="Times New Roman" w:eastAsia="宋体" w:cs="Times New Roman"/>
                <w:color w:val="auto"/>
                <w:sz w:val="24"/>
                <w:szCs w:val="24"/>
                <w:lang w:eastAsia="zh-CN"/>
              </w:rPr>
            </w:pPr>
            <w:r>
              <w:rPr>
                <w:rFonts w:hint="default" w:ascii="Times New Roman" w:hAnsi="Times New Roman" w:cs="Times New Roman"/>
                <w:color w:val="auto"/>
                <w:sz w:val="24"/>
                <w:szCs w:val="24"/>
              </w:rPr>
              <w:t>③对两个以上多个声源同时存在时，其预测点总声压级采用下面公式</w:t>
            </w:r>
            <w:r>
              <w:rPr>
                <w:rFonts w:hint="eastAsia" w:ascii="Times New Roman" w:hAnsi="Times New Roman" w:cs="Times New Roman"/>
                <w:color w:val="auto"/>
                <w:sz w:val="24"/>
                <w:szCs w:val="24"/>
                <w:lang w:eastAsia="zh-CN"/>
              </w:rPr>
              <w:t>：</w:t>
            </w:r>
          </w:p>
          <w:p>
            <w:pPr>
              <w:spacing w:line="360" w:lineRule="auto"/>
              <w:ind w:firstLine="480" w:firstLineChars="200"/>
              <w:jc w:val="center"/>
              <w:rPr>
                <w:rFonts w:hint="eastAsia" w:ascii="Times New Roman" w:hAnsi="Times New Roman"/>
                <w:color w:val="auto"/>
                <w:sz w:val="24"/>
                <w:szCs w:val="24"/>
                <w:lang w:eastAsia="zh-CN"/>
              </w:rPr>
            </w:pPr>
            <w:r>
              <w:rPr>
                <w:rFonts w:hint="eastAsia" w:ascii="Times New Roman" w:hAnsi="Times New Roman" w:eastAsia="宋体"/>
                <w:color w:val="auto"/>
                <w:position w:val="-10"/>
                <w:sz w:val="24"/>
                <w:szCs w:val="24"/>
                <w:lang w:eastAsia="zh-CN"/>
              </w:rPr>
              <w:object>
                <v:shape id="_x0000_i1034" o:spt="75" type="#_x0000_t75" style="height:18pt;width:105pt;" o:ole="t" filled="f" o:preferrelative="t" stroked="f" coordsize="21600,21600">
                  <v:path/>
                  <v:fill on="f" focussize="0,0"/>
                  <v:stroke on="f"/>
                  <v:imagedata r:id="rId36" o:title=""/>
                  <o:lock v:ext="edit" aspectratio="t"/>
                  <w10:wrap type="none"/>
                  <w10:anchorlock/>
                </v:shape>
                <o:OLEObject Type="Embed" ProgID="Equation.KSEE3" ShapeID="_x0000_i1034" DrawAspect="Content" ObjectID="_1468075734" r:id="rId35">
                  <o:LockedField>false</o:LockedField>
                </o:OLEObject>
              </w:object>
            </w:r>
          </w:p>
          <w:p>
            <w:p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式中：</w:t>
            </w:r>
          </w:p>
          <w:p>
            <w:p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Leq—预测点的总等效声级，</w:t>
            </w:r>
            <w:r>
              <w:rPr>
                <w:rFonts w:ascii="Times New Roman" w:hAnsi="Times New Roman"/>
                <w:color w:val="auto"/>
                <w:sz w:val="24"/>
                <w:szCs w:val="24"/>
              </w:rPr>
              <w:t>dB</w:t>
            </w:r>
            <w:r>
              <w:rPr>
                <w:rFonts w:hint="eastAsia" w:ascii="Times New Roman" w:hAnsi="Times New Roman"/>
                <w:color w:val="auto"/>
                <w:sz w:val="24"/>
                <w:szCs w:val="24"/>
              </w:rPr>
              <w:t>（</w:t>
            </w:r>
            <w:r>
              <w:rPr>
                <w:rFonts w:ascii="Times New Roman" w:hAnsi="Times New Roman"/>
                <w:color w:val="auto"/>
                <w:sz w:val="24"/>
                <w:szCs w:val="24"/>
              </w:rPr>
              <w:t>A</w:t>
            </w:r>
            <w:r>
              <w:rPr>
                <w:rFonts w:hint="eastAsia" w:ascii="Times New Roman" w:hAnsi="Times New Roman"/>
                <w:color w:val="auto"/>
                <w:sz w:val="24"/>
                <w:szCs w:val="24"/>
              </w:rPr>
              <w:t>）</w:t>
            </w:r>
            <w:r>
              <w:rPr>
                <w:rFonts w:hint="eastAsia" w:ascii="Times New Roman" w:hAnsi="Times New Roman"/>
                <w:color w:val="auto"/>
                <w:sz w:val="24"/>
                <w:szCs w:val="24"/>
                <w:lang w:eastAsia="zh-CN"/>
              </w:rPr>
              <w:t xml:space="preserve">； </w:t>
            </w:r>
          </w:p>
          <w:p>
            <w:p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Li—第i个声源对预测点的声级影响，</w:t>
            </w:r>
            <w:r>
              <w:rPr>
                <w:rFonts w:ascii="Times New Roman" w:hAnsi="Times New Roman"/>
                <w:color w:val="auto"/>
                <w:sz w:val="24"/>
                <w:szCs w:val="24"/>
              </w:rPr>
              <w:t>dB</w:t>
            </w:r>
            <w:r>
              <w:rPr>
                <w:rFonts w:hint="eastAsia" w:ascii="Times New Roman" w:hAnsi="Times New Roman"/>
                <w:color w:val="auto"/>
                <w:sz w:val="24"/>
                <w:szCs w:val="24"/>
              </w:rPr>
              <w:t>（</w:t>
            </w:r>
            <w:r>
              <w:rPr>
                <w:rFonts w:ascii="Times New Roman" w:hAnsi="Times New Roman"/>
                <w:color w:val="auto"/>
                <w:sz w:val="24"/>
                <w:szCs w:val="24"/>
              </w:rPr>
              <w:t>A</w:t>
            </w:r>
            <w:r>
              <w:rPr>
                <w:rFonts w:hint="eastAsia" w:ascii="Times New Roman" w:hAnsi="Times New Roman"/>
                <w:color w:val="auto"/>
                <w:sz w:val="24"/>
                <w:szCs w:val="24"/>
              </w:rPr>
              <w:t>）</w:t>
            </w:r>
            <w:r>
              <w:rPr>
                <w:rFonts w:hint="eastAsia" w:ascii="Times New Roman" w:hAnsi="Times New Roman"/>
                <w:color w:val="auto"/>
                <w:sz w:val="24"/>
                <w:szCs w:val="24"/>
                <w:lang w:eastAsia="zh-CN"/>
              </w:rPr>
              <w:t>。</w:t>
            </w:r>
          </w:p>
          <w:p>
            <w:pPr>
              <w:spacing w:line="360" w:lineRule="auto"/>
              <w:ind w:firstLine="480" w:firstLineChars="200"/>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④为预测项目噪声源对周围声环境的影响情况，首先预测噪声源随距离的衰减，然后将噪声源产生的噪声值与区域噪声背景值叠加，即可以预测不同距离的噪声值。叠加公式为：</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Times New Roman" w:hAnsi="Times New Roman" w:cs="Times New Roman"/>
                <w:color w:val="auto"/>
                <w:sz w:val="24"/>
                <w:szCs w:val="24"/>
                <w:lang w:eastAsia="zh-CN"/>
              </w:rPr>
            </w:pPr>
            <w:r>
              <w:rPr>
                <w:rFonts w:hint="eastAsia" w:ascii="Times New Roman" w:hAnsi="Times New Roman" w:eastAsia="宋体"/>
                <w:color w:val="auto"/>
                <w:position w:val="-14"/>
                <w:sz w:val="24"/>
                <w:szCs w:val="24"/>
                <w:lang w:eastAsia="zh-CN"/>
              </w:rPr>
              <w:object>
                <v:shape id="_x0000_i1035" o:spt="75" type="#_x0000_t75" style="height:21pt;width:136pt;" o:ole="t" filled="f" o:preferrelative="t" stroked="f" coordsize="21600,21600">
                  <v:path/>
                  <v:fill on="f" focussize="0,0"/>
                  <v:stroke on="f"/>
                  <v:imagedata r:id="rId38" o:title=""/>
                  <o:lock v:ext="edit" aspectratio="t"/>
                  <w10:wrap type="none"/>
                  <w10:anchorlock/>
                </v:shape>
                <o:OLEObject Type="Embed" ProgID="Equation.KSEE3" ShapeID="_x0000_i1035" DrawAspect="Content" ObjectID="_1468075735" r:id="rId37">
                  <o:LockedField>false</o:LockedField>
                </o:OLEObject>
              </w:object>
            </w:r>
          </w:p>
          <w:p>
            <w:p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式中：</w:t>
            </w:r>
          </w:p>
          <w:p>
            <w:p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i/>
                <w:iCs/>
                <w:color w:val="auto"/>
                <w:sz w:val="24"/>
                <w:szCs w:val="24"/>
                <w:lang w:eastAsia="zh-CN"/>
              </w:rPr>
              <w:t>L</w:t>
            </w:r>
            <w:r>
              <w:rPr>
                <w:rFonts w:hint="eastAsia" w:ascii="Times New Roman" w:hAnsi="Times New Roman"/>
                <w:color w:val="auto"/>
                <w:sz w:val="24"/>
                <w:szCs w:val="24"/>
                <w:vertAlign w:val="subscript"/>
                <w:lang w:eastAsia="zh-CN"/>
              </w:rPr>
              <w:t>eq</w:t>
            </w:r>
            <w:r>
              <w:rPr>
                <w:rFonts w:hint="eastAsia" w:ascii="Times New Roman" w:hAnsi="Times New Roman"/>
                <w:color w:val="auto"/>
                <w:sz w:val="24"/>
                <w:szCs w:val="24"/>
                <w:lang w:eastAsia="zh-CN"/>
              </w:rPr>
              <w:t xml:space="preserve">—预测点的噪声预测值，dB； </w:t>
            </w:r>
          </w:p>
          <w:p>
            <w:p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i/>
                <w:iCs/>
                <w:color w:val="auto"/>
                <w:sz w:val="24"/>
                <w:szCs w:val="24"/>
                <w:lang w:eastAsia="zh-CN"/>
              </w:rPr>
              <w:t>L</w:t>
            </w:r>
            <w:r>
              <w:rPr>
                <w:rFonts w:hint="eastAsia" w:ascii="Times New Roman" w:hAnsi="Times New Roman"/>
                <w:color w:val="auto"/>
                <w:sz w:val="24"/>
                <w:szCs w:val="24"/>
                <w:vertAlign w:val="subscript"/>
                <w:lang w:eastAsia="zh-CN"/>
              </w:rPr>
              <w:t>eqg</w:t>
            </w:r>
            <w:r>
              <w:rPr>
                <w:rFonts w:hint="eastAsia" w:ascii="Times New Roman" w:hAnsi="Times New Roman"/>
                <w:color w:val="auto"/>
                <w:sz w:val="24"/>
                <w:szCs w:val="24"/>
                <w:lang w:eastAsia="zh-CN"/>
              </w:rPr>
              <w:t xml:space="preserve">—建设项目声源在预测点产生的噪声贡献值，dB； </w:t>
            </w:r>
          </w:p>
          <w:p>
            <w:p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i/>
                <w:iCs/>
                <w:color w:val="auto"/>
                <w:sz w:val="24"/>
                <w:szCs w:val="24"/>
                <w:lang w:eastAsia="zh-CN"/>
              </w:rPr>
              <w:t>L</w:t>
            </w:r>
            <w:r>
              <w:rPr>
                <w:rFonts w:hint="eastAsia" w:ascii="Times New Roman" w:hAnsi="Times New Roman"/>
                <w:color w:val="auto"/>
                <w:sz w:val="24"/>
                <w:szCs w:val="24"/>
                <w:vertAlign w:val="subscript"/>
                <w:lang w:eastAsia="zh-CN"/>
              </w:rPr>
              <w:t>eqb</w:t>
            </w:r>
            <w:r>
              <w:rPr>
                <w:rFonts w:hint="eastAsia" w:ascii="Times New Roman" w:hAnsi="Times New Roman"/>
                <w:color w:val="auto"/>
                <w:sz w:val="24"/>
                <w:szCs w:val="24"/>
                <w:lang w:eastAsia="zh-CN"/>
              </w:rPr>
              <w:t>—预测点的背景噪声值，dB。</w:t>
            </w:r>
          </w:p>
          <w:p>
            <w:pPr>
              <w:spacing w:line="360" w:lineRule="auto"/>
              <w:ind w:firstLine="480" w:firstLineChars="200"/>
              <w:rPr>
                <w:rFonts w:hint="eastAsia" w:ascii="Times New Roman" w:hAnsi="Times New Roman"/>
                <w:color w:val="auto"/>
                <w:sz w:val="24"/>
                <w:szCs w:val="24"/>
                <w:lang w:eastAsia="zh-CN"/>
              </w:rPr>
            </w:pP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2</w:t>
            </w:r>
            <w:r>
              <w:rPr>
                <w:rFonts w:hint="eastAsia" w:ascii="Times New Roman" w:hAnsi="Times New Roman"/>
                <w:color w:val="auto"/>
                <w:sz w:val="24"/>
                <w:szCs w:val="24"/>
                <w:lang w:eastAsia="zh-CN"/>
              </w:rPr>
              <w:t>）预测结果</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eastAsia="zh-CN"/>
              </w:rPr>
              <w:t>正常生产时，利用上述模式预测主要声源同时排放噪声的情况下考虑厂房墙体隔声、设备减振、消声、距离衰减后对厂界声环境质量及声环境目标敏感点的影响。</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项目实行</w:t>
            </w:r>
            <w:r>
              <w:rPr>
                <w:rFonts w:hint="eastAsia" w:ascii="Times New Roman" w:hAnsi="Times New Roman" w:eastAsia="宋体" w:cs="Times New Roman"/>
                <w:color w:val="auto"/>
                <w:sz w:val="24"/>
                <w:szCs w:val="24"/>
                <w:lang w:val="en-US" w:eastAsia="zh-CN"/>
              </w:rPr>
              <w:t>两</w:t>
            </w:r>
            <w:r>
              <w:rPr>
                <w:rFonts w:hint="eastAsia" w:ascii="Times New Roman" w:hAnsi="Times New Roman" w:eastAsia="宋体" w:cs="Times New Roman"/>
                <w:color w:val="auto"/>
                <w:sz w:val="24"/>
                <w:szCs w:val="24"/>
              </w:rPr>
              <w:t>班制，</w:t>
            </w:r>
            <w:r>
              <w:rPr>
                <w:rFonts w:hint="eastAsia" w:ascii="Times New Roman" w:hAnsi="Times New Roman" w:eastAsia="宋体" w:cs="Times New Roman"/>
                <w:color w:val="auto"/>
                <w:sz w:val="24"/>
                <w:szCs w:val="24"/>
                <w:lang w:eastAsia="zh-CN"/>
              </w:rPr>
              <w:t>周边</w:t>
            </w:r>
            <w:r>
              <w:rPr>
                <w:rFonts w:hint="eastAsia" w:ascii="Times New Roman" w:hAnsi="Times New Roman" w:eastAsia="宋体" w:cs="Times New Roman"/>
                <w:color w:val="auto"/>
                <w:sz w:val="24"/>
                <w:szCs w:val="24"/>
                <w:lang w:val="en-US" w:eastAsia="zh-CN"/>
              </w:rPr>
              <w:t>50米范围存在声环境敏感点，</w:t>
            </w:r>
            <w:r>
              <w:rPr>
                <w:rFonts w:hint="eastAsia" w:ascii="Times New Roman" w:hAnsi="Times New Roman" w:eastAsia="宋体" w:cs="Times New Roman"/>
                <w:color w:val="auto"/>
                <w:sz w:val="24"/>
                <w:szCs w:val="24"/>
              </w:rPr>
              <w:t>评价预测正常生产时的昼</w:t>
            </w:r>
            <w:r>
              <w:rPr>
                <w:rFonts w:hint="eastAsia" w:ascii="Times New Roman" w:hAnsi="Times New Roman" w:eastAsia="宋体" w:cs="Times New Roman"/>
                <w:color w:val="auto"/>
                <w:sz w:val="24"/>
                <w:szCs w:val="24"/>
                <w:lang w:val="en-US" w:eastAsia="zh-CN"/>
              </w:rPr>
              <w:t>夜</w:t>
            </w:r>
            <w:r>
              <w:rPr>
                <w:rFonts w:hint="eastAsia" w:ascii="Times New Roman" w:hAnsi="Times New Roman" w:eastAsia="宋体" w:cs="Times New Roman"/>
                <w:color w:val="auto"/>
                <w:sz w:val="24"/>
                <w:szCs w:val="24"/>
              </w:rPr>
              <w:t>间噪声</w:t>
            </w:r>
            <w:r>
              <w:rPr>
                <w:rFonts w:hint="eastAsia" w:ascii="Times New Roman" w:hAnsi="Times New Roman" w:eastAsia="宋体" w:cs="Times New Roman"/>
                <w:color w:val="auto"/>
                <w:sz w:val="24"/>
                <w:szCs w:val="24"/>
                <w:lang w:eastAsia="zh-CN"/>
              </w:rPr>
              <w:t>对厂界声环境质量的影响，</w:t>
            </w:r>
            <w:r>
              <w:rPr>
                <w:rFonts w:hint="eastAsia" w:ascii="Times New Roman" w:hAnsi="Times New Roman" w:eastAsia="宋体" w:cs="Times New Roman"/>
                <w:color w:val="auto"/>
                <w:sz w:val="24"/>
                <w:szCs w:val="24"/>
              </w:rPr>
              <w:t>结果见下表</w:t>
            </w:r>
            <w:r>
              <w:rPr>
                <w:rFonts w:ascii="Times New Roman" w:hAnsi="Times New Roman" w:eastAsia="宋体" w:cs="Times New Roman"/>
                <w:color w:val="auto"/>
                <w:sz w:val="24"/>
                <w:szCs w:val="24"/>
              </w:rPr>
              <w:t>。</w:t>
            </w:r>
          </w:p>
          <w:p>
            <w:pPr>
              <w:spacing w:line="360" w:lineRule="auto"/>
              <w:jc w:val="center"/>
              <w:rPr>
                <w:rFonts w:hint="eastAsia"/>
                <w:b/>
                <w:color w:val="auto"/>
                <w:sz w:val="24"/>
                <w:szCs w:val="24"/>
              </w:rPr>
            </w:pPr>
            <w:r>
              <w:rPr>
                <w:rFonts w:hint="eastAsia"/>
                <w:b/>
                <w:color w:val="auto"/>
                <w:sz w:val="24"/>
                <w:szCs w:val="24"/>
              </w:rPr>
              <w:t>表4</w:t>
            </w:r>
            <w:r>
              <w:rPr>
                <w:rFonts w:hint="eastAsia"/>
                <w:b/>
                <w:color w:val="auto"/>
                <w:sz w:val="24"/>
                <w:szCs w:val="24"/>
                <w:lang w:val="en-US" w:eastAsia="zh-CN"/>
              </w:rPr>
              <w:t>-27</w:t>
            </w:r>
            <w:r>
              <w:rPr>
                <w:rFonts w:hint="eastAsia"/>
                <w:b/>
                <w:color w:val="auto"/>
                <w:sz w:val="24"/>
                <w:szCs w:val="24"/>
              </w:rPr>
              <w:t xml:space="preserve"> 项目厂界噪声贡献值一览表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05"/>
              <w:gridCol w:w="983"/>
              <w:gridCol w:w="1156"/>
              <w:gridCol w:w="1653"/>
              <w:gridCol w:w="1636"/>
              <w:gridCol w:w="2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54" w:type="pct"/>
                  <w:noWrap w:val="0"/>
                  <w:tcMar>
                    <w:top w:w="15" w:type="dxa"/>
                    <w:left w:w="15" w:type="dxa"/>
                    <w:bottom w:w="0" w:type="dxa"/>
                    <w:right w:w="15" w:type="dxa"/>
                  </w:tcMar>
                  <w:vAlign w:val="center"/>
                </w:tcPr>
                <w:p>
                  <w:pPr>
                    <w:jc w:val="center"/>
                    <w:rPr>
                      <w:b/>
                      <w:color w:val="auto"/>
                      <w:szCs w:val="21"/>
                    </w:rPr>
                  </w:pPr>
                  <w:r>
                    <w:rPr>
                      <w:rFonts w:hint="eastAsia"/>
                      <w:b/>
                      <w:color w:val="auto"/>
                      <w:szCs w:val="21"/>
                    </w:rPr>
                    <w:t>序号</w:t>
                  </w:r>
                </w:p>
              </w:tc>
              <w:tc>
                <w:tcPr>
                  <w:tcW w:w="1251" w:type="pct"/>
                  <w:gridSpan w:val="2"/>
                  <w:noWrap w:val="0"/>
                  <w:tcMar>
                    <w:top w:w="15" w:type="dxa"/>
                    <w:left w:w="15" w:type="dxa"/>
                    <w:bottom w:w="0" w:type="dxa"/>
                    <w:right w:w="15" w:type="dxa"/>
                  </w:tcMar>
                  <w:vAlign w:val="center"/>
                </w:tcPr>
                <w:p>
                  <w:pPr>
                    <w:jc w:val="center"/>
                    <w:rPr>
                      <w:b/>
                      <w:color w:val="auto"/>
                      <w:szCs w:val="21"/>
                    </w:rPr>
                  </w:pPr>
                  <w:r>
                    <w:rPr>
                      <w:rFonts w:hint="eastAsia"/>
                      <w:b/>
                      <w:color w:val="auto"/>
                      <w:szCs w:val="21"/>
                    </w:rPr>
                    <w:t>预测点位</w:t>
                  </w:r>
                </w:p>
              </w:tc>
              <w:tc>
                <w:tcPr>
                  <w:tcW w:w="967" w:type="pct"/>
                  <w:noWrap w:val="0"/>
                  <w:tcMar>
                    <w:top w:w="15" w:type="dxa"/>
                    <w:left w:w="15" w:type="dxa"/>
                    <w:bottom w:w="0" w:type="dxa"/>
                    <w:right w:w="15" w:type="dxa"/>
                  </w:tcMar>
                  <w:vAlign w:val="center"/>
                </w:tcPr>
                <w:p>
                  <w:pPr>
                    <w:jc w:val="center"/>
                    <w:rPr>
                      <w:rFonts w:hint="eastAsia"/>
                      <w:b/>
                      <w:color w:val="auto"/>
                      <w:szCs w:val="21"/>
                    </w:rPr>
                  </w:pPr>
                  <w:r>
                    <w:rPr>
                      <w:rFonts w:hint="eastAsia"/>
                      <w:b/>
                      <w:color w:val="auto"/>
                      <w:szCs w:val="21"/>
                    </w:rPr>
                    <w:t>距厂界最近距离</w:t>
                  </w:r>
                </w:p>
              </w:tc>
              <w:tc>
                <w:tcPr>
                  <w:tcW w:w="957" w:type="pct"/>
                  <w:noWrap w:val="0"/>
                  <w:tcMar>
                    <w:top w:w="15" w:type="dxa"/>
                    <w:left w:w="15" w:type="dxa"/>
                    <w:bottom w:w="0" w:type="dxa"/>
                    <w:right w:w="15" w:type="dxa"/>
                  </w:tcMar>
                  <w:vAlign w:val="center"/>
                </w:tcPr>
                <w:p>
                  <w:pPr>
                    <w:jc w:val="center"/>
                    <w:rPr>
                      <w:rFonts w:hint="eastAsia"/>
                      <w:b/>
                      <w:color w:val="auto"/>
                      <w:szCs w:val="21"/>
                    </w:rPr>
                  </w:pPr>
                  <w:r>
                    <w:rPr>
                      <w:rFonts w:hint="eastAsia"/>
                      <w:b/>
                      <w:color w:val="auto"/>
                      <w:szCs w:val="21"/>
                    </w:rPr>
                    <w:t>贡献值dB(A)</w:t>
                  </w:r>
                </w:p>
              </w:tc>
              <w:tc>
                <w:tcPr>
                  <w:tcW w:w="1468" w:type="pct"/>
                  <w:noWrap w:val="0"/>
                  <w:tcMar>
                    <w:top w:w="15" w:type="dxa"/>
                    <w:left w:w="15" w:type="dxa"/>
                    <w:bottom w:w="0" w:type="dxa"/>
                    <w:right w:w="15" w:type="dxa"/>
                  </w:tcMar>
                  <w:vAlign w:val="center"/>
                </w:tcPr>
                <w:p>
                  <w:pPr>
                    <w:snapToGrid w:val="0"/>
                    <w:jc w:val="center"/>
                    <w:rPr>
                      <w:b/>
                      <w:color w:val="auto"/>
                      <w:szCs w:val="21"/>
                    </w:rPr>
                  </w:pPr>
                  <w:r>
                    <w:rPr>
                      <w:rFonts w:hint="eastAsia"/>
                      <w:b/>
                      <w:color w:val="auto"/>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54" w:type="pct"/>
                  <w:noWrap w:val="0"/>
                  <w:tcMar>
                    <w:top w:w="15" w:type="dxa"/>
                    <w:left w:w="15" w:type="dxa"/>
                    <w:bottom w:w="0" w:type="dxa"/>
                    <w:right w:w="15" w:type="dxa"/>
                  </w:tcMar>
                  <w:vAlign w:val="center"/>
                </w:tcPr>
                <w:p>
                  <w:pPr>
                    <w:jc w:val="center"/>
                    <w:rPr>
                      <w:rFonts w:hint="eastAsia"/>
                      <w:color w:val="auto"/>
                      <w:szCs w:val="21"/>
                    </w:rPr>
                  </w:pPr>
                  <w:r>
                    <w:rPr>
                      <w:rFonts w:hint="eastAsia"/>
                      <w:color w:val="auto"/>
                      <w:szCs w:val="21"/>
                    </w:rPr>
                    <w:t>1</w:t>
                  </w:r>
                </w:p>
              </w:tc>
              <w:tc>
                <w:tcPr>
                  <w:tcW w:w="575" w:type="pct"/>
                  <w:vMerge w:val="restart"/>
                  <w:noWrap w:val="0"/>
                  <w:tcMar>
                    <w:top w:w="15" w:type="dxa"/>
                    <w:left w:w="15" w:type="dxa"/>
                    <w:bottom w:w="0" w:type="dxa"/>
                    <w:right w:w="15" w:type="dxa"/>
                  </w:tcMar>
                  <w:vAlign w:val="center"/>
                </w:tcPr>
                <w:p>
                  <w:pPr>
                    <w:jc w:val="center"/>
                    <w:rPr>
                      <w:rFonts w:hint="default" w:eastAsia="宋体"/>
                      <w:bCs/>
                      <w:color w:val="auto"/>
                      <w:szCs w:val="21"/>
                      <w:lang w:val="en-US" w:eastAsia="zh-CN"/>
                    </w:rPr>
                  </w:pPr>
                  <w:r>
                    <w:rPr>
                      <w:rFonts w:hint="eastAsia"/>
                      <w:color w:val="auto"/>
                      <w:sz w:val="21"/>
                      <w:szCs w:val="21"/>
                      <w:lang w:val="en-US" w:eastAsia="zh-CN"/>
                    </w:rPr>
                    <w:t>生产车间</w:t>
                  </w:r>
                </w:p>
              </w:tc>
              <w:tc>
                <w:tcPr>
                  <w:tcW w:w="676" w:type="pct"/>
                  <w:noWrap w:val="0"/>
                  <w:tcMar>
                    <w:top w:w="15" w:type="dxa"/>
                    <w:left w:w="15" w:type="dxa"/>
                    <w:bottom w:w="0" w:type="dxa"/>
                    <w:right w:w="15" w:type="dxa"/>
                  </w:tcMar>
                  <w:vAlign w:val="center"/>
                </w:tcPr>
                <w:p>
                  <w:pPr>
                    <w:jc w:val="center"/>
                    <w:rPr>
                      <w:bCs/>
                      <w:color w:val="auto"/>
                      <w:kern w:val="2"/>
                      <w:sz w:val="21"/>
                      <w:szCs w:val="21"/>
                      <w:lang w:val="en-US" w:eastAsia="zh-CN" w:bidi="ar-SA"/>
                    </w:rPr>
                  </w:pPr>
                  <w:r>
                    <w:rPr>
                      <w:rFonts w:ascii="Times New Roman" w:hAnsi="Times New Roman"/>
                      <w:bCs/>
                      <w:color w:val="auto"/>
                      <w:szCs w:val="21"/>
                    </w:rPr>
                    <w:t>厂界东</w:t>
                  </w:r>
                  <w:r>
                    <w:rPr>
                      <w:rFonts w:hint="eastAsia" w:ascii="Times New Roman" w:hAnsi="Times New Roman"/>
                      <w:color w:val="auto"/>
                    </w:rPr>
                    <w:t>侧</w:t>
                  </w:r>
                </w:p>
              </w:tc>
              <w:tc>
                <w:tcPr>
                  <w:tcW w:w="967" w:type="pct"/>
                  <w:noWrap w:val="0"/>
                  <w:tcMar>
                    <w:top w:w="15" w:type="dxa"/>
                    <w:left w:w="15" w:type="dxa"/>
                    <w:bottom w:w="0" w:type="dxa"/>
                    <w:right w:w="15" w:type="dxa"/>
                  </w:tcMar>
                  <w:vAlign w:val="center"/>
                </w:tcPr>
                <w:p>
                  <w:pPr>
                    <w:jc w:val="center"/>
                    <w:rPr>
                      <w:rFonts w:hint="default" w:ascii="Times New Roman" w:hAnsi="Times New Roman" w:eastAsia="宋体"/>
                      <w:bCs/>
                      <w:color w:val="auto"/>
                      <w:szCs w:val="21"/>
                      <w:lang w:val="en-US" w:eastAsia="zh-CN"/>
                    </w:rPr>
                  </w:pPr>
                  <w:r>
                    <w:rPr>
                      <w:rFonts w:hint="eastAsia" w:ascii="Times New Roman" w:hAnsi="Times New Roman"/>
                      <w:bCs/>
                      <w:color w:val="auto"/>
                      <w:szCs w:val="21"/>
                      <w:lang w:val="en-US" w:eastAsia="zh-CN"/>
                    </w:rPr>
                    <w:t>1m</w:t>
                  </w:r>
                </w:p>
              </w:tc>
              <w:tc>
                <w:tcPr>
                  <w:tcW w:w="957" w:type="pct"/>
                  <w:noWrap w:val="0"/>
                  <w:tcMar>
                    <w:top w:w="15" w:type="dxa"/>
                    <w:left w:w="15" w:type="dxa"/>
                    <w:bottom w:w="0" w:type="dxa"/>
                    <w:right w:w="15" w:type="dxa"/>
                  </w:tcMar>
                  <w:vAlign w:val="center"/>
                </w:tcPr>
                <w:p>
                  <w:pPr>
                    <w:pStyle w:val="68"/>
                    <w:adjustRightInd/>
                    <w:rPr>
                      <w:rFonts w:hint="default" w:ascii="Times New Roman" w:hAnsi="Times New Roman" w:eastAsia="宋体"/>
                      <w:snapToGrid w:val="0"/>
                      <w:color w:val="auto"/>
                      <w:sz w:val="21"/>
                      <w:lang w:val="en-US" w:eastAsia="zh-CN"/>
                    </w:rPr>
                  </w:pPr>
                  <w:r>
                    <w:rPr>
                      <w:rFonts w:hint="eastAsia" w:ascii="Times New Roman" w:hAnsi="Times New Roman" w:eastAsia="宋体"/>
                      <w:snapToGrid w:val="0"/>
                      <w:color w:val="auto"/>
                      <w:sz w:val="21"/>
                      <w:lang w:val="en-US" w:eastAsia="zh-CN"/>
                    </w:rPr>
                    <w:t>44</w:t>
                  </w:r>
                </w:p>
              </w:tc>
              <w:tc>
                <w:tcPr>
                  <w:tcW w:w="1468" w:type="pct"/>
                  <w:vMerge w:val="restart"/>
                  <w:noWrap w:val="0"/>
                  <w:vAlign w:val="center"/>
                </w:tcPr>
                <w:p>
                  <w:pPr>
                    <w:widowControl/>
                    <w:jc w:val="center"/>
                    <w:rPr>
                      <w:color w:val="auto"/>
                      <w:szCs w:val="21"/>
                    </w:rPr>
                  </w:pPr>
                  <w:r>
                    <w:rPr>
                      <w:rFonts w:hint="eastAsia"/>
                      <w:color w:val="auto"/>
                      <w:szCs w:val="21"/>
                    </w:rPr>
                    <w:t>《工业企业厂界环境噪声排放标准》（GB12348-2008）</w:t>
                  </w:r>
                  <w:r>
                    <w:rPr>
                      <w:color w:val="auto"/>
                      <w:szCs w:val="21"/>
                    </w:rPr>
                    <w:t>中</w:t>
                  </w:r>
                  <w:r>
                    <w:rPr>
                      <w:rFonts w:hint="eastAsia"/>
                      <w:color w:val="auto"/>
                      <w:szCs w:val="21"/>
                      <w:lang w:val="en-US" w:eastAsia="zh-CN"/>
                    </w:rPr>
                    <w:t>2</w:t>
                  </w:r>
                  <w:r>
                    <w:rPr>
                      <w:color w:val="auto"/>
                      <w:szCs w:val="21"/>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54" w:type="pct"/>
                  <w:noWrap w:val="0"/>
                  <w:tcMar>
                    <w:top w:w="15" w:type="dxa"/>
                    <w:left w:w="15" w:type="dxa"/>
                    <w:bottom w:w="0" w:type="dxa"/>
                    <w:right w:w="15" w:type="dxa"/>
                  </w:tcMar>
                  <w:vAlign w:val="center"/>
                </w:tcPr>
                <w:p>
                  <w:pPr>
                    <w:jc w:val="center"/>
                    <w:rPr>
                      <w:rFonts w:hint="eastAsia"/>
                      <w:color w:val="auto"/>
                      <w:szCs w:val="21"/>
                    </w:rPr>
                  </w:pPr>
                  <w:r>
                    <w:rPr>
                      <w:rFonts w:hint="eastAsia"/>
                      <w:color w:val="auto"/>
                      <w:szCs w:val="21"/>
                    </w:rPr>
                    <w:t>2</w:t>
                  </w:r>
                </w:p>
              </w:tc>
              <w:tc>
                <w:tcPr>
                  <w:tcW w:w="575" w:type="pct"/>
                  <w:vMerge w:val="continue"/>
                  <w:noWrap w:val="0"/>
                  <w:tcMar>
                    <w:top w:w="15" w:type="dxa"/>
                    <w:left w:w="15" w:type="dxa"/>
                    <w:bottom w:w="0" w:type="dxa"/>
                    <w:right w:w="15" w:type="dxa"/>
                  </w:tcMar>
                  <w:vAlign w:val="center"/>
                </w:tcPr>
                <w:p>
                  <w:pPr>
                    <w:jc w:val="center"/>
                    <w:rPr>
                      <w:bCs/>
                      <w:color w:val="auto"/>
                      <w:szCs w:val="21"/>
                    </w:rPr>
                  </w:pPr>
                </w:p>
              </w:tc>
              <w:tc>
                <w:tcPr>
                  <w:tcW w:w="676" w:type="pct"/>
                  <w:noWrap w:val="0"/>
                  <w:tcMar>
                    <w:top w:w="15" w:type="dxa"/>
                    <w:left w:w="15" w:type="dxa"/>
                    <w:bottom w:w="0" w:type="dxa"/>
                    <w:right w:w="15" w:type="dxa"/>
                  </w:tcMar>
                  <w:vAlign w:val="center"/>
                </w:tcPr>
                <w:p>
                  <w:pPr>
                    <w:jc w:val="center"/>
                    <w:rPr>
                      <w:bCs/>
                      <w:color w:val="auto"/>
                      <w:kern w:val="2"/>
                      <w:sz w:val="21"/>
                      <w:szCs w:val="21"/>
                      <w:lang w:val="en-US" w:eastAsia="zh-CN" w:bidi="ar-SA"/>
                    </w:rPr>
                  </w:pPr>
                  <w:r>
                    <w:rPr>
                      <w:rFonts w:ascii="Times New Roman" w:hAnsi="Times New Roman"/>
                      <w:bCs/>
                      <w:color w:val="auto"/>
                      <w:szCs w:val="21"/>
                    </w:rPr>
                    <w:t>厂界</w:t>
                  </w:r>
                  <w:r>
                    <w:rPr>
                      <w:rFonts w:hint="eastAsia" w:ascii="Times New Roman"/>
                      <w:color w:val="auto"/>
                      <w:lang w:eastAsia="zh-CN"/>
                    </w:rPr>
                    <w:t>南</w:t>
                  </w:r>
                  <w:r>
                    <w:rPr>
                      <w:rFonts w:hint="eastAsia" w:ascii="Times New Roman" w:hAnsi="Times New Roman"/>
                      <w:color w:val="auto"/>
                    </w:rPr>
                    <w:t>侧</w:t>
                  </w:r>
                </w:p>
              </w:tc>
              <w:tc>
                <w:tcPr>
                  <w:tcW w:w="967" w:type="pct"/>
                  <w:noWrap w:val="0"/>
                  <w:tcMar>
                    <w:top w:w="15" w:type="dxa"/>
                    <w:left w:w="15" w:type="dxa"/>
                    <w:bottom w:w="0" w:type="dxa"/>
                    <w:right w:w="15" w:type="dxa"/>
                  </w:tcMar>
                  <w:vAlign w:val="center"/>
                </w:tcPr>
                <w:p>
                  <w:pPr>
                    <w:jc w:val="center"/>
                    <w:rPr>
                      <w:rFonts w:hint="default" w:ascii="Times New Roman" w:hAnsi="Times New Roman" w:eastAsia="宋体"/>
                      <w:bCs/>
                      <w:color w:val="auto"/>
                      <w:szCs w:val="21"/>
                      <w:lang w:val="en-US" w:eastAsia="zh-CN"/>
                    </w:rPr>
                  </w:pPr>
                  <w:r>
                    <w:rPr>
                      <w:rFonts w:hint="eastAsia" w:ascii="Times New Roman" w:hAnsi="Times New Roman"/>
                      <w:bCs/>
                      <w:color w:val="auto"/>
                      <w:szCs w:val="21"/>
                      <w:lang w:val="en-US" w:eastAsia="zh-CN"/>
                    </w:rPr>
                    <w:t>1m</w:t>
                  </w:r>
                </w:p>
              </w:tc>
              <w:tc>
                <w:tcPr>
                  <w:tcW w:w="957" w:type="pct"/>
                  <w:noWrap w:val="0"/>
                  <w:tcMar>
                    <w:top w:w="15" w:type="dxa"/>
                    <w:left w:w="15" w:type="dxa"/>
                    <w:bottom w:w="0" w:type="dxa"/>
                    <w:right w:w="15" w:type="dxa"/>
                  </w:tcMar>
                  <w:vAlign w:val="center"/>
                </w:tcPr>
                <w:p>
                  <w:pPr>
                    <w:pStyle w:val="68"/>
                    <w:adjustRightInd/>
                    <w:rPr>
                      <w:rFonts w:hint="default" w:ascii="Times New Roman" w:hAnsi="Times New Roman" w:eastAsia="宋体"/>
                      <w:snapToGrid w:val="0"/>
                      <w:color w:val="auto"/>
                      <w:sz w:val="21"/>
                      <w:lang w:val="en-US" w:eastAsia="zh-CN"/>
                    </w:rPr>
                  </w:pPr>
                  <w:r>
                    <w:rPr>
                      <w:rFonts w:hint="eastAsia" w:ascii="Times New Roman" w:hAnsi="Times New Roman" w:eastAsia="宋体"/>
                      <w:snapToGrid w:val="0"/>
                      <w:color w:val="auto"/>
                      <w:sz w:val="21"/>
                      <w:lang w:val="en-US" w:eastAsia="zh-CN"/>
                    </w:rPr>
                    <w:t>49</w:t>
                  </w:r>
                </w:p>
              </w:tc>
              <w:tc>
                <w:tcPr>
                  <w:tcW w:w="1468" w:type="pct"/>
                  <w:vMerge w:val="continue"/>
                  <w:noWrap w:val="0"/>
                  <w:vAlign w:val="center"/>
                </w:tcPr>
                <w:p>
                  <w:pPr>
                    <w:widowControl/>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54" w:type="pct"/>
                  <w:noWrap w:val="0"/>
                  <w:tcMar>
                    <w:top w:w="15" w:type="dxa"/>
                    <w:left w:w="15" w:type="dxa"/>
                    <w:bottom w:w="0" w:type="dxa"/>
                    <w:right w:w="15" w:type="dxa"/>
                  </w:tcMar>
                  <w:vAlign w:val="center"/>
                </w:tcPr>
                <w:p>
                  <w:pPr>
                    <w:jc w:val="center"/>
                    <w:rPr>
                      <w:color w:val="auto"/>
                      <w:szCs w:val="21"/>
                    </w:rPr>
                  </w:pPr>
                  <w:r>
                    <w:rPr>
                      <w:rFonts w:hint="eastAsia"/>
                      <w:color w:val="auto"/>
                      <w:szCs w:val="21"/>
                    </w:rPr>
                    <w:t>3</w:t>
                  </w:r>
                </w:p>
              </w:tc>
              <w:tc>
                <w:tcPr>
                  <w:tcW w:w="575" w:type="pct"/>
                  <w:vMerge w:val="continue"/>
                  <w:noWrap w:val="0"/>
                  <w:tcMar>
                    <w:top w:w="15" w:type="dxa"/>
                    <w:left w:w="15" w:type="dxa"/>
                    <w:bottom w:w="0" w:type="dxa"/>
                    <w:right w:w="15" w:type="dxa"/>
                  </w:tcMar>
                  <w:vAlign w:val="center"/>
                </w:tcPr>
                <w:p>
                  <w:pPr>
                    <w:jc w:val="center"/>
                    <w:rPr>
                      <w:rFonts w:hint="eastAsia"/>
                      <w:bCs/>
                      <w:color w:val="auto"/>
                      <w:szCs w:val="21"/>
                    </w:rPr>
                  </w:pPr>
                </w:p>
              </w:tc>
              <w:tc>
                <w:tcPr>
                  <w:tcW w:w="676" w:type="pct"/>
                  <w:noWrap w:val="0"/>
                  <w:tcMar>
                    <w:top w:w="15" w:type="dxa"/>
                    <w:left w:w="15" w:type="dxa"/>
                    <w:bottom w:w="0" w:type="dxa"/>
                    <w:right w:w="15" w:type="dxa"/>
                  </w:tcMar>
                  <w:vAlign w:val="center"/>
                </w:tcPr>
                <w:p>
                  <w:pPr>
                    <w:jc w:val="center"/>
                    <w:rPr>
                      <w:rFonts w:hint="eastAsia"/>
                      <w:bCs/>
                      <w:color w:val="auto"/>
                      <w:kern w:val="2"/>
                      <w:sz w:val="21"/>
                      <w:szCs w:val="21"/>
                      <w:lang w:val="en-US" w:eastAsia="zh-CN" w:bidi="ar-SA"/>
                    </w:rPr>
                  </w:pPr>
                  <w:r>
                    <w:rPr>
                      <w:rFonts w:ascii="Times New Roman" w:hAnsi="Times New Roman"/>
                      <w:bCs/>
                      <w:color w:val="auto"/>
                      <w:szCs w:val="21"/>
                    </w:rPr>
                    <w:t>厂界</w:t>
                  </w:r>
                  <w:r>
                    <w:rPr>
                      <w:rFonts w:hint="eastAsia" w:ascii="Times New Roman"/>
                      <w:color w:val="auto"/>
                      <w:lang w:eastAsia="zh-CN"/>
                    </w:rPr>
                    <w:t>西</w:t>
                  </w:r>
                  <w:r>
                    <w:rPr>
                      <w:rFonts w:hint="eastAsia" w:ascii="Times New Roman" w:hAnsi="Times New Roman"/>
                      <w:color w:val="auto"/>
                    </w:rPr>
                    <w:t>侧</w:t>
                  </w:r>
                </w:p>
              </w:tc>
              <w:tc>
                <w:tcPr>
                  <w:tcW w:w="967" w:type="pct"/>
                  <w:noWrap w:val="0"/>
                  <w:tcMar>
                    <w:top w:w="15" w:type="dxa"/>
                    <w:left w:w="15" w:type="dxa"/>
                    <w:bottom w:w="0" w:type="dxa"/>
                    <w:right w:w="15" w:type="dxa"/>
                  </w:tcMar>
                  <w:vAlign w:val="center"/>
                </w:tcPr>
                <w:p>
                  <w:pPr>
                    <w:jc w:val="center"/>
                    <w:rPr>
                      <w:rFonts w:hint="default" w:ascii="Times New Roman" w:hAnsi="Times New Roman" w:eastAsia="宋体"/>
                      <w:bCs/>
                      <w:color w:val="auto"/>
                      <w:szCs w:val="21"/>
                      <w:lang w:val="en-US" w:eastAsia="zh-CN"/>
                    </w:rPr>
                  </w:pPr>
                  <w:r>
                    <w:rPr>
                      <w:rFonts w:hint="eastAsia" w:ascii="Times New Roman" w:hAnsi="Times New Roman"/>
                      <w:bCs/>
                      <w:color w:val="auto"/>
                      <w:szCs w:val="21"/>
                      <w:lang w:val="en-US" w:eastAsia="zh-CN"/>
                    </w:rPr>
                    <w:t>1m</w:t>
                  </w:r>
                </w:p>
              </w:tc>
              <w:tc>
                <w:tcPr>
                  <w:tcW w:w="957" w:type="pct"/>
                  <w:noWrap w:val="0"/>
                  <w:tcMar>
                    <w:top w:w="15" w:type="dxa"/>
                    <w:left w:w="15" w:type="dxa"/>
                    <w:bottom w:w="0" w:type="dxa"/>
                    <w:right w:w="15" w:type="dxa"/>
                  </w:tcMar>
                  <w:vAlign w:val="center"/>
                </w:tcPr>
                <w:p>
                  <w:pPr>
                    <w:pStyle w:val="68"/>
                    <w:adjustRightInd/>
                    <w:rPr>
                      <w:rFonts w:hint="default" w:ascii="Times New Roman" w:hAnsi="Times New Roman" w:eastAsia="宋体"/>
                      <w:snapToGrid w:val="0"/>
                      <w:color w:val="auto"/>
                      <w:sz w:val="21"/>
                      <w:lang w:val="en-US" w:eastAsia="zh-CN"/>
                    </w:rPr>
                  </w:pPr>
                  <w:r>
                    <w:rPr>
                      <w:rFonts w:hint="eastAsia" w:ascii="Times New Roman" w:hAnsi="Times New Roman" w:eastAsia="宋体"/>
                      <w:snapToGrid w:val="0"/>
                      <w:color w:val="auto"/>
                      <w:sz w:val="21"/>
                      <w:lang w:val="en-US" w:eastAsia="zh-CN"/>
                    </w:rPr>
                    <w:t>38</w:t>
                  </w:r>
                </w:p>
              </w:tc>
              <w:tc>
                <w:tcPr>
                  <w:tcW w:w="1468" w:type="pct"/>
                  <w:vMerge w:val="continue"/>
                  <w:noWrap w:val="0"/>
                  <w:vAlign w:val="center"/>
                </w:tcPr>
                <w:p>
                  <w:pPr>
                    <w:widowControl/>
                    <w:jc w:val="center"/>
                    <w:rPr>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54" w:type="pct"/>
                  <w:noWrap w:val="0"/>
                  <w:tcMar>
                    <w:top w:w="15" w:type="dxa"/>
                    <w:left w:w="15" w:type="dxa"/>
                    <w:bottom w:w="0" w:type="dxa"/>
                    <w:right w:w="15" w:type="dxa"/>
                  </w:tcMar>
                  <w:vAlign w:val="center"/>
                </w:tcPr>
                <w:p>
                  <w:pPr>
                    <w:jc w:val="center"/>
                    <w:rPr>
                      <w:color w:val="auto"/>
                      <w:szCs w:val="21"/>
                    </w:rPr>
                  </w:pPr>
                  <w:r>
                    <w:rPr>
                      <w:rFonts w:hint="eastAsia"/>
                      <w:color w:val="auto"/>
                      <w:szCs w:val="21"/>
                    </w:rPr>
                    <w:t>4</w:t>
                  </w:r>
                </w:p>
              </w:tc>
              <w:tc>
                <w:tcPr>
                  <w:tcW w:w="575" w:type="pct"/>
                  <w:vMerge w:val="continue"/>
                  <w:noWrap w:val="0"/>
                  <w:tcMar>
                    <w:top w:w="15" w:type="dxa"/>
                    <w:left w:w="15" w:type="dxa"/>
                    <w:bottom w:w="0" w:type="dxa"/>
                    <w:right w:w="15" w:type="dxa"/>
                  </w:tcMar>
                  <w:vAlign w:val="center"/>
                </w:tcPr>
                <w:p>
                  <w:pPr>
                    <w:jc w:val="center"/>
                    <w:rPr>
                      <w:rFonts w:hint="eastAsia"/>
                      <w:bCs/>
                      <w:color w:val="auto"/>
                      <w:szCs w:val="21"/>
                    </w:rPr>
                  </w:pPr>
                </w:p>
              </w:tc>
              <w:tc>
                <w:tcPr>
                  <w:tcW w:w="676" w:type="pct"/>
                  <w:noWrap w:val="0"/>
                  <w:tcMar>
                    <w:top w:w="15" w:type="dxa"/>
                    <w:left w:w="15" w:type="dxa"/>
                    <w:bottom w:w="0" w:type="dxa"/>
                    <w:right w:w="15" w:type="dxa"/>
                  </w:tcMar>
                  <w:vAlign w:val="center"/>
                </w:tcPr>
                <w:p>
                  <w:pPr>
                    <w:jc w:val="center"/>
                    <w:rPr>
                      <w:rFonts w:ascii="Times New Roman" w:hAnsi="Times New Roman"/>
                      <w:bCs/>
                      <w:color w:val="auto"/>
                      <w:szCs w:val="21"/>
                    </w:rPr>
                  </w:pPr>
                  <w:r>
                    <w:rPr>
                      <w:rFonts w:ascii="Times New Roman" w:hAnsi="Times New Roman"/>
                      <w:bCs/>
                      <w:color w:val="auto"/>
                      <w:szCs w:val="21"/>
                    </w:rPr>
                    <w:t>厂界</w:t>
                  </w:r>
                  <w:r>
                    <w:rPr>
                      <w:rFonts w:hint="eastAsia" w:ascii="Times New Roman"/>
                      <w:color w:val="auto"/>
                      <w:lang w:eastAsia="zh-CN"/>
                    </w:rPr>
                    <w:t>北</w:t>
                  </w:r>
                  <w:r>
                    <w:rPr>
                      <w:rFonts w:hint="eastAsia" w:ascii="Times New Roman"/>
                      <w:color w:val="auto"/>
                    </w:rPr>
                    <w:t>侧</w:t>
                  </w:r>
                </w:p>
              </w:tc>
              <w:tc>
                <w:tcPr>
                  <w:tcW w:w="967" w:type="pct"/>
                  <w:noWrap w:val="0"/>
                  <w:tcMar>
                    <w:top w:w="15" w:type="dxa"/>
                    <w:left w:w="15" w:type="dxa"/>
                    <w:bottom w:w="0" w:type="dxa"/>
                    <w:right w:w="15" w:type="dxa"/>
                  </w:tcMar>
                  <w:vAlign w:val="center"/>
                </w:tcPr>
                <w:p>
                  <w:pPr>
                    <w:jc w:val="center"/>
                    <w:rPr>
                      <w:rFonts w:ascii="Times New Roman" w:hAnsi="Times New Roman"/>
                      <w:bCs/>
                      <w:color w:val="auto"/>
                      <w:szCs w:val="21"/>
                    </w:rPr>
                  </w:pPr>
                  <w:r>
                    <w:rPr>
                      <w:rFonts w:hint="eastAsia" w:ascii="Times New Roman" w:hAnsi="Times New Roman"/>
                      <w:bCs/>
                      <w:color w:val="auto"/>
                      <w:szCs w:val="21"/>
                      <w:lang w:val="en-US" w:eastAsia="zh-CN"/>
                    </w:rPr>
                    <w:t>1m</w:t>
                  </w:r>
                </w:p>
              </w:tc>
              <w:tc>
                <w:tcPr>
                  <w:tcW w:w="957" w:type="pct"/>
                  <w:noWrap w:val="0"/>
                  <w:tcMar>
                    <w:top w:w="15" w:type="dxa"/>
                    <w:left w:w="15" w:type="dxa"/>
                    <w:bottom w:w="0" w:type="dxa"/>
                    <w:right w:w="15" w:type="dxa"/>
                  </w:tcMar>
                  <w:vAlign w:val="center"/>
                </w:tcPr>
                <w:p>
                  <w:pPr>
                    <w:pStyle w:val="68"/>
                    <w:adjustRightInd/>
                    <w:rPr>
                      <w:rFonts w:hint="default" w:ascii="Times New Roman" w:hAnsi="Times New Roman" w:eastAsia="宋体"/>
                      <w:snapToGrid w:val="0"/>
                      <w:color w:val="auto"/>
                      <w:sz w:val="21"/>
                      <w:lang w:val="en-US" w:eastAsia="zh-CN"/>
                    </w:rPr>
                  </w:pPr>
                  <w:r>
                    <w:rPr>
                      <w:rFonts w:hint="eastAsia" w:ascii="Times New Roman" w:hAnsi="Times New Roman" w:eastAsia="宋体"/>
                      <w:snapToGrid w:val="0"/>
                      <w:color w:val="auto"/>
                      <w:sz w:val="21"/>
                      <w:lang w:val="en-US" w:eastAsia="zh-CN"/>
                    </w:rPr>
                    <w:t>49</w:t>
                  </w:r>
                </w:p>
              </w:tc>
              <w:tc>
                <w:tcPr>
                  <w:tcW w:w="1468" w:type="pct"/>
                  <w:vMerge w:val="continue"/>
                  <w:noWrap w:val="0"/>
                  <w:vAlign w:val="center"/>
                </w:tcPr>
                <w:p>
                  <w:pPr>
                    <w:widowControl/>
                    <w:jc w:val="center"/>
                    <w:rPr>
                      <w:color w:val="auto"/>
                      <w:szCs w:val="21"/>
                    </w:rPr>
                  </w:pPr>
                </w:p>
              </w:tc>
            </w:tr>
          </w:tbl>
          <w:p>
            <w:pPr>
              <w:autoSpaceDE w:val="0"/>
              <w:autoSpaceDN w:val="0"/>
              <w:adjustRightInd w:val="0"/>
              <w:snapToGrid w:val="0"/>
              <w:spacing w:line="360" w:lineRule="auto"/>
              <w:ind w:firstLine="482" w:firstLineChars="200"/>
              <w:jc w:val="center"/>
              <w:rPr>
                <w:rFonts w:hint="default" w:ascii="Times New Roman" w:hAnsi="Times New Roman" w:cs="Times New Roman"/>
                <w:b/>
                <w:color w:val="auto"/>
                <w:kern w:val="0"/>
                <w:sz w:val="24"/>
                <w:highlight w:val="none"/>
                <w:lang w:val="en-US" w:eastAsia="zh-CN"/>
              </w:rPr>
            </w:pPr>
            <w:r>
              <w:rPr>
                <w:rFonts w:hint="default" w:ascii="Times New Roman" w:hAnsi="Times New Roman" w:cs="Times New Roman"/>
                <w:b/>
                <w:color w:val="auto"/>
                <w:kern w:val="0"/>
                <w:sz w:val="24"/>
                <w:highlight w:val="none"/>
                <w:lang w:val="en-US" w:eastAsia="zh-CN"/>
              </w:rPr>
              <w:t>表4-2</w:t>
            </w:r>
            <w:r>
              <w:rPr>
                <w:rFonts w:hint="eastAsia" w:ascii="Times New Roman" w:hAnsi="Times New Roman" w:cs="Times New Roman"/>
                <w:b/>
                <w:color w:val="auto"/>
                <w:kern w:val="0"/>
                <w:sz w:val="24"/>
                <w:highlight w:val="none"/>
                <w:lang w:val="en-US" w:eastAsia="zh-CN"/>
              </w:rPr>
              <w:t>8</w:t>
            </w:r>
            <w:r>
              <w:rPr>
                <w:rFonts w:hint="default" w:ascii="Times New Roman" w:hAnsi="Times New Roman" w:cs="Times New Roman"/>
                <w:b/>
                <w:color w:val="auto"/>
                <w:kern w:val="0"/>
                <w:sz w:val="24"/>
                <w:highlight w:val="none"/>
                <w:lang w:val="en-US" w:eastAsia="zh-CN"/>
              </w:rPr>
              <w:t xml:space="preserve"> 经治理后本项目对环境敏感点的噪声贡献值</w:t>
            </w:r>
          </w:p>
          <w:tbl>
            <w:tblPr>
              <w:tblStyle w:val="3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53"/>
              <w:gridCol w:w="2764"/>
              <w:gridCol w:w="26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2" w:type="pct"/>
                  <w:gridSpan w:val="2"/>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bCs/>
                      <w:color w:val="auto"/>
                      <w:kern w:val="0"/>
                      <w:sz w:val="21"/>
                      <w:szCs w:val="21"/>
                      <w:highlight w:val="none"/>
                      <w:vertAlign w:val="baseline"/>
                      <w:lang w:val="en-US" w:eastAsia="zh-CN"/>
                    </w:rPr>
                  </w:pPr>
                  <w:r>
                    <w:rPr>
                      <w:rFonts w:hint="default" w:ascii="Times New Roman" w:hAnsi="Times New Roman" w:eastAsia="宋体" w:cs="Times New Roman"/>
                      <w:bCs/>
                      <w:color w:val="auto"/>
                      <w:kern w:val="0"/>
                      <w:sz w:val="21"/>
                      <w:szCs w:val="21"/>
                      <w:highlight w:val="none"/>
                      <w:vertAlign w:val="baseline"/>
                      <w:lang w:val="en-US" w:eastAsia="zh-CN"/>
                    </w:rPr>
                    <w:t>项目</w:t>
                  </w:r>
                </w:p>
              </w:tc>
              <w:tc>
                <w:tcPr>
                  <w:tcW w:w="1537"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bCs/>
                      <w:color w:val="auto"/>
                      <w:kern w:val="0"/>
                      <w:sz w:val="21"/>
                      <w:szCs w:val="21"/>
                      <w:highlight w:val="none"/>
                      <w:vertAlign w:val="baseline"/>
                      <w:lang w:val="en-US" w:eastAsia="zh-CN"/>
                    </w:rPr>
                  </w:pPr>
                  <w:r>
                    <w:rPr>
                      <w:rFonts w:hint="default" w:ascii="Times New Roman" w:hAnsi="Times New Roman" w:eastAsia="宋体" w:cs="Times New Roman"/>
                      <w:bCs/>
                      <w:color w:val="auto"/>
                      <w:kern w:val="0"/>
                      <w:sz w:val="21"/>
                      <w:szCs w:val="21"/>
                      <w:highlight w:val="none"/>
                      <w:vertAlign w:val="baseline"/>
                      <w:lang w:val="en-US" w:eastAsia="zh-CN"/>
                    </w:rPr>
                    <w:t>噪声源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62" w:type="pct"/>
                  <w:gridSpan w:val="2"/>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bCs/>
                      <w:color w:val="auto"/>
                      <w:kern w:val="0"/>
                      <w:sz w:val="21"/>
                      <w:szCs w:val="21"/>
                      <w:highlight w:val="none"/>
                      <w:vertAlign w:val="baseline"/>
                      <w:lang w:val="en-US" w:eastAsia="zh-CN"/>
                    </w:rPr>
                  </w:pPr>
                  <w:r>
                    <w:rPr>
                      <w:rFonts w:hint="default" w:ascii="Times New Roman" w:hAnsi="Times New Roman" w:eastAsia="宋体" w:cs="Times New Roman"/>
                      <w:bCs/>
                      <w:color w:val="auto"/>
                      <w:kern w:val="0"/>
                      <w:sz w:val="21"/>
                      <w:szCs w:val="21"/>
                      <w:highlight w:val="none"/>
                      <w:vertAlign w:val="baseline"/>
                      <w:lang w:val="en-US" w:eastAsia="zh-CN"/>
                    </w:rPr>
                    <w:t>类型</w:t>
                  </w:r>
                </w:p>
              </w:tc>
              <w:tc>
                <w:tcPr>
                  <w:tcW w:w="1537"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bCs/>
                      <w:color w:val="auto"/>
                      <w:kern w:val="0"/>
                      <w:sz w:val="21"/>
                      <w:szCs w:val="21"/>
                      <w:highlight w:val="none"/>
                      <w:vertAlign w:val="baseline"/>
                      <w:lang w:val="en-US" w:eastAsia="zh-CN"/>
                    </w:rPr>
                  </w:pPr>
                  <w:r>
                    <w:rPr>
                      <w:rFonts w:hint="default" w:ascii="Times New Roman" w:hAnsi="Times New Roman" w:eastAsia="宋体" w:cs="Times New Roman"/>
                      <w:bCs/>
                      <w:color w:val="auto"/>
                      <w:kern w:val="0"/>
                      <w:sz w:val="21"/>
                      <w:szCs w:val="21"/>
                      <w:highlight w:val="none"/>
                      <w:vertAlign w:val="baseline"/>
                      <w:lang w:val="en-US" w:eastAsia="zh-CN"/>
                    </w:rPr>
                    <w:t>机械设备噪声dB（A）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5"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bCs/>
                      <w:color w:val="auto"/>
                      <w:kern w:val="0"/>
                      <w:sz w:val="21"/>
                      <w:szCs w:val="21"/>
                      <w:highlight w:val="none"/>
                      <w:vertAlign w:val="baseline"/>
                      <w:lang w:val="en-US" w:eastAsia="zh-CN"/>
                    </w:rPr>
                  </w:pPr>
                  <w:r>
                    <w:rPr>
                      <w:rFonts w:hint="default" w:ascii="Times New Roman" w:hAnsi="Times New Roman" w:eastAsia="宋体" w:cs="Times New Roman"/>
                      <w:bCs/>
                      <w:color w:val="auto"/>
                      <w:kern w:val="0"/>
                      <w:sz w:val="21"/>
                      <w:szCs w:val="21"/>
                      <w:highlight w:val="none"/>
                      <w:vertAlign w:val="baseline"/>
                      <w:lang w:val="en-US" w:eastAsia="zh-CN"/>
                    </w:rPr>
                    <w:t>环境敏感点处噪声贡献值预测</w:t>
                  </w:r>
                </w:p>
              </w:tc>
              <w:tc>
                <w:tcPr>
                  <w:tcW w:w="1616"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bCs/>
                      <w:color w:val="auto"/>
                      <w:kern w:val="0"/>
                      <w:sz w:val="21"/>
                      <w:szCs w:val="21"/>
                      <w:highlight w:val="none"/>
                      <w:vertAlign w:val="baseline"/>
                      <w:lang w:val="en-US" w:eastAsia="zh-CN"/>
                    </w:rPr>
                  </w:pPr>
                  <w:r>
                    <w:rPr>
                      <w:rFonts w:hint="default" w:ascii="Times New Roman" w:hAnsi="Times New Roman" w:eastAsia="宋体" w:cs="Times New Roman"/>
                      <w:bCs/>
                      <w:color w:val="auto"/>
                      <w:kern w:val="0"/>
                      <w:sz w:val="21"/>
                      <w:szCs w:val="21"/>
                      <w:highlight w:val="none"/>
                      <w:vertAlign w:val="baseline"/>
                      <w:lang w:val="en-US" w:eastAsia="zh-CN"/>
                    </w:rPr>
                    <w:t>项目</w:t>
                  </w:r>
                  <w:r>
                    <w:rPr>
                      <w:rFonts w:hint="default" w:ascii="Times New Roman" w:hAnsi="Times New Roman" w:cs="Times New Roman"/>
                      <w:bCs/>
                      <w:color w:val="auto"/>
                      <w:kern w:val="0"/>
                      <w:sz w:val="21"/>
                      <w:szCs w:val="21"/>
                      <w:highlight w:val="none"/>
                      <w:vertAlign w:val="baseline"/>
                      <w:lang w:val="en-US" w:eastAsia="zh-CN"/>
                    </w:rPr>
                    <w:t>西</w:t>
                  </w:r>
                  <w:r>
                    <w:rPr>
                      <w:rFonts w:hint="default" w:ascii="Times New Roman" w:hAnsi="Times New Roman" w:eastAsia="宋体" w:cs="Times New Roman"/>
                      <w:bCs/>
                      <w:color w:val="auto"/>
                      <w:kern w:val="0"/>
                      <w:sz w:val="21"/>
                      <w:szCs w:val="21"/>
                      <w:highlight w:val="none"/>
                      <w:vertAlign w:val="baseline"/>
                      <w:lang w:val="en-US" w:eastAsia="zh-CN"/>
                    </w:rPr>
                    <w:t>侧无人居住居民楼</w:t>
                  </w:r>
                </w:p>
              </w:tc>
              <w:tc>
                <w:tcPr>
                  <w:tcW w:w="1537"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360" w:lineRule="auto"/>
                    <w:jc w:val="center"/>
                    <w:textAlignment w:val="auto"/>
                    <w:rPr>
                      <w:rFonts w:hint="default" w:ascii="Times New Roman" w:hAnsi="Times New Roman" w:eastAsia="宋体"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14</w:t>
                  </w:r>
                </w:p>
              </w:tc>
            </w:tr>
          </w:tbl>
          <w:p>
            <w:pPr>
              <w:autoSpaceDE w:val="0"/>
              <w:autoSpaceDN w:val="0"/>
              <w:adjustRightInd w:val="0"/>
              <w:snapToGrid w:val="0"/>
              <w:spacing w:before="120" w:beforeLines="50" w:line="360" w:lineRule="auto"/>
              <w:jc w:val="center"/>
              <w:rPr>
                <w:rFonts w:hint="default" w:ascii="Times New Roman" w:hAnsi="Times New Roman" w:cs="Times New Roman"/>
                <w:b/>
                <w:bCs w:val="0"/>
                <w:color w:val="auto"/>
                <w:kern w:val="0"/>
                <w:sz w:val="24"/>
                <w:highlight w:val="none"/>
                <w:lang w:val="en-US" w:eastAsia="zh-CN"/>
              </w:rPr>
            </w:pPr>
            <w:r>
              <w:rPr>
                <w:rFonts w:hint="default" w:ascii="Times New Roman" w:hAnsi="Times New Roman" w:cs="Times New Roman"/>
                <w:b/>
                <w:bCs w:val="0"/>
                <w:color w:val="auto"/>
                <w:kern w:val="0"/>
                <w:sz w:val="24"/>
                <w:highlight w:val="none"/>
                <w:lang w:val="en-US" w:eastAsia="zh-CN"/>
              </w:rPr>
              <w:t>表4-2</w:t>
            </w:r>
            <w:r>
              <w:rPr>
                <w:rFonts w:hint="eastAsia" w:ascii="Times New Roman" w:hAnsi="Times New Roman" w:cs="Times New Roman"/>
                <w:b/>
                <w:bCs w:val="0"/>
                <w:color w:val="auto"/>
                <w:kern w:val="0"/>
                <w:sz w:val="24"/>
                <w:highlight w:val="none"/>
                <w:lang w:val="en-US" w:eastAsia="zh-CN"/>
              </w:rPr>
              <w:t>9</w:t>
            </w:r>
            <w:r>
              <w:rPr>
                <w:rFonts w:hint="default" w:ascii="Times New Roman" w:hAnsi="Times New Roman" w:cs="Times New Roman"/>
                <w:b/>
                <w:bCs w:val="0"/>
                <w:color w:val="auto"/>
                <w:kern w:val="0"/>
                <w:sz w:val="24"/>
                <w:highlight w:val="none"/>
                <w:lang w:val="en-US" w:eastAsia="zh-CN"/>
              </w:rPr>
              <w:t xml:space="preserve"> 项目噪声对环境保护目标的噪声预测值计算</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8"/>
              <w:gridCol w:w="1063"/>
              <w:gridCol w:w="1984"/>
              <w:gridCol w:w="1709"/>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838" w:type="pct"/>
                  <w:gridSpan w:val="2"/>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项目</w:t>
                  </w:r>
                </w:p>
              </w:tc>
              <w:tc>
                <w:tcPr>
                  <w:tcW w:w="1161"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降噪后的贡献值</w:t>
                  </w:r>
                </w:p>
              </w:tc>
              <w:tc>
                <w:tcPr>
                  <w:tcW w:w="1000"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噪声背景值</w:t>
                  </w:r>
                </w:p>
              </w:tc>
              <w:tc>
                <w:tcPr>
                  <w:tcW w:w="1000"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预测值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pct"/>
                  <w:vMerge w:val="restar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eastAsia="宋体" w:cs="Times New Roman"/>
                      <w:bCs/>
                      <w:color w:val="auto"/>
                      <w:kern w:val="0"/>
                      <w:sz w:val="21"/>
                      <w:szCs w:val="21"/>
                      <w:highlight w:val="none"/>
                      <w:vertAlign w:val="baseline"/>
                      <w:lang w:val="en-US" w:eastAsia="zh-CN"/>
                    </w:rPr>
                    <w:t>项目</w:t>
                  </w:r>
                  <w:r>
                    <w:rPr>
                      <w:rFonts w:hint="default" w:ascii="Times New Roman" w:hAnsi="Times New Roman" w:cs="Times New Roman"/>
                      <w:bCs/>
                      <w:color w:val="auto"/>
                      <w:kern w:val="0"/>
                      <w:sz w:val="21"/>
                      <w:szCs w:val="21"/>
                      <w:highlight w:val="none"/>
                      <w:vertAlign w:val="baseline"/>
                      <w:lang w:val="en-US" w:eastAsia="zh-CN"/>
                    </w:rPr>
                    <w:t>西</w:t>
                  </w:r>
                  <w:r>
                    <w:rPr>
                      <w:rFonts w:hint="default" w:ascii="Times New Roman" w:hAnsi="Times New Roman" w:eastAsia="宋体" w:cs="Times New Roman"/>
                      <w:bCs/>
                      <w:color w:val="auto"/>
                      <w:kern w:val="0"/>
                      <w:sz w:val="21"/>
                      <w:szCs w:val="21"/>
                      <w:highlight w:val="none"/>
                      <w:vertAlign w:val="baseline"/>
                      <w:lang w:val="en-US" w:eastAsia="zh-CN"/>
                    </w:rPr>
                    <w:t>侧无人居住居民楼</w:t>
                  </w:r>
                </w:p>
              </w:tc>
              <w:tc>
                <w:tcPr>
                  <w:tcW w:w="622"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昼间</w:t>
                  </w:r>
                </w:p>
              </w:tc>
              <w:tc>
                <w:tcPr>
                  <w:tcW w:w="1161"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14</w:t>
                  </w:r>
                </w:p>
              </w:tc>
              <w:tc>
                <w:tcPr>
                  <w:tcW w:w="1000"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58</w:t>
                  </w:r>
                </w:p>
              </w:tc>
              <w:tc>
                <w:tcPr>
                  <w:tcW w:w="1000"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pct"/>
                  <w:vMerge w:val="continue"/>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eastAsia="宋体" w:cs="Times New Roman"/>
                      <w:bCs/>
                      <w:color w:val="auto"/>
                      <w:kern w:val="0"/>
                      <w:sz w:val="21"/>
                      <w:szCs w:val="21"/>
                      <w:highlight w:val="none"/>
                      <w:vertAlign w:val="baseline"/>
                      <w:lang w:val="en-US" w:eastAsia="zh-CN"/>
                    </w:rPr>
                  </w:pPr>
                </w:p>
              </w:tc>
              <w:tc>
                <w:tcPr>
                  <w:tcW w:w="622"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夜间</w:t>
                  </w:r>
                </w:p>
              </w:tc>
              <w:tc>
                <w:tcPr>
                  <w:tcW w:w="1161"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14</w:t>
                  </w:r>
                </w:p>
              </w:tc>
              <w:tc>
                <w:tcPr>
                  <w:tcW w:w="1000"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48</w:t>
                  </w:r>
                </w:p>
              </w:tc>
              <w:tc>
                <w:tcPr>
                  <w:tcW w:w="1000" w:type="pct"/>
                  <w:noWrap w:val="0"/>
                  <w:vAlign w:val="center"/>
                </w:tcPr>
                <w:p>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default" w:ascii="Times New Roman" w:hAnsi="Times New Roman" w:cs="Times New Roman"/>
                      <w:bCs/>
                      <w:color w:val="auto"/>
                      <w:kern w:val="0"/>
                      <w:sz w:val="21"/>
                      <w:szCs w:val="21"/>
                      <w:highlight w:val="none"/>
                      <w:vertAlign w:val="baseline"/>
                      <w:lang w:val="en-US" w:eastAsia="zh-CN"/>
                    </w:rPr>
                  </w:pPr>
                  <w:r>
                    <w:rPr>
                      <w:rFonts w:hint="default" w:ascii="Times New Roman" w:hAnsi="Times New Roman" w:cs="Times New Roman"/>
                      <w:bCs/>
                      <w:color w:val="auto"/>
                      <w:kern w:val="0"/>
                      <w:sz w:val="21"/>
                      <w:szCs w:val="21"/>
                      <w:highlight w:val="none"/>
                      <w:vertAlign w:val="baseline"/>
                      <w:lang w:val="en-US" w:eastAsia="zh-CN"/>
                    </w:rPr>
                    <w:t>48</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rFonts w:ascii="Times New Roman" w:hAnsi="Times New Roman"/>
                <w:color w:val="auto"/>
                <w:sz w:val="24"/>
                <w:szCs w:val="24"/>
              </w:rPr>
            </w:pPr>
            <w:r>
              <w:rPr>
                <w:rFonts w:hint="default" w:ascii="Times New Roman" w:hAnsi="Times New Roman" w:cs="Times New Roman"/>
                <w:color w:val="auto"/>
                <w:sz w:val="24"/>
                <w:highlight w:val="none"/>
              </w:rPr>
              <w:t>在采取以上措施后，经距离衰减厂界噪声值(昼间)均低于6</w:t>
            </w:r>
            <w:r>
              <w:rPr>
                <w:rFonts w:hint="default" w:ascii="Times New Roman" w:hAnsi="Times New Roman" w:cs="Times New Roman"/>
                <w:color w:val="auto"/>
                <w:sz w:val="24"/>
                <w:highlight w:val="none"/>
                <w:lang w:val="en-US" w:eastAsia="zh-CN"/>
              </w:rPr>
              <w:t>0</w:t>
            </w:r>
            <w:r>
              <w:rPr>
                <w:rFonts w:hint="default" w:ascii="Times New Roman" w:hAnsi="Times New Roman" w:cs="Times New Roman"/>
                <w:color w:val="auto"/>
                <w:sz w:val="24"/>
                <w:highlight w:val="none"/>
              </w:rPr>
              <w:t>dB(A)，噪声值(</w:t>
            </w:r>
            <w:r>
              <w:rPr>
                <w:rFonts w:hint="default" w:ascii="Times New Roman" w:hAnsi="Times New Roman" w:cs="Times New Roman"/>
                <w:color w:val="auto"/>
                <w:sz w:val="24"/>
                <w:highlight w:val="none"/>
                <w:lang w:val="en-US" w:eastAsia="zh-CN"/>
              </w:rPr>
              <w:t>夜间</w:t>
            </w:r>
            <w:r>
              <w:rPr>
                <w:rFonts w:hint="default" w:ascii="Times New Roman" w:hAnsi="Times New Roman" w:cs="Times New Roman"/>
                <w:color w:val="auto"/>
                <w:sz w:val="24"/>
                <w:highlight w:val="none"/>
              </w:rPr>
              <w:t>)均低于</w:t>
            </w:r>
            <w:r>
              <w:rPr>
                <w:rFonts w:hint="default" w:ascii="Times New Roman" w:hAnsi="Times New Roman" w:cs="Times New Roman"/>
                <w:color w:val="auto"/>
                <w:sz w:val="24"/>
                <w:highlight w:val="none"/>
                <w:lang w:val="en-US" w:eastAsia="zh-CN"/>
              </w:rPr>
              <w:t>50</w:t>
            </w:r>
            <w:r>
              <w:rPr>
                <w:rFonts w:hint="default" w:ascii="Times New Roman" w:hAnsi="Times New Roman" w:cs="Times New Roman"/>
                <w:color w:val="auto"/>
                <w:sz w:val="24"/>
                <w:highlight w:val="none"/>
              </w:rPr>
              <w:t>dB(A)。可满足《工业企业厂界环境噪声排放标准》(GB12348-2008)</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类标准要求，对周围声环境影响</w:t>
            </w:r>
            <w:r>
              <w:rPr>
                <w:rFonts w:hint="default" w:ascii="Times New Roman" w:hAnsi="Times New Roman" w:eastAsia="宋体" w:cs="Times New Roman"/>
                <w:color w:val="auto"/>
                <w:sz w:val="24"/>
                <w:highlight w:val="none"/>
                <w:lang w:val="en-US" w:eastAsia="zh-CN"/>
              </w:rPr>
              <w:t>较小。项目西侧无人居住居民楼，满足保</w:t>
            </w:r>
            <w:r>
              <w:rPr>
                <w:rFonts w:hint="default" w:ascii="Times New Roman" w:hAnsi="Times New Roman" w:cs="Times New Roman"/>
                <w:color w:val="auto"/>
                <w:sz w:val="24"/>
                <w:highlight w:val="none"/>
              </w:rPr>
              <w:t>护目标噪声预测值达到《声环境质量标准》(GB3096-2008)2类标准，</w:t>
            </w:r>
            <w:r>
              <w:rPr>
                <w:rFonts w:hint="default" w:ascii="Times New Roman" w:hAnsi="Times New Roman" w:cs="Times New Roman"/>
                <w:color w:val="auto"/>
                <w:sz w:val="24"/>
                <w:highlight w:val="none"/>
                <w:lang w:val="en-US" w:eastAsia="zh-CN"/>
              </w:rPr>
              <w:t>项目西侧</w:t>
            </w:r>
            <w:r>
              <w:rPr>
                <w:rFonts w:hint="default" w:ascii="Times New Roman" w:hAnsi="Times New Roman" w:cs="Times New Roman"/>
                <w:color w:val="auto"/>
                <w:sz w:val="24"/>
                <w:highlight w:val="none"/>
              </w:rPr>
              <w:t>敏感点</w:t>
            </w:r>
            <w:r>
              <w:rPr>
                <w:rFonts w:hint="default" w:ascii="Times New Roman" w:hAnsi="Times New Roman" w:cs="Times New Roman"/>
                <w:color w:val="auto"/>
                <w:sz w:val="24"/>
                <w:highlight w:val="none"/>
                <w:lang w:val="en-US" w:eastAsia="zh-CN"/>
              </w:rPr>
              <w:t>新兴社区</w:t>
            </w:r>
            <w:r>
              <w:rPr>
                <w:rFonts w:hint="default" w:ascii="Times New Roman" w:hAnsi="Times New Roman" w:cs="Times New Roman"/>
                <w:color w:val="auto"/>
                <w:sz w:val="24"/>
                <w:highlight w:val="none"/>
              </w:rPr>
              <w:t>噪声</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昼间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不超过60dB(A)</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噪声</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夜间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不超过</w:t>
            </w:r>
            <w:r>
              <w:rPr>
                <w:rFonts w:hint="default"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rPr>
              <w:t>0dB(A)。</w:t>
            </w:r>
          </w:p>
          <w:p>
            <w:pPr>
              <w:spacing w:line="360" w:lineRule="auto"/>
              <w:ind w:left="420" w:leftChars="200"/>
              <w:contextualSpacing/>
              <w:rPr>
                <w:rFonts w:hint="default" w:ascii="Times New Roman" w:hAnsi="Times New Roman" w:cs="Times New Roman"/>
                <w:b/>
                <w:bCs/>
                <w:color w:val="auto"/>
                <w:sz w:val="24"/>
                <w:szCs w:val="24"/>
              </w:rPr>
            </w:pPr>
            <w:r>
              <w:rPr>
                <w:rFonts w:hint="eastAsia" w:ascii="Times New Roman" w:hAnsi="Times New Roman"/>
                <w:b/>
                <w:bCs/>
                <w:color w:val="auto"/>
                <w:sz w:val="24"/>
                <w:szCs w:val="24"/>
              </w:rPr>
              <w:t xml:space="preserve">4.2.3.3 </w:t>
            </w:r>
            <w:r>
              <w:rPr>
                <w:rFonts w:ascii="Times New Roman" w:hAnsi="Times New Roman"/>
                <w:b/>
                <w:bCs/>
                <w:color w:val="auto"/>
                <w:sz w:val="24"/>
                <w:szCs w:val="24"/>
              </w:rPr>
              <w:t>噪声监测计划</w:t>
            </w:r>
          </w:p>
          <w:p>
            <w:pPr>
              <w:pStyle w:val="75"/>
              <w:keepNext w:val="0"/>
              <w:keepLines w:val="0"/>
              <w:pageBreakBefore w:val="0"/>
              <w:widowControl w:val="0"/>
              <w:kinsoku/>
              <w:wordWrap/>
              <w:overflowPunct/>
              <w:topLinePunct w:val="0"/>
              <w:autoSpaceDE/>
              <w:autoSpaceDN/>
              <w:bidi w:val="0"/>
              <w:adjustRightInd w:val="0"/>
              <w:snapToGrid/>
              <w:ind w:firstLine="352" w:firstLineChars="147"/>
              <w:textAlignment w:val="baseline"/>
              <w:rPr>
                <w:rFonts w:hint="default" w:ascii="Times New Roman" w:hAnsi="Times New Roman" w:cs="Times New Roman"/>
                <w:b/>
                <w:bCs/>
                <w:color w:val="auto"/>
                <w:sz w:val="24"/>
                <w:szCs w:val="24"/>
              </w:rPr>
            </w:pPr>
            <w:r>
              <w:rPr>
                <w:rFonts w:hint="default" w:ascii="Times New Roman" w:hAnsi="Times New Roman" w:cs="Times New Roman"/>
                <w:color w:val="auto"/>
                <w:sz w:val="24"/>
                <w:szCs w:val="24"/>
              </w:rPr>
              <w:t>根据《排污单位自行监测技术指南 总则》（HJ819-2017），本项目运营期噪声自行监测内容见下表。</w:t>
            </w:r>
          </w:p>
          <w:p>
            <w:pPr>
              <w:pStyle w:val="75"/>
              <w:keepNext w:val="0"/>
              <w:keepLines w:val="0"/>
              <w:pageBreakBefore w:val="0"/>
              <w:widowControl w:val="0"/>
              <w:kinsoku/>
              <w:wordWrap/>
              <w:overflowPunct/>
              <w:topLinePunct w:val="0"/>
              <w:autoSpaceDE/>
              <w:autoSpaceDN/>
              <w:bidi w:val="0"/>
              <w:adjustRightInd w:val="0"/>
              <w:snapToGrid/>
              <w:ind w:firstLine="0"/>
              <w:jc w:val="center"/>
              <w:textAlignment w:val="baseline"/>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4-</w:t>
            </w:r>
            <w:r>
              <w:rPr>
                <w:rFonts w:hint="eastAsia" w:ascii="Times New Roman" w:hAnsi="Times New Roman" w:cs="Times New Roman"/>
                <w:b/>
                <w:bCs/>
                <w:color w:val="auto"/>
                <w:sz w:val="24"/>
                <w:szCs w:val="24"/>
                <w:lang w:val="en-US" w:eastAsia="zh-CN"/>
              </w:rPr>
              <w:t>30</w:t>
            </w:r>
            <w:r>
              <w:rPr>
                <w:rFonts w:hint="default" w:ascii="Times New Roman" w:hAnsi="Times New Roman" w:cs="Times New Roman"/>
                <w:b/>
                <w:bCs/>
                <w:color w:val="auto"/>
                <w:sz w:val="24"/>
                <w:szCs w:val="24"/>
              </w:rPr>
              <w:t xml:space="preserve"> 噪声监测计划一览表</w:t>
            </w:r>
          </w:p>
          <w:tbl>
            <w:tblPr>
              <w:tblStyle w:val="32"/>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5"/>
              <w:gridCol w:w="1865"/>
              <w:gridCol w:w="1564"/>
              <w:gridCol w:w="3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980"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监测点位</w:t>
                  </w:r>
                </w:p>
              </w:tc>
              <w:tc>
                <w:tcPr>
                  <w:tcW w:w="1091"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监测指标</w:t>
                  </w:r>
                </w:p>
              </w:tc>
              <w:tc>
                <w:tcPr>
                  <w:tcW w:w="915"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监测频次</w:t>
                  </w:r>
                </w:p>
              </w:tc>
              <w:tc>
                <w:tcPr>
                  <w:tcW w:w="2012"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980"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厂界四周</w:t>
                  </w:r>
                </w:p>
              </w:tc>
              <w:tc>
                <w:tcPr>
                  <w:tcW w:w="1091"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等效连续A声级</w:t>
                  </w:r>
                </w:p>
              </w:tc>
              <w:tc>
                <w:tcPr>
                  <w:tcW w:w="915"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1季/次</w:t>
                  </w:r>
                </w:p>
              </w:tc>
              <w:tc>
                <w:tcPr>
                  <w:tcW w:w="2012" w:type="pct"/>
                  <w:noWrap w:val="0"/>
                  <w:vAlign w:val="center"/>
                </w:tcPr>
                <w:p>
                  <w:pPr>
                    <w:pStyle w:val="49"/>
                    <w:keepNext w:val="0"/>
                    <w:keepLines w:val="0"/>
                    <w:pageBreakBefore w:val="0"/>
                    <w:widowControl w:val="0"/>
                    <w:kinsoku/>
                    <w:wordWrap/>
                    <w:overflowPunct/>
                    <w:topLinePunct w:val="0"/>
                    <w:autoSpaceDE w:val="0"/>
                    <w:autoSpaceDN w:val="0"/>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《工业企业厂界环境噪声排放标准》（GB12348-2008）</w:t>
                  </w:r>
                  <w:r>
                    <w:rPr>
                      <w:rFonts w:hint="default" w:ascii="Times New Roman" w:hAnsi="Times New Roman" w:cs="Times New Roman"/>
                      <w:color w:val="auto"/>
                      <w:sz w:val="21"/>
                      <w:szCs w:val="21"/>
                      <w:lang w:val="en-US" w:eastAsia="zh-CN"/>
                    </w:rPr>
                    <w:t>2</w:t>
                  </w:r>
                  <w:r>
                    <w:rPr>
                      <w:rFonts w:hint="default" w:ascii="Times New Roman" w:hAnsi="Times New Roman" w:cs="Times New Roman"/>
                      <w:color w:val="auto"/>
                      <w:sz w:val="21"/>
                      <w:szCs w:val="21"/>
                    </w:rPr>
                    <w:t>类</w:t>
                  </w:r>
                </w:p>
              </w:tc>
            </w:tr>
          </w:tbl>
          <w:p>
            <w:pPr>
              <w:spacing w:before="120" w:beforeLines="50" w:line="360" w:lineRule="auto"/>
              <w:ind w:firstLine="482" w:firstLineChars="200"/>
              <w:rPr>
                <w:rFonts w:ascii="Times New Roman" w:hAnsi="Times New Roman"/>
                <w:b/>
                <w:bCs/>
                <w:color w:val="auto"/>
                <w:sz w:val="24"/>
                <w:szCs w:val="24"/>
              </w:rPr>
            </w:pPr>
            <w:r>
              <w:rPr>
                <w:rFonts w:hint="eastAsia" w:ascii="Times New Roman" w:hAnsi="Times New Roman"/>
                <w:b/>
                <w:bCs/>
                <w:color w:val="auto"/>
                <w:sz w:val="24"/>
                <w:szCs w:val="24"/>
              </w:rPr>
              <w:t xml:space="preserve">4.2.3.4 </w:t>
            </w:r>
            <w:r>
              <w:rPr>
                <w:rFonts w:ascii="Times New Roman" w:hAnsi="Times New Roman"/>
                <w:b/>
                <w:bCs/>
                <w:color w:val="auto"/>
                <w:sz w:val="24"/>
                <w:szCs w:val="24"/>
              </w:rPr>
              <w:t>噪声治理措施及可行性分析</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为保证厂界噪声达标以及给现场生产员工一个较好的工作环境，建议建设单位对生产设备采取以下措施</w:t>
            </w:r>
            <w:r>
              <w:rPr>
                <w:rFonts w:hint="eastAsia" w:ascii="Times New Roman" w:hAnsi="Times New Roman"/>
                <w:color w:val="auto"/>
                <w:sz w:val="24"/>
                <w:szCs w:val="24"/>
              </w:rPr>
              <w:t>进行</w:t>
            </w:r>
            <w:r>
              <w:rPr>
                <w:rFonts w:ascii="Times New Roman" w:hAnsi="Times New Roman"/>
                <w:color w:val="auto"/>
                <w:sz w:val="24"/>
                <w:szCs w:val="24"/>
              </w:rPr>
              <w:t>噪声防治：</w:t>
            </w:r>
          </w:p>
          <w:p>
            <w:pPr>
              <w:pStyle w:val="49"/>
              <w:spacing w:line="360" w:lineRule="auto"/>
              <w:ind w:firstLine="480" w:firstLineChars="200"/>
              <w:jc w:val="left"/>
              <w:rPr>
                <w:rFonts w:hint="default" w:ascii="Times New Roman" w:hAnsi="Times New Roman"/>
                <w:color w:val="auto"/>
                <w:sz w:val="24"/>
                <w:szCs w:val="24"/>
              </w:rPr>
            </w:pPr>
            <w:r>
              <w:rPr>
                <w:rFonts w:hint="default" w:ascii="Times New Roman" w:hAnsi="Times New Roman"/>
                <w:color w:val="auto"/>
                <w:sz w:val="24"/>
                <w:szCs w:val="24"/>
              </w:rPr>
              <w:t>（1）对设备进行合理布局，将高噪声设备放置在远离厂界的位置，并对其加强基础减振及</w:t>
            </w:r>
            <w:r>
              <w:rPr>
                <w:rFonts w:ascii="Times New Roman" w:hAnsi="Times New Roman"/>
                <w:color w:val="auto"/>
                <w:sz w:val="24"/>
                <w:szCs w:val="24"/>
              </w:rPr>
              <w:t>支撑</w:t>
            </w:r>
            <w:r>
              <w:rPr>
                <w:rFonts w:hint="default" w:ascii="Times New Roman" w:hAnsi="Times New Roman"/>
                <w:color w:val="auto"/>
                <w:sz w:val="24"/>
                <w:szCs w:val="24"/>
              </w:rPr>
              <w:t>结构措施，如采用橡胶隔振垫。</w:t>
            </w:r>
          </w:p>
          <w:p>
            <w:pPr>
              <w:pStyle w:val="49"/>
              <w:spacing w:line="360" w:lineRule="auto"/>
              <w:ind w:firstLine="480" w:firstLineChars="200"/>
              <w:jc w:val="left"/>
              <w:rPr>
                <w:rFonts w:hint="default" w:ascii="Times New Roman" w:hAnsi="Times New Roman"/>
                <w:color w:val="auto"/>
                <w:sz w:val="24"/>
                <w:szCs w:val="24"/>
              </w:rPr>
            </w:pPr>
            <w:r>
              <w:rPr>
                <w:rFonts w:hint="default" w:ascii="Times New Roman" w:hAnsi="Times New Roman"/>
                <w:color w:val="auto"/>
                <w:sz w:val="24"/>
                <w:szCs w:val="24"/>
              </w:rPr>
              <w:t>（2）对高噪声设备采取消音、隔音和减震等措施，如在生产设备与车间地面之安装弹簧或性减震器，在生产车间窗户安装隔声等。</w:t>
            </w:r>
          </w:p>
          <w:p>
            <w:pPr>
              <w:pStyle w:val="49"/>
              <w:spacing w:line="360" w:lineRule="auto"/>
              <w:ind w:firstLine="480" w:firstLineChars="200"/>
              <w:jc w:val="left"/>
              <w:rPr>
                <w:rFonts w:hint="default" w:ascii="Times New Roman" w:hAnsi="Times New Roman"/>
                <w:color w:val="auto"/>
                <w:sz w:val="24"/>
                <w:szCs w:val="24"/>
              </w:rPr>
            </w:pPr>
            <w:r>
              <w:rPr>
                <w:rFonts w:hint="default" w:ascii="Times New Roman" w:hAnsi="Times New Roman"/>
                <w:color w:val="auto"/>
                <w:sz w:val="24"/>
                <w:szCs w:val="24"/>
              </w:rPr>
              <w:t>（3）加强作业管理，减少非正常噪声。</w:t>
            </w:r>
          </w:p>
          <w:p>
            <w:pPr>
              <w:pStyle w:val="49"/>
              <w:spacing w:line="360" w:lineRule="auto"/>
              <w:ind w:firstLine="480" w:firstLineChars="200"/>
              <w:jc w:val="left"/>
              <w:rPr>
                <w:rFonts w:hint="default" w:ascii="Times New Roman" w:hAnsi="Times New Roman"/>
                <w:color w:val="auto"/>
                <w:sz w:val="24"/>
                <w:szCs w:val="24"/>
              </w:rPr>
            </w:pPr>
            <w:r>
              <w:rPr>
                <w:rFonts w:hint="default" w:ascii="Times New Roman" w:hAnsi="Times New Roman"/>
                <w:color w:val="auto"/>
                <w:sz w:val="24"/>
                <w:szCs w:val="24"/>
              </w:rPr>
              <w:t>（4）定期做好设备的保养与日常维护，维持厂内设备处于良好的运转状态，减少因零部件磨损产生的噪声。</w:t>
            </w:r>
          </w:p>
          <w:p>
            <w:pPr>
              <w:pStyle w:val="49"/>
              <w:spacing w:line="360" w:lineRule="auto"/>
              <w:ind w:firstLine="480" w:firstLineChars="200"/>
              <w:jc w:val="left"/>
              <w:rPr>
                <w:rFonts w:hint="default" w:ascii="Times New Roman" w:hAnsi="Times New Roman"/>
                <w:color w:val="auto"/>
                <w:sz w:val="24"/>
                <w:szCs w:val="24"/>
              </w:rPr>
            </w:pPr>
            <w:r>
              <w:rPr>
                <w:rFonts w:hint="default" w:ascii="Times New Roman" w:hAnsi="Times New Roman"/>
                <w:color w:val="auto"/>
                <w:sz w:val="24"/>
                <w:szCs w:val="24"/>
              </w:rPr>
              <w:t>（5）在尽量满足机器特性参数的情况下选用低噪声设备，对强噪声生产设备应设置减振底座，必要时设置隔声屏障。</w:t>
            </w:r>
          </w:p>
          <w:p>
            <w:pPr>
              <w:spacing w:line="360" w:lineRule="auto"/>
              <w:ind w:firstLine="480" w:firstLineChars="200"/>
              <w:rPr>
                <w:rFonts w:ascii="Times New Roman" w:hAnsi="Times New Roman"/>
                <w:color w:val="auto"/>
                <w:sz w:val="24"/>
                <w:szCs w:val="24"/>
              </w:rPr>
            </w:pPr>
            <w:r>
              <w:rPr>
                <w:rFonts w:ascii="Times New Roman" w:hAnsi="Times New Roman"/>
                <w:color w:val="auto"/>
                <w:sz w:val="24"/>
                <w:szCs w:val="24"/>
              </w:rPr>
              <w:t>（6）尽量不在白天休息时间（12:00-14:00）及夜间（22:00-6:00）进行生产作业</w:t>
            </w:r>
            <w:r>
              <w:rPr>
                <w:rFonts w:hint="eastAsia" w:ascii="Times New Roman" w:hAnsi="Times New Roman"/>
                <w:color w:val="auto"/>
                <w:sz w:val="24"/>
                <w:szCs w:val="24"/>
              </w:rPr>
              <w:t>。</w:t>
            </w:r>
          </w:p>
          <w:p>
            <w:pPr>
              <w:spacing w:line="360" w:lineRule="auto"/>
              <w:ind w:firstLine="482" w:firstLineChars="200"/>
              <w:rPr>
                <w:rFonts w:ascii="Times New Roman" w:hAnsi="Times New Roman"/>
                <w:b/>
                <w:bCs/>
                <w:color w:val="auto"/>
                <w:sz w:val="24"/>
                <w:szCs w:val="24"/>
              </w:rPr>
            </w:pPr>
            <w:r>
              <w:rPr>
                <w:rFonts w:hint="eastAsia" w:ascii="Times New Roman" w:hAnsi="Times New Roman"/>
                <w:b/>
                <w:bCs/>
                <w:color w:val="auto"/>
                <w:sz w:val="24"/>
                <w:szCs w:val="24"/>
              </w:rPr>
              <w:t xml:space="preserve">4.2.3.5 </w:t>
            </w:r>
            <w:r>
              <w:rPr>
                <w:rFonts w:ascii="Times New Roman" w:hAnsi="Times New Roman"/>
                <w:b/>
                <w:bCs/>
                <w:color w:val="auto"/>
                <w:sz w:val="24"/>
                <w:szCs w:val="24"/>
              </w:rPr>
              <w:t>噪声达标排放情况</w:t>
            </w:r>
          </w:p>
          <w:p>
            <w:pPr>
              <w:adjustRightInd w:val="0"/>
              <w:snapToGrid w:val="0"/>
              <w:spacing w:before="120" w:beforeLines="50" w:line="360" w:lineRule="auto"/>
              <w:ind w:firstLine="480" w:firstLineChars="200"/>
              <w:contextualSpacing/>
              <w:rPr>
                <w:rFonts w:hint="default" w:ascii="Times New Roman" w:hAnsi="Times New Roman" w:cs="Times New Roman"/>
                <w:b/>
                <w:bCs/>
                <w:color w:val="auto"/>
                <w:sz w:val="24"/>
                <w:szCs w:val="24"/>
              </w:rPr>
            </w:pPr>
            <w:r>
              <w:rPr>
                <w:rFonts w:ascii="Times New Roman" w:hAnsi="Times New Roman"/>
                <w:color w:val="auto"/>
                <w:sz w:val="24"/>
                <w:szCs w:val="24"/>
              </w:rPr>
              <w:t>通过预测可知，生产过程中产生的噪声经隔声、减振以及距离衰减后该项目厂界噪声值可满足</w:t>
            </w:r>
            <w:r>
              <w:rPr>
                <w:rFonts w:hint="default" w:ascii="Times New Roman" w:hAnsi="Times New Roman" w:cs="Times New Roman"/>
                <w:color w:val="auto"/>
                <w:sz w:val="24"/>
                <w:highlight w:val="none"/>
              </w:rPr>
              <w:t>《工业企业厂界环境噪声排放标准》(GB12348-2008)</w:t>
            </w:r>
            <w:r>
              <w:rPr>
                <w:rFonts w:hint="default"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类标准要求，对周围声环境影响</w:t>
            </w:r>
            <w:r>
              <w:rPr>
                <w:rFonts w:hint="default" w:ascii="Times New Roman" w:hAnsi="Times New Roman" w:eastAsia="宋体" w:cs="Times New Roman"/>
                <w:color w:val="auto"/>
                <w:sz w:val="24"/>
                <w:highlight w:val="none"/>
                <w:lang w:val="en-US" w:eastAsia="zh-CN"/>
              </w:rPr>
              <w:t>较小。项目西侧无人居住居民楼，满足保</w:t>
            </w:r>
            <w:r>
              <w:rPr>
                <w:rFonts w:hint="default" w:ascii="Times New Roman" w:hAnsi="Times New Roman" w:cs="Times New Roman"/>
                <w:color w:val="auto"/>
                <w:sz w:val="24"/>
                <w:highlight w:val="none"/>
              </w:rPr>
              <w:t>护目标噪声预测值达到《声环境质量标准》(GB3096-2008)2类标准，</w:t>
            </w:r>
            <w:r>
              <w:rPr>
                <w:rFonts w:hint="default" w:ascii="Times New Roman" w:hAnsi="Times New Roman" w:cs="Times New Roman"/>
                <w:color w:val="auto"/>
                <w:sz w:val="24"/>
                <w:highlight w:val="none"/>
                <w:lang w:val="en-US" w:eastAsia="zh-CN"/>
              </w:rPr>
              <w:t>项目西侧</w:t>
            </w:r>
            <w:r>
              <w:rPr>
                <w:rFonts w:hint="default" w:ascii="Times New Roman" w:hAnsi="Times New Roman" w:cs="Times New Roman"/>
                <w:color w:val="auto"/>
                <w:sz w:val="24"/>
                <w:highlight w:val="none"/>
              </w:rPr>
              <w:t>敏感点</w:t>
            </w:r>
            <w:r>
              <w:rPr>
                <w:rFonts w:hint="eastAsia" w:ascii="Times New Roman" w:hAnsi="Times New Roman" w:cs="Times New Roman"/>
                <w:color w:val="auto"/>
                <w:sz w:val="24"/>
                <w:highlight w:val="none"/>
                <w:lang w:val="en-US" w:eastAsia="zh-CN"/>
              </w:rPr>
              <w:t>无人居住居民楼</w:t>
            </w:r>
            <w:r>
              <w:rPr>
                <w:rFonts w:hint="default" w:ascii="Times New Roman" w:hAnsi="Times New Roman" w:cs="Times New Roman"/>
                <w:color w:val="auto"/>
                <w:sz w:val="24"/>
                <w:highlight w:val="none"/>
              </w:rPr>
              <w:t>噪声</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昼间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不超过60dB(A)</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噪声</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夜间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不超过</w:t>
            </w:r>
            <w:r>
              <w:rPr>
                <w:rFonts w:hint="default"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rPr>
              <w:t>0dB(A)。</w:t>
            </w:r>
            <w:r>
              <w:rPr>
                <w:rFonts w:ascii="Times New Roman" w:hAnsi="Times New Roman"/>
                <w:color w:val="auto"/>
                <w:sz w:val="24"/>
                <w:szCs w:val="24"/>
              </w:rPr>
              <w:t>项目设备产生的噪声不会影响周围环境，能够达标排放，项目噪声对周围环境影响较小。</w:t>
            </w:r>
          </w:p>
          <w:p>
            <w:pPr>
              <w:adjustRightInd w:val="0"/>
              <w:snapToGrid w:val="0"/>
              <w:spacing w:before="120" w:beforeLines="50" w:line="360" w:lineRule="auto"/>
              <w:ind w:firstLine="482" w:firstLineChars="200"/>
              <w:contextualSpacing/>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4.2.4 固体废物</w:t>
            </w:r>
          </w:p>
          <w:p>
            <w:pPr>
              <w:adjustRightInd w:val="0"/>
              <w:snapToGrid w:val="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4.2.4.1固体废物源强核算</w:t>
            </w:r>
          </w:p>
          <w:p>
            <w:pPr>
              <w:adjustRightInd w:val="0"/>
              <w:snapToGri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cs="Times New Roman"/>
                <w:color w:val="auto"/>
                <w:sz w:val="24"/>
                <w:szCs w:val="24"/>
              </w:rPr>
              <w:t>本项目固体废弃物包括</w:t>
            </w:r>
            <w:r>
              <w:rPr>
                <w:rFonts w:hint="default" w:ascii="Times New Roman" w:hAnsi="Times New Roman" w:cs="Times New Roman"/>
                <w:color w:val="auto"/>
                <w:sz w:val="24"/>
                <w:szCs w:val="24"/>
                <w:lang w:val="en-US" w:eastAsia="zh-CN"/>
              </w:rPr>
              <w:t>废铜铝箔边角料、分条边角料、废隔膜纸、废铝塑膜、废电池、废包装材料、废包装桶/袋、废抹布、废活性炭和员工生活垃圾等。</w:t>
            </w:r>
          </w:p>
          <w:p>
            <w:pPr>
              <w:tabs>
                <w:tab w:val="left" w:pos="297"/>
              </w:tabs>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（1）生活垃圾</w:t>
            </w:r>
          </w:p>
          <w:p>
            <w:pPr>
              <w:spacing w:line="360" w:lineRule="auto"/>
              <w:ind w:firstLine="480" w:firstLineChars="200"/>
              <w:rPr>
                <w:rFonts w:hint="default" w:ascii="Times New Roman" w:hAnsi="Times New Roman" w:cs="Times New Roman"/>
                <w:color w:val="auto"/>
                <w:szCs w:val="21"/>
              </w:rPr>
            </w:pPr>
            <w:r>
              <w:rPr>
                <w:rFonts w:hint="default" w:ascii="Times New Roman" w:hAnsi="Times New Roman" w:cs="Times New Roman"/>
                <w:color w:val="auto"/>
                <w:kern w:val="0"/>
                <w:sz w:val="24"/>
                <w:szCs w:val="24"/>
              </w:rPr>
              <w:t>根据惠州地区生活垃圾产生统计数据，生活垃圾产生系数为0.5kg/人</w:t>
            </w:r>
            <w:r>
              <w:rPr>
                <w:rFonts w:hint="default" w:ascii="Times New Roman" w:hAnsi="Times New Roman" w:cs="Times New Roman"/>
                <w:color w:val="auto"/>
                <w:kern w:val="0"/>
                <w:sz w:val="24"/>
                <w:szCs w:val="24"/>
                <w:lang w:val="en-US" w:eastAsia="zh-CN"/>
              </w:rPr>
              <w:t>·</w:t>
            </w:r>
            <w:r>
              <w:rPr>
                <w:rFonts w:hint="default" w:ascii="Times New Roman" w:hAnsi="Times New Roman" w:cs="Times New Roman"/>
                <w:color w:val="auto"/>
                <w:kern w:val="0"/>
                <w:sz w:val="24"/>
                <w:szCs w:val="24"/>
              </w:rPr>
              <w:t>日，项目拟劳动定员为</w:t>
            </w:r>
            <w:r>
              <w:rPr>
                <w:rFonts w:hint="default" w:ascii="Times New Roman" w:hAnsi="Times New Roman" w:cs="Times New Roman"/>
                <w:color w:val="auto"/>
                <w:kern w:val="0"/>
                <w:sz w:val="24"/>
                <w:szCs w:val="24"/>
                <w:lang w:val="en-US" w:eastAsia="zh-CN"/>
              </w:rPr>
              <w:t>48</w:t>
            </w:r>
            <w:r>
              <w:rPr>
                <w:rFonts w:hint="default" w:ascii="Times New Roman" w:hAnsi="Times New Roman" w:cs="Times New Roman"/>
                <w:color w:val="auto"/>
                <w:kern w:val="0"/>
                <w:sz w:val="24"/>
                <w:szCs w:val="24"/>
              </w:rPr>
              <w:t>人，年工作日</w:t>
            </w:r>
            <w:r>
              <w:rPr>
                <w:rFonts w:hint="default" w:ascii="Times New Roman" w:hAnsi="Times New Roman" w:cs="Times New Roman"/>
                <w:color w:val="auto"/>
                <w:kern w:val="0"/>
                <w:sz w:val="24"/>
                <w:szCs w:val="24"/>
                <w:lang w:val="en-US" w:eastAsia="zh-CN"/>
              </w:rPr>
              <w:t>280</w:t>
            </w:r>
            <w:r>
              <w:rPr>
                <w:rFonts w:hint="default" w:ascii="Times New Roman" w:hAnsi="Times New Roman" w:cs="Times New Roman"/>
                <w:color w:val="auto"/>
                <w:kern w:val="0"/>
                <w:sz w:val="24"/>
                <w:szCs w:val="24"/>
              </w:rPr>
              <w:t>天，则项目生活垃圾产生量约为</w:t>
            </w:r>
            <w:r>
              <w:rPr>
                <w:rFonts w:hint="default" w:ascii="Times New Roman" w:hAnsi="Times New Roman" w:cs="Times New Roman"/>
                <w:color w:val="auto"/>
                <w:kern w:val="0"/>
                <w:sz w:val="24"/>
                <w:szCs w:val="24"/>
                <w:lang w:val="en-US" w:eastAsia="zh-CN"/>
              </w:rPr>
              <w:t>6.72</w:t>
            </w:r>
            <w:r>
              <w:rPr>
                <w:rFonts w:hint="default" w:ascii="Times New Roman" w:hAnsi="Times New Roman" w:cs="Times New Roman"/>
                <w:color w:val="auto"/>
                <w:kern w:val="0"/>
                <w:sz w:val="24"/>
                <w:szCs w:val="24"/>
              </w:rPr>
              <w:t>t/a</w:t>
            </w:r>
            <w:r>
              <w:rPr>
                <w:rFonts w:hint="default" w:ascii="Times New Roman" w:hAnsi="Times New Roman" w:cs="Times New Roman"/>
                <w:color w:val="auto"/>
                <w:kern w:val="18"/>
                <w:sz w:val="24"/>
                <w:szCs w:val="24"/>
              </w:rPr>
              <w:t>，</w:t>
            </w:r>
            <w:r>
              <w:rPr>
                <w:rFonts w:hint="default" w:ascii="Times New Roman" w:hAnsi="Times New Roman" w:cs="Times New Roman"/>
                <w:color w:val="auto"/>
                <w:kern w:val="0"/>
                <w:sz w:val="24"/>
                <w:szCs w:val="24"/>
              </w:rPr>
              <w:t>分类收集后交由环卫部门定期清运处理。</w:t>
            </w:r>
          </w:p>
          <w:p>
            <w:pPr>
              <w:tabs>
                <w:tab w:val="left" w:pos="297"/>
              </w:tabs>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lang w:val="en-US" w:eastAsia="zh-CN"/>
              </w:rPr>
              <w:t>2</w:t>
            </w:r>
            <w:r>
              <w:rPr>
                <w:rFonts w:hint="default" w:ascii="Times New Roman" w:hAnsi="Times New Roman" w:cs="Times New Roman"/>
                <w:b/>
                <w:bCs/>
                <w:color w:val="auto"/>
                <w:sz w:val="24"/>
                <w:szCs w:val="24"/>
                <w:lang w:eastAsia="zh-CN"/>
              </w:rPr>
              <w:t>）</w:t>
            </w:r>
            <w:r>
              <w:rPr>
                <w:rFonts w:hint="default" w:ascii="Times New Roman" w:hAnsi="Times New Roman" w:cs="Times New Roman"/>
                <w:b/>
                <w:bCs/>
                <w:color w:val="auto"/>
                <w:sz w:val="24"/>
                <w:szCs w:val="24"/>
              </w:rPr>
              <w:t>一般固体废物</w:t>
            </w:r>
          </w:p>
          <w:p>
            <w:pPr>
              <w:tabs>
                <w:tab w:val="left" w:pos="297"/>
              </w:tabs>
              <w:spacing w:line="360" w:lineRule="auto"/>
              <w:ind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rPr>
              <w:t>①</w:t>
            </w:r>
            <w:r>
              <w:rPr>
                <w:rFonts w:hint="default" w:ascii="Times New Roman" w:hAnsi="Times New Roman" w:cs="Times New Roman"/>
                <w:b/>
                <w:bCs/>
                <w:color w:val="auto"/>
                <w:sz w:val="24"/>
                <w:szCs w:val="24"/>
                <w:lang w:val="en-US" w:eastAsia="zh-CN"/>
              </w:rPr>
              <w:t>废铜铝箔边角料</w:t>
            </w:r>
          </w:p>
          <w:p>
            <w:pPr>
              <w:tabs>
                <w:tab w:val="left" w:pos="297"/>
              </w:tabs>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eastAsia="宋体" w:cs="Times New Roman"/>
                <w:b w:val="0"/>
                <w:bCs w:val="0"/>
                <w:color w:val="auto"/>
                <w:sz w:val="24"/>
                <w:szCs w:val="24"/>
                <w:lang w:val="en-US" w:eastAsia="zh-CN"/>
              </w:rPr>
              <w:t>根据建设单位提供资料，项目年使用铜箔20t，铝箔10t，边角料产生量约</w:t>
            </w:r>
            <w:r>
              <w:rPr>
                <w:rFonts w:hint="eastAsia" w:ascii="Times New Roman" w:hAnsi="Times New Roman" w:eastAsia="宋体" w:cs="Times New Roman"/>
                <w:b w:val="0"/>
                <w:bCs w:val="0"/>
                <w:color w:val="auto"/>
                <w:sz w:val="24"/>
                <w:szCs w:val="24"/>
                <w:lang w:val="en-US" w:eastAsia="zh-CN"/>
              </w:rPr>
              <w:t>0.70</w:t>
            </w:r>
            <w:r>
              <w:rPr>
                <w:rFonts w:hint="eastAsia" w:cs="Times New Roman"/>
                <w:b w:val="0"/>
                <w:bCs w:val="0"/>
                <w:color w:val="auto"/>
                <w:sz w:val="24"/>
                <w:szCs w:val="24"/>
                <w:lang w:val="en-US" w:eastAsia="zh-CN"/>
              </w:rPr>
              <w:t>29</w:t>
            </w:r>
            <w:r>
              <w:rPr>
                <w:rFonts w:hint="default" w:ascii="Times New Roman" w:hAnsi="Times New Roman" w:eastAsia="宋体" w:cs="Times New Roman"/>
                <w:b w:val="0"/>
                <w:bCs w:val="0"/>
                <w:color w:val="auto"/>
                <w:sz w:val="24"/>
                <w:szCs w:val="24"/>
                <w:lang w:val="en-US" w:eastAsia="zh-CN"/>
              </w:rPr>
              <w:t>t/a</w:t>
            </w:r>
            <w:r>
              <w:rPr>
                <w:rFonts w:hint="default" w:ascii="Times New Roman" w:hAnsi="Times New Roman" w:eastAsia="宋体" w:cs="Times New Roman"/>
                <w:b w:val="0"/>
                <w:bCs w:val="0"/>
                <w:color w:val="auto"/>
                <w:sz w:val="24"/>
                <w:szCs w:val="24"/>
                <w:lang w:val="en-US" w:eastAsia="zh-CN"/>
              </w:rPr>
              <w:t>，属于</w:t>
            </w:r>
            <w:r>
              <w:rPr>
                <w:rFonts w:hint="default" w:ascii="Times New Roman" w:hAnsi="Times New Roman" w:eastAsia="宋体" w:cs="Times New Roman"/>
                <w:color w:val="auto"/>
                <w:sz w:val="24"/>
                <w:szCs w:val="24"/>
              </w:rPr>
              <w:t>一般固体废物，属于《一般固体废物分类与代码》（GB</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T39198-2020）</w:t>
            </w:r>
            <w:r>
              <w:rPr>
                <w:rFonts w:hint="default" w:ascii="Times New Roman" w:hAnsi="Times New Roman" w:eastAsia="宋体" w:cs="Times New Roman"/>
                <w:color w:val="auto"/>
                <w:sz w:val="24"/>
                <w:szCs w:val="24"/>
                <w:lang w:val="en-US" w:eastAsia="zh-CN"/>
              </w:rPr>
              <w:t>废弃资源中的废有色金属，代码为384-001-10，收集后交由专业回收公司回收。</w:t>
            </w:r>
          </w:p>
          <w:p>
            <w:pPr>
              <w:tabs>
                <w:tab w:val="left" w:pos="297"/>
              </w:tabs>
              <w:spacing w:line="360" w:lineRule="auto"/>
              <w:ind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rPr>
              <w:t>②</w:t>
            </w:r>
            <w:r>
              <w:rPr>
                <w:rFonts w:hint="default" w:ascii="Times New Roman" w:hAnsi="Times New Roman" w:cs="Times New Roman"/>
                <w:b/>
                <w:bCs/>
                <w:color w:val="auto"/>
                <w:sz w:val="24"/>
                <w:szCs w:val="24"/>
                <w:lang w:val="en-US" w:eastAsia="zh-CN"/>
              </w:rPr>
              <w:t>分条边角料</w:t>
            </w:r>
          </w:p>
          <w:p>
            <w:pPr>
              <w:tabs>
                <w:tab w:val="left" w:pos="297"/>
              </w:tabs>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项目分条工序会产生边角料，产生量约为</w:t>
            </w:r>
            <w:r>
              <w:rPr>
                <w:rFonts w:hint="default" w:ascii="Times New Roman" w:hAnsi="Times New Roman" w:cs="Times New Roman"/>
                <w:color w:val="auto"/>
                <w:sz w:val="24"/>
                <w:szCs w:val="24"/>
                <w:lang w:val="en-US" w:eastAsia="zh-CN"/>
              </w:rPr>
              <w:t>极片（铝箔与铜箔）量</w:t>
            </w:r>
            <w:r>
              <w:rPr>
                <w:rFonts w:hint="default" w:ascii="Times New Roman" w:hAnsi="Times New Roman" w:cs="Times New Roman"/>
                <w:color w:val="auto"/>
                <w:sz w:val="24"/>
                <w:szCs w:val="24"/>
                <w:lang w:val="en-US" w:eastAsia="zh-CN"/>
              </w:rPr>
              <w:t>的1%，即</w:t>
            </w:r>
            <w:r>
              <w:rPr>
                <w:rFonts w:hint="default" w:ascii="Times New Roman" w:hAnsi="Times New Roman" w:cs="Times New Roman"/>
                <w:color w:val="auto"/>
                <w:sz w:val="24"/>
                <w:szCs w:val="24"/>
                <w:lang w:val="en-US" w:eastAsia="zh-CN"/>
              </w:rPr>
              <w:t>0.3</w:t>
            </w:r>
            <w:r>
              <w:rPr>
                <w:rFonts w:hint="default" w:ascii="Times New Roman" w:hAnsi="Times New Roman" w:eastAsia="宋体" w:cs="Times New Roman"/>
                <w:b w:val="0"/>
                <w:bCs w:val="0"/>
                <w:color w:val="auto"/>
                <w:sz w:val="24"/>
                <w:szCs w:val="24"/>
                <w:lang w:val="en-US" w:eastAsia="zh-CN"/>
              </w:rPr>
              <w:t>t/a</w:t>
            </w:r>
            <w:r>
              <w:rPr>
                <w:rFonts w:hint="default" w:ascii="Times New Roman" w:hAnsi="Times New Roman" w:eastAsia="宋体" w:cs="Times New Roman"/>
                <w:b w:val="0"/>
                <w:bCs w:val="0"/>
                <w:color w:val="auto"/>
                <w:sz w:val="24"/>
                <w:szCs w:val="24"/>
                <w:lang w:val="en-US" w:eastAsia="zh-CN"/>
              </w:rPr>
              <w:t>，属于</w:t>
            </w:r>
            <w:r>
              <w:rPr>
                <w:rFonts w:hint="default" w:ascii="Times New Roman" w:hAnsi="Times New Roman" w:eastAsia="宋体" w:cs="Times New Roman"/>
                <w:color w:val="auto"/>
                <w:sz w:val="24"/>
                <w:szCs w:val="24"/>
              </w:rPr>
              <w:t>一般固体废物，</w:t>
            </w:r>
            <w:r>
              <w:rPr>
                <w:rFonts w:hint="default" w:ascii="Times New Roman" w:hAnsi="Times New Roman" w:eastAsia="宋体" w:cs="Times New Roman"/>
                <w:color w:val="auto"/>
                <w:sz w:val="24"/>
                <w:szCs w:val="24"/>
                <w:lang w:val="en-US" w:eastAsia="zh-CN"/>
              </w:rPr>
              <w:t>属于</w:t>
            </w:r>
            <w:r>
              <w:rPr>
                <w:rFonts w:hint="default" w:ascii="Times New Roman" w:hAnsi="Times New Roman" w:cs="Times New Roman"/>
                <w:color w:val="auto"/>
                <w:sz w:val="24"/>
                <w:szCs w:val="24"/>
              </w:rPr>
              <w:t>《一般固体废物分类与代码》（GB/T39198-2020）</w:t>
            </w:r>
            <w:r>
              <w:rPr>
                <w:rFonts w:hint="default" w:ascii="Times New Roman" w:hAnsi="Times New Roman" w:eastAsia="宋体" w:cs="Times New Roman"/>
                <w:color w:val="auto"/>
                <w:sz w:val="24"/>
                <w:szCs w:val="24"/>
                <w:lang w:val="en-US" w:eastAsia="zh-CN"/>
              </w:rPr>
              <w:t>废弃资源中的废有色金属</w:t>
            </w:r>
            <w:r>
              <w:rPr>
                <w:rFonts w:hint="default" w:ascii="Times New Roman" w:hAnsi="Times New Roman" w:cs="Times New Roman"/>
                <w:color w:val="auto"/>
                <w:sz w:val="24"/>
                <w:szCs w:val="24"/>
              </w:rPr>
              <w:t>，代码为</w:t>
            </w:r>
            <w:r>
              <w:rPr>
                <w:rFonts w:hint="default" w:ascii="Times New Roman" w:hAnsi="Times New Roman" w:cs="Times New Roman"/>
                <w:color w:val="auto"/>
                <w:sz w:val="24"/>
                <w:szCs w:val="24"/>
                <w:lang w:val="en-US" w:eastAsia="zh-CN"/>
              </w:rPr>
              <w:t>384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001</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10</w:t>
            </w:r>
            <w:r>
              <w:rPr>
                <w:rFonts w:hint="default" w:ascii="Times New Roman" w:hAnsi="Times New Roman" w:cs="Times New Roman"/>
                <w:color w:val="auto"/>
                <w:sz w:val="24"/>
                <w:szCs w:val="24"/>
              </w:rPr>
              <w:t>，收集后交由专业回收公司回收。</w:t>
            </w:r>
          </w:p>
          <w:p>
            <w:pPr>
              <w:tabs>
                <w:tab w:val="left" w:pos="297"/>
              </w:tabs>
              <w:spacing w:line="360" w:lineRule="auto"/>
              <w:ind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rPr>
              <w:t>③</w:t>
            </w:r>
            <w:r>
              <w:rPr>
                <w:rFonts w:hint="default" w:ascii="Times New Roman" w:hAnsi="Times New Roman" w:cs="Times New Roman"/>
                <w:b/>
                <w:bCs/>
                <w:color w:val="auto"/>
                <w:sz w:val="24"/>
                <w:szCs w:val="24"/>
                <w:lang w:val="en-US" w:eastAsia="zh-CN"/>
              </w:rPr>
              <w:t>废隔膜纸</w:t>
            </w:r>
          </w:p>
          <w:p>
            <w:pPr>
              <w:tabs>
                <w:tab w:val="left" w:pos="297"/>
              </w:tabs>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w:t>
            </w:r>
            <w:r>
              <w:rPr>
                <w:rFonts w:hint="default" w:ascii="Times New Roman" w:hAnsi="Times New Roman" w:cs="Times New Roman"/>
                <w:color w:val="auto"/>
                <w:sz w:val="24"/>
                <w:szCs w:val="24"/>
                <w:lang w:val="en-US" w:eastAsia="zh-CN"/>
              </w:rPr>
              <w:t>卷绕工序会产生</w:t>
            </w:r>
            <w:r>
              <w:rPr>
                <w:rFonts w:hint="default" w:ascii="Times New Roman" w:hAnsi="Times New Roman" w:cs="Times New Roman"/>
                <w:color w:val="auto"/>
                <w:sz w:val="24"/>
                <w:szCs w:val="24"/>
              </w:rPr>
              <w:t>废</w:t>
            </w:r>
            <w:r>
              <w:rPr>
                <w:rFonts w:hint="default" w:ascii="Times New Roman" w:hAnsi="Times New Roman" w:cs="Times New Roman"/>
                <w:color w:val="auto"/>
                <w:sz w:val="24"/>
                <w:szCs w:val="24"/>
                <w:lang w:val="en-US" w:eastAsia="zh-CN"/>
              </w:rPr>
              <w:t>隔膜纸</w:t>
            </w:r>
            <w:r>
              <w:rPr>
                <w:rFonts w:hint="default" w:ascii="Times New Roman" w:hAnsi="Times New Roman" w:cs="Times New Roman"/>
                <w:color w:val="auto"/>
                <w:sz w:val="24"/>
                <w:szCs w:val="24"/>
              </w:rPr>
              <w:t>，根据建设单位提供的资料，废</w:t>
            </w:r>
            <w:r>
              <w:rPr>
                <w:rFonts w:hint="default" w:ascii="Times New Roman" w:hAnsi="Times New Roman" w:cs="Times New Roman"/>
                <w:color w:val="auto"/>
                <w:sz w:val="24"/>
                <w:szCs w:val="24"/>
                <w:lang w:val="en-US" w:eastAsia="zh-CN"/>
              </w:rPr>
              <w:t>隔膜纸的</w:t>
            </w:r>
            <w:r>
              <w:rPr>
                <w:rFonts w:hint="default" w:ascii="Times New Roman" w:hAnsi="Times New Roman" w:cs="Times New Roman"/>
                <w:color w:val="auto"/>
                <w:sz w:val="24"/>
                <w:szCs w:val="24"/>
              </w:rPr>
              <w:t>产生量约为</w:t>
            </w:r>
            <w:r>
              <w:rPr>
                <w:rFonts w:hint="default" w:ascii="Times New Roman" w:hAnsi="Times New Roman" w:cs="Times New Roman"/>
                <w:color w:val="auto"/>
                <w:sz w:val="24"/>
                <w:szCs w:val="24"/>
                <w:lang w:val="en-US" w:eastAsia="zh-CN"/>
              </w:rPr>
              <w:t>0.2</w:t>
            </w:r>
            <w:r>
              <w:rPr>
                <w:rFonts w:hint="default" w:ascii="Times New Roman" w:hAnsi="Times New Roman" w:cs="Times New Roman"/>
                <w:color w:val="auto"/>
                <w:sz w:val="24"/>
                <w:szCs w:val="24"/>
              </w:rPr>
              <w:t>t/a，根据《一般固体废物分类与代码》（GB/T39198-2020）中规定要求，废</w:t>
            </w:r>
            <w:r>
              <w:rPr>
                <w:rFonts w:hint="default" w:ascii="Times New Roman" w:hAnsi="Times New Roman" w:cs="Times New Roman"/>
                <w:color w:val="auto"/>
                <w:sz w:val="24"/>
                <w:szCs w:val="24"/>
                <w:lang w:val="en-US" w:eastAsia="zh-CN"/>
              </w:rPr>
              <w:t>隔膜纸</w:t>
            </w:r>
            <w:r>
              <w:rPr>
                <w:rFonts w:hint="default" w:ascii="Times New Roman" w:hAnsi="Times New Roman" w:cs="Times New Roman"/>
                <w:color w:val="auto"/>
                <w:sz w:val="24"/>
                <w:szCs w:val="24"/>
              </w:rPr>
              <w:t>属于非特定行业生产过程中产生的其他废物，代码为900-999-99，收集后交由专业回收公司回收。</w:t>
            </w:r>
          </w:p>
          <w:p>
            <w:pPr>
              <w:tabs>
                <w:tab w:val="left" w:pos="297"/>
              </w:tabs>
              <w:spacing w:line="360" w:lineRule="auto"/>
              <w:ind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④</w:t>
            </w:r>
            <w:r>
              <w:rPr>
                <w:rFonts w:hint="default" w:ascii="Times New Roman" w:hAnsi="Times New Roman" w:cs="Times New Roman"/>
                <w:b/>
                <w:bCs/>
                <w:color w:val="auto"/>
                <w:sz w:val="24"/>
                <w:szCs w:val="24"/>
                <w:lang w:val="en-US" w:eastAsia="zh-CN"/>
              </w:rPr>
              <w:t>废铝塑膜</w:t>
            </w:r>
          </w:p>
          <w:p>
            <w:pPr>
              <w:tabs>
                <w:tab w:val="left" w:pos="297"/>
              </w:tabs>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w:t>
            </w:r>
            <w:r>
              <w:rPr>
                <w:rFonts w:hint="default" w:ascii="Times New Roman" w:hAnsi="Times New Roman" w:cs="Times New Roman"/>
                <w:color w:val="auto"/>
                <w:sz w:val="24"/>
                <w:szCs w:val="24"/>
                <w:lang w:val="en-US" w:eastAsia="zh-CN"/>
              </w:rPr>
              <w:t>冲壳、组装工序会产生</w:t>
            </w:r>
            <w:r>
              <w:rPr>
                <w:rFonts w:hint="default" w:ascii="Times New Roman" w:hAnsi="Times New Roman" w:cs="Times New Roman"/>
                <w:color w:val="auto"/>
                <w:sz w:val="24"/>
                <w:szCs w:val="24"/>
              </w:rPr>
              <w:t>废</w:t>
            </w:r>
            <w:r>
              <w:rPr>
                <w:rFonts w:hint="default" w:ascii="Times New Roman" w:hAnsi="Times New Roman" w:cs="Times New Roman"/>
                <w:color w:val="auto"/>
                <w:sz w:val="24"/>
                <w:szCs w:val="24"/>
                <w:lang w:val="en-US" w:eastAsia="zh-CN"/>
              </w:rPr>
              <w:t>铝塑膜</w:t>
            </w:r>
            <w:r>
              <w:rPr>
                <w:rFonts w:hint="default" w:ascii="Times New Roman" w:hAnsi="Times New Roman" w:cs="Times New Roman"/>
                <w:color w:val="auto"/>
                <w:sz w:val="24"/>
                <w:szCs w:val="24"/>
              </w:rPr>
              <w:t>，根据建设单位提供的资料，废</w:t>
            </w:r>
            <w:r>
              <w:rPr>
                <w:rFonts w:hint="default" w:ascii="Times New Roman" w:hAnsi="Times New Roman" w:cs="Times New Roman"/>
                <w:color w:val="auto"/>
                <w:sz w:val="24"/>
                <w:szCs w:val="24"/>
                <w:lang w:val="en-US" w:eastAsia="zh-CN"/>
              </w:rPr>
              <w:t>铝塑膜</w:t>
            </w:r>
            <w:r>
              <w:rPr>
                <w:rFonts w:hint="default" w:ascii="Times New Roman" w:hAnsi="Times New Roman" w:cs="Times New Roman"/>
                <w:color w:val="auto"/>
                <w:sz w:val="24"/>
                <w:szCs w:val="24"/>
              </w:rPr>
              <w:t>产生量约为</w:t>
            </w:r>
            <w:r>
              <w:rPr>
                <w:rFonts w:hint="default" w:ascii="Times New Roman" w:hAnsi="Times New Roman" w:cs="Times New Roman"/>
                <w:color w:val="auto"/>
                <w:sz w:val="24"/>
                <w:szCs w:val="24"/>
                <w:lang w:val="en-US" w:eastAsia="zh-CN"/>
              </w:rPr>
              <w:t>0.2</w:t>
            </w:r>
            <w:r>
              <w:rPr>
                <w:rFonts w:hint="default" w:ascii="Times New Roman" w:hAnsi="Times New Roman" w:cs="Times New Roman"/>
                <w:color w:val="auto"/>
                <w:sz w:val="24"/>
                <w:szCs w:val="24"/>
              </w:rPr>
              <w:t>t/</w:t>
            </w:r>
            <w:r>
              <w:rPr>
                <w:rFonts w:hint="default" w:ascii="Times New Roman" w:hAnsi="Times New Roman" w:cs="Times New Roman"/>
                <w:color w:val="auto"/>
                <w:sz w:val="24"/>
                <w:szCs w:val="24"/>
              </w:rPr>
              <w:t>a，根据《一般固体废物分类与代码》（GB/T39198-2020）中规定要求，废</w:t>
            </w:r>
            <w:r>
              <w:rPr>
                <w:rFonts w:hint="default" w:ascii="Times New Roman" w:hAnsi="Times New Roman" w:cs="Times New Roman"/>
                <w:color w:val="auto"/>
                <w:sz w:val="24"/>
                <w:szCs w:val="24"/>
                <w:lang w:val="en-US" w:eastAsia="zh-CN"/>
              </w:rPr>
              <w:t>铝塑膜</w:t>
            </w:r>
            <w:r>
              <w:rPr>
                <w:rFonts w:hint="default" w:ascii="Times New Roman" w:hAnsi="Times New Roman" w:cs="Times New Roman"/>
                <w:color w:val="auto"/>
                <w:sz w:val="24"/>
                <w:szCs w:val="24"/>
              </w:rPr>
              <w:t>属于非特定行业生产过程中产生的其他废物，代码为900-999-99，收集后交由专业回收公司回收。</w:t>
            </w:r>
          </w:p>
          <w:p>
            <w:pPr>
              <w:tabs>
                <w:tab w:val="left" w:pos="297"/>
              </w:tabs>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eastAsia="宋体" w:cs="Times New Roman"/>
                <w:b/>
                <w:bCs/>
                <w:color w:val="auto"/>
                <w:sz w:val="24"/>
                <w:szCs w:val="24"/>
              </w:rPr>
              <w:t>⑤</w:t>
            </w:r>
            <w:r>
              <w:rPr>
                <w:rFonts w:hint="default" w:ascii="Times New Roman" w:hAnsi="Times New Roman" w:cs="Times New Roman"/>
                <w:b/>
                <w:bCs/>
                <w:color w:val="auto"/>
                <w:sz w:val="24"/>
                <w:szCs w:val="24"/>
              </w:rPr>
              <w:t>废包装材料</w:t>
            </w:r>
          </w:p>
          <w:p>
            <w:pPr>
              <w:tabs>
                <w:tab w:val="left" w:pos="297"/>
              </w:tabs>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w:t>
            </w:r>
            <w:r>
              <w:rPr>
                <w:rFonts w:hint="default" w:ascii="Times New Roman" w:hAnsi="Times New Roman" w:cs="Times New Roman"/>
                <w:color w:val="auto"/>
                <w:sz w:val="24"/>
                <w:szCs w:val="24"/>
                <w:lang w:val="en-US" w:eastAsia="zh-CN"/>
              </w:rPr>
              <w:t>成品包装过程中会产生</w:t>
            </w:r>
            <w:r>
              <w:rPr>
                <w:rFonts w:hint="default" w:ascii="Times New Roman" w:hAnsi="Times New Roman" w:cs="Times New Roman"/>
                <w:color w:val="auto"/>
                <w:sz w:val="24"/>
                <w:szCs w:val="24"/>
              </w:rPr>
              <w:t>废包装材料，根据建设单位提供的资料，废包装物产生量约为</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rPr>
              <w:t>t/a，根据《一般固体废物分类与代码》（GB/T39198-2020）中规定要求，废包装材料属于非特定行业生产过程中产生的其他废物，代码为</w:t>
            </w:r>
            <w:r>
              <w:rPr>
                <w:rFonts w:hint="default" w:ascii="Times New Roman" w:hAnsi="Times New Roman" w:cs="Times New Roman"/>
                <w:color w:val="auto"/>
                <w:sz w:val="24"/>
                <w:szCs w:val="24"/>
                <w:lang w:val="en-US" w:eastAsia="zh-CN"/>
              </w:rPr>
              <w:t>384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001</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07</w:t>
            </w:r>
            <w:r>
              <w:rPr>
                <w:rFonts w:hint="default" w:ascii="Times New Roman" w:hAnsi="Times New Roman" w:cs="Times New Roman"/>
                <w:color w:val="auto"/>
                <w:sz w:val="24"/>
                <w:szCs w:val="24"/>
              </w:rPr>
              <w:t>，收集后交由专业回收公司回收。</w:t>
            </w:r>
          </w:p>
          <w:p>
            <w:pPr>
              <w:spacing w:line="360" w:lineRule="auto"/>
              <w:ind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⑥</w:t>
            </w:r>
            <w:r>
              <w:rPr>
                <w:rFonts w:hint="default" w:ascii="Times New Roman" w:hAnsi="Times New Roman" w:cs="Times New Roman"/>
                <w:b/>
                <w:bCs/>
                <w:color w:val="auto"/>
                <w:sz w:val="24"/>
                <w:szCs w:val="24"/>
                <w:lang w:val="en-US" w:eastAsia="zh-CN"/>
              </w:rPr>
              <w:t>废电池</w:t>
            </w:r>
          </w:p>
          <w:p>
            <w:pPr>
              <w:spacing w:line="360" w:lineRule="auto"/>
              <w:ind w:firstLine="480" w:firstLineChars="200"/>
              <w:rPr>
                <w:rFonts w:hint="default" w:ascii="Times New Roman" w:hAnsi="Times New Roman"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w:t>
            </w:r>
            <w:r>
              <w:rPr>
                <w:rFonts w:hint="default" w:ascii="Times New Roman" w:hAnsi="Times New Roman" w:cs="Times New Roman"/>
                <w:color w:val="auto"/>
                <w:sz w:val="24"/>
                <w:highlight w:val="none"/>
              </w:rPr>
              <w:t>生态环境部《排放源统计调查产排污核算方法和系数手册》中“</w:t>
            </w:r>
            <w:r>
              <w:rPr>
                <w:rFonts w:hint="default" w:ascii="Times New Roman" w:hAnsi="Times New Roman" w:cs="Times New Roman"/>
                <w:color w:val="auto"/>
                <w:sz w:val="24"/>
                <w:highlight w:val="none"/>
                <w:lang w:val="en-US" w:eastAsia="zh-CN"/>
              </w:rPr>
              <w:t>384电池制造行业系数</w:t>
            </w:r>
            <w:r>
              <w:rPr>
                <w:rFonts w:hint="default" w:ascii="Times New Roman" w:hAnsi="Times New Roman" w:cs="Times New Roman"/>
                <w:color w:val="auto"/>
                <w:sz w:val="24"/>
                <w:highlight w:val="none"/>
              </w:rPr>
              <w:t>手册”-“</w:t>
            </w:r>
            <w:r>
              <w:rPr>
                <w:rFonts w:hint="default" w:ascii="Times New Roman" w:hAnsi="Times New Roman" w:cs="Times New Roman"/>
                <w:color w:val="auto"/>
                <w:sz w:val="24"/>
                <w:highlight w:val="none"/>
                <w:lang w:val="en-US" w:eastAsia="zh-CN"/>
              </w:rPr>
              <w:t>3841锂离子电池制造行业系数表</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锂离子电池单体</w:t>
            </w:r>
            <w:r>
              <w:rPr>
                <w:rFonts w:hint="eastAsia" w:ascii="Times New Roman" w:hAnsi="Times New Roman" w:cs="Times New Roman"/>
                <w:color w:val="auto"/>
                <w:sz w:val="24"/>
                <w:highlight w:val="none"/>
                <w:lang w:val="en-US" w:eastAsia="zh-CN"/>
              </w:rPr>
              <w:t>的软包</w:t>
            </w:r>
            <w:r>
              <w:rPr>
                <w:rFonts w:hint="default" w:ascii="Times New Roman" w:hAnsi="Times New Roman" w:cs="Times New Roman"/>
                <w:color w:val="auto"/>
                <w:sz w:val="24"/>
                <w:highlight w:val="none"/>
              </w:rPr>
              <w:t>”中</w:t>
            </w:r>
            <w:r>
              <w:rPr>
                <w:rFonts w:hint="default" w:ascii="Times New Roman" w:hAnsi="Times New Roman" w:cs="Times New Roman"/>
                <w:color w:val="auto"/>
                <w:sz w:val="24"/>
                <w:highlight w:val="none"/>
                <w:lang w:val="en-US" w:eastAsia="zh-CN"/>
              </w:rPr>
              <w:t>废电池的产污系数为</w:t>
            </w:r>
            <w:r>
              <w:rPr>
                <w:rFonts w:hint="eastAsia" w:ascii="Times New Roman" w:hAnsi="Times New Roman" w:cs="Times New Roman"/>
                <w:color w:val="auto"/>
                <w:sz w:val="24"/>
                <w:highlight w:val="none"/>
                <w:lang w:val="en-US" w:eastAsia="zh-CN"/>
              </w:rPr>
              <w:t>1.99</w:t>
            </w:r>
            <w:r>
              <w:rPr>
                <w:rFonts w:hint="default" w:ascii="Times New Roman" w:hAnsi="Times New Roman" w:cs="Times New Roman"/>
                <w:color w:val="auto"/>
                <w:sz w:val="24"/>
                <w:highlight w:val="none"/>
                <w:lang w:val="en-US" w:eastAsia="zh-CN"/>
              </w:rPr>
              <w:t>×10</w:t>
            </w:r>
            <w:r>
              <w:rPr>
                <w:rFonts w:hint="default" w:ascii="Times New Roman" w:hAnsi="Times New Roman" w:cs="Times New Roman"/>
                <w:color w:val="auto"/>
                <w:sz w:val="24"/>
                <w:highlight w:val="none"/>
                <w:vertAlign w:val="superscript"/>
                <w:lang w:val="en-US" w:eastAsia="zh-CN"/>
              </w:rPr>
              <w:t>2</w:t>
            </w:r>
            <w:r>
              <w:rPr>
                <w:rFonts w:hint="default" w:ascii="Times New Roman" w:hAnsi="Times New Roman" w:cs="Times New Roman"/>
                <w:color w:val="auto"/>
                <w:sz w:val="24"/>
                <w:highlight w:val="none"/>
                <w:lang w:val="en-US" w:eastAsia="zh-CN"/>
              </w:rPr>
              <w:t>克/-千瓦时-产品，故项目废电池的产生量4.</w:t>
            </w:r>
            <w:r>
              <w:rPr>
                <w:rFonts w:hint="eastAsia" w:ascii="Times New Roman" w:hAnsi="Times New Roman" w:cs="Times New Roman"/>
                <w:color w:val="auto"/>
                <w:sz w:val="24"/>
                <w:highlight w:val="none"/>
                <w:lang w:val="en-US" w:eastAsia="zh-CN"/>
              </w:rPr>
              <w:t>378</w:t>
            </w:r>
            <w:r>
              <w:rPr>
                <w:rFonts w:hint="default" w:ascii="Times New Roman" w:hAnsi="Times New Roman" w:cs="Times New Roman"/>
                <w:color w:val="auto"/>
                <w:sz w:val="24"/>
                <w:highlight w:val="none"/>
                <w:lang w:val="en-US" w:eastAsia="zh-CN"/>
              </w:rPr>
              <w:t>t/a。</w:t>
            </w:r>
            <w:r>
              <w:rPr>
                <w:rFonts w:hint="default" w:ascii="Times New Roman" w:hAnsi="Times New Roman" w:cs="Times New Roman"/>
                <w:color w:val="auto"/>
                <w:sz w:val="24"/>
              </w:rPr>
              <w:t>据《废电池污染防治技术政策》（环发〔2003〕163号）和《国家危险废物名录》（2021年版）的规定，废电池不属于危险废物</w:t>
            </w:r>
            <w:r>
              <w:rPr>
                <w:rFonts w:hint="default" w:ascii="Times New Roman" w:hAnsi="Times New Roman" w:cs="Times New Roman"/>
                <w:color w:val="auto"/>
                <w:sz w:val="24"/>
                <w:lang w:eastAsia="zh-CN"/>
              </w:rPr>
              <w:t>；</w:t>
            </w:r>
            <w:r>
              <w:rPr>
                <w:rFonts w:hint="default" w:ascii="Times New Roman" w:hAnsi="Times New Roman" w:cs="Times New Roman"/>
                <w:color w:val="auto"/>
                <w:sz w:val="24"/>
                <w:szCs w:val="24"/>
              </w:rPr>
              <w:t>根据《一般固体废物分类与代码》（GB/T39198-2020）中规定要求，废</w:t>
            </w:r>
            <w:r>
              <w:rPr>
                <w:rFonts w:hint="default" w:ascii="Times New Roman" w:hAnsi="Times New Roman" w:cs="Times New Roman"/>
                <w:color w:val="auto"/>
                <w:sz w:val="24"/>
                <w:szCs w:val="24"/>
                <w:lang w:val="en-US" w:eastAsia="zh-CN"/>
              </w:rPr>
              <w:t>锂离子电池</w:t>
            </w:r>
            <w:r>
              <w:rPr>
                <w:rFonts w:hint="default" w:ascii="Times New Roman" w:hAnsi="Times New Roman" w:cs="Times New Roman"/>
                <w:color w:val="auto"/>
                <w:sz w:val="24"/>
                <w:szCs w:val="24"/>
              </w:rPr>
              <w:t>属于</w:t>
            </w:r>
            <w:r>
              <w:rPr>
                <w:rFonts w:hint="default" w:ascii="Times New Roman" w:hAnsi="Times New Roman" w:cs="Times New Roman"/>
                <w:color w:val="auto"/>
                <w:sz w:val="24"/>
                <w:szCs w:val="24"/>
                <w:lang w:val="en-US" w:eastAsia="zh-CN"/>
              </w:rPr>
              <w:t>废弃资源中的废电池</w:t>
            </w:r>
            <w:r>
              <w:rPr>
                <w:rFonts w:hint="default" w:ascii="Times New Roman" w:hAnsi="Times New Roman" w:cs="Times New Roman"/>
                <w:color w:val="auto"/>
                <w:sz w:val="24"/>
                <w:szCs w:val="24"/>
              </w:rPr>
              <w:t>，代码为</w:t>
            </w:r>
            <w:r>
              <w:rPr>
                <w:rFonts w:hint="default" w:ascii="Times New Roman" w:hAnsi="Times New Roman" w:cs="Times New Roman"/>
                <w:color w:val="auto"/>
                <w:sz w:val="24"/>
                <w:szCs w:val="24"/>
                <w:lang w:val="en-US" w:eastAsia="zh-CN"/>
              </w:rPr>
              <w:t>384</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001</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14</w:t>
            </w:r>
            <w:r>
              <w:rPr>
                <w:rFonts w:hint="default" w:ascii="Times New Roman" w:hAnsi="Times New Roman" w:cs="Times New Roman"/>
                <w:color w:val="auto"/>
                <w:sz w:val="24"/>
                <w:szCs w:val="24"/>
              </w:rPr>
              <w:t>，</w:t>
            </w:r>
            <w:r>
              <w:rPr>
                <w:rFonts w:hint="default" w:ascii="Times New Roman" w:hAnsi="Times New Roman" w:cs="Times New Roman"/>
                <w:color w:val="auto"/>
                <w:sz w:val="24"/>
              </w:rPr>
              <w:t>经分类收集交由专业的回收公司回收。</w:t>
            </w:r>
          </w:p>
          <w:p>
            <w:pPr>
              <w:tabs>
                <w:tab w:val="left" w:pos="297"/>
              </w:tabs>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（3）危险废物</w:t>
            </w:r>
          </w:p>
          <w:p>
            <w:pPr>
              <w:keepNext w:val="0"/>
              <w:keepLines w:val="0"/>
              <w:pageBreakBefore w:val="0"/>
              <w:widowControl w:val="0"/>
              <w:kinsoku/>
              <w:wordWrap/>
              <w:overflowPunct/>
              <w:topLinePunct w:val="0"/>
              <w:autoSpaceDE/>
              <w:autoSpaceDN/>
              <w:bidi w:val="0"/>
              <w:spacing w:line="360" w:lineRule="auto"/>
              <w:ind w:firstLine="482" w:firstLineChars="200"/>
              <w:textAlignment w:val="auto"/>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rPr>
              <w:t>①</w:t>
            </w:r>
            <w:r>
              <w:rPr>
                <w:rFonts w:hint="default" w:ascii="Times New Roman" w:hAnsi="Times New Roman" w:cs="Times New Roman"/>
                <w:b/>
                <w:bCs/>
                <w:color w:val="auto"/>
                <w:sz w:val="24"/>
                <w:szCs w:val="24"/>
                <w:lang w:val="en-US" w:eastAsia="zh-CN"/>
              </w:rPr>
              <w:t>废包装桶/袋</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default" w:ascii="Times New Roman" w:hAnsi="Times New Roman" w:cs="Times New Roman"/>
                <w:color w:val="auto"/>
                <w:szCs w:val="21"/>
              </w:rPr>
            </w:pPr>
            <w:r>
              <w:rPr>
                <w:rFonts w:hint="default" w:ascii="Times New Roman" w:hAnsi="Times New Roman" w:cs="Times New Roman"/>
                <w:color w:val="auto"/>
                <w:sz w:val="24"/>
                <w:szCs w:val="24"/>
                <w:lang w:val="en-US" w:eastAsia="zh-CN"/>
              </w:rPr>
              <w:t>项目原辅材料包装桶/袋产生的废包装桶/袋约为2t/a，</w:t>
            </w:r>
            <w:r>
              <w:rPr>
                <w:rFonts w:hint="default" w:ascii="Times New Roman" w:hAnsi="Times New Roman" w:cs="Times New Roman"/>
                <w:color w:val="auto"/>
                <w:sz w:val="24"/>
                <w:szCs w:val="24"/>
              </w:rPr>
              <w:t>属于《国家危险废物名录（2021年版）》中“HW49其他废物/非特定行业/900-041-49/含有或沾染毒性、感染性危险废物的废弃包装物、容器、过滤吸附介质”，</w:t>
            </w:r>
            <w:r>
              <w:rPr>
                <w:rFonts w:hint="default" w:ascii="Times New Roman" w:hAnsi="Times New Roman" w:cs="Times New Roman"/>
                <w:color w:val="auto"/>
                <w:sz w:val="24"/>
                <w:szCs w:val="24"/>
                <w:lang w:val="en-US" w:eastAsia="zh-CN"/>
              </w:rPr>
              <w:t>分类收集后</w:t>
            </w:r>
            <w:r>
              <w:rPr>
                <w:rFonts w:hint="default" w:ascii="Times New Roman" w:hAnsi="Times New Roman" w:cs="Times New Roman"/>
                <w:color w:val="auto"/>
                <w:kern w:val="0"/>
                <w:sz w:val="24"/>
                <w:szCs w:val="24"/>
              </w:rPr>
              <w:t>暂存在危险废物仓库内，</w:t>
            </w:r>
            <w:r>
              <w:rPr>
                <w:rFonts w:hint="default" w:ascii="Times New Roman" w:hAnsi="Times New Roman" w:cs="Times New Roman"/>
                <w:color w:val="auto"/>
                <w:sz w:val="24"/>
                <w:szCs w:val="24"/>
              </w:rPr>
              <w:t>定期收集后交由有</w:t>
            </w:r>
            <w:r>
              <w:rPr>
                <w:rFonts w:hint="default" w:ascii="Times New Roman" w:hAnsi="Times New Roman" w:cs="Times New Roman"/>
                <w:color w:val="auto"/>
                <w:sz w:val="24"/>
                <w:szCs w:val="24"/>
                <w:lang w:val="en-US" w:eastAsia="zh-CN"/>
              </w:rPr>
              <w:t>危险废物</w:t>
            </w:r>
            <w:r>
              <w:rPr>
                <w:rFonts w:hint="default" w:ascii="Times New Roman" w:hAnsi="Times New Roman" w:cs="Times New Roman"/>
                <w:color w:val="auto"/>
                <w:sz w:val="24"/>
                <w:szCs w:val="24"/>
              </w:rPr>
              <w:t>资质的单位回收处理。</w:t>
            </w:r>
          </w:p>
          <w:p>
            <w:pPr>
              <w:tabs>
                <w:tab w:val="left" w:pos="297"/>
              </w:tabs>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②</w:t>
            </w:r>
            <w:r>
              <w:rPr>
                <w:rFonts w:hint="default" w:ascii="Times New Roman" w:hAnsi="Times New Roman" w:cs="Times New Roman"/>
                <w:b/>
                <w:bCs/>
                <w:color w:val="auto"/>
                <w:sz w:val="24"/>
                <w:szCs w:val="24"/>
                <w:lang w:val="en-US" w:eastAsia="zh-CN"/>
              </w:rPr>
              <w:t>废</w:t>
            </w:r>
            <w:r>
              <w:rPr>
                <w:rFonts w:hint="default" w:ascii="Times New Roman" w:hAnsi="Times New Roman" w:cs="Times New Roman"/>
                <w:b/>
                <w:bCs/>
                <w:color w:val="auto"/>
                <w:sz w:val="24"/>
                <w:szCs w:val="24"/>
              </w:rPr>
              <w:t>抹布</w:t>
            </w:r>
          </w:p>
          <w:p>
            <w:pPr>
              <w:tabs>
                <w:tab w:val="left" w:pos="297"/>
              </w:tabs>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项目在设备</w:t>
            </w:r>
            <w:r>
              <w:rPr>
                <w:rFonts w:hint="default" w:ascii="Times New Roman" w:hAnsi="Times New Roman" w:cs="Times New Roman"/>
                <w:color w:val="auto"/>
                <w:sz w:val="24"/>
                <w:szCs w:val="24"/>
                <w:lang w:val="en-US" w:eastAsia="zh-CN"/>
              </w:rPr>
              <w:t>操作</w:t>
            </w:r>
            <w:r>
              <w:rPr>
                <w:rFonts w:hint="default" w:ascii="Times New Roman" w:hAnsi="Times New Roman" w:cs="Times New Roman"/>
                <w:color w:val="auto"/>
                <w:sz w:val="24"/>
                <w:szCs w:val="24"/>
              </w:rPr>
              <w:t>过程中</w:t>
            </w:r>
            <w:r>
              <w:rPr>
                <w:rFonts w:hint="default" w:ascii="Times New Roman" w:hAnsi="Times New Roman" w:cs="Times New Roman"/>
                <w:color w:val="auto"/>
                <w:sz w:val="24"/>
                <w:szCs w:val="24"/>
                <w:lang w:bidi="ar"/>
              </w:rPr>
              <w:t>使用抹布擦拭清洁设备，将产生少量的</w:t>
            </w:r>
            <w:r>
              <w:rPr>
                <w:rFonts w:hint="default" w:ascii="Times New Roman" w:hAnsi="Times New Roman" w:cs="Times New Roman"/>
                <w:color w:val="auto"/>
                <w:sz w:val="24"/>
                <w:szCs w:val="24"/>
              </w:rPr>
              <w:t>废</w:t>
            </w:r>
            <w:r>
              <w:rPr>
                <w:rFonts w:hint="default" w:ascii="Times New Roman" w:hAnsi="Times New Roman" w:cs="Times New Roman"/>
                <w:color w:val="auto"/>
                <w:sz w:val="24"/>
                <w:szCs w:val="24"/>
                <w:lang w:bidi="ar"/>
              </w:rPr>
              <w:t>抹布，根据企业提供的资料，</w:t>
            </w:r>
            <w:r>
              <w:rPr>
                <w:rFonts w:hint="default" w:ascii="Times New Roman" w:hAnsi="Times New Roman" w:cs="Times New Roman"/>
                <w:color w:val="auto"/>
                <w:sz w:val="24"/>
                <w:szCs w:val="24"/>
              </w:rPr>
              <w:t>废</w:t>
            </w:r>
            <w:r>
              <w:rPr>
                <w:rFonts w:hint="default" w:ascii="Times New Roman" w:hAnsi="Times New Roman" w:cs="Times New Roman"/>
                <w:color w:val="auto"/>
                <w:sz w:val="24"/>
                <w:szCs w:val="24"/>
                <w:lang w:bidi="ar"/>
              </w:rPr>
              <w:t>抹布产生量约为0.</w:t>
            </w:r>
            <w:r>
              <w:rPr>
                <w:rFonts w:hint="default" w:ascii="Times New Roman" w:hAnsi="Times New Roman" w:cs="Times New Roman"/>
                <w:color w:val="auto"/>
                <w:sz w:val="24"/>
                <w:szCs w:val="24"/>
                <w:lang w:val="en-US" w:eastAsia="zh-CN" w:bidi="ar"/>
              </w:rPr>
              <w:t>2</w:t>
            </w:r>
            <w:r>
              <w:rPr>
                <w:rFonts w:hint="default" w:ascii="Times New Roman" w:hAnsi="Times New Roman" w:cs="Times New Roman"/>
                <w:color w:val="auto"/>
                <w:sz w:val="24"/>
                <w:szCs w:val="24"/>
                <w:lang w:bidi="ar"/>
              </w:rPr>
              <w:t>t/a</w:t>
            </w:r>
            <w:r>
              <w:rPr>
                <w:rFonts w:hint="default" w:ascii="Times New Roman" w:hAnsi="Times New Roman" w:cs="Times New Roman"/>
                <w:color w:val="auto"/>
                <w:sz w:val="24"/>
                <w:szCs w:val="24"/>
                <w:lang w:eastAsia="zh-CN" w:bidi="ar"/>
              </w:rPr>
              <w:t>，</w:t>
            </w:r>
            <w:r>
              <w:rPr>
                <w:rFonts w:hint="default" w:ascii="Times New Roman" w:hAnsi="Times New Roman" w:cs="Times New Roman"/>
                <w:color w:val="auto"/>
                <w:sz w:val="24"/>
                <w:szCs w:val="24"/>
              </w:rPr>
              <w:t>属于《国家危险废物名录（2021年版）》中“HW49其他废物/非特定行业/900-041-49/含有或沾染毒性、感染性危险废物的废弃包装物、容器、过滤吸附介质”，</w:t>
            </w:r>
            <w:r>
              <w:rPr>
                <w:rFonts w:hint="default" w:ascii="Times New Roman" w:hAnsi="Times New Roman" w:cs="Times New Roman"/>
                <w:color w:val="auto"/>
                <w:sz w:val="24"/>
                <w:szCs w:val="24"/>
                <w:lang w:val="en-US" w:eastAsia="zh-CN"/>
              </w:rPr>
              <w:t>分类收集后</w:t>
            </w:r>
            <w:r>
              <w:rPr>
                <w:rFonts w:hint="default" w:ascii="Times New Roman" w:hAnsi="Times New Roman" w:cs="Times New Roman"/>
                <w:color w:val="auto"/>
                <w:kern w:val="0"/>
                <w:sz w:val="24"/>
                <w:szCs w:val="24"/>
              </w:rPr>
              <w:t>暂存在危险废物仓库内，</w:t>
            </w:r>
            <w:r>
              <w:rPr>
                <w:rFonts w:hint="default" w:ascii="Times New Roman" w:hAnsi="Times New Roman" w:cs="Times New Roman"/>
                <w:color w:val="auto"/>
                <w:sz w:val="24"/>
                <w:szCs w:val="24"/>
              </w:rPr>
              <w:t>定期收集后交由有</w:t>
            </w:r>
            <w:r>
              <w:rPr>
                <w:rFonts w:hint="eastAsia" w:ascii="Times New Roman" w:hAnsi="Times New Roman" w:cs="Times New Roman"/>
                <w:color w:val="auto"/>
                <w:sz w:val="24"/>
                <w:szCs w:val="24"/>
                <w:lang w:val="en-US" w:eastAsia="zh-CN"/>
              </w:rPr>
              <w:t>危险废物</w:t>
            </w:r>
            <w:r>
              <w:rPr>
                <w:rFonts w:hint="default" w:ascii="Times New Roman" w:hAnsi="Times New Roman" w:cs="Times New Roman"/>
                <w:color w:val="auto"/>
                <w:sz w:val="24"/>
                <w:szCs w:val="24"/>
              </w:rPr>
              <w:t>资质的单位回收处理。</w:t>
            </w:r>
          </w:p>
          <w:p>
            <w:pPr>
              <w:spacing w:line="360" w:lineRule="auto"/>
              <w:ind w:firstLine="482" w:firstLineChars="200"/>
              <w:rPr>
                <w:rFonts w:hint="default" w:ascii="Times New Roman" w:hAnsi="Times New Roman" w:cs="Times New Roman"/>
                <w:b/>
                <w:bCs/>
                <w:color w:val="auto"/>
                <w:sz w:val="24"/>
                <w:szCs w:val="24"/>
                <w:lang w:val="en-US" w:eastAsia="zh-CN"/>
              </w:rPr>
            </w:pPr>
            <w:r>
              <w:rPr>
                <w:rFonts w:hint="default" w:ascii="Times New Roman" w:hAnsi="Times New Roman" w:cs="Times New Roman"/>
                <w:b/>
                <w:bCs/>
                <w:color w:val="auto"/>
                <w:sz w:val="24"/>
                <w:szCs w:val="24"/>
              </w:rPr>
              <w:t>③</w:t>
            </w:r>
            <w:r>
              <w:rPr>
                <w:rFonts w:hint="default" w:ascii="Times New Roman" w:hAnsi="Times New Roman" w:cs="Times New Roman"/>
                <w:b/>
                <w:bCs/>
                <w:color w:val="auto"/>
                <w:sz w:val="24"/>
                <w:szCs w:val="24"/>
                <w:lang w:val="en-US" w:eastAsia="zh-CN"/>
              </w:rPr>
              <w:t>清洗废液</w:t>
            </w:r>
          </w:p>
          <w:p>
            <w:pPr>
              <w:tabs>
                <w:tab w:val="left" w:pos="297"/>
              </w:tabs>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项目在清洗过程中会产生清洗废液，根据上述工程计算可得，项目清洗废液每年的产生为10.56</w:t>
            </w:r>
            <w:r>
              <w:rPr>
                <w:rFonts w:hint="default" w:ascii="Times New Roman" w:hAnsi="Times New Roman" w:eastAsia="宋体" w:cs="Times New Roman"/>
                <w:color w:val="auto"/>
                <w:sz w:val="24"/>
                <w:szCs w:val="24"/>
              </w:rPr>
              <w:t>t/a</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属于《国家危险废物名录（2021年版）》中“HW</w:t>
            </w:r>
            <w:r>
              <w:rPr>
                <w:rFonts w:hint="default" w:ascii="Times New Roman" w:hAnsi="Times New Roman" w:eastAsia="宋体" w:cs="Times New Roman"/>
                <w:color w:val="auto"/>
                <w:sz w:val="24"/>
                <w:szCs w:val="24"/>
                <w:lang w:val="en-US" w:eastAsia="zh-CN"/>
              </w:rPr>
              <w:t>0</w:t>
            </w:r>
            <w:r>
              <w:rPr>
                <w:rFonts w:hint="default" w:ascii="Times New Roman" w:hAnsi="Times New Roman" w:eastAsia="宋体" w:cs="Times New Roman"/>
                <w:color w:val="auto"/>
                <w:sz w:val="24"/>
                <w:szCs w:val="24"/>
              </w:rPr>
              <w:t>9</w:t>
            </w:r>
            <w:r>
              <w:rPr>
                <w:rFonts w:hint="default" w:ascii="Times New Roman" w:hAnsi="Times New Roman" w:eastAsia="宋体" w:cs="Times New Roman"/>
                <w:color w:val="auto"/>
                <w:sz w:val="24"/>
                <w:szCs w:val="24"/>
                <w:lang w:val="en-US" w:eastAsia="zh-CN"/>
              </w:rPr>
              <w:t>油/水、烃/水混合物或乳化液</w:t>
            </w:r>
            <w:r>
              <w:rPr>
                <w:rFonts w:hint="default" w:ascii="Times New Roman" w:hAnsi="Times New Roman" w:eastAsia="宋体" w:cs="Times New Roman"/>
                <w:color w:val="auto"/>
                <w:sz w:val="24"/>
                <w:szCs w:val="24"/>
              </w:rPr>
              <w:t>/非特定行业/900-</w:t>
            </w:r>
            <w:r>
              <w:rPr>
                <w:rFonts w:hint="default" w:ascii="Times New Roman" w:hAnsi="Times New Roman" w:eastAsia="宋体" w:cs="Times New Roman"/>
                <w:color w:val="auto"/>
                <w:sz w:val="24"/>
                <w:szCs w:val="24"/>
                <w:lang w:val="en-US" w:eastAsia="zh-CN"/>
              </w:rPr>
              <w:t>007</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eastAsia="zh-CN"/>
              </w:rPr>
              <w:t>0</w:t>
            </w:r>
            <w:r>
              <w:rPr>
                <w:rFonts w:hint="default" w:ascii="Times New Roman" w:hAnsi="Times New Roman" w:eastAsia="宋体" w:cs="Times New Roman"/>
                <w:color w:val="auto"/>
                <w:sz w:val="24"/>
                <w:szCs w:val="24"/>
              </w:rPr>
              <w:t>9/其他工艺过程中产生的油/水、烃/水混合物或乳化液”，</w:t>
            </w:r>
            <w:r>
              <w:rPr>
                <w:rFonts w:hint="default" w:ascii="Times New Roman" w:hAnsi="Times New Roman" w:eastAsia="宋体" w:cs="Times New Roman"/>
                <w:color w:val="auto"/>
                <w:sz w:val="24"/>
                <w:szCs w:val="24"/>
                <w:lang w:val="en-US" w:eastAsia="zh-CN"/>
              </w:rPr>
              <w:t>分类收集后</w:t>
            </w:r>
            <w:r>
              <w:rPr>
                <w:rFonts w:hint="default" w:ascii="Times New Roman" w:hAnsi="Times New Roman" w:eastAsia="宋体" w:cs="Times New Roman"/>
                <w:color w:val="auto"/>
                <w:sz w:val="24"/>
                <w:szCs w:val="24"/>
              </w:rPr>
              <w:t>暂存在危险废物仓库内，定期收集后交由有</w:t>
            </w:r>
            <w:r>
              <w:rPr>
                <w:rFonts w:hint="eastAsia" w:ascii="Times New Roman" w:hAnsi="Times New Roman" w:eastAsia="宋体" w:cs="Times New Roman"/>
                <w:color w:val="auto"/>
                <w:sz w:val="24"/>
                <w:szCs w:val="24"/>
                <w:lang w:val="en-US" w:eastAsia="zh-CN"/>
              </w:rPr>
              <w:t>危险废物</w:t>
            </w:r>
            <w:r>
              <w:rPr>
                <w:rFonts w:hint="default" w:ascii="Times New Roman" w:hAnsi="Times New Roman" w:eastAsia="宋体" w:cs="Times New Roman"/>
                <w:color w:val="auto"/>
                <w:sz w:val="24"/>
                <w:szCs w:val="24"/>
              </w:rPr>
              <w:t>资质的单位回收处理。</w:t>
            </w:r>
          </w:p>
          <w:p>
            <w:pPr>
              <w:tabs>
                <w:tab w:val="left" w:pos="297"/>
              </w:tabs>
              <w:spacing w:line="360" w:lineRule="auto"/>
              <w:ind w:firstLine="482" w:firstLineChars="200"/>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rPr>
              <w:t>④</w:t>
            </w:r>
            <w:r>
              <w:rPr>
                <w:rFonts w:hint="default" w:ascii="Times New Roman" w:hAnsi="Times New Roman" w:eastAsia="宋体" w:cs="Times New Roman"/>
                <w:b/>
                <w:bCs/>
                <w:color w:val="auto"/>
                <w:sz w:val="24"/>
                <w:szCs w:val="24"/>
                <w:lang w:val="en-US" w:eastAsia="zh-CN"/>
              </w:rPr>
              <w:t>NMP废液</w:t>
            </w:r>
          </w:p>
          <w:p>
            <w:pPr>
              <w:spacing w:line="360" w:lineRule="auto"/>
              <w:ind w:firstLine="480" w:firstLineChars="200"/>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sz w:val="24"/>
                <w:szCs w:val="24"/>
                <w:lang w:val="en-US" w:eastAsia="zh-CN"/>
              </w:rPr>
              <w:t>根据</w:t>
            </w:r>
            <w:r>
              <w:rPr>
                <w:rFonts w:hint="default" w:ascii="Times New Roman" w:hAnsi="Times New Roman" w:eastAsia="宋体" w:cs="Times New Roman"/>
                <w:color w:val="auto"/>
                <w:sz w:val="24"/>
                <w:highlight w:val="none"/>
                <w:lang w:val="en-US" w:eastAsia="zh-CN"/>
              </w:rPr>
              <w:t>上述工程计算可得</w:t>
            </w:r>
            <w:r>
              <w:rPr>
                <w:rFonts w:hint="default" w:ascii="Times New Roman" w:hAnsi="Times New Roman" w:cs="Times New Roman"/>
                <w:color w:val="auto"/>
                <w:sz w:val="24"/>
                <w:highlight w:val="none"/>
                <w:lang w:val="en-US" w:eastAsia="zh-CN"/>
              </w:rPr>
              <w:t>，项目NMP废液</w:t>
            </w:r>
            <w:r>
              <w:rPr>
                <w:rFonts w:hint="default" w:ascii="Times New Roman" w:hAnsi="Times New Roman" w:cs="Times New Roman"/>
                <w:b w:val="0"/>
                <w:bCs w:val="0"/>
                <w:color w:val="auto"/>
                <w:sz w:val="24"/>
                <w:highlight w:val="none"/>
                <w:lang w:val="en-US" w:eastAsia="zh-CN"/>
              </w:rPr>
              <w:t>的产</w:t>
            </w:r>
            <w:r>
              <w:rPr>
                <w:rFonts w:hint="default" w:ascii="Times New Roman" w:hAnsi="Times New Roman" w:eastAsia="宋体" w:cs="Times New Roman"/>
                <w:b w:val="0"/>
                <w:bCs w:val="0"/>
                <w:color w:val="auto"/>
                <w:sz w:val="24"/>
                <w:szCs w:val="24"/>
                <w:lang w:val="en-US" w:eastAsia="zh-CN"/>
              </w:rPr>
              <w:t>生量</w:t>
            </w:r>
            <w:r>
              <w:rPr>
                <w:rFonts w:hint="eastAsia" w:ascii="Times New Roman" w:hAnsi="Times New Roman" w:eastAsia="宋体" w:cs="Times New Roman"/>
                <w:b w:val="0"/>
                <w:bCs w:val="0"/>
                <w:color w:val="auto"/>
                <w:sz w:val="24"/>
                <w:szCs w:val="24"/>
                <w:lang w:val="en-US" w:eastAsia="zh-CN"/>
              </w:rPr>
              <w:t>14.004</w:t>
            </w:r>
            <w:r>
              <w:rPr>
                <w:rFonts w:hint="default" w:ascii="Times New Roman" w:hAnsi="Times New Roman" w:eastAsia="宋体" w:cs="Times New Roman"/>
                <w:b w:val="0"/>
                <w:bCs w:val="0"/>
                <w:color w:val="auto"/>
                <w:sz w:val="24"/>
                <w:szCs w:val="24"/>
                <w:lang w:val="en-US" w:eastAsia="zh-CN"/>
              </w:rPr>
              <w:t>t/a</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根据</w:t>
            </w:r>
            <w:r>
              <w:rPr>
                <w:rFonts w:hint="default" w:ascii="Times New Roman" w:hAnsi="Times New Roman" w:cs="Times New Roman"/>
                <w:color w:val="auto"/>
                <w:sz w:val="24"/>
                <w:szCs w:val="24"/>
              </w:rPr>
              <w:t>《国家危险废物名录（2021年版）》</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危废代码为</w:t>
            </w:r>
            <w:r>
              <w:rPr>
                <w:rFonts w:hint="default" w:ascii="Times New Roman" w:hAnsi="Times New Roman" w:cs="Times New Roman"/>
                <w:color w:val="auto"/>
                <w:sz w:val="24"/>
                <w:szCs w:val="24"/>
              </w:rPr>
              <w:t>900-</w:t>
            </w:r>
            <w:r>
              <w:rPr>
                <w:rFonts w:hint="eastAsia" w:ascii="Times New Roman" w:hAnsi="Times New Roman" w:cs="Times New Roman"/>
                <w:color w:val="auto"/>
                <w:sz w:val="24"/>
                <w:szCs w:val="24"/>
                <w:lang w:val="en-US" w:eastAsia="zh-CN"/>
              </w:rPr>
              <w:t>404</w:t>
            </w:r>
            <w:r>
              <w:rPr>
                <w:rFonts w:hint="default"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06</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val="en-US" w:eastAsia="zh-CN"/>
              </w:rPr>
              <w:t>分类收集后</w:t>
            </w:r>
            <w:r>
              <w:rPr>
                <w:rFonts w:hint="default" w:ascii="Times New Roman" w:hAnsi="Times New Roman" w:cs="Times New Roman"/>
                <w:color w:val="auto"/>
                <w:kern w:val="0"/>
                <w:sz w:val="24"/>
                <w:szCs w:val="24"/>
              </w:rPr>
              <w:t>暂存在危险废物仓库内，</w:t>
            </w:r>
            <w:r>
              <w:rPr>
                <w:rFonts w:hint="eastAsia" w:ascii="Times New Roman" w:hAnsi="Times New Roman" w:cs="Times New Roman"/>
                <w:color w:val="auto"/>
                <w:kern w:val="0"/>
                <w:sz w:val="24"/>
                <w:szCs w:val="24"/>
                <w:lang w:val="en-US" w:eastAsia="zh-CN"/>
              </w:rPr>
              <w:t>定期收集后交有危险废物资质单位回收处理。</w:t>
            </w:r>
          </w:p>
          <w:p>
            <w:pPr>
              <w:spacing w:line="360" w:lineRule="auto"/>
              <w:ind w:firstLine="482" w:firstLineChars="200"/>
              <w:rPr>
                <w:rFonts w:hint="default" w:ascii="Times New Roman" w:hAnsi="Times New Roman" w:cs="Times New Roman"/>
                <w:b/>
                <w:bCs/>
                <w:color w:val="auto"/>
                <w:sz w:val="24"/>
                <w:szCs w:val="24"/>
              </w:rPr>
            </w:pPr>
            <w:r>
              <w:rPr>
                <w:rFonts w:hint="eastAsia" w:ascii="宋体" w:hAnsi="宋体" w:eastAsia="宋体" w:cs="宋体"/>
                <w:b/>
                <w:bCs/>
                <w:color w:val="auto"/>
                <w:sz w:val="24"/>
                <w:szCs w:val="24"/>
              </w:rPr>
              <w:t>⑤</w:t>
            </w:r>
            <w:r>
              <w:rPr>
                <w:rFonts w:hint="default" w:ascii="Times New Roman" w:hAnsi="Times New Roman" w:cs="Times New Roman"/>
                <w:b/>
                <w:bCs/>
                <w:color w:val="auto"/>
                <w:sz w:val="24"/>
                <w:szCs w:val="24"/>
              </w:rPr>
              <w:t>废活性炭</w:t>
            </w:r>
          </w:p>
          <w:p>
            <w:pPr>
              <w:spacing w:line="360" w:lineRule="auto"/>
              <w:ind w:firstLine="480" w:firstLineChars="200"/>
              <w:rPr>
                <w:rFonts w:hint="default" w:ascii="Times New Roman" w:hAnsi="Times New Roman" w:eastAsia="宋体" w:cs="Times New Roman"/>
                <w:color w:val="auto"/>
                <w:sz w:val="24"/>
                <w:szCs w:val="24"/>
                <w:lang w:val="en-US" w:eastAsia="zh-CN" w:bidi="ar"/>
              </w:rPr>
            </w:pPr>
            <w:r>
              <w:rPr>
                <w:rFonts w:hint="default" w:ascii="Times New Roman" w:hAnsi="Times New Roman" w:cs="Times New Roman"/>
                <w:color w:val="auto"/>
                <w:sz w:val="24"/>
                <w:szCs w:val="24"/>
              </w:rPr>
              <w:t>项目</w:t>
            </w:r>
            <w:r>
              <w:rPr>
                <w:rFonts w:hint="default" w:ascii="Times New Roman" w:hAnsi="Times New Roman" w:cs="Times New Roman"/>
                <w:color w:val="auto"/>
                <w:sz w:val="24"/>
                <w:szCs w:val="24"/>
                <w:lang w:val="en-US" w:eastAsia="zh-CN"/>
              </w:rPr>
              <w:t>涂布、注液工序产生的</w:t>
            </w:r>
            <w:r>
              <w:rPr>
                <w:rFonts w:hint="default" w:ascii="Times New Roman" w:hAnsi="Times New Roman" w:cs="Times New Roman"/>
                <w:color w:val="auto"/>
                <w:sz w:val="24"/>
                <w:szCs w:val="24"/>
              </w:rPr>
              <w:t>有机废气采用</w:t>
            </w:r>
            <w:r>
              <w:rPr>
                <w:rFonts w:hint="default" w:ascii="Times New Roman" w:hAnsi="Times New Roman" w:cs="Times New Roman"/>
                <w:color w:val="auto"/>
                <w:sz w:val="24"/>
                <w:szCs w:val="24"/>
                <w:lang w:eastAsia="zh-CN"/>
              </w:rPr>
              <w:t>二级活性炭</w:t>
            </w:r>
            <w:r>
              <w:rPr>
                <w:rFonts w:hint="default" w:ascii="Times New Roman" w:hAnsi="Times New Roman" w:cs="Times New Roman"/>
                <w:color w:val="auto"/>
                <w:sz w:val="24"/>
                <w:szCs w:val="24"/>
              </w:rPr>
              <w:t>吸附装置进行处理</w:t>
            </w:r>
            <w:r>
              <w:rPr>
                <w:rFonts w:hint="default" w:ascii="Times New Roman" w:hAnsi="Times New Roman" w:cs="Times New Roman"/>
                <w:color w:val="auto"/>
                <w:sz w:val="24"/>
                <w:szCs w:val="24"/>
                <w:lang w:bidi="ar"/>
              </w:rPr>
              <w:t>，</w:t>
            </w:r>
            <w:r>
              <w:rPr>
                <w:rFonts w:hint="default" w:ascii="Times New Roman" w:hAnsi="Times New Roman" w:cs="Times New Roman"/>
                <w:color w:val="auto"/>
                <w:sz w:val="24"/>
                <w:szCs w:val="24"/>
                <w:lang w:val="en-US" w:eastAsia="zh-CN" w:bidi="ar"/>
              </w:rPr>
              <w:t>二级活性炭吸附装置参数见下表。</w:t>
            </w:r>
          </w:p>
          <w:p>
            <w:pPr>
              <w:spacing w:line="360" w:lineRule="auto"/>
              <w:ind w:firstLine="482" w:firstLineChars="200"/>
              <w:jc w:val="center"/>
              <w:rPr>
                <w:rFonts w:hint="default" w:ascii="Times New Roman" w:hAnsi="Times New Roman" w:eastAsia="宋体" w:cs="Times New Roman"/>
                <w:b/>
                <w:bCs/>
                <w:color w:val="auto"/>
                <w:sz w:val="24"/>
                <w:szCs w:val="24"/>
                <w:lang w:val="en-US" w:eastAsia="zh-CN" w:bidi="ar"/>
              </w:rPr>
            </w:pPr>
            <w:r>
              <w:rPr>
                <w:rFonts w:hint="default" w:ascii="Times New Roman" w:hAnsi="Times New Roman" w:cs="Times New Roman"/>
                <w:b/>
                <w:bCs/>
                <w:color w:val="auto"/>
                <w:sz w:val="24"/>
                <w:szCs w:val="24"/>
                <w:lang w:val="en-US" w:eastAsia="zh-CN" w:bidi="ar"/>
              </w:rPr>
              <w:t>表4-</w:t>
            </w:r>
            <w:r>
              <w:rPr>
                <w:rFonts w:hint="eastAsia" w:ascii="Times New Roman" w:hAnsi="Times New Roman" w:cs="Times New Roman"/>
                <w:b/>
                <w:bCs/>
                <w:color w:val="auto"/>
                <w:sz w:val="24"/>
                <w:szCs w:val="24"/>
                <w:lang w:val="en-US" w:eastAsia="zh-CN" w:bidi="ar"/>
              </w:rPr>
              <w:t>31</w:t>
            </w:r>
            <w:r>
              <w:rPr>
                <w:rFonts w:hint="default" w:ascii="Times New Roman" w:hAnsi="Times New Roman" w:cs="Times New Roman"/>
                <w:b/>
                <w:bCs/>
                <w:color w:val="auto"/>
                <w:sz w:val="24"/>
                <w:szCs w:val="24"/>
                <w:lang w:val="en-US" w:eastAsia="zh-CN" w:bidi="ar"/>
              </w:rPr>
              <w:t xml:space="preserve"> </w:t>
            </w:r>
            <w:r>
              <w:rPr>
                <w:rFonts w:hint="default" w:ascii="Times New Roman" w:hAnsi="Times New Roman" w:cs="Times New Roman"/>
                <w:b/>
                <w:bCs/>
                <w:color w:val="auto"/>
                <w:sz w:val="24"/>
                <w:szCs w:val="24"/>
                <w:lang w:eastAsia="zh-CN"/>
              </w:rPr>
              <w:t>二级活性炭</w:t>
            </w:r>
            <w:r>
              <w:rPr>
                <w:rFonts w:hint="default" w:ascii="Times New Roman" w:hAnsi="Times New Roman" w:cs="Times New Roman"/>
                <w:b/>
                <w:bCs/>
                <w:color w:val="auto"/>
                <w:sz w:val="24"/>
                <w:szCs w:val="24"/>
              </w:rPr>
              <w:t>吸附装置</w:t>
            </w:r>
            <w:r>
              <w:rPr>
                <w:rFonts w:hint="default" w:ascii="Times New Roman" w:hAnsi="Times New Roman" w:cs="Times New Roman"/>
                <w:b/>
                <w:bCs/>
                <w:color w:val="auto"/>
                <w:sz w:val="24"/>
                <w:szCs w:val="24"/>
                <w:lang w:val="en-US" w:eastAsia="zh-CN"/>
              </w:rPr>
              <w:t>主要技术参数</w:t>
            </w:r>
          </w:p>
          <w:tbl>
            <w:tblPr>
              <w:tblStyle w:val="33"/>
              <w:tblW w:w="4962"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0"/>
              <w:gridCol w:w="2781"/>
              <w:gridCol w:w="3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cs="Times New Roman"/>
                      <w:b/>
                      <w:bCs/>
                      <w:color w:val="auto"/>
                      <w:szCs w:val="21"/>
                      <w:vertAlign w:val="baseline"/>
                      <w:lang w:val="en-US" w:eastAsia="zh-CN"/>
                    </w:rPr>
                    <w:t>参数</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本项目指标</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b/>
                      <w:bCs/>
                      <w:color w:val="auto"/>
                      <w:kern w:val="2"/>
                      <w:sz w:val="21"/>
                      <w:szCs w:val="21"/>
                      <w:vertAlign w:val="baseline"/>
                      <w:lang w:val="en-US" w:eastAsia="zh-CN" w:bidi="ar-SA"/>
                    </w:rPr>
                  </w:pPr>
                  <w:r>
                    <w:rPr>
                      <w:rFonts w:hint="default" w:ascii="Times New Roman" w:hAnsi="Times New Roman" w:eastAsia="宋体" w:cs="Times New Roman"/>
                      <w:b/>
                      <w:bCs/>
                      <w:color w:val="auto"/>
                      <w:kern w:val="2"/>
                      <w:sz w:val="21"/>
                      <w:szCs w:val="21"/>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kern w:val="0"/>
                      <w:sz w:val="21"/>
                      <w:szCs w:val="21"/>
                      <w:lang w:val="en-US" w:eastAsia="zh-CN" w:bidi="ar"/>
                    </w:rPr>
                    <w:t>设计处理风量</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cs="Times New Roman"/>
                      <w:color w:val="auto"/>
                      <w:szCs w:val="21"/>
                      <w:vertAlign w:val="baseline"/>
                      <w:lang w:val="en-US" w:eastAsia="zh-CN"/>
                    </w:rPr>
                    <w:t>1</w:t>
                  </w:r>
                  <w:r>
                    <w:rPr>
                      <w:rFonts w:hint="eastAsia" w:ascii="Times New Roman" w:hAnsi="Times New Roman" w:cs="Times New Roman"/>
                      <w:color w:val="auto"/>
                      <w:szCs w:val="21"/>
                      <w:vertAlign w:val="baseline"/>
                      <w:lang w:val="en-US" w:eastAsia="zh-CN"/>
                    </w:rPr>
                    <w:t>1</w:t>
                  </w:r>
                  <w:r>
                    <w:rPr>
                      <w:rFonts w:hint="default" w:ascii="Times New Roman" w:hAnsi="Times New Roman" w:cs="Times New Roman"/>
                      <w:color w:val="auto"/>
                      <w:szCs w:val="21"/>
                      <w:vertAlign w:val="baseline"/>
                      <w:lang w:val="en-US" w:eastAsia="zh-CN"/>
                    </w:rPr>
                    <w:t>000</w:t>
                  </w:r>
                  <w:r>
                    <w:rPr>
                      <w:rFonts w:hint="default" w:ascii="Times New Roman" w:hAnsi="Times New Roman" w:cs="Times New Roman"/>
                      <w:b w:val="0"/>
                      <w:bCs w:val="0"/>
                      <w:color w:val="auto"/>
                      <w:szCs w:val="21"/>
                    </w:rPr>
                    <w:t>m</w:t>
                  </w:r>
                  <w:r>
                    <w:rPr>
                      <w:rFonts w:hint="default" w:ascii="Times New Roman" w:hAnsi="Times New Roman" w:cs="Times New Roman"/>
                      <w:b w:val="0"/>
                      <w:bCs w:val="0"/>
                      <w:color w:val="auto"/>
                      <w:szCs w:val="21"/>
                      <w:vertAlign w:val="superscript"/>
                    </w:rPr>
                    <w:t>3</w:t>
                  </w:r>
                  <w:r>
                    <w:rPr>
                      <w:rFonts w:hint="default" w:ascii="Times New Roman" w:hAnsi="Times New Roman" w:cs="Times New Roman"/>
                      <w:b w:val="0"/>
                      <w:bCs w:val="0"/>
                      <w:color w:val="auto"/>
                      <w:szCs w:val="21"/>
                    </w:rPr>
                    <w:t>/h</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vertAlign w:val="baseline"/>
                      <w:lang w:val="en-US" w:eastAsia="zh-CN"/>
                    </w:rPr>
                  </w:pPr>
                  <w:r>
                    <w:rPr>
                      <w:rFonts w:hint="default" w:ascii="Times New Roman" w:hAnsi="Times New Roman" w:cs="Times New Roman"/>
                      <w:color w:val="auto"/>
                      <w:szCs w:val="21"/>
                      <w:vertAlign w:val="baseline"/>
                      <w:lang w:val="en-US" w:eastAsia="zh-CN"/>
                    </w:rPr>
                    <w:t>采用变频风机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kern w:val="0"/>
                      <w:sz w:val="21"/>
                      <w:szCs w:val="21"/>
                      <w:lang w:val="en-US" w:eastAsia="zh-CN" w:bidi="ar"/>
                    </w:rPr>
                    <w:t>炭箱尺寸（长×宽×高）</w:t>
                  </w:r>
                </w:p>
              </w:tc>
              <w:tc>
                <w:tcPr>
                  <w:tcW w:w="1639" w:type="pct"/>
                  <w:noWrap w:val="0"/>
                  <w:vAlign w:val="center"/>
                </w:tcPr>
                <w:p>
                  <w:pPr>
                    <w:keepNext w:val="0"/>
                    <w:keepLines w:val="0"/>
                    <w:widowControl/>
                    <w:suppressLineNumbers w:val="0"/>
                    <w:jc w:val="center"/>
                    <w:rPr>
                      <w:rFonts w:hint="default" w:ascii="Times New Roman" w:hAnsi="Times New Roman" w:cs="Times New Roman"/>
                      <w:color w:val="auto"/>
                      <w:szCs w:val="21"/>
                      <w:vertAlign w:val="baseline"/>
                    </w:rPr>
                  </w:pPr>
                  <w:r>
                    <w:rPr>
                      <w:rFonts w:hint="default" w:ascii="Times New Roman" w:hAnsi="Times New Roman" w:eastAsia="宋体" w:cs="Times New Roman"/>
                      <w:color w:val="auto"/>
                      <w:szCs w:val="21"/>
                      <w:vertAlign w:val="baseline"/>
                      <w:lang w:val="en-US" w:eastAsia="zh-CN"/>
                    </w:rPr>
                    <w:t>2m</w:t>
                  </w:r>
                  <w:r>
                    <w:rPr>
                      <w:rFonts w:hint="default"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szCs w:val="21"/>
                      <w:vertAlign w:val="baseline"/>
                      <w:lang w:val="en-US" w:eastAsia="zh-CN"/>
                    </w:rPr>
                    <w:t>1.</w:t>
                  </w:r>
                  <w:r>
                    <w:rPr>
                      <w:rFonts w:hint="eastAsia" w:ascii="Times New Roman" w:hAnsi="Times New Roman" w:eastAsia="宋体" w:cs="Times New Roman"/>
                      <w:color w:val="auto"/>
                      <w:szCs w:val="21"/>
                      <w:vertAlign w:val="baseline"/>
                      <w:lang w:val="en-US" w:eastAsia="zh-CN"/>
                    </w:rPr>
                    <w:t>2</w:t>
                  </w:r>
                  <w:r>
                    <w:rPr>
                      <w:rFonts w:hint="default" w:ascii="Times New Roman" w:hAnsi="Times New Roman" w:eastAsia="宋体" w:cs="Times New Roman"/>
                      <w:color w:val="auto"/>
                      <w:szCs w:val="21"/>
                      <w:vertAlign w:val="baseline"/>
                      <w:lang w:val="en-US" w:eastAsia="zh-CN"/>
                    </w:rPr>
                    <w:t>m</w:t>
                  </w:r>
                  <w:r>
                    <w:rPr>
                      <w:rFonts w:hint="default"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szCs w:val="21"/>
                      <w:vertAlign w:val="baseline"/>
                      <w:lang w:val="en-US" w:eastAsia="zh-CN"/>
                    </w:rPr>
                    <w:t>1m</w:t>
                  </w:r>
                </w:p>
              </w:tc>
              <w:tc>
                <w:tcPr>
                  <w:tcW w:w="1774" w:type="pct"/>
                  <w:noWrap w:val="0"/>
                  <w:vAlign w:val="center"/>
                </w:tcPr>
                <w:p>
                  <w:pPr>
                    <w:keepNext w:val="0"/>
                    <w:keepLines w:val="0"/>
                    <w:widowControl/>
                    <w:suppressLineNumbers w:val="0"/>
                    <w:jc w:val="center"/>
                    <w:rPr>
                      <w:rFonts w:hint="default" w:ascii="Times New Roman" w:hAnsi="Times New Roman" w:eastAsia="宋体" w:cs="Times New Roman"/>
                      <w:color w:val="auto"/>
                      <w:szCs w:val="21"/>
                      <w:vertAlign w:val="baseline"/>
                      <w:lang w:val="en-US" w:eastAsia="zh-CN"/>
                    </w:rPr>
                  </w:pPr>
                  <w:r>
                    <w:rPr>
                      <w:rFonts w:hint="default" w:ascii="Times New Roman" w:hAnsi="Times New Roman" w:eastAsia="宋体" w:cs="Times New Roman"/>
                      <w:color w:val="auto"/>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装填活性炭类型</w:t>
                  </w:r>
                </w:p>
              </w:tc>
              <w:tc>
                <w:tcPr>
                  <w:tcW w:w="1639" w:type="pct"/>
                  <w:noWrap w:val="0"/>
                  <w:vAlign w:val="center"/>
                </w:tcPr>
                <w:p>
                  <w:pPr>
                    <w:keepNext w:val="0"/>
                    <w:keepLines w:val="0"/>
                    <w:widowControl/>
                    <w:suppressLineNumbers w:val="0"/>
                    <w:jc w:val="center"/>
                    <w:rPr>
                      <w:rFonts w:hint="default" w:ascii="Times New Roman" w:hAnsi="Times New Roman" w:eastAsia="宋体" w:cs="Times New Roman"/>
                      <w:color w:val="auto"/>
                      <w:szCs w:val="21"/>
                      <w:vertAlign w:val="baseline"/>
                      <w:lang w:val="en-US" w:eastAsia="zh-CN"/>
                    </w:rPr>
                  </w:pPr>
                  <w:r>
                    <w:rPr>
                      <w:rFonts w:hint="default" w:ascii="Times New Roman" w:hAnsi="Times New Roman" w:eastAsia="宋体" w:cs="Times New Roman"/>
                      <w:color w:val="auto"/>
                      <w:szCs w:val="21"/>
                      <w:vertAlign w:val="baseline"/>
                      <w:lang w:val="en-US" w:eastAsia="zh-CN"/>
                    </w:rPr>
                    <w:t>蜂窝状活性炭</w:t>
                  </w:r>
                </w:p>
              </w:tc>
              <w:tc>
                <w:tcPr>
                  <w:tcW w:w="1774" w:type="pct"/>
                  <w:noWrap w:val="0"/>
                  <w:vAlign w:val="center"/>
                </w:tcPr>
                <w:p>
                  <w:pPr>
                    <w:keepNext w:val="0"/>
                    <w:keepLines w:val="0"/>
                    <w:widowControl/>
                    <w:suppressLineNumbers w:val="0"/>
                    <w:jc w:val="center"/>
                    <w:rPr>
                      <w:rFonts w:hint="default" w:ascii="Times New Roman" w:hAnsi="Times New Roman" w:eastAsia="宋体" w:cs="Times New Roman"/>
                      <w:color w:val="auto"/>
                      <w:szCs w:val="21"/>
                      <w:vertAlign w:val="baseline"/>
                      <w:lang w:val="en-US" w:eastAsia="zh-CN"/>
                    </w:rPr>
                  </w:pPr>
                  <w:r>
                    <w:rPr>
                      <w:rFonts w:hint="default" w:ascii="Times New Roman" w:hAnsi="Times New Roman" w:eastAsia="宋体" w:cs="Times New Roman"/>
                      <w:color w:val="auto"/>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0"/>
                      <w:sz w:val="21"/>
                      <w:szCs w:val="21"/>
                      <w:lang w:val="en-US" w:eastAsia="zh-CN" w:bidi="ar"/>
                    </w:rPr>
                    <w:t>过滤风速V</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Cs w:val="21"/>
                      <w:vertAlign w:val="baseline"/>
                      <w:lang w:val="en-US" w:eastAsia="zh-CN"/>
                    </w:rPr>
                    <w:t>1.13</w:t>
                  </w:r>
                  <w:r>
                    <w:rPr>
                      <w:rFonts w:hint="default" w:ascii="Times New Roman" w:hAnsi="Times New Roman" w:eastAsia="宋体" w:cs="Times New Roman"/>
                      <w:color w:val="auto"/>
                      <w:szCs w:val="21"/>
                      <w:vertAlign w:val="baseline"/>
                      <w:lang w:val="en-US" w:eastAsia="zh-CN"/>
                    </w:rPr>
                    <w:t>m/s</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根据《吸附法工业有机废气治理工程技术规范》（HJ2026-2013）气体流速宜低于1.2m/s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kern w:val="0"/>
                      <w:sz w:val="21"/>
                      <w:szCs w:val="21"/>
                      <w:lang w:val="en-US" w:eastAsia="zh-CN" w:bidi="ar"/>
                    </w:rPr>
                    <w:t>炭层实际厚度</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cs="Times New Roman"/>
                      <w:color w:val="auto"/>
                      <w:szCs w:val="21"/>
                      <w:vertAlign w:val="baseline"/>
                      <w:lang w:val="en-US" w:eastAsia="zh-CN"/>
                    </w:rPr>
                    <w:t>0.75m</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vertAlign w:val="baseline"/>
                      <w:lang w:val="en-US" w:eastAsia="zh-CN"/>
                    </w:rPr>
                  </w:pPr>
                  <w:r>
                    <w:rPr>
                      <w:rFonts w:hint="default" w:ascii="Times New Roman" w:hAnsi="Times New Roman" w:cs="Times New Roman"/>
                      <w:color w:val="auto"/>
                      <w:szCs w:val="21"/>
                      <w:vertAlign w:val="baseline"/>
                      <w:lang w:val="en-US" w:eastAsia="zh-CN"/>
                    </w:rPr>
                    <w:t>共设置3层炭层，单层厚度为0.25m，3层厚度为0.75m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kern w:val="0"/>
                      <w:sz w:val="21"/>
                      <w:szCs w:val="21"/>
                      <w:lang w:val="en-US" w:eastAsia="zh-CN" w:bidi="ar"/>
                    </w:rPr>
                    <w:t>活性炭填装密度</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cs="Times New Roman"/>
                      <w:color w:val="auto"/>
                      <w:szCs w:val="21"/>
                      <w:vertAlign w:val="baseline"/>
                      <w:lang w:val="en-US" w:eastAsia="zh-CN"/>
                    </w:rPr>
                    <w:t>0.45g/c</w:t>
                  </w:r>
                  <w:r>
                    <w:rPr>
                      <w:rFonts w:hint="default" w:ascii="Times New Roman" w:hAnsi="Times New Roman" w:cs="Times New Roman"/>
                      <w:b w:val="0"/>
                      <w:bCs w:val="0"/>
                      <w:color w:val="auto"/>
                      <w:szCs w:val="21"/>
                    </w:rPr>
                    <w:t>m</w:t>
                  </w:r>
                  <w:r>
                    <w:rPr>
                      <w:rFonts w:hint="default" w:ascii="Times New Roman" w:hAnsi="Times New Roman" w:cs="Times New Roman"/>
                      <w:b w:val="0"/>
                      <w:bCs w:val="0"/>
                      <w:color w:val="auto"/>
                      <w:szCs w:val="21"/>
                      <w:vertAlign w:val="superscript"/>
                    </w:rPr>
                    <w:t>3</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vertAlign w:val="baseline"/>
                      <w:lang w:val="en-US" w:eastAsia="zh-CN"/>
                    </w:rPr>
                  </w:pPr>
                  <w:r>
                    <w:rPr>
                      <w:rFonts w:hint="default" w:ascii="Times New Roman" w:hAnsi="Times New Roman" w:cs="Times New Roman"/>
                      <w:color w:val="auto"/>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活性炭炭层截面积</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eastAsia="宋体" w:cs="Times New Roman"/>
                      <w:color w:val="auto"/>
                      <w:szCs w:val="21"/>
                      <w:vertAlign w:val="baseline"/>
                      <w:lang w:val="en-US" w:eastAsia="zh-CN"/>
                    </w:rPr>
                    <w:t>1.</w:t>
                  </w:r>
                  <w:r>
                    <w:rPr>
                      <w:rFonts w:hint="eastAsia" w:ascii="Times New Roman" w:hAnsi="Times New Roman" w:eastAsia="宋体" w:cs="Times New Roman"/>
                      <w:color w:val="auto"/>
                      <w:szCs w:val="21"/>
                      <w:vertAlign w:val="baseline"/>
                      <w:lang w:val="en-US" w:eastAsia="zh-CN"/>
                    </w:rPr>
                    <w:t>2</w:t>
                  </w:r>
                  <w:r>
                    <w:rPr>
                      <w:rFonts w:hint="default" w:ascii="Times New Roman" w:hAnsi="Times New Roman" w:eastAsia="宋体" w:cs="Times New Roman"/>
                      <w:color w:val="auto"/>
                      <w:szCs w:val="21"/>
                      <w:vertAlign w:val="baseline"/>
                      <w:lang w:val="en-US" w:eastAsia="zh-CN"/>
                    </w:rPr>
                    <w:t>m</w:t>
                  </w:r>
                  <w:r>
                    <w:rPr>
                      <w:rFonts w:hint="default" w:ascii="Times New Roman" w:hAnsi="Times New Roman" w:eastAsia="宋体" w:cs="Times New Roman"/>
                      <w:color w:val="auto"/>
                      <w:kern w:val="0"/>
                      <w:sz w:val="21"/>
                      <w:szCs w:val="21"/>
                      <w:lang w:val="en-US" w:eastAsia="zh-CN" w:bidi="ar"/>
                    </w:rPr>
                    <w:t>×</w:t>
                  </w:r>
                  <w:r>
                    <w:rPr>
                      <w:rFonts w:hint="default" w:ascii="Times New Roman" w:hAnsi="Times New Roman" w:eastAsia="宋体" w:cs="Times New Roman"/>
                      <w:color w:val="auto"/>
                      <w:szCs w:val="21"/>
                      <w:vertAlign w:val="baseline"/>
                      <w:lang w:val="en-US" w:eastAsia="zh-CN"/>
                    </w:rPr>
                    <w:t>1m</w:t>
                  </w:r>
                  <w:r>
                    <w:rPr>
                      <w:rFonts w:hint="default" w:ascii="Times New Roman" w:hAnsi="Times New Roman" w:eastAsia="宋体" w:cs="Times New Roman"/>
                      <w:color w:val="auto"/>
                      <w:kern w:val="0"/>
                      <w:sz w:val="21"/>
                      <w:szCs w:val="21"/>
                      <w:lang w:val="en-US" w:eastAsia="zh-CN" w:bidi="ar"/>
                    </w:rPr>
                    <w:t>×3层×单个活性炭孔隙率0.75=</w:t>
                  </w:r>
                  <w:r>
                    <w:rPr>
                      <w:rFonts w:hint="eastAsia" w:ascii="Times New Roman" w:hAnsi="Times New Roman" w:eastAsia="宋体" w:cs="Times New Roman"/>
                      <w:color w:val="auto"/>
                      <w:kern w:val="0"/>
                      <w:sz w:val="21"/>
                      <w:szCs w:val="21"/>
                      <w:lang w:val="en-US" w:eastAsia="zh-CN" w:bidi="ar"/>
                    </w:rPr>
                    <w:t>2.7</w:t>
                  </w:r>
                  <w:r>
                    <w:rPr>
                      <w:rFonts w:hint="default" w:ascii="Times New Roman" w:hAnsi="Times New Roman" w:cs="Times New Roman"/>
                      <w:b w:val="0"/>
                      <w:bCs w:val="0"/>
                      <w:color w:val="auto"/>
                      <w:szCs w:val="21"/>
                    </w:rPr>
                    <w:t>m</w:t>
                  </w:r>
                  <w:r>
                    <w:rPr>
                      <w:rFonts w:hint="default" w:ascii="Times New Roman" w:hAnsi="Times New Roman" w:cs="Times New Roman"/>
                      <w:b w:val="0"/>
                      <w:bCs w:val="0"/>
                      <w:color w:val="auto"/>
                      <w:szCs w:val="21"/>
                      <w:vertAlign w:val="superscript"/>
                      <w:lang w:val="en-US" w:eastAsia="zh-CN"/>
                    </w:rPr>
                    <w:t>2</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eastAsia="宋体" w:cs="Times New Roman"/>
                      <w:color w:val="auto"/>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kern w:val="0"/>
                      <w:sz w:val="21"/>
                      <w:szCs w:val="21"/>
                      <w:lang w:val="en-US" w:eastAsia="zh-CN" w:bidi="ar"/>
                    </w:rPr>
                    <w:t>停留时间</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eastAsia="宋体" w:cs="Times New Roman"/>
                      <w:color w:val="auto"/>
                      <w:szCs w:val="21"/>
                      <w:vertAlign w:val="baseline"/>
                      <w:lang w:val="en-US" w:eastAsia="zh-CN"/>
                    </w:rPr>
                    <w:t>0</w:t>
                  </w:r>
                  <w:r>
                    <w:rPr>
                      <w:rFonts w:hint="eastAsia" w:ascii="Times New Roman" w:hAnsi="Times New Roman" w:eastAsia="宋体" w:cs="Times New Roman"/>
                      <w:color w:val="auto"/>
                      <w:szCs w:val="21"/>
                      <w:vertAlign w:val="baseline"/>
                      <w:lang w:val="en-US" w:eastAsia="zh-CN"/>
                    </w:rPr>
                    <w:t>.66</w:t>
                  </w:r>
                  <w:r>
                    <w:rPr>
                      <w:rFonts w:hint="default" w:ascii="Times New Roman" w:hAnsi="Times New Roman" w:eastAsia="宋体" w:cs="Times New Roman"/>
                      <w:color w:val="auto"/>
                      <w:szCs w:val="21"/>
                      <w:vertAlign w:val="baseline"/>
                      <w:lang w:val="en-US" w:eastAsia="zh-CN"/>
                    </w:rPr>
                    <w:t>s</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eastAsia="宋体" w:cs="Times New Roman"/>
                      <w:color w:val="auto"/>
                      <w:szCs w:val="21"/>
                      <w:vertAlign w:val="baseline"/>
                      <w:lang w:val="en-US" w:eastAsia="zh-CN"/>
                    </w:rPr>
                    <w:t>满足污染物在活性炭箱内的接触吸附时间0.5s~2s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kern w:val="0"/>
                      <w:sz w:val="21"/>
                      <w:szCs w:val="21"/>
                      <w:lang w:val="en-US" w:eastAsia="zh-CN" w:bidi="ar"/>
                    </w:rPr>
                    <w:t>单级活性炭填装量</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highlight w:val="none"/>
                      <w:vertAlign w:val="baseline"/>
                      <w:lang w:val="en-US" w:eastAsia="zh-CN"/>
                    </w:rPr>
                  </w:pPr>
                  <w:r>
                    <w:rPr>
                      <w:rFonts w:hint="eastAsia" w:ascii="Times New Roman" w:hAnsi="Times New Roman" w:eastAsia="宋体" w:cs="Times New Roman"/>
                      <w:color w:val="auto"/>
                      <w:szCs w:val="21"/>
                      <w:highlight w:val="none"/>
                      <w:vertAlign w:val="baseline"/>
                      <w:lang w:val="en-US" w:eastAsia="zh-CN"/>
                    </w:rPr>
                    <w:t>0.405</w:t>
                  </w:r>
                  <w:r>
                    <w:rPr>
                      <w:rFonts w:hint="default" w:ascii="Times New Roman" w:hAnsi="Times New Roman" w:eastAsia="宋体" w:cs="Times New Roman"/>
                      <w:color w:val="auto"/>
                      <w:szCs w:val="21"/>
                      <w:highlight w:val="none"/>
                      <w:vertAlign w:val="baseline"/>
                      <w:lang w:val="en-US" w:eastAsia="zh-CN"/>
                    </w:rPr>
                    <w:t>t</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eastAsia="宋体" w:cs="Times New Roman"/>
                      <w:color w:val="auto"/>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二级活性炭填装量</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highlight w:val="none"/>
                      <w:vertAlign w:val="baseline"/>
                      <w:lang w:val="en-US" w:eastAsia="zh-CN"/>
                    </w:rPr>
                  </w:pPr>
                  <w:r>
                    <w:rPr>
                      <w:rFonts w:hint="eastAsia" w:ascii="Times New Roman" w:hAnsi="Times New Roman" w:eastAsia="宋体" w:cs="Times New Roman"/>
                      <w:color w:val="auto"/>
                      <w:szCs w:val="21"/>
                      <w:highlight w:val="none"/>
                      <w:vertAlign w:val="baseline"/>
                      <w:lang w:val="en-US" w:eastAsia="zh-CN"/>
                    </w:rPr>
                    <w:t>0.81</w:t>
                  </w:r>
                  <w:r>
                    <w:rPr>
                      <w:rFonts w:hint="default" w:ascii="Times New Roman" w:hAnsi="Times New Roman" w:eastAsia="宋体" w:cs="Times New Roman"/>
                      <w:color w:val="auto"/>
                      <w:szCs w:val="21"/>
                      <w:highlight w:val="none"/>
                      <w:vertAlign w:val="baseline"/>
                      <w:lang w:val="en-US" w:eastAsia="zh-CN"/>
                    </w:rPr>
                    <w:t>t</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default" w:ascii="Times New Roman" w:hAnsi="Times New Roman" w:eastAsia="宋体" w:cs="Times New Roman"/>
                      <w:color w:val="auto"/>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vertAlign w:val="baseline"/>
                    </w:rPr>
                  </w:pPr>
                  <w:r>
                    <w:rPr>
                      <w:rFonts w:hint="default" w:ascii="Times New Roman" w:hAnsi="Times New Roman" w:eastAsia="宋体" w:cs="Times New Roman"/>
                      <w:color w:val="auto"/>
                      <w:kern w:val="0"/>
                      <w:sz w:val="21"/>
                      <w:szCs w:val="21"/>
                      <w:lang w:val="en-US" w:eastAsia="zh-CN" w:bidi="ar"/>
                    </w:rPr>
                    <w:t>活性炭年更换频次</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vertAlign w:val="baseline"/>
                      <w:lang w:val="en-US" w:eastAsia="zh-CN"/>
                    </w:rPr>
                  </w:pPr>
                  <w:r>
                    <w:rPr>
                      <w:rFonts w:hint="eastAsia" w:ascii="Times New Roman" w:hAnsi="Times New Roman" w:cs="Times New Roman"/>
                      <w:color w:val="auto"/>
                      <w:szCs w:val="21"/>
                      <w:vertAlign w:val="baseline"/>
                      <w:lang w:val="en-US" w:eastAsia="zh-CN"/>
                    </w:rPr>
                    <w:t>每月/次</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vertAlign w:val="baseline"/>
                      <w:lang w:val="en-US" w:eastAsia="zh-CN"/>
                    </w:rPr>
                  </w:pPr>
                  <w:r>
                    <w:rPr>
                      <w:rFonts w:hint="default" w:ascii="Times New Roman" w:hAnsi="Times New Roman" w:cs="Times New Roman"/>
                      <w:color w:val="auto"/>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86" w:type="pct"/>
                  <w:noWrap w:val="0"/>
                  <w:vAlign w:val="center"/>
                </w:tcPr>
                <w:p>
                  <w:pPr>
                    <w:keepNext w:val="0"/>
                    <w:keepLines w:val="0"/>
                    <w:pageBreakBefore w:val="0"/>
                    <w:widowControl/>
                    <w:suppressLineNumbers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活性炭更换量</w:t>
                  </w:r>
                </w:p>
              </w:tc>
              <w:tc>
                <w:tcPr>
                  <w:tcW w:w="163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vertAlign w:val="baseline"/>
                      <w:lang w:val="en-US" w:eastAsia="zh-CN"/>
                    </w:rPr>
                  </w:pPr>
                  <w:r>
                    <w:rPr>
                      <w:rFonts w:hint="eastAsia" w:ascii="Times New Roman" w:hAnsi="Times New Roman" w:eastAsia="宋体" w:cs="Times New Roman"/>
                      <w:color w:val="auto"/>
                      <w:szCs w:val="21"/>
                      <w:vertAlign w:val="baseline"/>
                      <w:lang w:val="en-US" w:eastAsia="zh-CN"/>
                    </w:rPr>
                    <w:t>9.72</w:t>
                  </w:r>
                  <w:r>
                    <w:rPr>
                      <w:rFonts w:hint="default" w:ascii="Times New Roman" w:hAnsi="Times New Roman" w:eastAsia="宋体" w:cs="Times New Roman"/>
                      <w:color w:val="auto"/>
                      <w:szCs w:val="21"/>
                      <w:vertAlign w:val="baseline"/>
                      <w:lang w:val="en-US" w:eastAsia="zh-CN"/>
                    </w:rPr>
                    <w:t>t/a</w:t>
                  </w:r>
                </w:p>
              </w:tc>
              <w:tc>
                <w:tcPr>
                  <w:tcW w:w="177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vertAlign w:val="baseline"/>
                      <w:lang w:val="en-US" w:eastAsia="zh-CN"/>
                    </w:rPr>
                  </w:pPr>
                  <w:r>
                    <w:rPr>
                      <w:rFonts w:hint="default" w:ascii="Times New Roman" w:hAnsi="Times New Roman" w:cs="Times New Roman"/>
                      <w:color w:val="auto"/>
                      <w:szCs w:val="21"/>
                      <w:vertAlign w:val="baseline"/>
                      <w:lang w:val="en-US" w:eastAsia="zh-CN"/>
                    </w:rPr>
                    <w:t>/</w:t>
                  </w:r>
                </w:p>
              </w:tc>
            </w:tr>
          </w:tbl>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根据前文大气工程分析可知被活性炭吸附的有机废气量约为</w:t>
            </w:r>
            <w:r>
              <w:rPr>
                <w:rFonts w:hint="eastAsia" w:ascii="Times New Roman" w:hAnsi="Times New Roman" w:eastAsia="宋体" w:cs="Times New Roman"/>
                <w:color w:val="auto"/>
                <w:kern w:val="0"/>
                <w:sz w:val="24"/>
                <w:szCs w:val="24"/>
                <w:lang w:val="en-US" w:eastAsia="zh-CN" w:bidi="ar"/>
              </w:rPr>
              <w:t>1.796</w:t>
            </w:r>
            <w:r>
              <w:rPr>
                <w:rFonts w:hint="eastAsia" w:cs="Times New Roman"/>
                <w:color w:val="auto"/>
                <w:kern w:val="0"/>
                <w:sz w:val="24"/>
                <w:szCs w:val="24"/>
                <w:lang w:val="en-US" w:eastAsia="zh-CN" w:bidi="ar"/>
              </w:rPr>
              <w:t>8</w:t>
            </w:r>
            <w:r>
              <w:rPr>
                <w:rFonts w:hint="default" w:ascii="Times New Roman" w:hAnsi="Times New Roman" w:eastAsia="宋体" w:cs="Times New Roman"/>
                <w:color w:val="auto"/>
                <w:kern w:val="0"/>
                <w:sz w:val="24"/>
                <w:szCs w:val="24"/>
                <w:lang w:val="en-US" w:eastAsia="zh-CN" w:bidi="ar"/>
              </w:rPr>
              <w:t>t/a</w:t>
            </w:r>
            <w:r>
              <w:rPr>
                <w:rFonts w:hint="default" w:ascii="Times New Roman" w:hAnsi="Times New Roman" w:eastAsia="宋体" w:cs="Times New Roman"/>
                <w:color w:val="auto"/>
                <w:kern w:val="0"/>
                <w:sz w:val="24"/>
                <w:szCs w:val="24"/>
                <w:lang w:val="en-US" w:eastAsia="zh-CN" w:bidi="ar"/>
              </w:rPr>
              <w:t>，根据《广东工业大学工程研究》，活性炭吸附效率按20%计算，则项目年理论需要活性炭量为</w:t>
            </w:r>
            <w:r>
              <w:rPr>
                <w:rFonts w:hint="eastAsia" w:ascii="Times New Roman" w:hAnsi="Times New Roman" w:eastAsia="宋体" w:cs="Times New Roman"/>
                <w:color w:val="auto"/>
                <w:kern w:val="0"/>
                <w:sz w:val="24"/>
                <w:szCs w:val="24"/>
                <w:lang w:val="en-US" w:eastAsia="zh-CN" w:bidi="ar"/>
              </w:rPr>
              <w:t>8.98</w:t>
            </w:r>
            <w:r>
              <w:rPr>
                <w:rFonts w:hint="eastAsia" w:cs="Times New Roman"/>
                <w:color w:val="auto"/>
                <w:kern w:val="0"/>
                <w:sz w:val="24"/>
                <w:szCs w:val="24"/>
                <w:lang w:val="en-US" w:eastAsia="zh-CN" w:bidi="ar"/>
              </w:rPr>
              <w:t>4</w:t>
            </w:r>
            <w:r>
              <w:rPr>
                <w:rFonts w:hint="default" w:ascii="Times New Roman" w:hAnsi="Times New Roman" w:eastAsia="宋体" w:cs="Times New Roman"/>
                <w:color w:val="auto"/>
                <w:kern w:val="0"/>
                <w:sz w:val="24"/>
                <w:szCs w:val="24"/>
                <w:lang w:val="en-US" w:eastAsia="zh-CN" w:bidi="ar"/>
              </w:rPr>
              <w:t>t/a</w:t>
            </w:r>
            <w:r>
              <w:rPr>
                <w:rFonts w:hint="default" w:ascii="Times New Roman" w:hAnsi="Times New Roman" w:eastAsia="宋体" w:cs="Times New Roman"/>
                <w:color w:val="auto"/>
                <w:kern w:val="0"/>
                <w:sz w:val="24"/>
                <w:szCs w:val="24"/>
                <w:lang w:val="en-US" w:eastAsia="zh-CN" w:bidi="ar"/>
              </w:rPr>
              <w:t>。项目每套二级活性炭吸附装置单次活性炭填装量为</w:t>
            </w:r>
            <w:r>
              <w:rPr>
                <w:rFonts w:hint="eastAsia" w:ascii="Times New Roman" w:hAnsi="Times New Roman" w:eastAsia="宋体" w:cs="Times New Roman"/>
                <w:color w:val="auto"/>
                <w:kern w:val="0"/>
                <w:sz w:val="24"/>
                <w:szCs w:val="24"/>
                <w:lang w:val="en-US" w:eastAsia="zh-CN" w:bidi="ar"/>
              </w:rPr>
              <w:t>0.81</w:t>
            </w:r>
            <w:r>
              <w:rPr>
                <w:rFonts w:hint="default" w:ascii="Times New Roman" w:hAnsi="Times New Roman" w:eastAsia="宋体" w:cs="Times New Roman"/>
                <w:color w:val="auto"/>
                <w:kern w:val="0"/>
                <w:sz w:val="24"/>
                <w:szCs w:val="24"/>
                <w:lang w:val="en-US" w:eastAsia="zh-CN" w:bidi="ar"/>
              </w:rPr>
              <w:t>t，活性炭每个月更换一次，更换量</w:t>
            </w:r>
            <w:r>
              <w:rPr>
                <w:rFonts w:hint="eastAsia" w:ascii="Times New Roman" w:hAnsi="Times New Roman" w:eastAsia="宋体" w:cs="Times New Roman"/>
                <w:color w:val="auto"/>
                <w:kern w:val="0"/>
                <w:sz w:val="24"/>
                <w:szCs w:val="24"/>
                <w:lang w:val="en-US" w:eastAsia="zh-CN" w:bidi="ar"/>
              </w:rPr>
              <w:t>9.72</w:t>
            </w:r>
            <w:r>
              <w:rPr>
                <w:rFonts w:hint="default" w:ascii="Times New Roman" w:hAnsi="Times New Roman" w:eastAsia="宋体" w:cs="Times New Roman"/>
                <w:color w:val="auto"/>
                <w:kern w:val="0"/>
                <w:sz w:val="24"/>
                <w:szCs w:val="24"/>
                <w:lang w:val="en-US" w:eastAsia="zh-CN" w:bidi="ar"/>
              </w:rPr>
              <w:t>t/a＞</w:t>
            </w:r>
            <w:r>
              <w:rPr>
                <w:rFonts w:hint="eastAsia" w:ascii="Times New Roman" w:hAnsi="Times New Roman" w:eastAsia="宋体" w:cs="Times New Roman"/>
                <w:color w:val="auto"/>
                <w:kern w:val="0"/>
                <w:sz w:val="24"/>
                <w:szCs w:val="24"/>
                <w:lang w:val="en-US" w:eastAsia="zh-CN" w:bidi="ar"/>
              </w:rPr>
              <w:t>理论量8.98</w:t>
            </w:r>
            <w:r>
              <w:rPr>
                <w:rFonts w:hint="eastAsia" w:cs="Times New Roman"/>
                <w:color w:val="auto"/>
                <w:kern w:val="0"/>
                <w:sz w:val="24"/>
                <w:szCs w:val="24"/>
                <w:lang w:val="en-US" w:eastAsia="zh-CN" w:bidi="ar"/>
              </w:rPr>
              <w:t>4</w:t>
            </w:r>
            <w:r>
              <w:rPr>
                <w:rFonts w:hint="default" w:ascii="Times New Roman" w:hAnsi="Times New Roman" w:eastAsia="宋体" w:cs="Times New Roman"/>
                <w:color w:val="auto"/>
                <w:kern w:val="0"/>
                <w:sz w:val="24"/>
                <w:szCs w:val="24"/>
                <w:lang w:val="en-US" w:eastAsia="zh-CN" w:bidi="ar"/>
              </w:rPr>
              <w:t>t/a</w:t>
            </w:r>
            <w:r>
              <w:rPr>
                <w:rFonts w:hint="default" w:ascii="Times New Roman" w:hAnsi="Times New Roman" w:eastAsia="宋体" w:cs="Times New Roman"/>
                <w:color w:val="auto"/>
                <w:kern w:val="0"/>
                <w:sz w:val="24"/>
                <w:szCs w:val="24"/>
                <w:lang w:val="en-US" w:eastAsia="zh-CN" w:bidi="ar"/>
              </w:rPr>
              <w:t>，可保证废气处理需要，更换下来的废活性炭约为</w:t>
            </w:r>
            <w:r>
              <w:rPr>
                <w:rFonts w:hint="eastAsia" w:ascii="Times New Roman" w:hAnsi="Times New Roman" w:eastAsia="宋体" w:cs="Times New Roman"/>
                <w:color w:val="auto"/>
                <w:kern w:val="0"/>
                <w:sz w:val="24"/>
                <w:szCs w:val="24"/>
                <w:lang w:val="en-US" w:eastAsia="zh-CN" w:bidi="ar"/>
              </w:rPr>
              <w:t>11.516</w:t>
            </w:r>
            <w:r>
              <w:rPr>
                <w:rFonts w:hint="default" w:ascii="Times New Roman" w:hAnsi="Times New Roman" w:eastAsia="宋体" w:cs="Times New Roman"/>
                <w:color w:val="auto"/>
                <w:kern w:val="0"/>
                <w:sz w:val="24"/>
                <w:szCs w:val="24"/>
                <w:lang w:val="en-US" w:eastAsia="zh-CN" w:bidi="ar"/>
              </w:rPr>
              <w:t>t/a。</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80" w:firstLineChars="200"/>
              <w:jc w:val="left"/>
              <w:textAlignment w:val="auto"/>
              <w:rPr>
                <w:rFonts w:hint="default" w:ascii="Times New Roman" w:hAnsi="Times New Roman" w:cs="Times New Roman"/>
                <w:color w:val="auto"/>
                <w:sz w:val="24"/>
                <w:szCs w:val="24"/>
              </w:rPr>
            </w:pPr>
            <w:r>
              <w:rPr>
                <w:rFonts w:hint="default" w:ascii="Times New Roman" w:hAnsi="Times New Roman" w:eastAsia="宋体" w:cs="Times New Roman"/>
                <w:color w:val="auto"/>
                <w:kern w:val="0"/>
                <w:sz w:val="24"/>
                <w:szCs w:val="24"/>
                <w:lang w:val="en-US" w:eastAsia="zh-CN" w:bidi="ar"/>
              </w:rPr>
              <w:t>废活性炭属于《国家危险废物名录（2021年版）》中“HW49其他废物/非特定行业/900-039-49/烟气、VOCs治理过程（不包括餐饮行业油烟治理过程）产生的废活性炭，化学原料和化学制品脱色（不包括有机合成食品添加剂脱色）、除杂、净化过程产生的废活性炭（不包括900-405-06、772-005-18、261-053-29、265-002-29、384-003-29、387-001-29类废物）”，更换后废活性炭采用密封胶袋装好后，暂存在危险废物仓库内，定期收集后交由有</w:t>
            </w:r>
            <w:r>
              <w:rPr>
                <w:rFonts w:hint="eastAsia" w:ascii="Times New Roman" w:hAnsi="Times New Roman" w:eastAsia="宋体" w:cs="Times New Roman"/>
                <w:color w:val="auto"/>
                <w:kern w:val="0"/>
                <w:sz w:val="24"/>
                <w:szCs w:val="24"/>
                <w:lang w:val="en-US" w:eastAsia="zh-CN" w:bidi="ar"/>
              </w:rPr>
              <w:t>危险废物</w:t>
            </w:r>
            <w:r>
              <w:rPr>
                <w:rFonts w:hint="default" w:ascii="Times New Roman" w:hAnsi="Times New Roman" w:eastAsia="宋体" w:cs="Times New Roman"/>
                <w:color w:val="auto"/>
                <w:kern w:val="0"/>
                <w:sz w:val="24"/>
                <w:szCs w:val="24"/>
                <w:lang w:val="en-US" w:eastAsia="zh-CN" w:bidi="ar"/>
              </w:rPr>
              <w:t>资质的单位回收处理。</w:t>
            </w:r>
          </w:p>
          <w:p>
            <w:pPr>
              <w:pStyle w:val="12"/>
              <w:widowControl w:val="0"/>
              <w:snapToGrid/>
              <w:spacing w:before="0" w:after="0" w:line="360" w:lineRule="auto"/>
              <w:ind w:right="0" w:firstLine="480" w:firstLineChars="200"/>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综上可知，项目产生的固体废物通过以上措施处理后，可以得到及时、妥善地处理和处置，不会对周围环境产生大的污染影响。</w:t>
            </w:r>
          </w:p>
          <w:p>
            <w:pPr>
              <w:widowControl/>
              <w:spacing w:line="360" w:lineRule="auto"/>
              <w:jc w:val="center"/>
              <w:rPr>
                <w:rFonts w:hint="default" w:ascii="Times New Roman" w:hAnsi="Times New Roman" w:cs="Times New Roman"/>
                <w:color w:val="auto"/>
                <w:sz w:val="24"/>
                <w:szCs w:val="32"/>
                <w:vertAlign w:val="baseline"/>
              </w:rPr>
            </w:pPr>
            <w:r>
              <w:rPr>
                <w:rFonts w:hint="default" w:ascii="Times New Roman" w:hAnsi="Times New Roman" w:cs="Times New Roman"/>
                <w:b/>
                <w:bCs/>
                <w:color w:val="auto"/>
                <w:sz w:val="24"/>
                <w:szCs w:val="24"/>
              </w:rPr>
              <w:t>表</w:t>
            </w:r>
            <w:r>
              <w:rPr>
                <w:rFonts w:hint="default" w:ascii="Times New Roman" w:hAnsi="Times New Roman" w:cs="Times New Roman"/>
                <w:b/>
                <w:bCs/>
                <w:color w:val="auto"/>
                <w:sz w:val="24"/>
                <w:szCs w:val="24"/>
                <w:lang w:val="en-US" w:eastAsia="zh-CN"/>
              </w:rPr>
              <w:t>4-</w:t>
            </w:r>
            <w:r>
              <w:rPr>
                <w:rFonts w:hint="eastAsia" w:ascii="Times New Roman" w:hAnsi="Times New Roman" w:cs="Times New Roman"/>
                <w:b/>
                <w:bCs/>
                <w:color w:val="auto"/>
                <w:sz w:val="24"/>
                <w:szCs w:val="24"/>
                <w:lang w:val="en-US" w:eastAsia="zh-CN"/>
              </w:rPr>
              <w:t>32</w:t>
            </w:r>
            <w:r>
              <w:rPr>
                <w:rFonts w:hint="default" w:ascii="Times New Roman" w:hAnsi="Times New Roman" w:cs="Times New Roman"/>
                <w:b/>
                <w:bCs/>
                <w:color w:val="auto"/>
                <w:sz w:val="24"/>
                <w:szCs w:val="24"/>
              </w:rPr>
              <w:t xml:space="preserve"> 项目固体废物产生情况汇总表</w:t>
            </w:r>
          </w:p>
          <w:tbl>
            <w:tblPr>
              <w:tblStyle w:val="33"/>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83"/>
              <w:gridCol w:w="1769"/>
              <w:gridCol w:w="702"/>
              <w:gridCol w:w="1587"/>
              <w:gridCol w:w="1558"/>
              <w:gridCol w:w="933"/>
              <w:gridCol w:w="15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color w:val="auto"/>
                      <w:sz w:val="21"/>
                      <w:szCs w:val="21"/>
                      <w:lang w:val="en-US" w:eastAsia="zh-CN"/>
                    </w:rPr>
                    <w:t>序号</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b/>
                      <w:color w:val="auto"/>
                      <w:sz w:val="21"/>
                      <w:szCs w:val="21"/>
                    </w:rPr>
                    <w:t>固废</w:t>
                  </w:r>
                  <w:r>
                    <w:rPr>
                      <w:rFonts w:hint="default" w:ascii="Times New Roman" w:hAnsi="Times New Roman" w:cs="Times New Roman"/>
                      <w:b/>
                      <w:color w:val="auto"/>
                      <w:kern w:val="0"/>
                      <w:sz w:val="21"/>
                      <w:szCs w:val="21"/>
                    </w:rPr>
                    <w:t>名称</w:t>
                  </w:r>
                </w:p>
              </w:tc>
              <w:tc>
                <w:tcPr>
                  <w:tcW w:w="4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b/>
                      <w:color w:val="auto"/>
                      <w:sz w:val="21"/>
                      <w:szCs w:val="21"/>
                    </w:rPr>
                    <w:t>固废属性</w:t>
                  </w: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rPr>
                  </w:pPr>
                  <w:r>
                    <w:rPr>
                      <w:rFonts w:hint="default" w:ascii="Times New Roman" w:hAnsi="Times New Roman" w:cs="Times New Roman"/>
                      <w:b/>
                      <w:color w:val="auto"/>
                      <w:sz w:val="21"/>
                      <w:szCs w:val="21"/>
                      <w:lang w:val="en-US" w:eastAsia="zh-CN"/>
                    </w:rPr>
                    <w:t>固体废物代码</w:t>
                  </w:r>
                </w:p>
              </w:tc>
              <w:tc>
                <w:tcPr>
                  <w:tcW w:w="910"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b/>
                      <w:bCs/>
                      <w:color w:val="auto"/>
                      <w:sz w:val="21"/>
                      <w:szCs w:val="21"/>
                    </w:rPr>
                    <w:t>来源</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b/>
                      <w:color w:val="auto"/>
                      <w:sz w:val="21"/>
                      <w:szCs w:val="21"/>
                    </w:rPr>
                    <w:t>产生量 （t/a）</w:t>
                  </w:r>
                </w:p>
              </w:tc>
              <w:tc>
                <w:tcPr>
                  <w:tcW w:w="888"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vertAlign w:val="baseline"/>
                    </w:rPr>
                  </w:pPr>
                  <w:r>
                    <w:rPr>
                      <w:rFonts w:hint="default" w:ascii="Times New Roman" w:hAnsi="Times New Roman" w:cs="Times New Roman"/>
                      <w:b/>
                      <w:bCs/>
                      <w:color w:val="auto"/>
                      <w:sz w:val="21"/>
                      <w:szCs w:val="21"/>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vertAlign w:val="baseline"/>
                      <w:lang w:val="en-US"/>
                    </w:rPr>
                  </w:pPr>
                  <w:r>
                    <w:rPr>
                      <w:rFonts w:hint="default" w:ascii="Times New Roman" w:hAnsi="Times New Roman" w:cs="Times New Roman"/>
                      <w:color w:val="auto"/>
                      <w:sz w:val="21"/>
                      <w:szCs w:val="21"/>
                      <w:lang w:val="en-US" w:eastAsia="zh-CN"/>
                    </w:rPr>
                    <w:t>废铜铝箔边角料</w:t>
                  </w:r>
                </w:p>
              </w:tc>
              <w:tc>
                <w:tcPr>
                  <w:tcW w:w="41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bCs/>
                      <w:color w:val="auto"/>
                      <w:kern w:val="0"/>
                      <w:sz w:val="21"/>
                      <w:szCs w:val="21"/>
                    </w:rPr>
                    <w:t>一般固废</w:t>
                  </w: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rPr>
                  </w:pPr>
                  <w:r>
                    <w:rPr>
                      <w:rFonts w:hint="default" w:ascii="Times New Roman" w:hAnsi="Times New Roman" w:eastAsia="宋体" w:cs="Times New Roman"/>
                      <w:color w:val="auto"/>
                      <w:sz w:val="21"/>
                      <w:szCs w:val="21"/>
                      <w:lang w:val="en-US" w:eastAsia="zh-CN"/>
                    </w:rPr>
                    <w:t>384-001-10</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vertAlign w:val="baseline"/>
                      <w:lang w:val="en-US"/>
                    </w:rPr>
                  </w:pPr>
                  <w:r>
                    <w:rPr>
                      <w:rFonts w:hint="default" w:ascii="Times New Roman" w:hAnsi="Times New Roman" w:cs="Times New Roman"/>
                      <w:snapToGrid w:val="0"/>
                      <w:color w:val="auto"/>
                      <w:sz w:val="21"/>
                      <w:szCs w:val="21"/>
                      <w:lang w:val="en-US" w:eastAsia="zh-CN"/>
                    </w:rPr>
                    <w:t>涂布</w:t>
                  </w:r>
                </w:p>
              </w:tc>
              <w:tc>
                <w:tcPr>
                  <w:tcW w:w="545"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rPr>
                  </w:pPr>
                  <w:r>
                    <w:rPr>
                      <w:rFonts w:hint="eastAsia" w:ascii="Times New Roman" w:hAnsi="Times New Roman" w:eastAsia="宋体" w:cs="Times New Roman"/>
                      <w:b w:val="0"/>
                      <w:bCs w:val="0"/>
                      <w:color w:val="auto"/>
                      <w:sz w:val="21"/>
                      <w:szCs w:val="21"/>
                      <w:lang w:val="en-US" w:eastAsia="zh-CN"/>
                    </w:rPr>
                    <w:t>0.704</w:t>
                  </w:r>
                </w:p>
              </w:tc>
              <w:tc>
                <w:tcPr>
                  <w:tcW w:w="888"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rPr>
                    <w:t>专业回收公司回收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2</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lang w:val="en-US" w:eastAsia="zh-CN"/>
                    </w:rPr>
                    <w:t>分条边角料</w:t>
                  </w:r>
                </w:p>
              </w:tc>
              <w:tc>
                <w:tcPr>
                  <w:tcW w:w="41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lang w:val="en-US" w:eastAsia="zh-CN"/>
                    </w:rPr>
                    <w:t>384-001-10</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分条</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rPr>
                  </w:pPr>
                  <w:r>
                    <w:rPr>
                      <w:rFonts w:hint="default" w:ascii="Times New Roman" w:hAnsi="Times New Roman" w:cs="Times New Roman"/>
                      <w:color w:val="auto"/>
                      <w:sz w:val="21"/>
                      <w:szCs w:val="21"/>
                      <w:lang w:val="en-US" w:eastAsia="zh-CN"/>
                    </w:rPr>
                    <w:t>0.3</w:t>
                  </w:r>
                </w:p>
              </w:tc>
              <w:tc>
                <w:tcPr>
                  <w:tcW w:w="88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3</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废隔膜纸</w:t>
                  </w:r>
                </w:p>
              </w:tc>
              <w:tc>
                <w:tcPr>
                  <w:tcW w:w="41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900-999-99</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卷绕</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c>
                <w:tcPr>
                  <w:tcW w:w="88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4</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废铝塑膜</w:t>
                  </w:r>
                </w:p>
              </w:tc>
              <w:tc>
                <w:tcPr>
                  <w:tcW w:w="41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900-999-99</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冲壳、组装</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c>
                <w:tcPr>
                  <w:tcW w:w="88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5</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kern w:val="2"/>
                      <w:sz w:val="21"/>
                      <w:szCs w:val="21"/>
                      <w:vertAlign w:val="baseline"/>
                      <w:lang w:val="en-US" w:eastAsia="zh-CN" w:bidi="ar-SA"/>
                    </w:rPr>
                  </w:pPr>
                  <w:r>
                    <w:rPr>
                      <w:rFonts w:hint="default" w:ascii="Times New Roman" w:hAnsi="Times New Roman" w:cs="Times New Roman"/>
                      <w:bCs/>
                      <w:color w:val="auto"/>
                      <w:kern w:val="0"/>
                      <w:sz w:val="21"/>
                      <w:szCs w:val="21"/>
                      <w:lang w:val="en-US" w:eastAsia="zh-CN"/>
                    </w:rPr>
                    <w:t>废包装材料</w:t>
                  </w:r>
                </w:p>
              </w:tc>
              <w:tc>
                <w:tcPr>
                  <w:tcW w:w="41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vertAlign w:val="baseline"/>
                      <w:lang w:val="en-US" w:eastAsia="zh-CN" w:bidi="ar-SA"/>
                    </w:rPr>
                  </w:pP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384-001-07</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lang w:val="en-US" w:eastAsia="zh-CN"/>
                    </w:rPr>
                    <w:t>产品包装</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1</w:t>
                  </w:r>
                </w:p>
              </w:tc>
              <w:tc>
                <w:tcPr>
                  <w:tcW w:w="88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6</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 w:val="21"/>
                      <w:szCs w:val="21"/>
                      <w:lang w:val="en-US" w:eastAsia="zh-CN"/>
                    </w:rPr>
                  </w:pPr>
                  <w:r>
                    <w:rPr>
                      <w:rFonts w:hint="default" w:ascii="Times New Roman" w:hAnsi="Times New Roman" w:cs="Times New Roman"/>
                      <w:bCs/>
                      <w:color w:val="auto"/>
                      <w:kern w:val="0"/>
                      <w:sz w:val="21"/>
                      <w:szCs w:val="21"/>
                      <w:lang w:val="en-US" w:eastAsia="zh-CN"/>
                    </w:rPr>
                    <w:t>废电池</w:t>
                  </w:r>
                </w:p>
              </w:tc>
              <w:tc>
                <w:tcPr>
                  <w:tcW w:w="41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vertAlign w:val="baseline"/>
                      <w:lang w:val="en-US" w:eastAsia="zh-CN" w:bidi="ar-SA"/>
                    </w:rPr>
                  </w:pP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384-001-14</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老化测试</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r>
                    <w:rPr>
                      <w:rFonts w:hint="eastAsia" w:ascii="Times New Roman" w:hAnsi="Times New Roman" w:cs="Times New Roman"/>
                      <w:color w:val="auto"/>
                      <w:sz w:val="21"/>
                      <w:szCs w:val="21"/>
                      <w:lang w:val="en-US" w:eastAsia="zh-CN"/>
                    </w:rPr>
                    <w:t>378</w:t>
                  </w:r>
                </w:p>
              </w:tc>
              <w:tc>
                <w:tcPr>
                  <w:tcW w:w="88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8</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vertAlign w:val="baseline"/>
                      <w:lang w:val="en-US"/>
                    </w:rPr>
                  </w:pPr>
                  <w:r>
                    <w:rPr>
                      <w:rFonts w:hint="default" w:ascii="Times New Roman" w:hAnsi="Times New Roman" w:cs="Times New Roman"/>
                      <w:b w:val="0"/>
                      <w:bCs w:val="0"/>
                      <w:color w:val="auto"/>
                      <w:sz w:val="21"/>
                      <w:szCs w:val="21"/>
                      <w:lang w:val="en-US" w:eastAsia="zh-CN"/>
                    </w:rPr>
                    <w:t>废包装桶/袋</w:t>
                  </w:r>
                </w:p>
              </w:tc>
              <w:tc>
                <w:tcPr>
                  <w:tcW w:w="410"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rPr>
                    <w:t>危险废物</w:t>
                  </w: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rPr>
                    <w:t>900-041-49</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原辅料包装</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2</w:t>
                  </w:r>
                </w:p>
              </w:tc>
              <w:tc>
                <w:tcPr>
                  <w:tcW w:w="888" w:type="pct"/>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eastAsia" w:ascii="Times New Roman" w:hAnsi="Times New Roman" w:cs="Times New Roman"/>
                      <w:color w:val="auto"/>
                      <w:sz w:val="21"/>
                      <w:szCs w:val="21"/>
                      <w:lang w:val="en-US" w:eastAsia="zh-CN"/>
                    </w:rPr>
                    <w:t>危险废物</w:t>
                  </w:r>
                  <w:r>
                    <w:rPr>
                      <w:rFonts w:hint="default" w:ascii="Times New Roman" w:hAnsi="Times New Roman" w:cs="Times New Roman"/>
                      <w:color w:val="auto"/>
                      <w:sz w:val="21"/>
                      <w:szCs w:val="21"/>
                    </w:rPr>
                    <w:t>资质的单位回收处理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vertAlign w:val="baseline"/>
                      <w:lang w:val="en-US" w:eastAsia="zh-CN" w:bidi="ar-SA"/>
                    </w:rPr>
                  </w:pPr>
                  <w:r>
                    <w:rPr>
                      <w:rFonts w:hint="default" w:ascii="Times New Roman" w:hAnsi="Times New Roman" w:cs="Times New Roman"/>
                      <w:color w:val="auto"/>
                      <w:kern w:val="2"/>
                      <w:sz w:val="21"/>
                      <w:szCs w:val="21"/>
                      <w:vertAlign w:val="baseline"/>
                      <w:lang w:val="en-US" w:eastAsia="zh-CN" w:bidi="ar-SA"/>
                    </w:rPr>
                    <w:t>9</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rPr>
                    <w:t>废抹布</w:t>
                  </w:r>
                </w:p>
              </w:tc>
              <w:tc>
                <w:tcPr>
                  <w:tcW w:w="41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rPr>
                    <w:t>900-041-49</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r>
                    <w:rPr>
                      <w:rFonts w:hint="default" w:ascii="Times New Roman" w:hAnsi="Times New Roman" w:cs="Times New Roman"/>
                      <w:color w:val="auto"/>
                      <w:sz w:val="21"/>
                      <w:szCs w:val="21"/>
                      <w:lang w:bidi="ar"/>
                    </w:rPr>
                    <w:t>擦拭清洁设备</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0.2</w:t>
                  </w:r>
                </w:p>
              </w:tc>
              <w:tc>
                <w:tcPr>
                  <w:tcW w:w="88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vertAlign w:val="baseline"/>
                      <w:lang w:val="en-US" w:eastAsia="zh-CN" w:bidi="ar-SA"/>
                    </w:rPr>
                  </w:pPr>
                  <w:r>
                    <w:rPr>
                      <w:rFonts w:hint="default" w:ascii="Times New Roman" w:hAnsi="Times New Roman" w:cs="Times New Roman"/>
                      <w:color w:val="auto"/>
                      <w:kern w:val="2"/>
                      <w:sz w:val="21"/>
                      <w:szCs w:val="21"/>
                      <w:vertAlign w:val="baseline"/>
                      <w:lang w:val="en-US" w:eastAsia="zh-CN" w:bidi="ar-SA"/>
                    </w:rPr>
                    <w:t>10</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清洗废液</w:t>
                  </w:r>
                </w:p>
              </w:tc>
              <w:tc>
                <w:tcPr>
                  <w:tcW w:w="41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900-007-09</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清洗废液</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10.56</w:t>
                  </w:r>
                </w:p>
              </w:tc>
              <w:tc>
                <w:tcPr>
                  <w:tcW w:w="88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vertAlign w:val="baseline"/>
                      <w:lang w:val="en-US" w:eastAsia="zh-CN" w:bidi="ar-SA"/>
                    </w:rPr>
                    <w:t>11</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NMP废液</w:t>
                  </w:r>
                </w:p>
              </w:tc>
              <w:tc>
                <w:tcPr>
                  <w:tcW w:w="41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kern w:val="2"/>
                      <w:sz w:val="21"/>
                      <w:szCs w:val="21"/>
                      <w:vertAlign w:val="baseline"/>
                      <w:lang w:val="en-US" w:eastAsia="zh-CN" w:bidi="ar-SA"/>
                    </w:rPr>
                  </w:pP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900-404-06</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废气处理</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14.004</w:t>
                  </w:r>
                </w:p>
              </w:tc>
              <w:tc>
                <w:tcPr>
                  <w:tcW w:w="88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vertAlign w:val="baseli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1</w:t>
                  </w:r>
                  <w:r>
                    <w:rPr>
                      <w:rFonts w:hint="eastAsia" w:ascii="Times New Roman" w:hAnsi="Times New Roman" w:eastAsia="宋体" w:cs="Times New Roman"/>
                      <w:color w:val="auto"/>
                      <w:kern w:val="2"/>
                      <w:sz w:val="21"/>
                      <w:szCs w:val="21"/>
                      <w:vertAlign w:val="baseline"/>
                      <w:lang w:val="en-US" w:eastAsia="zh-CN" w:bidi="ar-SA"/>
                    </w:rPr>
                    <w:t>2</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kern w:val="2"/>
                      <w:sz w:val="21"/>
                      <w:szCs w:val="21"/>
                      <w:vertAlign w:val="baseline"/>
                      <w:lang w:val="en-US" w:eastAsia="zh-CN" w:bidi="ar-SA"/>
                    </w:rPr>
                  </w:pPr>
                  <w:r>
                    <w:rPr>
                      <w:rFonts w:hint="default" w:ascii="Times New Roman" w:hAnsi="Times New Roman" w:cs="Times New Roman"/>
                      <w:color w:val="auto"/>
                      <w:sz w:val="21"/>
                      <w:szCs w:val="21"/>
                    </w:rPr>
                    <w:t>废活性炭</w:t>
                  </w:r>
                </w:p>
              </w:tc>
              <w:tc>
                <w:tcPr>
                  <w:tcW w:w="410"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kern w:val="2"/>
                      <w:sz w:val="21"/>
                      <w:szCs w:val="21"/>
                      <w:vertAlign w:val="baseline"/>
                      <w:lang w:val="en-US" w:eastAsia="zh-CN" w:bidi="ar-SA"/>
                    </w:rPr>
                  </w:pP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kern w:val="2"/>
                      <w:sz w:val="21"/>
                      <w:szCs w:val="21"/>
                      <w:vertAlign w:val="baseline"/>
                      <w:lang w:val="en-US" w:eastAsia="zh-CN" w:bidi="ar-SA"/>
                    </w:rPr>
                  </w:pPr>
                  <w:r>
                    <w:rPr>
                      <w:rFonts w:hint="default" w:ascii="Times New Roman" w:hAnsi="Times New Roman" w:eastAsia="宋体" w:cs="Times New Roman"/>
                      <w:color w:val="auto"/>
                      <w:kern w:val="0"/>
                      <w:sz w:val="21"/>
                      <w:szCs w:val="21"/>
                      <w:lang w:val="en-US" w:eastAsia="zh-CN" w:bidi="ar"/>
                    </w:rPr>
                    <w:t>900-039-49</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kern w:val="2"/>
                      <w:sz w:val="21"/>
                      <w:szCs w:val="21"/>
                      <w:vertAlign w:val="baseline"/>
                      <w:lang w:val="en-US" w:eastAsia="zh-CN" w:bidi="ar-SA"/>
                    </w:rPr>
                  </w:pPr>
                  <w:r>
                    <w:rPr>
                      <w:rFonts w:hint="default" w:ascii="Times New Roman" w:hAnsi="Times New Roman" w:cs="Times New Roman"/>
                      <w:color w:val="auto"/>
                      <w:kern w:val="2"/>
                      <w:sz w:val="21"/>
                      <w:szCs w:val="21"/>
                      <w:vertAlign w:val="baseline"/>
                      <w:lang w:val="en-US" w:eastAsia="zh-CN" w:bidi="ar-SA"/>
                    </w:rPr>
                    <w:t>废气处理</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11.516</w:t>
                  </w:r>
                </w:p>
              </w:tc>
              <w:tc>
                <w:tcPr>
                  <w:tcW w:w="888" w:type="pct"/>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vertAlign w:val="baseline"/>
                      <w:lang w:val="en-US" w:eastAsia="zh-CN" w:bidi="ar-SA"/>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1</w:t>
                  </w:r>
                  <w:r>
                    <w:rPr>
                      <w:rFonts w:hint="eastAsia" w:ascii="Times New Roman" w:hAnsi="Times New Roman" w:eastAsia="宋体" w:cs="Times New Roman"/>
                      <w:color w:val="auto"/>
                      <w:sz w:val="21"/>
                      <w:szCs w:val="21"/>
                      <w:vertAlign w:val="baseline"/>
                      <w:lang w:val="en-US" w:eastAsia="zh-CN"/>
                    </w:rPr>
                    <w:t>3</w:t>
                  </w:r>
                </w:p>
              </w:tc>
              <w:tc>
                <w:tcPr>
                  <w:tcW w:w="103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c>
                <w:tcPr>
                  <w:tcW w:w="4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生活垃圾</w:t>
                  </w:r>
                </w:p>
              </w:tc>
              <w:tc>
                <w:tcPr>
                  <w:tcW w:w="927"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w:t>
                  </w:r>
                </w:p>
              </w:tc>
              <w:tc>
                <w:tcPr>
                  <w:tcW w:w="910"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bCs/>
                      <w:color w:val="auto"/>
                      <w:sz w:val="21"/>
                      <w:szCs w:val="21"/>
                    </w:rPr>
                  </w:pPr>
                  <w:r>
                    <w:rPr>
                      <w:rFonts w:hint="default" w:ascii="Times New Roman" w:hAnsi="Times New Roman" w:cs="Times New Roman"/>
                      <w:color w:val="auto"/>
                      <w:sz w:val="21"/>
                      <w:szCs w:val="21"/>
                      <w:lang w:bidi="ar"/>
                    </w:rPr>
                    <w:t>日常生活</w:t>
                  </w:r>
                </w:p>
              </w:tc>
              <w:tc>
                <w:tcPr>
                  <w:tcW w:w="5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6.72</w:t>
                  </w:r>
                </w:p>
              </w:tc>
              <w:tc>
                <w:tcPr>
                  <w:tcW w:w="888"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rPr>
                  </w:pPr>
                  <w:r>
                    <w:rPr>
                      <w:rFonts w:hint="default" w:ascii="Times New Roman" w:hAnsi="Times New Roman" w:cs="Times New Roman"/>
                      <w:bCs/>
                      <w:color w:val="auto"/>
                      <w:sz w:val="21"/>
                      <w:szCs w:val="21"/>
                    </w:rPr>
                    <w:t>环卫部门统一清运</w:t>
                  </w:r>
                </w:p>
              </w:tc>
            </w:tr>
          </w:tbl>
          <w:p>
            <w:pPr>
              <w:spacing w:before="120" w:beforeLines="50" w:line="360" w:lineRule="auto"/>
              <w:jc w:val="center"/>
              <w:rPr>
                <w:rFonts w:hint="default" w:ascii="Times New Roman" w:hAnsi="Times New Roman" w:cs="Times New Roman"/>
                <w:b/>
                <w:color w:val="auto"/>
                <w:kern w:val="1"/>
                <w:sz w:val="24"/>
                <w:szCs w:val="24"/>
              </w:rPr>
            </w:pPr>
            <w:r>
              <w:rPr>
                <w:rFonts w:hint="default" w:ascii="Times New Roman" w:hAnsi="Times New Roman" w:cs="Times New Roman"/>
                <w:b/>
                <w:bCs/>
                <w:color w:val="auto"/>
                <w:sz w:val="24"/>
                <w:szCs w:val="24"/>
              </w:rPr>
              <w:t>表4</w:t>
            </w:r>
            <w:r>
              <w:rPr>
                <w:rFonts w:hint="default" w:ascii="Times New Roman" w:hAnsi="Times New Roman" w:cs="Times New Roman"/>
                <w:b/>
                <w:bCs/>
                <w:color w:val="auto"/>
                <w:sz w:val="24"/>
                <w:szCs w:val="24"/>
                <w:lang w:val="en-US" w:eastAsia="zh-CN"/>
              </w:rPr>
              <w:t>-3</w:t>
            </w:r>
            <w:r>
              <w:rPr>
                <w:rFonts w:hint="eastAsia" w:ascii="Times New Roman" w:hAnsi="Times New Roman" w:cs="Times New Roman"/>
                <w:b/>
                <w:bCs/>
                <w:color w:val="auto"/>
                <w:sz w:val="24"/>
                <w:szCs w:val="24"/>
                <w:lang w:val="en-US" w:eastAsia="zh-CN"/>
              </w:rPr>
              <w:t>3</w:t>
            </w:r>
            <w:r>
              <w:rPr>
                <w:rFonts w:hint="default" w:ascii="Times New Roman" w:hAnsi="Times New Roman" w:cs="Times New Roman"/>
                <w:b/>
                <w:bCs/>
                <w:color w:val="auto"/>
                <w:sz w:val="24"/>
                <w:szCs w:val="24"/>
              </w:rPr>
              <w:t xml:space="preserve"> 项目危险废物排放情况汇总表</w:t>
            </w:r>
          </w:p>
          <w:tbl>
            <w:tblPr>
              <w:tblStyle w:val="32"/>
              <w:tblW w:w="4997"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524"/>
              <w:gridCol w:w="1374"/>
              <w:gridCol w:w="811"/>
              <w:gridCol w:w="1405"/>
              <w:gridCol w:w="859"/>
              <w:gridCol w:w="969"/>
              <w:gridCol w:w="1563"/>
              <w:gridCol w:w="1046"/>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306" w:type="pct"/>
                  <w:noWrap w:val="0"/>
                  <w:vAlign w:val="center"/>
                </w:tcPr>
                <w:p>
                  <w:pPr>
                    <w:widowControl/>
                    <w:jc w:val="center"/>
                    <w:textAlignment w:val="center"/>
                    <w:rPr>
                      <w:rFonts w:hint="default" w:ascii="Times New Roman" w:hAnsi="Times New Roman" w:cs="Times New Roman"/>
                      <w:b/>
                      <w:bCs/>
                      <w:color w:val="auto"/>
                      <w:szCs w:val="21"/>
                    </w:rPr>
                  </w:pPr>
                  <w:r>
                    <w:rPr>
                      <w:rFonts w:hint="default" w:ascii="Times New Roman" w:hAnsi="Times New Roman" w:cs="Times New Roman"/>
                      <w:b/>
                      <w:color w:val="auto"/>
                      <w:kern w:val="0"/>
                      <w:szCs w:val="21"/>
                    </w:rPr>
                    <w:t>序号</w:t>
                  </w:r>
                </w:p>
              </w:tc>
              <w:tc>
                <w:tcPr>
                  <w:tcW w:w="803"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危险废物名称</w:t>
                  </w:r>
                </w:p>
              </w:tc>
              <w:tc>
                <w:tcPr>
                  <w:tcW w:w="474"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危险废物类别</w:t>
                  </w:r>
                </w:p>
              </w:tc>
              <w:tc>
                <w:tcPr>
                  <w:tcW w:w="821"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危险废物代码</w:t>
                  </w:r>
                </w:p>
              </w:tc>
              <w:tc>
                <w:tcPr>
                  <w:tcW w:w="502"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产生量（t/a）</w:t>
                  </w:r>
                </w:p>
              </w:tc>
              <w:tc>
                <w:tcPr>
                  <w:tcW w:w="566"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有害成分</w:t>
                  </w:r>
                </w:p>
              </w:tc>
              <w:tc>
                <w:tcPr>
                  <w:tcW w:w="913"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color w:val="auto"/>
                      <w:szCs w:val="21"/>
                    </w:rPr>
                    <w:t>产生工序及装置</w:t>
                  </w:r>
                </w:p>
              </w:tc>
              <w:tc>
                <w:tcPr>
                  <w:tcW w:w="611" w:type="pct"/>
                  <w:noWrap w:val="0"/>
                  <w:vAlign w:val="center"/>
                </w:tcPr>
                <w:p>
                  <w:pPr>
                    <w:widowControl/>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处置措施</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02" w:hRule="atLeast"/>
                <w:jc w:val="center"/>
              </w:trPr>
              <w:tc>
                <w:tcPr>
                  <w:tcW w:w="306" w:type="pct"/>
                  <w:noWrap w:val="0"/>
                  <w:vAlign w:val="center"/>
                </w:tcPr>
                <w:p>
                  <w:pPr>
                    <w:widowControl/>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1</w:t>
                  </w:r>
                </w:p>
              </w:tc>
              <w:tc>
                <w:tcPr>
                  <w:tcW w:w="80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snapToGrid w:val="0"/>
                      <w:color w:val="auto"/>
                      <w:kern w:val="0"/>
                      <w:sz w:val="21"/>
                      <w:szCs w:val="21"/>
                      <w:lang w:val="en-US" w:eastAsia="zh-CN" w:bidi="ar-SA"/>
                    </w:rPr>
                  </w:pPr>
                  <w:r>
                    <w:rPr>
                      <w:rFonts w:hint="default" w:ascii="Times New Roman" w:hAnsi="Times New Roman" w:cs="Times New Roman"/>
                      <w:b w:val="0"/>
                      <w:bCs w:val="0"/>
                      <w:color w:val="auto"/>
                      <w:sz w:val="21"/>
                      <w:szCs w:val="21"/>
                      <w:lang w:val="en-US" w:eastAsia="zh-CN"/>
                    </w:rPr>
                    <w:t>废包装桶/袋</w:t>
                  </w:r>
                </w:p>
              </w:tc>
              <w:tc>
                <w:tcPr>
                  <w:tcW w:w="474"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HW</w:t>
                  </w:r>
                  <w:r>
                    <w:rPr>
                      <w:rFonts w:hint="default" w:ascii="Times New Roman" w:hAnsi="Times New Roman" w:cs="Times New Roman"/>
                      <w:color w:val="auto"/>
                      <w:szCs w:val="21"/>
                      <w:lang w:val="en-US" w:eastAsia="zh-CN"/>
                    </w:rPr>
                    <w:t>49</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 w:val="21"/>
                      <w:szCs w:val="21"/>
                    </w:rPr>
                    <w:t>900-041-49</w:t>
                  </w:r>
                </w:p>
              </w:tc>
              <w:tc>
                <w:tcPr>
                  <w:tcW w:w="50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 w:val="21"/>
                      <w:szCs w:val="21"/>
                      <w:vertAlign w:val="baseline"/>
                      <w:lang w:val="en-US" w:eastAsia="zh-CN"/>
                    </w:rPr>
                    <w:t>2</w:t>
                  </w:r>
                </w:p>
              </w:tc>
              <w:tc>
                <w:tcPr>
                  <w:tcW w:w="566" w:type="pct"/>
                  <w:noWrap w:val="0"/>
                  <w:vAlign w:val="center"/>
                </w:tcPr>
                <w:p>
                  <w:pPr>
                    <w:widowControl/>
                    <w:jc w:val="center"/>
                    <w:rPr>
                      <w:rFonts w:hint="default" w:ascii="Times New Roman" w:hAnsi="Times New Roman" w:cs="Times New Roman"/>
                      <w:snapToGrid w:val="0"/>
                      <w:color w:val="auto"/>
                      <w:kern w:val="2"/>
                      <w:sz w:val="21"/>
                      <w:szCs w:val="21"/>
                      <w:lang w:val="en-US" w:eastAsia="zh-CN" w:bidi="ar-SA"/>
                    </w:rPr>
                  </w:pPr>
                  <w:r>
                    <w:rPr>
                      <w:rFonts w:hint="default" w:ascii="Times New Roman" w:hAnsi="Times New Roman" w:cs="Times New Roman"/>
                      <w:snapToGrid w:val="0"/>
                      <w:color w:val="auto"/>
                      <w:szCs w:val="21"/>
                    </w:rPr>
                    <w:t>有机物</w:t>
                  </w:r>
                </w:p>
              </w:tc>
              <w:tc>
                <w:tcPr>
                  <w:tcW w:w="91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snapToGrid w:val="0"/>
                      <w:color w:val="auto"/>
                      <w:kern w:val="2"/>
                      <w:sz w:val="21"/>
                      <w:szCs w:val="21"/>
                      <w:lang w:val="en-US" w:eastAsia="zh-CN" w:bidi="ar-SA"/>
                    </w:rPr>
                  </w:pPr>
                  <w:r>
                    <w:rPr>
                      <w:rFonts w:hint="default" w:ascii="Times New Roman" w:hAnsi="Times New Roman" w:cs="Times New Roman"/>
                      <w:color w:val="auto"/>
                      <w:sz w:val="21"/>
                      <w:szCs w:val="21"/>
                      <w:vertAlign w:val="baseline"/>
                      <w:lang w:val="en-US" w:eastAsia="zh-CN"/>
                    </w:rPr>
                    <w:t>原辅料包装</w:t>
                  </w:r>
                </w:p>
              </w:tc>
              <w:tc>
                <w:tcPr>
                  <w:tcW w:w="611" w:type="pct"/>
                  <w:vMerge w:val="restart"/>
                  <w:noWrap w:val="0"/>
                  <w:vAlign w:val="center"/>
                </w:tcPr>
                <w:p>
                  <w:pPr>
                    <w:widowControl/>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rPr>
                    <w:t>有</w:t>
                  </w:r>
                  <w:r>
                    <w:rPr>
                      <w:rFonts w:hint="eastAsia" w:ascii="Times New Roman" w:hAnsi="Times New Roman" w:cs="Times New Roman"/>
                      <w:color w:val="auto"/>
                      <w:szCs w:val="21"/>
                      <w:lang w:val="en-US" w:eastAsia="zh-CN"/>
                    </w:rPr>
                    <w:t>危险废物</w:t>
                  </w:r>
                  <w:r>
                    <w:rPr>
                      <w:rFonts w:hint="default" w:ascii="Times New Roman" w:hAnsi="Times New Roman" w:cs="Times New Roman"/>
                      <w:color w:val="auto"/>
                      <w:szCs w:val="21"/>
                    </w:rPr>
                    <w:t>资质的单位回收处理</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306" w:type="pct"/>
                  <w:noWrap w:val="0"/>
                  <w:vAlign w:val="center"/>
                </w:tcPr>
                <w:p>
                  <w:pPr>
                    <w:widowControl/>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bCs/>
                      <w:color w:val="auto"/>
                      <w:kern w:val="0"/>
                      <w:szCs w:val="21"/>
                    </w:rPr>
                    <w:t>2</w:t>
                  </w:r>
                </w:p>
              </w:tc>
              <w:tc>
                <w:tcPr>
                  <w:tcW w:w="80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 w:val="21"/>
                      <w:szCs w:val="21"/>
                      <w:lang w:val="en-US" w:eastAsia="zh-CN" w:bidi="ar-SA"/>
                    </w:rPr>
                  </w:pPr>
                  <w:r>
                    <w:rPr>
                      <w:rFonts w:hint="default" w:ascii="Times New Roman" w:hAnsi="Times New Roman" w:cs="Times New Roman"/>
                      <w:color w:val="auto"/>
                      <w:sz w:val="21"/>
                      <w:szCs w:val="21"/>
                    </w:rPr>
                    <w:t>废抹布</w:t>
                  </w:r>
                </w:p>
              </w:tc>
              <w:tc>
                <w:tcPr>
                  <w:tcW w:w="474" w:type="pct"/>
                  <w:noWrap w:val="0"/>
                  <w:vAlign w:val="center"/>
                </w:tcPr>
                <w:p>
                  <w:pPr>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cs="Times New Roman"/>
                      <w:color w:val="auto"/>
                      <w:szCs w:val="21"/>
                    </w:rPr>
                    <w:t>HW</w:t>
                  </w:r>
                  <w:r>
                    <w:rPr>
                      <w:rFonts w:hint="default" w:ascii="Times New Roman" w:hAnsi="Times New Roman" w:cs="Times New Roman"/>
                      <w:color w:val="auto"/>
                      <w:szCs w:val="21"/>
                      <w:lang w:val="en-US" w:eastAsia="zh-CN"/>
                    </w:rPr>
                    <w:t>49</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snapToGrid w:val="0"/>
                      <w:color w:val="auto"/>
                      <w:kern w:val="2"/>
                      <w:sz w:val="21"/>
                      <w:szCs w:val="21"/>
                      <w:lang w:val="en-US" w:eastAsia="zh-CN" w:bidi="ar-SA"/>
                    </w:rPr>
                  </w:pPr>
                  <w:r>
                    <w:rPr>
                      <w:rFonts w:hint="default" w:ascii="Times New Roman" w:hAnsi="Times New Roman" w:cs="Times New Roman"/>
                      <w:color w:val="auto"/>
                      <w:sz w:val="21"/>
                      <w:szCs w:val="21"/>
                    </w:rPr>
                    <w:t>900-041-49</w:t>
                  </w:r>
                </w:p>
              </w:tc>
              <w:tc>
                <w:tcPr>
                  <w:tcW w:w="50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kern w:val="18"/>
                      <w:sz w:val="21"/>
                      <w:szCs w:val="21"/>
                      <w:lang w:val="en-US" w:eastAsia="zh-CN" w:bidi="ar-SA"/>
                    </w:rPr>
                  </w:pPr>
                  <w:r>
                    <w:rPr>
                      <w:rFonts w:hint="default" w:ascii="Times New Roman" w:hAnsi="Times New Roman" w:cs="Times New Roman"/>
                      <w:color w:val="auto"/>
                      <w:sz w:val="21"/>
                      <w:szCs w:val="21"/>
                      <w:vertAlign w:val="baseline"/>
                      <w:lang w:val="en-US" w:eastAsia="zh-CN"/>
                    </w:rPr>
                    <w:t>0.2</w:t>
                  </w:r>
                </w:p>
              </w:tc>
              <w:tc>
                <w:tcPr>
                  <w:tcW w:w="566" w:type="pct"/>
                  <w:noWrap w:val="0"/>
                  <w:vAlign w:val="center"/>
                </w:tcPr>
                <w:p>
                  <w:pPr>
                    <w:widowControl/>
                    <w:jc w:val="center"/>
                    <w:rPr>
                      <w:rFonts w:hint="default" w:ascii="Times New Roman" w:hAnsi="Times New Roman" w:cs="Times New Roman"/>
                      <w:snapToGrid w:val="0"/>
                      <w:color w:val="auto"/>
                      <w:kern w:val="2"/>
                      <w:sz w:val="21"/>
                      <w:szCs w:val="21"/>
                      <w:lang w:val="en-US" w:eastAsia="zh-CN" w:bidi="ar-SA"/>
                    </w:rPr>
                  </w:pPr>
                  <w:r>
                    <w:rPr>
                      <w:rFonts w:hint="default" w:ascii="Times New Roman" w:hAnsi="Times New Roman" w:cs="Times New Roman"/>
                      <w:snapToGrid w:val="0"/>
                      <w:color w:val="auto"/>
                      <w:szCs w:val="21"/>
                    </w:rPr>
                    <w:t>有机物</w:t>
                  </w:r>
                </w:p>
              </w:tc>
              <w:tc>
                <w:tcPr>
                  <w:tcW w:w="91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snapToGrid w:val="0"/>
                      <w:color w:val="auto"/>
                      <w:kern w:val="2"/>
                      <w:sz w:val="21"/>
                      <w:szCs w:val="21"/>
                      <w:lang w:val="en-US" w:eastAsia="zh-CN" w:bidi="ar-SA"/>
                    </w:rPr>
                  </w:pPr>
                  <w:r>
                    <w:rPr>
                      <w:rFonts w:hint="default" w:ascii="Times New Roman" w:hAnsi="Times New Roman" w:cs="Times New Roman"/>
                      <w:color w:val="auto"/>
                      <w:sz w:val="21"/>
                      <w:szCs w:val="21"/>
                      <w:lang w:bidi="ar"/>
                    </w:rPr>
                    <w:t>擦拭清洁设备</w:t>
                  </w:r>
                </w:p>
              </w:tc>
              <w:tc>
                <w:tcPr>
                  <w:tcW w:w="611" w:type="pct"/>
                  <w:vMerge w:val="continue"/>
                  <w:noWrap w:val="0"/>
                  <w:vAlign w:val="center"/>
                </w:tcPr>
                <w:p>
                  <w:pPr>
                    <w:widowControl/>
                    <w:jc w:val="center"/>
                    <w:rPr>
                      <w:rFonts w:hint="default" w:ascii="Times New Roman" w:hAnsi="Times New Roman" w:cs="Times New Roman"/>
                      <w:color w:val="auto"/>
                      <w:kern w:val="2"/>
                      <w:sz w:val="21"/>
                      <w:szCs w:val="21"/>
                      <w:lang w:val="en-US" w:eastAsia="zh-CN" w:bidi="ar-S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549" w:hRule="atLeast"/>
                <w:jc w:val="center"/>
              </w:trPr>
              <w:tc>
                <w:tcPr>
                  <w:tcW w:w="306" w:type="pct"/>
                  <w:noWrap w:val="0"/>
                  <w:vAlign w:val="center"/>
                </w:tcPr>
                <w:p>
                  <w:pPr>
                    <w:widowControl/>
                    <w:jc w:val="center"/>
                    <w:textAlignment w:val="center"/>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3</w:t>
                  </w:r>
                </w:p>
              </w:tc>
              <w:tc>
                <w:tcPr>
                  <w:tcW w:w="80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清洗废液</w:t>
                  </w:r>
                </w:p>
              </w:tc>
              <w:tc>
                <w:tcPr>
                  <w:tcW w:w="474"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HW09</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900-007-09</w:t>
                  </w:r>
                </w:p>
              </w:tc>
              <w:tc>
                <w:tcPr>
                  <w:tcW w:w="50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10.56</w:t>
                  </w:r>
                </w:p>
              </w:tc>
              <w:tc>
                <w:tcPr>
                  <w:tcW w:w="566" w:type="pct"/>
                  <w:noWrap w:val="0"/>
                  <w:vAlign w:val="center"/>
                </w:tcPr>
                <w:p>
                  <w:pPr>
                    <w:widowControl/>
                    <w:jc w:val="center"/>
                    <w:rPr>
                      <w:rFonts w:hint="default" w:ascii="Times New Roman" w:hAnsi="Times New Roman" w:eastAsia="宋体" w:cs="Times New Roman"/>
                      <w:snapToGrid w:val="0"/>
                      <w:color w:val="auto"/>
                      <w:szCs w:val="21"/>
                      <w:lang w:val="en-US" w:eastAsia="zh-CN"/>
                    </w:rPr>
                  </w:pPr>
                  <w:r>
                    <w:rPr>
                      <w:rFonts w:hint="default" w:ascii="Times New Roman" w:hAnsi="Times New Roman" w:cs="Times New Roman"/>
                      <w:snapToGrid w:val="0"/>
                      <w:color w:val="auto"/>
                      <w:szCs w:val="21"/>
                      <w:lang w:val="en-US" w:eastAsia="zh-CN"/>
                    </w:rPr>
                    <w:t>有机物</w:t>
                  </w:r>
                </w:p>
              </w:tc>
              <w:tc>
                <w:tcPr>
                  <w:tcW w:w="91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lang w:val="en-US" w:eastAsia="zh-CN" w:bidi="ar"/>
                    </w:rPr>
                  </w:pPr>
                  <w:r>
                    <w:rPr>
                      <w:rFonts w:hint="default" w:ascii="Times New Roman" w:hAnsi="Times New Roman" w:cs="Times New Roman"/>
                      <w:color w:val="auto"/>
                      <w:sz w:val="21"/>
                      <w:szCs w:val="21"/>
                      <w:lang w:val="en-US" w:eastAsia="zh-CN" w:bidi="ar"/>
                    </w:rPr>
                    <w:t>清洗工序</w:t>
                  </w:r>
                </w:p>
              </w:tc>
              <w:tc>
                <w:tcPr>
                  <w:tcW w:w="611" w:type="pct"/>
                  <w:vMerge w:val="continue"/>
                  <w:noWrap w:val="0"/>
                  <w:vAlign w:val="center"/>
                </w:tcPr>
                <w:p>
                  <w:pPr>
                    <w:widowControl/>
                    <w:jc w:val="center"/>
                    <w:rPr>
                      <w:rFonts w:hint="default" w:ascii="Times New Roman" w:hAnsi="Times New Roman" w:cs="Times New Roman"/>
                      <w:color w:val="auto"/>
                      <w:kern w:val="2"/>
                      <w:sz w:val="21"/>
                      <w:szCs w:val="21"/>
                      <w:lang w:val="en-US" w:eastAsia="zh-CN" w:bidi="ar-SA"/>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43" w:hRule="atLeast"/>
                <w:jc w:val="center"/>
              </w:trPr>
              <w:tc>
                <w:tcPr>
                  <w:tcW w:w="306" w:type="pct"/>
                  <w:noWrap w:val="0"/>
                  <w:vAlign w:val="center"/>
                </w:tcPr>
                <w:p>
                  <w:pPr>
                    <w:widowControl/>
                    <w:jc w:val="center"/>
                    <w:textAlignment w:val="center"/>
                    <w:rPr>
                      <w:rFonts w:hint="default" w:ascii="Times New Roman" w:hAnsi="Times New Roman" w:eastAsia="宋体" w:cs="Times New Roman"/>
                      <w:bCs/>
                      <w:color w:val="auto"/>
                      <w:kern w:val="0"/>
                      <w:szCs w:val="21"/>
                      <w:lang w:val="en-US" w:eastAsia="zh-CN"/>
                    </w:rPr>
                  </w:pPr>
                  <w:r>
                    <w:rPr>
                      <w:rFonts w:hint="default" w:ascii="Times New Roman" w:hAnsi="Times New Roman" w:eastAsia="宋体" w:cs="Times New Roman"/>
                      <w:bCs/>
                      <w:color w:val="auto"/>
                      <w:kern w:val="0"/>
                      <w:szCs w:val="21"/>
                      <w:lang w:val="en-US" w:eastAsia="zh-CN"/>
                    </w:rPr>
                    <w:t>4</w:t>
                  </w:r>
                </w:p>
              </w:tc>
              <w:tc>
                <w:tcPr>
                  <w:tcW w:w="80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NMP废液</w:t>
                  </w:r>
                </w:p>
              </w:tc>
              <w:tc>
                <w:tcPr>
                  <w:tcW w:w="474" w:type="pct"/>
                  <w:noWrap w:val="0"/>
                  <w:vAlign w:val="center"/>
                </w:tcPr>
                <w:p>
                  <w:pPr>
                    <w:jc w:val="center"/>
                    <w:rPr>
                      <w:rFonts w:hint="default" w:ascii="Times New Roman" w:hAnsi="Times New Roman" w:eastAsia="宋体" w:cs="Times New Roman"/>
                      <w:snapToGrid w:val="0"/>
                      <w:color w:val="auto"/>
                      <w:szCs w:val="21"/>
                      <w:lang w:val="en-US" w:eastAsia="zh-CN"/>
                    </w:rPr>
                  </w:pPr>
                  <w:r>
                    <w:rPr>
                      <w:rFonts w:hint="eastAsia" w:ascii="Times New Roman" w:hAnsi="Times New Roman" w:cs="Times New Roman"/>
                      <w:snapToGrid w:val="0"/>
                      <w:color w:val="auto"/>
                      <w:szCs w:val="21"/>
                      <w:lang w:val="en-US" w:eastAsia="zh-CN"/>
                    </w:rPr>
                    <w:t>HW06</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900-404-06</w:t>
                  </w:r>
                </w:p>
              </w:tc>
              <w:tc>
                <w:tcPr>
                  <w:tcW w:w="50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14.004</w:t>
                  </w:r>
                </w:p>
              </w:tc>
              <w:tc>
                <w:tcPr>
                  <w:tcW w:w="566" w:type="pct"/>
                  <w:noWrap w:val="0"/>
                  <w:vAlign w:val="center"/>
                </w:tcPr>
                <w:p>
                  <w:pPr>
                    <w:widowControl/>
                    <w:jc w:val="center"/>
                    <w:rPr>
                      <w:rFonts w:hint="default" w:ascii="Times New Roman" w:hAnsi="Times New Roman" w:eastAsia="宋体" w:cs="Times New Roman"/>
                      <w:snapToGrid w:val="0"/>
                      <w:color w:val="auto"/>
                      <w:szCs w:val="21"/>
                      <w:lang w:val="en-US" w:eastAsia="zh-CN"/>
                    </w:rPr>
                  </w:pPr>
                  <w:r>
                    <w:rPr>
                      <w:rFonts w:hint="eastAsia" w:ascii="Times New Roman" w:hAnsi="Times New Roman" w:cs="Times New Roman"/>
                      <w:snapToGrid w:val="0"/>
                      <w:color w:val="auto"/>
                      <w:szCs w:val="21"/>
                      <w:lang w:val="en-US" w:eastAsia="zh-CN"/>
                    </w:rPr>
                    <w:t>有机物</w:t>
                  </w:r>
                </w:p>
              </w:tc>
              <w:tc>
                <w:tcPr>
                  <w:tcW w:w="91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vertAlign w:val="baseline"/>
                      <w:lang w:val="en-US" w:eastAsia="zh-CN" w:bidi="ar-SA"/>
                    </w:rPr>
                    <w:t>废气处理</w:t>
                  </w:r>
                </w:p>
              </w:tc>
              <w:tc>
                <w:tcPr>
                  <w:tcW w:w="611" w:type="pct"/>
                  <w:vMerge w:val="continue"/>
                  <w:noWrap w:val="0"/>
                  <w:vAlign w:val="center"/>
                </w:tcPr>
                <w:p>
                  <w:pPr>
                    <w:widowControl/>
                    <w:jc w:val="center"/>
                    <w:rPr>
                      <w:rFonts w:hint="default" w:ascii="Times New Roman" w:hAnsi="Times New Roman" w:cs="Times New Roman"/>
                      <w:color w:val="auto"/>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643" w:hRule="atLeast"/>
                <w:jc w:val="center"/>
              </w:trPr>
              <w:tc>
                <w:tcPr>
                  <w:tcW w:w="306" w:type="pct"/>
                  <w:noWrap w:val="0"/>
                  <w:vAlign w:val="center"/>
                </w:tcPr>
                <w:p>
                  <w:pPr>
                    <w:widowControl/>
                    <w:jc w:val="center"/>
                    <w:textAlignment w:val="center"/>
                    <w:rPr>
                      <w:rFonts w:hint="default" w:ascii="Times New Roman" w:hAnsi="Times New Roman" w:eastAsia="宋体" w:cs="Times New Roman"/>
                      <w:bCs/>
                      <w:color w:val="auto"/>
                      <w:kern w:val="0"/>
                      <w:szCs w:val="21"/>
                      <w:lang w:val="en-US" w:eastAsia="zh-CN"/>
                    </w:rPr>
                  </w:pPr>
                  <w:r>
                    <w:rPr>
                      <w:rFonts w:hint="eastAsia" w:ascii="Times New Roman" w:hAnsi="Times New Roman" w:eastAsia="宋体" w:cs="Times New Roman"/>
                      <w:bCs/>
                      <w:color w:val="auto"/>
                      <w:kern w:val="0"/>
                      <w:szCs w:val="21"/>
                      <w:lang w:val="en-US" w:eastAsia="zh-CN"/>
                    </w:rPr>
                    <w:t>5</w:t>
                  </w:r>
                </w:p>
              </w:tc>
              <w:tc>
                <w:tcPr>
                  <w:tcW w:w="80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snapToGrid w:val="0"/>
                      <w:color w:val="auto"/>
                      <w:kern w:val="0"/>
                      <w:szCs w:val="21"/>
                    </w:rPr>
                  </w:pPr>
                  <w:r>
                    <w:rPr>
                      <w:rFonts w:hint="default" w:ascii="Times New Roman" w:hAnsi="Times New Roman" w:cs="Times New Roman"/>
                      <w:color w:val="auto"/>
                      <w:sz w:val="21"/>
                      <w:szCs w:val="21"/>
                    </w:rPr>
                    <w:t>废活性炭</w:t>
                  </w:r>
                </w:p>
              </w:tc>
              <w:tc>
                <w:tcPr>
                  <w:tcW w:w="474"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snapToGrid w:val="0"/>
                      <w:color w:val="auto"/>
                      <w:szCs w:val="21"/>
                    </w:rPr>
                    <w:t>HW</w:t>
                  </w:r>
                  <w:r>
                    <w:rPr>
                      <w:rFonts w:hint="default" w:ascii="Times New Roman" w:hAnsi="Times New Roman" w:cs="Times New Roman"/>
                      <w:snapToGrid w:val="0"/>
                      <w:color w:val="auto"/>
                      <w:szCs w:val="21"/>
                      <w:lang w:val="en-US" w:eastAsia="zh-CN"/>
                    </w:rPr>
                    <w:t>49</w:t>
                  </w:r>
                </w:p>
              </w:tc>
              <w:tc>
                <w:tcPr>
                  <w:tcW w:w="82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Cs w:val="21"/>
                    </w:rPr>
                  </w:pPr>
                  <w:r>
                    <w:rPr>
                      <w:rFonts w:hint="default" w:ascii="Times New Roman" w:hAnsi="Times New Roman" w:eastAsia="宋体" w:cs="Times New Roman"/>
                      <w:color w:val="auto"/>
                      <w:kern w:val="0"/>
                      <w:sz w:val="21"/>
                      <w:szCs w:val="21"/>
                      <w:lang w:val="en-US" w:eastAsia="zh-CN" w:bidi="ar"/>
                    </w:rPr>
                    <w:t>900-039-49</w:t>
                  </w:r>
                </w:p>
              </w:tc>
              <w:tc>
                <w:tcPr>
                  <w:tcW w:w="502"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11.516</w:t>
                  </w:r>
                </w:p>
              </w:tc>
              <w:tc>
                <w:tcPr>
                  <w:tcW w:w="566" w:type="pct"/>
                  <w:noWrap w:val="0"/>
                  <w:vAlign w:val="center"/>
                </w:tcPr>
                <w:p>
                  <w:pPr>
                    <w:widowControl/>
                    <w:jc w:val="center"/>
                    <w:rPr>
                      <w:rFonts w:hint="default" w:ascii="Times New Roman" w:hAnsi="Times New Roman" w:cs="Times New Roman"/>
                      <w:snapToGrid w:val="0"/>
                      <w:color w:val="auto"/>
                      <w:szCs w:val="21"/>
                    </w:rPr>
                  </w:pPr>
                  <w:r>
                    <w:rPr>
                      <w:rFonts w:hint="default" w:ascii="Times New Roman" w:hAnsi="Times New Roman" w:cs="Times New Roman"/>
                      <w:snapToGrid w:val="0"/>
                      <w:color w:val="auto"/>
                      <w:szCs w:val="21"/>
                    </w:rPr>
                    <w:t>有机物</w:t>
                  </w:r>
                </w:p>
              </w:tc>
              <w:tc>
                <w:tcPr>
                  <w:tcW w:w="913"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snapToGrid w:val="0"/>
                      <w:color w:val="auto"/>
                      <w:szCs w:val="21"/>
                    </w:rPr>
                  </w:pPr>
                  <w:r>
                    <w:rPr>
                      <w:rFonts w:hint="default" w:ascii="Times New Roman" w:hAnsi="Times New Roman" w:cs="Times New Roman"/>
                      <w:color w:val="auto"/>
                      <w:kern w:val="2"/>
                      <w:sz w:val="21"/>
                      <w:szCs w:val="21"/>
                      <w:vertAlign w:val="baseline"/>
                      <w:lang w:val="en-US" w:eastAsia="zh-CN" w:bidi="ar-SA"/>
                    </w:rPr>
                    <w:t>废气处理</w:t>
                  </w:r>
                </w:p>
              </w:tc>
              <w:tc>
                <w:tcPr>
                  <w:tcW w:w="611" w:type="pct"/>
                  <w:vMerge w:val="continue"/>
                  <w:noWrap w:val="0"/>
                  <w:vAlign w:val="center"/>
                </w:tcPr>
                <w:p>
                  <w:pPr>
                    <w:widowControl/>
                    <w:jc w:val="center"/>
                    <w:rPr>
                      <w:rFonts w:hint="default" w:ascii="Times New Roman" w:hAnsi="Times New Roman" w:cs="Times New Roman"/>
                      <w:color w:val="auto"/>
                      <w:szCs w:val="21"/>
                    </w:rPr>
                  </w:pPr>
                </w:p>
              </w:tc>
            </w:tr>
          </w:tbl>
          <w:p>
            <w:pPr>
              <w:keepNext w:val="0"/>
              <w:keepLines w:val="0"/>
              <w:pageBreakBefore w:val="0"/>
              <w:widowControl w:val="0"/>
              <w:kinsoku/>
              <w:wordWrap/>
              <w:overflowPunct/>
              <w:topLinePunct w:val="0"/>
              <w:autoSpaceDE/>
              <w:autoSpaceDN/>
              <w:bidi w:val="0"/>
              <w:adjustRightInd w:val="0"/>
              <w:snapToGrid/>
              <w:spacing w:before="157" w:beforeLines="50" w:line="360" w:lineRule="auto"/>
              <w:ind w:firstLine="480" w:firstLineChars="200"/>
              <w:textAlignment w:val="auto"/>
              <w:rPr>
                <w:rFonts w:hint="default" w:ascii="Times New Roman" w:hAnsi="Times New Roman" w:eastAsia="宋体" w:cs="Times New Roman"/>
                <w:color w:val="auto"/>
                <w:kern w:val="18"/>
                <w:sz w:val="24"/>
                <w:szCs w:val="24"/>
                <w:lang w:val="en-US" w:eastAsia="zh-CN"/>
              </w:rPr>
            </w:pPr>
            <w:r>
              <w:rPr>
                <w:rFonts w:hint="default" w:ascii="Times New Roman" w:hAnsi="Times New Roman" w:eastAsia="宋体" w:cs="Times New Roman"/>
                <w:color w:val="auto"/>
                <w:sz w:val="24"/>
                <w:szCs w:val="24"/>
              </w:rPr>
              <w:t>项目根据《建设项目危险废物环境影响评价指南</w:t>
            </w:r>
            <w:r>
              <w:rPr>
                <w:rFonts w:hint="default" w:ascii="Times New Roman" w:hAnsi="Times New Roman" w:eastAsia="宋体" w:cs="Times New Roman"/>
                <w:color w:val="auto"/>
                <w:kern w:val="18"/>
                <w:sz w:val="24"/>
                <w:szCs w:val="24"/>
                <w:lang w:val="en-US" w:eastAsia="zh-CN"/>
              </w:rPr>
              <w:t>》设立危险废物暂存间，专门储存危险废物。危险废物储存到一定量后交由有危险废物处置资质单位处理，危险废物贮存场所基本情况如下表。</w:t>
            </w:r>
          </w:p>
          <w:p>
            <w:pPr>
              <w:adjustRightInd w:val="0"/>
              <w:snapToGrid w:val="0"/>
              <w:spacing w:before="120" w:beforeLines="50"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4.2.4.2 固体废物污染环境管理要求</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（1）贮存仓库的设置要求</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①一般工业固废暂存措施</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一般工业固体废物贮存和填埋污染控制标准》(GB18599-2020)中的使用范围可知，项目的一般固体废物部分属于“采用库房、包装工具（罐、桶、包装袋等）贮存一般固体废物过程的污染控制，不适用本标准，其贮存过程应满足相应防渗漏、防雨淋、防扬尘等环境保护措施。”因此，本项目一般固体废物储存间必须采取防扬散、防流失、防渗漏或者其他防止污染环境的措施，必须符合国家环境保护标准，并对未处理的固体废物做出妥善处理，安全存放。对暂时不利用或者不能回收利用的一般工业固体废物，必须配套建设防雨淋、防渗漏、易识别等符合环境保护标准和管理要求，有专人看管，建立便于核查的进、出物料的台账记录和固体废物明细表。</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一般固体废物储存间按</w:t>
            </w:r>
            <w:r>
              <w:rPr>
                <w:rFonts w:hint="default" w:ascii="Times New Roman" w:hAnsi="Times New Roman" w:cs="Times New Roman"/>
                <w:color w:val="auto"/>
                <w:sz w:val="24"/>
              </w:rPr>
              <w:t>《环境保护图形标志</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固体废物贮存（处置）场》（GB15562.2-1995）</w:t>
            </w:r>
            <w:r>
              <w:rPr>
                <w:rFonts w:hint="default" w:ascii="Times New Roman" w:hAnsi="Times New Roman" w:cs="Times New Roman"/>
                <w:color w:val="auto"/>
                <w:sz w:val="24"/>
                <w:lang w:val="en-US" w:eastAsia="zh-CN"/>
              </w:rPr>
              <w:t>及其修改单中</w:t>
            </w:r>
            <w:r>
              <w:rPr>
                <w:rFonts w:hint="default" w:ascii="Times New Roman" w:hAnsi="Times New Roman" w:cs="Times New Roman"/>
                <w:color w:val="auto"/>
                <w:sz w:val="24"/>
                <w:lang w:val="en-US" w:eastAsia="zh-CN"/>
              </w:rPr>
              <w:t>的</w:t>
            </w:r>
            <w:r>
              <w:rPr>
                <w:rFonts w:hint="default" w:ascii="Times New Roman" w:hAnsi="Times New Roman" w:cs="Times New Roman"/>
                <w:color w:val="auto"/>
                <w:sz w:val="24"/>
              </w:rPr>
              <w:t>设置环境保护图形标志。企业需自觉履行固体废物申报登记制度。一般工业固体申报管理应认真落实《中华人民共和国固体废物污染环境防治法</w:t>
            </w:r>
            <w:r>
              <w:rPr>
                <w:rFonts w:hint="default" w:ascii="Times New Roman" w:hAnsi="Times New Roman" w:cs="Times New Roman"/>
                <w:color w:val="auto"/>
                <w:sz w:val="24"/>
                <w:szCs w:val="24"/>
              </w:rPr>
              <w:t>》</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中华人民共和国主席令第58号</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rPr>
              <w:t>第三十二条规定；国家实行工业固体废物申报登记制度。产生工业固体废物的单位必须按照国务院保护行政主管部门的规定，向所在地县级以上人民政府环境保护行政主管部门提供工业固体废物的种类、产生量、流向、贮存、处置等有关资料。</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一般工业固体废物产生单位必须如实申报正常作业条件下工业固体废物的种类、产生量、流向、贮存、利用、处置状况等有关资料，以及执行有关法律、法规的真实情况，不得隐瞒不报或者虚报、谎报。一般工业固体废物产生单位应于网上申报登记上一年度的信息，通过省固体废物管理信息平台依法申报固体废物的种类、产生量、流向、交接、贮存、利用、处置情况；申报企业要签署承诺书，依法向县级环保部门申报登记信息，确保申报数据的真实性、准确性和完整性。</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②危险废物暂存措施</w:t>
            </w:r>
          </w:p>
          <w:p>
            <w:pPr>
              <w:pStyle w:val="49"/>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项目中</w:t>
            </w:r>
            <w:r>
              <w:rPr>
                <w:rFonts w:hint="default" w:ascii="Times New Roman" w:hAnsi="Times New Roman" w:cs="Times New Roman"/>
                <w:bCs/>
                <w:color w:val="auto"/>
                <w:sz w:val="24"/>
                <w:lang w:val="en-US" w:eastAsia="zh-CN"/>
              </w:rPr>
              <w:t>废包装桶/袋、废抹布、</w:t>
            </w:r>
            <w:r>
              <w:rPr>
                <w:rFonts w:hint="eastAsia" w:ascii="Times New Roman" w:hAnsi="Times New Roman" w:cs="Times New Roman"/>
                <w:bCs/>
                <w:color w:val="auto"/>
                <w:sz w:val="24"/>
                <w:lang w:val="en-US" w:eastAsia="zh-CN"/>
              </w:rPr>
              <w:t>清洗废液、NMP废液、</w:t>
            </w:r>
            <w:r>
              <w:rPr>
                <w:rFonts w:hint="default" w:ascii="Times New Roman" w:hAnsi="Times New Roman" w:cs="Times New Roman"/>
                <w:bCs/>
                <w:color w:val="auto"/>
                <w:sz w:val="24"/>
              </w:rPr>
              <w:t>废活性炭</w:t>
            </w:r>
            <w:r>
              <w:rPr>
                <w:rFonts w:hint="default" w:ascii="Times New Roman" w:hAnsi="Times New Roman" w:cs="Times New Roman"/>
                <w:bCs/>
                <w:color w:val="auto"/>
                <w:sz w:val="24"/>
              </w:rPr>
              <w:t>等属于危险废物，暂存于危废贮存间，定期交由有危险废物处理资质的单位进行转移处置。</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color w:val="auto"/>
                <w:kern w:val="0"/>
                <w:sz w:val="24"/>
                <w:szCs w:val="24"/>
                <w:lang w:val="en-US" w:eastAsia="zh-CN"/>
              </w:rPr>
            </w:pPr>
            <w:r>
              <w:rPr>
                <w:rFonts w:hint="default" w:ascii="Times New Roman" w:hAnsi="Times New Roman" w:eastAsia="宋体" w:cs="Times New Roman"/>
                <w:b/>
                <w:color w:val="auto"/>
                <w:kern w:val="0"/>
                <w:sz w:val="24"/>
                <w:szCs w:val="24"/>
                <w:lang w:val="en-US" w:eastAsia="zh-CN"/>
              </w:rPr>
              <w:t>表4-3</w:t>
            </w:r>
            <w:r>
              <w:rPr>
                <w:rFonts w:hint="eastAsia" w:ascii="Times New Roman" w:hAnsi="Times New Roman" w:eastAsia="宋体" w:cs="Times New Roman"/>
                <w:b/>
                <w:color w:val="auto"/>
                <w:kern w:val="0"/>
                <w:sz w:val="24"/>
                <w:szCs w:val="24"/>
                <w:lang w:val="en-US" w:eastAsia="zh-CN"/>
              </w:rPr>
              <w:t>4</w:t>
            </w:r>
            <w:r>
              <w:rPr>
                <w:rFonts w:hint="default" w:ascii="Times New Roman" w:hAnsi="Times New Roman" w:eastAsia="宋体" w:cs="Times New Roman"/>
                <w:b/>
                <w:color w:val="auto"/>
                <w:kern w:val="0"/>
                <w:sz w:val="24"/>
                <w:szCs w:val="24"/>
                <w:lang w:val="en-US" w:eastAsia="zh-CN"/>
              </w:rPr>
              <w:t xml:space="preserve"> 危险废物贮存场所（设施）基本情况</w:t>
            </w:r>
          </w:p>
          <w:tbl>
            <w:tblPr>
              <w:tblStyle w:val="32"/>
              <w:tblW w:w="4995"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3" w:type="dxa"/>
                <w:bottom w:w="0" w:type="dxa"/>
                <w:right w:w="28" w:type="dxa"/>
              </w:tblCellMar>
            </w:tblPr>
            <w:tblGrid>
              <w:gridCol w:w="538"/>
              <w:gridCol w:w="1262"/>
              <w:gridCol w:w="1200"/>
              <w:gridCol w:w="847"/>
              <w:gridCol w:w="1154"/>
              <w:gridCol w:w="847"/>
              <w:gridCol w:w="676"/>
              <w:gridCol w:w="755"/>
              <w:gridCol w:w="599"/>
              <w:gridCol w:w="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8" w:type="dxa"/>
                </w:tblCellMar>
              </w:tblPrEx>
              <w:trPr>
                <w:trHeight w:val="687" w:hRule="atLeast"/>
              </w:trPr>
              <w:tc>
                <w:tcPr>
                  <w:tcW w:w="315" w:type="pct"/>
                  <w:tcBorders>
                    <w:tl2br w:val="nil"/>
                    <w:tr2bl w:val="nil"/>
                  </w:tcBorders>
                  <w:noWrap w:val="0"/>
                  <w:vAlign w:val="center"/>
                </w:tcPr>
                <w:p>
                  <w:pPr>
                    <w:spacing w:line="360" w:lineRule="auto"/>
                    <w:jc w:val="center"/>
                    <w:rPr>
                      <w:rFonts w:hint="default" w:ascii="Times New Roman" w:hAnsi="Times New Roman" w:eastAsia="宋体" w:cs="Times New Roman"/>
                      <w:color w:val="auto"/>
                      <w:kern w:val="0"/>
                      <w:sz w:val="21"/>
                      <w:szCs w:val="21"/>
                      <w:lang w:eastAsia="zh-CN"/>
                    </w:rPr>
                  </w:pPr>
                  <w:r>
                    <w:rPr>
                      <w:rFonts w:hint="default" w:ascii="Times New Roman" w:hAnsi="Times New Roman" w:eastAsia="宋体" w:cs="Times New Roman"/>
                      <w:b/>
                      <w:bCs w:val="0"/>
                      <w:i w:val="0"/>
                      <w:color w:val="auto"/>
                      <w:kern w:val="0"/>
                      <w:sz w:val="21"/>
                      <w:szCs w:val="21"/>
                      <w:u w:val="none"/>
                      <w:lang w:val="en-US" w:eastAsia="zh-CN" w:bidi="ar"/>
                    </w:rPr>
                    <w:t>序号</w:t>
                  </w:r>
                </w:p>
              </w:tc>
              <w:tc>
                <w:tcPr>
                  <w:tcW w:w="739"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val="0"/>
                      <w:i w:val="0"/>
                      <w:color w:val="auto"/>
                      <w:kern w:val="0"/>
                      <w:sz w:val="21"/>
                      <w:szCs w:val="21"/>
                      <w:u w:val="none"/>
                      <w:lang w:val="en-US" w:eastAsia="zh-CN" w:bidi="ar"/>
                    </w:rPr>
                  </w:pPr>
                  <w:r>
                    <w:rPr>
                      <w:rFonts w:hint="default" w:ascii="Times New Roman" w:hAnsi="Times New Roman" w:eastAsia="宋体" w:cs="Times New Roman"/>
                      <w:b/>
                      <w:bCs w:val="0"/>
                      <w:i w:val="0"/>
                      <w:color w:val="auto"/>
                      <w:kern w:val="0"/>
                      <w:sz w:val="21"/>
                      <w:szCs w:val="21"/>
                      <w:u w:val="none"/>
                      <w:lang w:val="en-US" w:eastAsia="zh-CN" w:bidi="ar"/>
                    </w:rPr>
                    <w:t>贮存场所（设施）名称</w:t>
                  </w:r>
                </w:p>
              </w:tc>
              <w:tc>
                <w:tcPr>
                  <w:tcW w:w="703"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val="0"/>
                      <w:i w:val="0"/>
                      <w:color w:val="auto"/>
                      <w:kern w:val="0"/>
                      <w:sz w:val="21"/>
                      <w:szCs w:val="21"/>
                      <w:u w:val="none"/>
                      <w:lang w:val="en-US" w:eastAsia="zh-CN" w:bidi="ar"/>
                    </w:rPr>
                  </w:pPr>
                  <w:r>
                    <w:rPr>
                      <w:rFonts w:hint="default" w:ascii="Times New Roman" w:hAnsi="Times New Roman" w:eastAsia="宋体" w:cs="Times New Roman"/>
                      <w:b/>
                      <w:bCs w:val="0"/>
                      <w:i w:val="0"/>
                      <w:color w:val="auto"/>
                      <w:kern w:val="0"/>
                      <w:sz w:val="21"/>
                      <w:szCs w:val="21"/>
                      <w:u w:val="none"/>
                      <w:lang w:val="en-US" w:eastAsia="zh-CN" w:bidi="ar"/>
                    </w:rPr>
                    <w:t>危险废物名称</w:t>
                  </w:r>
                </w:p>
              </w:tc>
              <w:tc>
                <w:tcPr>
                  <w:tcW w:w="49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val="0"/>
                      <w:i w:val="0"/>
                      <w:color w:val="auto"/>
                      <w:kern w:val="0"/>
                      <w:sz w:val="21"/>
                      <w:szCs w:val="21"/>
                      <w:u w:val="none"/>
                      <w:lang w:val="en-US" w:eastAsia="zh-CN" w:bidi="ar"/>
                    </w:rPr>
                  </w:pPr>
                  <w:r>
                    <w:rPr>
                      <w:rFonts w:hint="default" w:ascii="Times New Roman" w:hAnsi="Times New Roman" w:eastAsia="宋体" w:cs="Times New Roman"/>
                      <w:b/>
                      <w:bCs w:val="0"/>
                      <w:i w:val="0"/>
                      <w:color w:val="auto"/>
                      <w:kern w:val="0"/>
                      <w:sz w:val="21"/>
                      <w:szCs w:val="21"/>
                      <w:u w:val="none"/>
                      <w:lang w:val="en-US" w:eastAsia="zh-CN" w:bidi="ar"/>
                    </w:rPr>
                    <w:t>危险废物类别</w:t>
                  </w:r>
                </w:p>
              </w:tc>
              <w:tc>
                <w:tcPr>
                  <w:tcW w:w="67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val="0"/>
                      <w:i w:val="0"/>
                      <w:color w:val="auto"/>
                      <w:kern w:val="0"/>
                      <w:sz w:val="21"/>
                      <w:szCs w:val="21"/>
                      <w:u w:val="none"/>
                      <w:lang w:val="en-US" w:eastAsia="zh-CN" w:bidi="ar"/>
                    </w:rPr>
                  </w:pPr>
                  <w:r>
                    <w:rPr>
                      <w:rFonts w:hint="default" w:ascii="Times New Roman" w:hAnsi="Times New Roman" w:eastAsia="宋体" w:cs="Times New Roman"/>
                      <w:b/>
                      <w:bCs w:val="0"/>
                      <w:i w:val="0"/>
                      <w:color w:val="auto"/>
                      <w:kern w:val="0"/>
                      <w:sz w:val="21"/>
                      <w:szCs w:val="21"/>
                      <w:u w:val="none"/>
                      <w:lang w:val="en-US" w:eastAsia="zh-CN" w:bidi="ar"/>
                    </w:rPr>
                    <w:t>危险废物代码</w:t>
                  </w:r>
                </w:p>
              </w:tc>
              <w:tc>
                <w:tcPr>
                  <w:tcW w:w="49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val="0"/>
                      <w:i w:val="0"/>
                      <w:color w:val="auto"/>
                      <w:kern w:val="0"/>
                      <w:sz w:val="21"/>
                      <w:szCs w:val="21"/>
                      <w:u w:val="none"/>
                      <w:lang w:val="en-US" w:eastAsia="zh-CN" w:bidi="ar"/>
                    </w:rPr>
                  </w:pPr>
                  <w:r>
                    <w:rPr>
                      <w:rFonts w:hint="default" w:ascii="Times New Roman" w:hAnsi="Times New Roman" w:eastAsia="宋体" w:cs="Times New Roman"/>
                      <w:b/>
                      <w:bCs w:val="0"/>
                      <w:i w:val="0"/>
                      <w:color w:val="auto"/>
                      <w:kern w:val="0"/>
                      <w:sz w:val="21"/>
                      <w:szCs w:val="21"/>
                      <w:u w:val="none"/>
                      <w:lang w:val="en-US" w:eastAsia="zh-CN" w:bidi="ar"/>
                    </w:rPr>
                    <w:t>位置</w:t>
                  </w:r>
                </w:p>
              </w:tc>
              <w:tc>
                <w:tcPr>
                  <w:tcW w:w="396"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val="0"/>
                      <w:i w:val="0"/>
                      <w:color w:val="auto"/>
                      <w:kern w:val="0"/>
                      <w:sz w:val="21"/>
                      <w:szCs w:val="21"/>
                      <w:u w:val="none"/>
                      <w:lang w:val="en-US" w:eastAsia="zh-CN" w:bidi="ar"/>
                    </w:rPr>
                  </w:pPr>
                  <w:r>
                    <w:rPr>
                      <w:rFonts w:hint="default" w:ascii="Times New Roman" w:hAnsi="Times New Roman" w:eastAsia="宋体" w:cs="Times New Roman"/>
                      <w:b/>
                      <w:bCs w:val="0"/>
                      <w:i w:val="0"/>
                      <w:color w:val="auto"/>
                      <w:kern w:val="0"/>
                      <w:sz w:val="21"/>
                      <w:szCs w:val="21"/>
                      <w:u w:val="none"/>
                      <w:lang w:val="en-US" w:eastAsia="zh-CN" w:bidi="ar"/>
                    </w:rPr>
                    <w:t>占地面积</w:t>
                  </w:r>
                </w:p>
              </w:tc>
              <w:tc>
                <w:tcPr>
                  <w:tcW w:w="442"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val="0"/>
                      <w:i w:val="0"/>
                      <w:color w:val="auto"/>
                      <w:kern w:val="0"/>
                      <w:sz w:val="21"/>
                      <w:szCs w:val="21"/>
                      <w:u w:val="none"/>
                      <w:lang w:val="en-US" w:eastAsia="zh-CN" w:bidi="ar"/>
                    </w:rPr>
                  </w:pPr>
                  <w:r>
                    <w:rPr>
                      <w:rFonts w:hint="default" w:ascii="Times New Roman" w:hAnsi="Times New Roman" w:eastAsia="宋体" w:cs="Times New Roman"/>
                      <w:b/>
                      <w:bCs w:val="0"/>
                      <w:i w:val="0"/>
                      <w:color w:val="auto"/>
                      <w:kern w:val="0"/>
                      <w:sz w:val="21"/>
                      <w:szCs w:val="21"/>
                      <w:u w:val="none"/>
                      <w:lang w:val="en-US" w:eastAsia="zh-CN" w:bidi="ar"/>
                    </w:rPr>
                    <w:t>贮存方式</w:t>
                  </w:r>
                </w:p>
              </w:tc>
              <w:tc>
                <w:tcPr>
                  <w:tcW w:w="351"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val="0"/>
                      <w:i w:val="0"/>
                      <w:color w:val="auto"/>
                      <w:kern w:val="0"/>
                      <w:sz w:val="21"/>
                      <w:szCs w:val="21"/>
                      <w:u w:val="none"/>
                      <w:lang w:val="en-US" w:eastAsia="zh-CN" w:bidi="ar"/>
                    </w:rPr>
                  </w:pPr>
                  <w:r>
                    <w:rPr>
                      <w:rFonts w:hint="default" w:ascii="Times New Roman" w:hAnsi="Times New Roman" w:eastAsia="宋体" w:cs="Times New Roman"/>
                      <w:b/>
                      <w:bCs w:val="0"/>
                      <w:i w:val="0"/>
                      <w:color w:val="auto"/>
                      <w:kern w:val="0"/>
                      <w:sz w:val="21"/>
                      <w:szCs w:val="21"/>
                      <w:u w:val="none"/>
                      <w:lang w:val="en-US" w:eastAsia="zh-CN" w:bidi="ar"/>
                    </w:rPr>
                    <w:t>贮存能力</w:t>
                  </w:r>
                </w:p>
              </w:tc>
              <w:tc>
                <w:tcPr>
                  <w:tcW w:w="382" w:type="pc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b/>
                      <w:bCs w:val="0"/>
                      <w:i w:val="0"/>
                      <w:color w:val="auto"/>
                      <w:kern w:val="0"/>
                      <w:sz w:val="21"/>
                      <w:szCs w:val="21"/>
                      <w:u w:val="none"/>
                      <w:lang w:val="en-US" w:eastAsia="zh-CN" w:bidi="ar"/>
                    </w:rPr>
                  </w:pPr>
                  <w:r>
                    <w:rPr>
                      <w:rFonts w:hint="default" w:ascii="Times New Roman" w:hAnsi="Times New Roman" w:eastAsia="宋体" w:cs="Times New Roman"/>
                      <w:b/>
                      <w:bCs w:val="0"/>
                      <w:i w:val="0"/>
                      <w:color w:val="auto"/>
                      <w:kern w:val="0"/>
                      <w:sz w:val="21"/>
                      <w:szCs w:val="21"/>
                      <w:u w:val="none"/>
                      <w:lang w:val="en-US" w:eastAsia="zh-CN" w:bidi="ar"/>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8" w:type="dxa"/>
                </w:tblCellMar>
              </w:tblPrEx>
              <w:trPr>
                <w:trHeight w:val="425" w:hRule="atLeast"/>
              </w:trPr>
              <w:tc>
                <w:tcPr>
                  <w:tcW w:w="315"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cs="Times New Roman"/>
                      <w:bCs/>
                      <w:color w:val="auto"/>
                      <w:kern w:val="0"/>
                      <w:szCs w:val="21"/>
                    </w:rPr>
                    <w:t>1</w:t>
                  </w:r>
                </w:p>
              </w:tc>
              <w:tc>
                <w:tcPr>
                  <w:tcW w:w="739" w:type="pct"/>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kern w:val="18"/>
                      <w:sz w:val="21"/>
                      <w:szCs w:val="21"/>
                      <w:lang w:val="en-US" w:eastAsia="zh-CN"/>
                    </w:rPr>
                    <w:t>危险废物暂存间</w:t>
                  </w:r>
                </w:p>
              </w:tc>
              <w:tc>
                <w:tcPr>
                  <w:tcW w:w="70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cs="Times New Roman"/>
                      <w:b w:val="0"/>
                      <w:bCs w:val="0"/>
                      <w:color w:val="auto"/>
                      <w:sz w:val="21"/>
                      <w:szCs w:val="21"/>
                      <w:lang w:val="en-US" w:eastAsia="zh-CN"/>
                    </w:rPr>
                    <w:t>废包装桶</w:t>
                  </w:r>
                  <w:r>
                    <w:rPr>
                      <w:rFonts w:hint="eastAsia" w:ascii="Times New Roman" w:hAnsi="Times New Roman" w:cs="Times New Roman"/>
                      <w:b w:val="0"/>
                      <w:bCs w:val="0"/>
                      <w:color w:val="auto"/>
                      <w:sz w:val="21"/>
                      <w:szCs w:val="21"/>
                      <w:lang w:val="en-US" w:eastAsia="zh-CN"/>
                    </w:rPr>
                    <w:t>/</w:t>
                  </w:r>
                  <w:r>
                    <w:rPr>
                      <w:rFonts w:hint="default" w:ascii="Times New Roman" w:hAnsi="Times New Roman" w:cs="Times New Roman"/>
                      <w:b w:val="0"/>
                      <w:bCs w:val="0"/>
                      <w:color w:val="auto"/>
                      <w:sz w:val="21"/>
                      <w:szCs w:val="21"/>
                      <w:lang w:val="en-US" w:eastAsia="zh-CN"/>
                    </w:rPr>
                    <w:t>袋</w:t>
                  </w:r>
                </w:p>
              </w:tc>
              <w:tc>
                <w:tcPr>
                  <w:tcW w:w="496" w:type="pct"/>
                  <w:tcBorders>
                    <w:tl2br w:val="nil"/>
                    <w:tr2bl w:val="nil"/>
                  </w:tcBorders>
                  <w:noWrap w:val="0"/>
                  <w:vAlign w:val="center"/>
                </w:tcPr>
                <w:p>
                  <w:pPr>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cs="Times New Roman"/>
                      <w:color w:val="auto"/>
                      <w:szCs w:val="21"/>
                    </w:rPr>
                    <w:t>HW</w:t>
                  </w:r>
                  <w:r>
                    <w:rPr>
                      <w:rFonts w:hint="default" w:ascii="Times New Roman" w:hAnsi="Times New Roman" w:cs="Times New Roman"/>
                      <w:color w:val="auto"/>
                      <w:szCs w:val="21"/>
                      <w:lang w:val="en-US" w:eastAsia="zh-CN"/>
                    </w:rPr>
                    <w:t>49</w:t>
                  </w:r>
                </w:p>
              </w:tc>
              <w:tc>
                <w:tcPr>
                  <w:tcW w:w="67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cs="Times New Roman"/>
                      <w:color w:val="auto"/>
                      <w:sz w:val="21"/>
                      <w:szCs w:val="21"/>
                    </w:rPr>
                    <w:t>900-041-49</w:t>
                  </w:r>
                </w:p>
              </w:tc>
              <w:tc>
                <w:tcPr>
                  <w:tcW w:w="496" w:type="pct"/>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kern w:val="18"/>
                      <w:sz w:val="21"/>
                      <w:szCs w:val="21"/>
                      <w:lang w:val="en-US" w:eastAsia="zh-CN"/>
                    </w:rPr>
                    <w:t>位于仓库西南侧</w:t>
                  </w:r>
                </w:p>
              </w:tc>
              <w:tc>
                <w:tcPr>
                  <w:tcW w:w="396" w:type="pct"/>
                  <w:vMerge w:val="restar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eastAsia" w:ascii="Times New Roman" w:hAnsi="Times New Roman" w:eastAsia="宋体" w:cs="Times New Roman"/>
                      <w:color w:val="auto"/>
                      <w:kern w:val="18"/>
                      <w:sz w:val="21"/>
                      <w:szCs w:val="21"/>
                      <w:lang w:val="en-US" w:eastAsia="zh-CN"/>
                    </w:rPr>
                    <w:t>15</w:t>
                  </w:r>
                  <w:r>
                    <w:rPr>
                      <w:rFonts w:hint="default" w:ascii="Times New Roman" w:hAnsi="Times New Roman" w:eastAsia="宋体" w:cs="Times New Roman"/>
                      <w:color w:val="auto"/>
                      <w:kern w:val="18"/>
                      <w:sz w:val="21"/>
                      <w:szCs w:val="21"/>
                      <w:lang w:val="en-US" w:eastAsia="zh-CN"/>
                    </w:rPr>
                    <w:t>m</w:t>
                  </w:r>
                  <w:r>
                    <w:rPr>
                      <w:rFonts w:hint="default" w:ascii="Times New Roman" w:hAnsi="Times New Roman" w:eastAsia="宋体" w:cs="Times New Roman"/>
                      <w:color w:val="auto"/>
                      <w:kern w:val="18"/>
                      <w:sz w:val="21"/>
                      <w:szCs w:val="21"/>
                      <w:vertAlign w:val="superscript"/>
                      <w:lang w:val="en-US" w:eastAsia="zh-CN"/>
                    </w:rPr>
                    <w:t>2</w:t>
                  </w:r>
                </w:p>
              </w:tc>
              <w:tc>
                <w:tcPr>
                  <w:tcW w:w="442" w:type="pc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sz w:val="21"/>
                      <w:szCs w:val="21"/>
                    </w:rPr>
                    <w:t>桶装</w:t>
                  </w:r>
                </w:p>
              </w:tc>
              <w:tc>
                <w:tcPr>
                  <w:tcW w:w="351" w:type="pc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sz w:val="21"/>
                      <w:szCs w:val="21"/>
                      <w:lang w:val="en-US" w:eastAsia="zh-CN"/>
                    </w:rPr>
                    <w:t>1t</w:t>
                  </w:r>
                </w:p>
              </w:tc>
              <w:tc>
                <w:tcPr>
                  <w:tcW w:w="382" w:type="pc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kern w:val="18"/>
                      <w:sz w:val="21"/>
                      <w:szCs w:val="21"/>
                      <w:lang w:val="en-US" w:eastAsia="zh-CN"/>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8" w:type="dxa"/>
                </w:tblCellMar>
              </w:tblPrEx>
              <w:trPr>
                <w:trHeight w:val="375" w:hRule="atLeast"/>
              </w:trPr>
              <w:tc>
                <w:tcPr>
                  <w:tcW w:w="315"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cs="Times New Roman"/>
                      <w:bCs/>
                      <w:color w:val="auto"/>
                      <w:kern w:val="0"/>
                      <w:szCs w:val="21"/>
                    </w:rPr>
                    <w:t>2</w:t>
                  </w:r>
                </w:p>
              </w:tc>
              <w:tc>
                <w:tcPr>
                  <w:tcW w:w="739"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70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b w:val="0"/>
                      <w:bCs/>
                      <w:color w:val="auto"/>
                      <w:kern w:val="0"/>
                      <w:sz w:val="21"/>
                      <w:szCs w:val="21"/>
                      <w:lang w:val="en-US" w:eastAsia="zh-CN"/>
                    </w:rPr>
                  </w:pPr>
                  <w:r>
                    <w:rPr>
                      <w:rFonts w:hint="default" w:ascii="Times New Roman" w:hAnsi="Times New Roman" w:cs="Times New Roman"/>
                      <w:color w:val="auto"/>
                      <w:sz w:val="21"/>
                      <w:szCs w:val="21"/>
                    </w:rPr>
                    <w:t>废抹布</w:t>
                  </w:r>
                </w:p>
              </w:tc>
              <w:tc>
                <w:tcPr>
                  <w:tcW w:w="496" w:type="pct"/>
                  <w:tcBorders>
                    <w:tl2br w:val="nil"/>
                    <w:tr2bl w:val="nil"/>
                  </w:tcBorders>
                  <w:noWrap w:val="0"/>
                  <w:vAlign w:val="center"/>
                </w:tcPr>
                <w:p>
                  <w:pPr>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Cs w:val="21"/>
                    </w:rPr>
                    <w:t>HW</w:t>
                  </w:r>
                  <w:r>
                    <w:rPr>
                      <w:rFonts w:hint="default" w:ascii="Times New Roman" w:hAnsi="Times New Roman" w:cs="Times New Roman"/>
                      <w:color w:val="auto"/>
                      <w:szCs w:val="21"/>
                      <w:lang w:val="en-US" w:eastAsia="zh-CN"/>
                    </w:rPr>
                    <w:t>49</w:t>
                  </w:r>
                </w:p>
              </w:tc>
              <w:tc>
                <w:tcPr>
                  <w:tcW w:w="67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sz w:val="21"/>
                      <w:szCs w:val="21"/>
                    </w:rPr>
                    <w:t>900-041-49</w:t>
                  </w:r>
                </w:p>
              </w:tc>
              <w:tc>
                <w:tcPr>
                  <w:tcW w:w="496"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396"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442" w:type="pc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sz w:val="21"/>
                      <w:szCs w:val="21"/>
                    </w:rPr>
                    <w:t>防渗袋</w:t>
                  </w:r>
                </w:p>
              </w:tc>
              <w:tc>
                <w:tcPr>
                  <w:tcW w:w="351" w:type="pc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sz w:val="21"/>
                      <w:szCs w:val="21"/>
                      <w:lang w:val="en-US" w:eastAsia="zh-CN"/>
                    </w:rPr>
                    <w:t>0.5t</w:t>
                  </w:r>
                </w:p>
              </w:tc>
              <w:tc>
                <w:tcPr>
                  <w:tcW w:w="382" w:type="pc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kern w:val="18"/>
                      <w:sz w:val="21"/>
                      <w:szCs w:val="21"/>
                      <w:lang w:val="en-US" w:eastAsia="zh-CN"/>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8" w:type="dxa"/>
                </w:tblCellMar>
              </w:tblPrEx>
              <w:trPr>
                <w:trHeight w:val="375" w:hRule="atLeast"/>
              </w:trPr>
              <w:tc>
                <w:tcPr>
                  <w:tcW w:w="315" w:type="pct"/>
                  <w:tcBorders>
                    <w:tl2br w:val="nil"/>
                    <w:tr2bl w:val="nil"/>
                  </w:tcBorders>
                  <w:noWrap w:val="0"/>
                  <w:vAlign w:val="center"/>
                </w:tcPr>
                <w:p>
                  <w:pPr>
                    <w:widowControl/>
                    <w:jc w:val="center"/>
                    <w:textAlignment w:val="center"/>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3</w:t>
                  </w:r>
                </w:p>
              </w:tc>
              <w:tc>
                <w:tcPr>
                  <w:tcW w:w="739"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70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清洗废液</w:t>
                  </w:r>
                </w:p>
              </w:tc>
              <w:tc>
                <w:tcPr>
                  <w:tcW w:w="496" w:type="pct"/>
                  <w:tcBorders>
                    <w:tl2br w:val="nil"/>
                    <w:tr2bl w:val="nil"/>
                  </w:tcBorders>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HW09</w:t>
                  </w:r>
                </w:p>
              </w:tc>
              <w:tc>
                <w:tcPr>
                  <w:tcW w:w="67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900-007-09</w:t>
                  </w:r>
                </w:p>
              </w:tc>
              <w:tc>
                <w:tcPr>
                  <w:tcW w:w="496"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396"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442" w:type="pc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桶装</w:t>
                  </w:r>
                </w:p>
              </w:tc>
              <w:tc>
                <w:tcPr>
                  <w:tcW w:w="351" w:type="pc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3t</w:t>
                  </w:r>
                </w:p>
              </w:tc>
              <w:tc>
                <w:tcPr>
                  <w:tcW w:w="382" w:type="pc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kern w:val="18"/>
                      <w:sz w:val="21"/>
                      <w:szCs w:val="21"/>
                      <w:lang w:val="en-US" w:eastAsia="zh-CN"/>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8" w:type="dxa"/>
                </w:tblCellMar>
              </w:tblPrEx>
              <w:trPr>
                <w:trHeight w:val="375" w:hRule="atLeast"/>
              </w:trPr>
              <w:tc>
                <w:tcPr>
                  <w:tcW w:w="315"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w:t>
                  </w:r>
                </w:p>
              </w:tc>
              <w:tc>
                <w:tcPr>
                  <w:tcW w:w="739"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70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rPr>
                  </w:pPr>
                  <w:r>
                    <w:rPr>
                      <w:rFonts w:hint="default" w:ascii="Times New Roman" w:hAnsi="Times New Roman" w:eastAsia="宋体" w:cs="Times New Roman"/>
                      <w:color w:val="auto"/>
                      <w:sz w:val="21"/>
                      <w:szCs w:val="21"/>
                      <w:lang w:val="en-US" w:eastAsia="zh-CN"/>
                    </w:rPr>
                    <w:t>NMP废液</w:t>
                  </w:r>
                </w:p>
              </w:tc>
              <w:tc>
                <w:tcPr>
                  <w:tcW w:w="496" w:type="pct"/>
                  <w:tcBorders>
                    <w:tl2br w:val="nil"/>
                    <w:tr2bl w:val="nil"/>
                  </w:tcBorders>
                  <w:noWrap w:val="0"/>
                  <w:vAlign w:val="center"/>
                </w:tcPr>
                <w:p>
                  <w:pPr>
                    <w:jc w:val="center"/>
                    <w:rPr>
                      <w:rFonts w:hint="default" w:ascii="Times New Roman" w:hAnsi="Times New Roman" w:eastAsia="宋体" w:cs="Times New Roman"/>
                      <w:snapToGrid w:val="0"/>
                      <w:color w:val="auto"/>
                      <w:szCs w:val="21"/>
                      <w:lang w:val="en-US" w:eastAsia="zh-CN"/>
                    </w:rPr>
                  </w:pPr>
                  <w:r>
                    <w:rPr>
                      <w:rFonts w:hint="eastAsia" w:ascii="Times New Roman" w:hAnsi="Times New Roman" w:cs="Times New Roman"/>
                      <w:snapToGrid w:val="0"/>
                      <w:color w:val="auto"/>
                      <w:szCs w:val="21"/>
                      <w:lang w:val="en-US" w:eastAsia="zh-CN"/>
                    </w:rPr>
                    <w:t>HW06</w:t>
                  </w:r>
                </w:p>
              </w:tc>
              <w:tc>
                <w:tcPr>
                  <w:tcW w:w="67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900-404-06</w:t>
                  </w:r>
                </w:p>
              </w:tc>
              <w:tc>
                <w:tcPr>
                  <w:tcW w:w="496"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396"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442" w:type="pct"/>
                  <w:tcBorders>
                    <w:tl2br w:val="nil"/>
                    <w:tr2bl w:val="nil"/>
                  </w:tcBorders>
                  <w:noWrap w:val="0"/>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桶装</w:t>
                  </w:r>
                </w:p>
              </w:tc>
              <w:tc>
                <w:tcPr>
                  <w:tcW w:w="351" w:type="pc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5t</w:t>
                  </w:r>
                </w:p>
              </w:tc>
              <w:tc>
                <w:tcPr>
                  <w:tcW w:w="382" w:type="pc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eastAsia" w:ascii="Times New Roman" w:hAnsi="Times New Roman" w:eastAsia="宋体" w:cs="Times New Roman"/>
                      <w:color w:val="auto"/>
                      <w:kern w:val="18"/>
                      <w:sz w:val="21"/>
                      <w:szCs w:val="21"/>
                      <w:lang w:val="en-US" w:eastAsia="zh-CN"/>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8" w:type="dxa"/>
                </w:tblCellMar>
              </w:tblPrEx>
              <w:trPr>
                <w:trHeight w:val="375" w:hRule="atLeast"/>
              </w:trPr>
              <w:tc>
                <w:tcPr>
                  <w:tcW w:w="315" w:type="pct"/>
                  <w:tcBorders>
                    <w:tl2br w:val="nil"/>
                    <w:tr2bl w:val="nil"/>
                  </w:tcBorders>
                  <w:noWrap w:val="0"/>
                  <w:vAlign w:val="center"/>
                </w:tcPr>
                <w:p>
                  <w:pPr>
                    <w:widowControl/>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p>
              </w:tc>
              <w:tc>
                <w:tcPr>
                  <w:tcW w:w="739"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703"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rPr>
                    <w:t>废活性炭</w:t>
                  </w:r>
                </w:p>
              </w:tc>
              <w:tc>
                <w:tcPr>
                  <w:tcW w:w="496" w:type="pct"/>
                  <w:tcBorders>
                    <w:tl2br w:val="nil"/>
                    <w:tr2bl w:val="nil"/>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snapToGrid w:val="0"/>
                      <w:color w:val="auto"/>
                      <w:szCs w:val="21"/>
                    </w:rPr>
                    <w:t>HW</w:t>
                  </w:r>
                  <w:r>
                    <w:rPr>
                      <w:rFonts w:hint="default" w:ascii="Times New Roman" w:hAnsi="Times New Roman" w:cs="Times New Roman"/>
                      <w:snapToGrid w:val="0"/>
                      <w:color w:val="auto"/>
                      <w:szCs w:val="21"/>
                      <w:lang w:val="en-US" w:eastAsia="zh-CN"/>
                    </w:rPr>
                    <w:t>49</w:t>
                  </w:r>
                </w:p>
              </w:tc>
              <w:tc>
                <w:tcPr>
                  <w:tcW w:w="67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0"/>
                      <w:sz w:val="21"/>
                      <w:szCs w:val="21"/>
                      <w:lang w:val="en-US" w:eastAsia="zh-CN" w:bidi="ar"/>
                    </w:rPr>
                    <w:t>900-039-49</w:t>
                  </w:r>
                </w:p>
              </w:tc>
              <w:tc>
                <w:tcPr>
                  <w:tcW w:w="496"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396" w:type="pct"/>
                  <w:vMerge w:val="continue"/>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p>
              </w:tc>
              <w:tc>
                <w:tcPr>
                  <w:tcW w:w="442" w:type="pc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防渗袋</w:t>
                  </w:r>
                </w:p>
              </w:tc>
              <w:tc>
                <w:tcPr>
                  <w:tcW w:w="351" w:type="pct"/>
                  <w:tcBorders>
                    <w:tl2br w:val="nil"/>
                    <w:tr2bl w:val="nil"/>
                  </w:tcBorders>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t</w:t>
                  </w:r>
                </w:p>
              </w:tc>
              <w:tc>
                <w:tcPr>
                  <w:tcW w:w="382" w:type="pct"/>
                  <w:tcBorders>
                    <w:tl2br w:val="nil"/>
                    <w:tr2bl w:val="nil"/>
                  </w:tcBorders>
                  <w:noWrap w:val="0"/>
                  <w:vAlign w:val="center"/>
                </w:tcPr>
                <w:p>
                  <w:pPr>
                    <w:spacing w:line="240" w:lineRule="auto"/>
                    <w:jc w:val="center"/>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kern w:val="18"/>
                      <w:sz w:val="21"/>
                      <w:szCs w:val="21"/>
                      <w:lang w:val="en-US" w:eastAsia="zh-CN"/>
                    </w:rPr>
                    <w:t>3个月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8" w:type="dxa"/>
                </w:tblCellMar>
              </w:tblPrEx>
              <w:trPr>
                <w:trHeight w:val="375" w:hRule="atLeast"/>
              </w:trPr>
              <w:tc>
                <w:tcPr>
                  <w:tcW w:w="5000" w:type="pct"/>
                  <w:gridSpan w:val="10"/>
                  <w:tcBorders>
                    <w:tl2br w:val="nil"/>
                    <w:tr2bl w:val="nil"/>
                  </w:tcBorders>
                  <w:noWrap w:val="0"/>
                  <w:vAlign w:val="center"/>
                </w:tcPr>
                <w:p>
                  <w:pPr>
                    <w:spacing w:line="240" w:lineRule="auto"/>
                    <w:jc w:val="both"/>
                    <w:rPr>
                      <w:rFonts w:hint="default" w:ascii="Times New Roman" w:hAnsi="Times New Roman" w:eastAsia="宋体" w:cs="Times New Roman"/>
                      <w:color w:val="auto"/>
                      <w:kern w:val="18"/>
                      <w:sz w:val="21"/>
                      <w:szCs w:val="21"/>
                      <w:lang w:val="en-US" w:eastAsia="zh-CN"/>
                    </w:rPr>
                  </w:pPr>
                  <w:r>
                    <w:rPr>
                      <w:rFonts w:hint="default" w:ascii="Times New Roman" w:hAnsi="Times New Roman" w:eastAsia="宋体" w:cs="Times New Roman"/>
                      <w:color w:val="auto"/>
                      <w:kern w:val="18"/>
                      <w:sz w:val="21"/>
                      <w:szCs w:val="21"/>
                      <w:lang w:val="en-US" w:eastAsia="zh-CN"/>
                    </w:rPr>
                    <w:t>注：年贮存能力=贮存能力×转运周期，故项目的年贮存量=1*4+0.5*4+3*4+</w:t>
                  </w:r>
                  <w:r>
                    <w:rPr>
                      <w:rFonts w:hint="eastAsia" w:ascii="Times New Roman" w:hAnsi="Times New Roman" w:eastAsia="宋体" w:cs="Times New Roman"/>
                      <w:color w:val="auto"/>
                      <w:kern w:val="18"/>
                      <w:sz w:val="21"/>
                      <w:szCs w:val="21"/>
                      <w:lang w:val="en-US" w:eastAsia="zh-CN"/>
                    </w:rPr>
                    <w:t>5</w:t>
                  </w:r>
                  <w:r>
                    <w:rPr>
                      <w:rFonts w:hint="default" w:ascii="Times New Roman" w:hAnsi="Times New Roman" w:eastAsia="宋体" w:cs="Times New Roman"/>
                      <w:color w:val="auto"/>
                      <w:kern w:val="18"/>
                      <w:sz w:val="21"/>
                      <w:szCs w:val="21"/>
                      <w:lang w:val="en-US" w:eastAsia="zh-CN"/>
                    </w:rPr>
                    <w:t>*4</w:t>
                  </w:r>
                  <w:r>
                    <w:rPr>
                      <w:rFonts w:hint="eastAsia" w:ascii="Times New Roman" w:hAnsi="Times New Roman" w:eastAsia="宋体" w:cs="Times New Roman"/>
                      <w:color w:val="auto"/>
                      <w:kern w:val="18"/>
                      <w:sz w:val="21"/>
                      <w:szCs w:val="21"/>
                      <w:lang w:val="en-US" w:eastAsia="zh-CN"/>
                    </w:rPr>
                    <w:t>+5*4</w:t>
                  </w:r>
                  <w:r>
                    <w:rPr>
                      <w:rFonts w:hint="default" w:ascii="Times New Roman" w:hAnsi="Times New Roman" w:eastAsia="宋体" w:cs="Times New Roman"/>
                      <w:color w:val="auto"/>
                      <w:kern w:val="18"/>
                      <w:sz w:val="21"/>
                      <w:szCs w:val="21"/>
                      <w:lang w:val="en-US" w:eastAsia="zh-CN"/>
                    </w:rPr>
                    <w:t>=</w:t>
                  </w:r>
                  <w:r>
                    <w:rPr>
                      <w:rFonts w:hint="eastAsia" w:ascii="Times New Roman" w:hAnsi="Times New Roman" w:eastAsia="宋体" w:cs="Times New Roman"/>
                      <w:color w:val="auto"/>
                      <w:kern w:val="18"/>
                      <w:sz w:val="21"/>
                      <w:szCs w:val="21"/>
                      <w:lang w:val="en-US" w:eastAsia="zh-CN"/>
                    </w:rPr>
                    <w:t>58</w:t>
                  </w:r>
                  <w:r>
                    <w:rPr>
                      <w:rFonts w:hint="default" w:ascii="Times New Roman" w:hAnsi="Times New Roman" w:eastAsia="宋体" w:cs="Times New Roman"/>
                      <w:color w:val="auto"/>
                      <w:kern w:val="18"/>
                      <w:sz w:val="21"/>
                      <w:szCs w:val="21"/>
                      <w:lang w:val="en-US" w:eastAsia="zh-CN"/>
                    </w:rPr>
                    <w:t>t/a。项目危险废物每年的产生量为</w:t>
                  </w:r>
                  <w:r>
                    <w:rPr>
                      <w:rFonts w:hint="eastAsia" w:ascii="Times New Roman" w:hAnsi="Times New Roman" w:eastAsia="宋体" w:cs="Times New Roman"/>
                      <w:color w:val="auto"/>
                      <w:kern w:val="18"/>
                      <w:sz w:val="21"/>
                      <w:szCs w:val="21"/>
                      <w:lang w:val="en-US" w:eastAsia="zh-CN"/>
                    </w:rPr>
                    <w:t>38.28</w:t>
                  </w:r>
                  <w:r>
                    <w:rPr>
                      <w:rFonts w:hint="default" w:ascii="Times New Roman" w:hAnsi="Times New Roman" w:eastAsia="宋体" w:cs="Times New Roman"/>
                      <w:color w:val="auto"/>
                      <w:kern w:val="18"/>
                      <w:sz w:val="21"/>
                      <w:szCs w:val="21"/>
                      <w:lang w:val="en-US" w:eastAsia="zh-CN"/>
                    </w:rPr>
                    <w:t>t/a，故项目的危险废物面积设置合理。</w:t>
                  </w:r>
                </w:p>
              </w:tc>
            </w:tr>
          </w:tbl>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项目拟设置危险废物存放点，拟设置在</w:t>
            </w:r>
            <w:r>
              <w:rPr>
                <w:rFonts w:hint="default" w:ascii="Times New Roman" w:hAnsi="Times New Roman" w:cs="Times New Roman"/>
                <w:bCs/>
                <w:color w:val="auto"/>
                <w:sz w:val="24"/>
                <w:lang w:val="en-US" w:eastAsia="zh-CN"/>
              </w:rPr>
              <w:t>仓库东北侧</w:t>
            </w:r>
            <w:r>
              <w:rPr>
                <w:rStyle w:val="37"/>
                <w:rFonts w:hint="default" w:ascii="Times New Roman" w:hAnsi="Times New Roman" w:cs="Times New Roman"/>
                <w:color w:val="auto"/>
                <w:kern w:val="0"/>
                <w:sz w:val="24"/>
                <w:szCs w:val="22"/>
              </w:rPr>
              <w:t>（为</w:t>
            </w:r>
            <w:r>
              <w:rPr>
                <w:rStyle w:val="37"/>
                <w:rFonts w:hint="default" w:ascii="Times New Roman" w:hAnsi="Times New Roman" w:cs="Times New Roman"/>
                <w:color w:val="auto"/>
                <w:kern w:val="0"/>
                <w:sz w:val="24"/>
                <w:szCs w:val="22"/>
                <w:lang w:val="en-US" w:eastAsia="zh-CN"/>
              </w:rPr>
              <w:t>1</w:t>
            </w:r>
            <w:r>
              <w:rPr>
                <w:rStyle w:val="37"/>
                <w:rFonts w:hint="eastAsia" w:ascii="Times New Roman" w:hAnsi="Times New Roman" w:cs="Times New Roman"/>
                <w:color w:val="auto"/>
                <w:kern w:val="0"/>
                <w:sz w:val="24"/>
                <w:szCs w:val="22"/>
                <w:lang w:val="en-US" w:eastAsia="zh-CN"/>
              </w:rPr>
              <w:t>5</w:t>
            </w:r>
            <w:r>
              <w:rPr>
                <w:rStyle w:val="37"/>
                <w:rFonts w:hint="default" w:ascii="Times New Roman" w:hAnsi="Times New Roman" w:cs="Times New Roman"/>
                <w:color w:val="auto"/>
                <w:kern w:val="0"/>
                <w:sz w:val="24"/>
                <w:szCs w:val="22"/>
              </w:rPr>
              <w:t>m</w:t>
            </w:r>
            <w:r>
              <w:rPr>
                <w:rStyle w:val="37"/>
                <w:rFonts w:hint="default" w:ascii="Times New Roman" w:hAnsi="Times New Roman" w:cs="Times New Roman"/>
                <w:color w:val="auto"/>
                <w:kern w:val="0"/>
                <w:sz w:val="24"/>
                <w:szCs w:val="22"/>
                <w:vertAlign w:val="superscript"/>
              </w:rPr>
              <w:t>2</w:t>
            </w:r>
            <w:r>
              <w:rPr>
                <w:rStyle w:val="37"/>
                <w:rFonts w:hint="default" w:ascii="Times New Roman" w:hAnsi="Times New Roman" w:cs="Times New Roman"/>
                <w:color w:val="auto"/>
                <w:kern w:val="0"/>
                <w:sz w:val="24"/>
                <w:szCs w:val="22"/>
              </w:rPr>
              <w:t>）</w:t>
            </w:r>
            <w:r>
              <w:rPr>
                <w:rFonts w:hint="default" w:ascii="Times New Roman" w:hAnsi="Times New Roman" w:cs="Times New Roman"/>
                <w:bCs/>
                <w:color w:val="auto"/>
                <w:sz w:val="24"/>
              </w:rPr>
              <w:t>，项目危险废物经收集后交由有危险废物回收处理资质的单位外运处理。建设单位应委托具有相应</w:t>
            </w:r>
            <w:r>
              <w:rPr>
                <w:rFonts w:hint="eastAsia" w:ascii="Times New Roman" w:hAnsi="Times New Roman" w:cs="Times New Roman"/>
                <w:bCs/>
                <w:color w:val="auto"/>
                <w:sz w:val="24"/>
                <w:lang w:val="en-US" w:eastAsia="zh-CN"/>
              </w:rPr>
              <w:t>危险废物</w:t>
            </w:r>
            <w:r>
              <w:rPr>
                <w:rFonts w:hint="default" w:ascii="Times New Roman" w:hAnsi="Times New Roman" w:cs="Times New Roman"/>
                <w:bCs/>
                <w:color w:val="auto"/>
                <w:sz w:val="24"/>
              </w:rPr>
              <w:t>资质的运输单位和利用处置经营单位，签订委托合同，依法委托运输、利用处置危险废物。在委托时，应详细核实运输单位、车辆、驾驶员及押运员的资质，并根据废物特性，选择运输工具，严防二次污染；应详细核实经营单位资质，严禁委托不具资质或资质不符的单位处置。转移前，产生单位应制定转移计划，向环保主管部门报备并领取联单；转移后，应按照转移实际，做到一转移一联单，并及时向环保主管部门提交转移联单，联单保存应在五年以上。</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厂区需要按照《危险废物贮存污染控制标准》(GB18597-2023)的有关规定，针对不同类别、形态、物理化学性质的危险废物，其容器和包装应满足相应的防渗、防漏、防腐和强度等要求。贮存设施或场所、容器和包装物应按HJ 1276要求设置危险废物贮存设施或场所标志、危险废物贮存分区标志和危险废物标签等危险废物识别标志。</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为了防止二次污染，危险废物暂存场应按照《危险废物贮存污染控制标准》（GB18597-2023）中的相关规范建设。</w:t>
            </w:r>
          </w:p>
          <w:p>
            <w:pPr>
              <w:adjustRightInd w:val="0"/>
              <w:snapToGrid w:val="0"/>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③危废贮存设施污染控制要求</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a.贮存设施应根据危险废物的形态、物理化学性质、包装形式和污染物迁移途径，采取必要的防风、防晒、防雨、防漏、防渗、防腐以及其他环境污染防治措施，不应露天堆放危险废物。</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b.贮存设施应根据危险废物的类别、数量、形态、物理化学性质和污染防治等要求设置必要的贮存分区，避免不相容的危险废物接触、混合。</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c.贮存设施或贮存分区内地面、墙面裙脚、堵截泄漏的围堰、接触危险废物的隔板和墙体等应采用坚固的材料建造，表面无裂缝。</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d.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default" w:ascii="Times New Roman" w:hAnsi="Times New Roman" w:cs="Times New Roman"/>
                <w:bCs/>
                <w:color w:val="auto"/>
                <w:sz w:val="24"/>
                <w:vertAlign w:val="superscript"/>
              </w:rPr>
              <w:t>-7</w:t>
            </w:r>
            <w:r>
              <w:rPr>
                <w:rFonts w:hint="default" w:ascii="Times New Roman" w:hAnsi="Times New Roman" w:cs="Times New Roman"/>
                <w:bCs/>
                <w:color w:val="auto"/>
                <w:sz w:val="24"/>
              </w:rPr>
              <w:t>cm/s），或至少2mm厚高密度聚乙烯膜等人工防渗材料（渗透系数不大于10</w:t>
            </w:r>
            <w:r>
              <w:rPr>
                <w:rFonts w:hint="default" w:ascii="Times New Roman" w:hAnsi="Times New Roman" w:cs="Times New Roman"/>
                <w:bCs/>
                <w:color w:val="auto"/>
                <w:sz w:val="24"/>
                <w:vertAlign w:val="superscript"/>
              </w:rPr>
              <w:t>-10</w:t>
            </w:r>
            <w:r>
              <w:rPr>
                <w:rFonts w:hint="default" w:ascii="Times New Roman" w:hAnsi="Times New Roman" w:cs="Times New Roman"/>
                <w:bCs/>
                <w:color w:val="auto"/>
                <w:sz w:val="24"/>
              </w:rPr>
              <w:t>cm/s），或其他防渗性能等效的材料。</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e.同一贮存设施宜采用相同的防渗、防腐工艺（包括防渗、防腐结构或材料），防渗、防腐材料应覆盖所有可能与废物及其渗滤液、渗漏液等接触的构筑物表面；采用不同防渗、防腐工艺应分别建设贮存分区。</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f.贮存设施应采取技术和管理措施防止无关人员进入。</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只要本项目严格按照《危险废物贮存污染控制标准》（GB18597-2023）对危险废物进行收集、暂存，并委托持有《危险废物经营许可证》的单位进行处理处置，采取上述措施防治后，本项目的危险废物对周围环境基本无影响。</w:t>
            </w:r>
          </w:p>
          <w:p>
            <w:pPr>
              <w:adjustRightInd w:val="0"/>
              <w:snapToGrid w:val="0"/>
              <w:spacing w:line="360" w:lineRule="auto"/>
              <w:ind w:firstLine="482" w:firstLineChars="200"/>
              <w:rPr>
                <w:rFonts w:hint="default" w:ascii="Times New Roman" w:hAnsi="Times New Roman" w:cs="Times New Roman"/>
                <w:b/>
                <w:color w:val="auto"/>
                <w:sz w:val="24"/>
              </w:rPr>
            </w:pPr>
            <w:r>
              <w:rPr>
                <w:rFonts w:hint="default" w:ascii="Times New Roman" w:hAnsi="Times New Roman" w:cs="Times New Roman"/>
                <w:b/>
                <w:color w:val="auto"/>
                <w:sz w:val="24"/>
              </w:rPr>
              <w:t>④贮存设施运行环境管理要求</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a.危险废物存入贮存设施前应对危险废物类别和特性与危险废物标签等危险废物识别标志的一致性进行核验，不一致的或类别、特性不明的不应存入。</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b.应定期检查危险废物的贮存状况，及时清理贮存设施地面，更换破损泄漏的危险废物贮存容器 和包装物，保证堆存危险废物的防雨、防风、防扬尘等设施功能完好。</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c.作业设备及车辆等结束作业离开贮存设施时，应对其残留的危险废物进行清理，清理的废物或清洗废水应收集处理。</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d.贮存设施运行期间，应按国家有关标准和规定建立危险废物管理台账并保存。</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e.贮存设施所有者或运营者应建立贮存设施环境管理制度、管理人员岗位职责制度、设施运行操作制度、人员岗位培训制度等。</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f.贮存设施所有者或运营者应依据国家土壤和地下水污染防治的有关规定，结合贮存设施特点建立土壤和地下水污染隐患排查制度，并定期开展隐患排查；发现隐患应及时采取措施消除隐患，并建立档案。</w:t>
            </w:r>
          </w:p>
          <w:p>
            <w:pPr>
              <w:adjustRightInd w:val="0"/>
              <w:snapToGrid w:val="0"/>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g.贮存设施所有者或运营者应建立贮存设施全部档案，包括设计、施工、验收、运行、监测和环境应急等，应按国家有关档案管理的法律法规进行整理和归档。</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2" w:firstLineChars="200"/>
              <w:jc w:val="left"/>
              <w:textAlignment w:val="auto"/>
              <w:rPr>
                <w:rFonts w:hint="default" w:ascii="Times New Roman" w:hAnsi="Times New Roman" w:cs="Times New Roman"/>
                <w:b/>
                <w:color w:val="auto"/>
                <w:sz w:val="24"/>
              </w:rPr>
            </w:pPr>
            <w:r>
              <w:rPr>
                <w:rFonts w:hint="default" w:ascii="Times New Roman" w:hAnsi="Times New Roman" w:cs="Times New Roman"/>
                <w:b/>
                <w:bCs/>
                <w:color w:val="auto"/>
                <w:sz w:val="24"/>
                <w:szCs w:val="24"/>
              </w:rPr>
              <w:t>4.2.4.</w:t>
            </w:r>
            <w:r>
              <w:rPr>
                <w:rFonts w:hint="default" w:ascii="Times New Roman" w:hAnsi="Times New Roman" w:cs="Times New Roman"/>
                <w:b/>
                <w:bCs/>
                <w:color w:val="auto"/>
                <w:sz w:val="24"/>
                <w:szCs w:val="24"/>
                <w:lang w:val="en-US" w:eastAsia="zh-CN"/>
              </w:rPr>
              <w:t>3</w:t>
            </w:r>
            <w:r>
              <w:rPr>
                <w:rFonts w:hint="default" w:ascii="Times New Roman" w:hAnsi="Times New Roman" w:cs="Times New Roman"/>
                <w:b/>
                <w:color w:val="auto"/>
                <w:sz w:val="24"/>
              </w:rPr>
              <w:t>固体废物环境影响评价结论</w:t>
            </w:r>
          </w:p>
          <w:p>
            <w:pPr>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bCs/>
                <w:color w:val="auto"/>
                <w:sz w:val="24"/>
              </w:rPr>
              <w:t>综上分析，本项目产生的固体废弃物，</w:t>
            </w:r>
            <w:r>
              <w:rPr>
                <w:rFonts w:hint="default" w:ascii="Times New Roman" w:hAnsi="Times New Roman" w:cs="Times New Roman"/>
                <w:color w:val="auto"/>
                <w:sz w:val="24"/>
              </w:rPr>
              <w:t>本项目生活垃圾统一收集后交由环卫部门清运；废包</w:t>
            </w:r>
            <w:r>
              <w:rPr>
                <w:rFonts w:hint="default" w:ascii="Times New Roman" w:hAnsi="Times New Roman" w:cs="Times New Roman"/>
                <w:color w:val="auto"/>
                <w:sz w:val="24"/>
                <w:lang w:val="en-US" w:eastAsia="zh-CN"/>
              </w:rPr>
              <w:t>铜铝箔边角料、分条边角料、废隔膜纸、废铝塑膜、废包装材料、废电池</w:t>
            </w:r>
            <w:r>
              <w:rPr>
                <w:rFonts w:hint="default" w:ascii="Times New Roman" w:hAnsi="Times New Roman" w:cs="Times New Roman"/>
                <w:color w:val="auto"/>
                <w:sz w:val="24"/>
              </w:rPr>
              <w:t>经收集后，交给</w:t>
            </w:r>
            <w:r>
              <w:rPr>
                <w:rFonts w:hint="default" w:ascii="Times New Roman" w:hAnsi="Times New Roman" w:cs="Times New Roman"/>
                <w:color w:val="auto"/>
                <w:sz w:val="24"/>
                <w:lang w:eastAsia="zh-CN"/>
              </w:rPr>
              <w:t>专业部门</w:t>
            </w:r>
            <w:r>
              <w:rPr>
                <w:rFonts w:hint="default" w:ascii="Times New Roman" w:hAnsi="Times New Roman" w:cs="Times New Roman"/>
                <w:color w:val="auto"/>
                <w:sz w:val="24"/>
              </w:rPr>
              <w:t>处理；</w:t>
            </w:r>
            <w:r>
              <w:rPr>
                <w:rFonts w:hint="default" w:ascii="Times New Roman" w:hAnsi="Times New Roman" w:cs="Times New Roman"/>
                <w:color w:val="auto"/>
                <w:sz w:val="24"/>
                <w:lang w:val="en-US" w:eastAsia="zh-CN"/>
              </w:rPr>
              <w:t>废包装桶/袋</w:t>
            </w:r>
            <w:r>
              <w:rPr>
                <w:rFonts w:hint="default" w:ascii="Times New Roman" w:hAnsi="Times New Roman" w:cs="Times New Roman"/>
                <w:color w:val="auto"/>
                <w:sz w:val="24"/>
              </w:rPr>
              <w:t>、废</w:t>
            </w:r>
            <w:r>
              <w:rPr>
                <w:rFonts w:hint="default" w:ascii="Times New Roman" w:hAnsi="Times New Roman" w:cs="Times New Roman"/>
                <w:color w:val="auto"/>
                <w:sz w:val="24"/>
                <w:lang w:val="en-US" w:eastAsia="zh-CN"/>
              </w:rPr>
              <w:t>抹布、清洗废液、</w:t>
            </w:r>
            <w:r>
              <w:rPr>
                <w:rFonts w:hint="eastAsia" w:ascii="Times New Roman" w:hAnsi="Times New Roman" w:cs="Times New Roman"/>
                <w:color w:val="auto"/>
                <w:sz w:val="24"/>
                <w:lang w:val="en-US" w:eastAsia="zh-CN"/>
              </w:rPr>
              <w:t>NMP废液、</w:t>
            </w:r>
            <w:r>
              <w:rPr>
                <w:rFonts w:hint="default" w:ascii="Times New Roman" w:hAnsi="Times New Roman" w:cs="Times New Roman"/>
                <w:color w:val="auto"/>
                <w:sz w:val="24"/>
              </w:rPr>
              <w:t>废活性炭等交由有</w:t>
            </w:r>
            <w:r>
              <w:rPr>
                <w:rFonts w:hint="eastAsia" w:ascii="Times New Roman" w:hAnsi="Times New Roman" w:cs="Times New Roman"/>
                <w:color w:val="auto"/>
                <w:sz w:val="24"/>
                <w:lang w:val="en-US" w:eastAsia="zh-CN"/>
              </w:rPr>
              <w:t>危险废物</w:t>
            </w:r>
            <w:r>
              <w:rPr>
                <w:rFonts w:hint="default" w:ascii="Times New Roman" w:hAnsi="Times New Roman" w:cs="Times New Roman"/>
                <w:color w:val="auto"/>
                <w:sz w:val="24"/>
              </w:rPr>
              <w:t>资质单位处置。</w:t>
            </w:r>
            <w:r>
              <w:rPr>
                <w:rFonts w:hint="default" w:ascii="Times New Roman" w:hAnsi="Times New Roman" w:cs="Times New Roman"/>
                <w:bCs/>
                <w:color w:val="auto"/>
                <w:sz w:val="24"/>
              </w:rPr>
              <w:t>因此，各类固体废弃物处置率达100％，不会进入当地环境，不会对区域环境产生直接影响。</w:t>
            </w:r>
          </w:p>
          <w:p>
            <w:pPr>
              <w:pStyle w:val="49"/>
              <w:spacing w:line="360" w:lineRule="auto"/>
              <w:ind w:firstLine="480" w:firstLineChars="200"/>
              <w:rPr>
                <w:rFonts w:hint="default" w:ascii="Times New Roman" w:hAnsi="Times New Roman" w:cs="Times New Roman"/>
                <w:bCs/>
                <w:color w:val="auto"/>
                <w:sz w:val="24"/>
              </w:rPr>
            </w:pPr>
            <w:r>
              <w:rPr>
                <w:rFonts w:hint="default" w:ascii="Times New Roman" w:hAnsi="Times New Roman" w:cs="Times New Roman"/>
                <w:color w:val="auto"/>
                <w:sz w:val="24"/>
              </w:rPr>
              <w:t>综上所述，采取以上处理措施后，则项目产生固体废物对周围环境的影响不大。</w:t>
            </w:r>
          </w:p>
          <w:p>
            <w:pPr>
              <w:pStyle w:val="90"/>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4.2.5土壤和地下水</w:t>
            </w:r>
          </w:p>
          <w:p>
            <w:pPr>
              <w:spacing w:line="360" w:lineRule="auto"/>
              <w:ind w:firstLine="482" w:firstLineChars="200"/>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4.2.5.1土壤和地下水污染源及污染途径分析</w:t>
            </w:r>
          </w:p>
          <w:p>
            <w:pPr>
              <w:pStyle w:val="75"/>
              <w:ind w:firstLine="480" w:firstLineChars="200"/>
              <w:jc w:val="left"/>
              <w:rPr>
                <w:rFonts w:hint="default" w:ascii="Times New Roman" w:hAnsi="Times New Roman" w:cs="Times New Roman"/>
                <w:color w:val="auto"/>
                <w:sz w:val="24"/>
                <w:szCs w:val="24"/>
              </w:rPr>
            </w:pPr>
            <w:r>
              <w:rPr>
                <w:rFonts w:hint="default" w:ascii="Times New Roman" w:hAnsi="Times New Roman" w:cs="Times New Roman"/>
                <w:color w:val="auto"/>
                <w:kern w:val="2"/>
                <w:sz w:val="24"/>
                <w:szCs w:val="24"/>
              </w:rPr>
              <w:t>地下水污染主要是由于污染物迁移穿过包气带进入含水层造成；土壤污染主要由大气沉降、地面漫流、垂直入渗等原因造成</w:t>
            </w:r>
            <w:r>
              <w:rPr>
                <w:rFonts w:hint="default" w:ascii="Times New Roman" w:hAnsi="Times New Roman" w:cs="Times New Roman"/>
                <w:color w:val="auto"/>
                <w:sz w:val="24"/>
                <w:szCs w:val="24"/>
              </w:rPr>
              <w:t>。项目</w:t>
            </w:r>
            <w:r>
              <w:rPr>
                <w:rFonts w:hint="default" w:ascii="Times New Roman" w:hAnsi="Times New Roman" w:cs="Times New Roman"/>
                <w:color w:val="auto"/>
                <w:sz w:val="24"/>
                <w:szCs w:val="24"/>
                <w:lang w:val="en-US" w:eastAsia="zh-CN"/>
              </w:rPr>
              <w:t>租用现有</w:t>
            </w:r>
            <w:r>
              <w:rPr>
                <w:rFonts w:hint="default" w:ascii="Times New Roman" w:hAnsi="Times New Roman" w:cs="Times New Roman"/>
                <w:color w:val="auto"/>
                <w:sz w:val="24"/>
                <w:szCs w:val="24"/>
              </w:rPr>
              <w:t>厂房，项目生产车间</w:t>
            </w:r>
            <w:r>
              <w:rPr>
                <w:rFonts w:hint="default" w:ascii="Times New Roman" w:hAnsi="Times New Roman" w:cs="Times New Roman"/>
                <w:color w:val="auto"/>
                <w:sz w:val="24"/>
                <w:szCs w:val="24"/>
                <w:lang w:val="en-US" w:eastAsia="zh-CN"/>
              </w:rPr>
              <w:t>将</w:t>
            </w:r>
            <w:r>
              <w:rPr>
                <w:rFonts w:hint="default" w:ascii="Times New Roman" w:hAnsi="Times New Roman" w:cs="Times New Roman"/>
                <w:color w:val="auto"/>
                <w:sz w:val="24"/>
                <w:szCs w:val="24"/>
              </w:rPr>
              <w:t>全部做好硬底化，地面防腐防渗措施良好，危险废物暂存间涂敷防腐防渗防泄漏的地坪漆，因此本项目不存在污染土壤和地下水环境的途径。</w:t>
            </w:r>
          </w:p>
          <w:p>
            <w:pPr>
              <w:spacing w:line="360" w:lineRule="auto"/>
              <w:ind w:firstLine="482" w:firstLineChars="200"/>
              <w:rPr>
                <w:rFonts w:hint="default" w:ascii="Times New Roman" w:hAnsi="Times New Roman" w:cs="Times New Roman"/>
                <w:color w:val="auto"/>
                <w:sz w:val="24"/>
                <w:szCs w:val="24"/>
              </w:rPr>
            </w:pPr>
            <w:r>
              <w:rPr>
                <w:rFonts w:hint="default" w:ascii="Times New Roman" w:hAnsi="Times New Roman" w:cs="Times New Roman"/>
                <w:b/>
                <w:bCs/>
                <w:color w:val="auto"/>
                <w:sz w:val="24"/>
                <w:szCs w:val="24"/>
              </w:rPr>
              <w:t>4.2.5.2土壤和地下水污染防控措施</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上述物料和危险废物若任意堆放在项目场地内，将造成土壤肥力下降、对土壤孔隙度等理化性质产生一定的影响外，其中的有毒有害元素将可能进入土壤，进而进入地下水，对土壤和地下水造成污染。</w:t>
            </w:r>
          </w:p>
          <w:p>
            <w:pPr>
              <w:adjustRightInd w:val="0"/>
              <w:snapToGrid w:val="0"/>
              <w:spacing w:line="360" w:lineRule="auto"/>
              <w:ind w:firstLine="482" w:firstLineChars="200"/>
              <w:rPr>
                <w:rFonts w:hint="default" w:ascii="Times New Roman" w:hAnsi="Times New Roman" w:cs="Times New Roman"/>
                <w:b/>
                <w:bCs/>
                <w:color w:val="auto"/>
                <w:sz w:val="24"/>
              </w:rPr>
            </w:pPr>
            <w:r>
              <w:rPr>
                <w:rFonts w:hint="default" w:ascii="Times New Roman" w:hAnsi="Times New Roman" w:cs="Times New Roman"/>
                <w:b/>
                <w:bCs/>
                <w:color w:val="auto"/>
                <w:sz w:val="24"/>
              </w:rPr>
              <w:t>项目拟采用的分区保护措施如下表：</w:t>
            </w:r>
          </w:p>
          <w:p>
            <w:pPr>
              <w:adjustRightInd w:val="0"/>
              <w:snapToGrid w:val="0"/>
              <w:spacing w:line="360" w:lineRule="auto"/>
              <w:jc w:val="center"/>
              <w:rPr>
                <w:rFonts w:hint="default" w:ascii="Times New Roman" w:hAnsi="Times New Roman" w:cs="Times New Roman"/>
                <w:b/>
                <w:bCs/>
                <w:color w:val="auto"/>
                <w:sz w:val="24"/>
              </w:rPr>
            </w:pPr>
            <w:r>
              <w:rPr>
                <w:rFonts w:hint="default" w:ascii="Times New Roman" w:hAnsi="Times New Roman" w:cs="Times New Roman"/>
                <w:b/>
                <w:bCs/>
                <w:color w:val="auto"/>
                <w:sz w:val="24"/>
              </w:rPr>
              <w:t>表4-</w:t>
            </w:r>
            <w:r>
              <w:rPr>
                <w:rFonts w:hint="default" w:ascii="Times New Roman" w:hAnsi="Times New Roman" w:cs="Times New Roman"/>
                <w:b/>
                <w:bCs/>
                <w:color w:val="auto"/>
                <w:sz w:val="24"/>
                <w:lang w:val="en-US" w:eastAsia="zh-CN"/>
              </w:rPr>
              <w:t>3</w:t>
            </w:r>
            <w:r>
              <w:rPr>
                <w:rFonts w:hint="eastAsia" w:ascii="Times New Roman" w:hAnsi="Times New Roman" w:cs="Times New Roman"/>
                <w:b/>
                <w:bCs/>
                <w:color w:val="auto"/>
                <w:sz w:val="24"/>
                <w:lang w:val="en-US" w:eastAsia="zh-CN"/>
              </w:rPr>
              <w:t>5</w:t>
            </w:r>
            <w:r>
              <w:rPr>
                <w:rFonts w:hint="default" w:ascii="Times New Roman" w:hAnsi="Times New Roman" w:cs="Times New Roman"/>
                <w:b/>
                <w:bCs/>
                <w:color w:val="auto"/>
                <w:sz w:val="24"/>
              </w:rPr>
              <w:t xml:space="preserve"> 地下水、土壤分区防护措施一览表</w:t>
            </w:r>
          </w:p>
          <w:tbl>
            <w:tblPr>
              <w:tblStyle w:val="3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1"/>
              <w:gridCol w:w="1458"/>
              <w:gridCol w:w="2150"/>
              <w:gridCol w:w="3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56" w:type="pct"/>
                  <w:gridSpan w:val="2"/>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区域</w:t>
                  </w:r>
                </w:p>
              </w:tc>
              <w:tc>
                <w:tcPr>
                  <w:tcW w:w="1258"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潜在污染源</w:t>
                  </w:r>
                </w:p>
              </w:tc>
              <w:tc>
                <w:tcPr>
                  <w:tcW w:w="2284"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防护措施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Merge w:val="restar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重点防渗区</w:t>
                  </w:r>
                </w:p>
              </w:tc>
              <w:tc>
                <w:tcPr>
                  <w:tcW w:w="852"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危废废物暂存间</w:t>
                  </w:r>
                </w:p>
              </w:tc>
              <w:tc>
                <w:tcPr>
                  <w:tcW w:w="125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废</w:t>
                  </w:r>
                  <w:r>
                    <w:rPr>
                      <w:rFonts w:hint="default" w:ascii="Times New Roman" w:hAnsi="Times New Roman" w:cs="Times New Roman"/>
                      <w:color w:val="auto"/>
                      <w:szCs w:val="21"/>
                      <w:lang w:val="en-US" w:eastAsia="zh-CN"/>
                    </w:rPr>
                    <w:t>包装桶/袋、废抹布、清洗废液、</w:t>
                  </w:r>
                  <w:r>
                    <w:rPr>
                      <w:rFonts w:hint="eastAsia" w:ascii="Times New Roman" w:hAnsi="Times New Roman" w:cs="Times New Roman"/>
                      <w:color w:val="auto"/>
                      <w:szCs w:val="21"/>
                      <w:lang w:val="en-US" w:eastAsia="zh-CN"/>
                    </w:rPr>
                    <w:t>NMP废液、</w:t>
                  </w:r>
                  <w:r>
                    <w:rPr>
                      <w:rFonts w:hint="default" w:ascii="Times New Roman" w:hAnsi="Times New Roman" w:cs="Times New Roman"/>
                      <w:color w:val="auto"/>
                      <w:szCs w:val="21"/>
                      <w:lang w:val="en-US" w:eastAsia="zh-CN"/>
                    </w:rPr>
                    <w:t>废活性炭</w:t>
                  </w:r>
                </w:p>
              </w:tc>
              <w:tc>
                <w:tcPr>
                  <w:tcW w:w="2284"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kern w:val="0"/>
                      <w:szCs w:val="21"/>
                    </w:rPr>
                    <w:t>符合</w:t>
                  </w:r>
                  <w:r>
                    <w:rPr>
                      <w:rFonts w:hint="default" w:ascii="Times New Roman" w:hAnsi="Times New Roman" w:cs="Times New Roman"/>
                      <w:color w:val="auto"/>
                      <w:kern w:val="0"/>
                      <w:szCs w:val="21"/>
                    </w:rPr>
                    <w:t>《危险废物贮存污染物控制标准》</w:t>
                  </w:r>
                  <w:r>
                    <w:rPr>
                      <w:rFonts w:hint="eastAsia"/>
                      <w:color w:val="auto"/>
                      <w:lang w:eastAsia="zh-CN"/>
                    </w:rPr>
                    <w:t>（</w:t>
                  </w:r>
                  <w:r>
                    <w:rPr>
                      <w:rFonts w:hint="eastAsia"/>
                      <w:color w:val="auto"/>
                      <w:lang w:val="en-US" w:eastAsia="zh-CN"/>
                    </w:rPr>
                    <w:t>GB18597-2023代替GB18597-2001</w:t>
                  </w:r>
                  <w:r>
                    <w:rPr>
                      <w:rFonts w:hint="eastAsia"/>
                      <w:color w:val="auto"/>
                      <w:lang w:eastAsia="zh-CN"/>
                    </w:rPr>
                    <w:t>）</w:t>
                  </w:r>
                  <w:r>
                    <w:rPr>
                      <w:rFonts w:hint="default" w:ascii="Times New Roman" w:hAnsi="Times New Roman" w:cs="Times New Roman"/>
                      <w:color w:val="auto"/>
                      <w:kern w:val="0"/>
                      <w:szCs w:val="21"/>
                    </w:rPr>
                    <w:t>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Merge w:val="continue"/>
                  <w:noWrap w:val="0"/>
                  <w:vAlign w:val="center"/>
                </w:tcPr>
                <w:p>
                  <w:pPr>
                    <w:adjustRightInd w:val="0"/>
                    <w:snapToGrid w:val="0"/>
                    <w:jc w:val="center"/>
                    <w:rPr>
                      <w:rFonts w:hint="default" w:ascii="Times New Roman" w:hAnsi="Times New Roman" w:cs="Times New Roman"/>
                      <w:color w:val="auto"/>
                      <w:szCs w:val="21"/>
                    </w:rPr>
                  </w:pPr>
                </w:p>
              </w:tc>
              <w:tc>
                <w:tcPr>
                  <w:tcW w:w="852"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原料仓库</w:t>
                  </w:r>
                </w:p>
              </w:tc>
              <w:tc>
                <w:tcPr>
                  <w:tcW w:w="1258" w:type="pct"/>
                  <w:noWrap w:val="0"/>
                  <w:vAlign w:val="center"/>
                </w:tcPr>
                <w:p>
                  <w:pPr>
                    <w:adjustRightInd w:val="0"/>
                    <w:snapToGrid w:val="0"/>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NMP、电解液等</w:t>
                  </w:r>
                </w:p>
              </w:tc>
              <w:tc>
                <w:tcPr>
                  <w:tcW w:w="2284" w:type="pct"/>
                  <w:noWrap w:val="0"/>
                  <w:vAlign w:val="center"/>
                </w:tcPr>
                <w:p>
                  <w:pPr>
                    <w:autoSpaceDE w:val="0"/>
                    <w:autoSpaceDN w:val="0"/>
                    <w:adjustRightInd w:val="0"/>
                    <w:jc w:val="left"/>
                    <w:rPr>
                      <w:rFonts w:hint="default" w:ascii="Times New Roman" w:hAnsi="Times New Roman" w:cs="Times New Roman"/>
                      <w:color w:val="auto"/>
                      <w:szCs w:val="21"/>
                    </w:rPr>
                  </w:pPr>
                  <w:r>
                    <w:rPr>
                      <w:rFonts w:hint="default" w:ascii="Times New Roman" w:hAnsi="Times New Roman" w:cs="Times New Roman"/>
                      <w:color w:val="auto"/>
                      <w:kern w:val="0"/>
                      <w:szCs w:val="21"/>
                    </w:rPr>
                    <w:t>做好防渗、防腐措施</w:t>
                  </w:r>
                  <w:r>
                    <w:rPr>
                      <w:rFonts w:hint="default" w:ascii="Times New Roman" w:hAnsi="Times New Roman" w:cs="Times New Roman"/>
                      <w:color w:val="auto"/>
                      <w:kern w:val="0"/>
                      <w:szCs w:val="21"/>
                      <w:lang w:eastAsia="zh-CN"/>
                    </w:rPr>
                    <w:t>，</w:t>
                  </w:r>
                  <w:r>
                    <w:rPr>
                      <w:rFonts w:hint="default" w:ascii="Times New Roman" w:hAnsi="Times New Roman" w:cs="Times New Roman"/>
                      <w:color w:val="auto"/>
                      <w:kern w:val="0"/>
                      <w:szCs w:val="21"/>
                    </w:rPr>
                    <w:t>铺设配筋混凝土加防渗剂的防渗地坪，同时门口设置漫坡，并做好事故废水收集措施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Merge w:val="restar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一般防渗区</w:t>
                  </w:r>
                </w:p>
              </w:tc>
              <w:tc>
                <w:tcPr>
                  <w:tcW w:w="852"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生活区</w:t>
                  </w:r>
                </w:p>
              </w:tc>
              <w:tc>
                <w:tcPr>
                  <w:tcW w:w="1258"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生活垃圾</w:t>
                  </w:r>
                </w:p>
              </w:tc>
              <w:tc>
                <w:tcPr>
                  <w:tcW w:w="2284" w:type="pct"/>
                  <w:vMerge w:val="restart"/>
                  <w:noWrap w:val="0"/>
                  <w:vAlign w:val="center"/>
                </w:tcPr>
                <w:p>
                  <w:pPr>
                    <w:autoSpaceDE w:val="0"/>
                    <w:autoSpaceDN w:val="0"/>
                    <w:adjustRightInd w:val="0"/>
                    <w:jc w:val="left"/>
                    <w:rPr>
                      <w:rFonts w:hint="default" w:ascii="Times New Roman" w:hAnsi="Times New Roman" w:cs="Times New Roman"/>
                      <w:color w:val="auto"/>
                      <w:szCs w:val="21"/>
                    </w:rPr>
                  </w:pPr>
                  <w:r>
                    <w:rPr>
                      <w:rFonts w:hint="default" w:ascii="Times New Roman" w:hAnsi="Times New Roman" w:cs="Times New Roman"/>
                      <w:color w:val="auto"/>
                      <w:kern w:val="0"/>
                      <w:szCs w:val="21"/>
                    </w:rPr>
                    <w:t>铺设配筋混凝土加防渗剂的防渗地坪，地面采用防渗钢筋混凝土结构，内部采用水泥基渗透结晶型防渗材料涂层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3" w:type="pct"/>
                  <w:vMerge w:val="continue"/>
                  <w:noWrap w:val="0"/>
                  <w:vAlign w:val="center"/>
                </w:tcPr>
                <w:p>
                  <w:pPr>
                    <w:adjustRightInd w:val="0"/>
                    <w:snapToGrid w:val="0"/>
                    <w:jc w:val="center"/>
                    <w:rPr>
                      <w:rFonts w:hint="default" w:ascii="Times New Roman" w:hAnsi="Times New Roman" w:cs="Times New Roman"/>
                      <w:color w:val="auto"/>
                      <w:szCs w:val="21"/>
                    </w:rPr>
                  </w:pPr>
                </w:p>
              </w:tc>
              <w:tc>
                <w:tcPr>
                  <w:tcW w:w="852"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一般固体废物仓库</w:t>
                  </w:r>
                </w:p>
              </w:tc>
              <w:tc>
                <w:tcPr>
                  <w:tcW w:w="1258" w:type="pct"/>
                  <w:noWrap w:val="0"/>
                  <w:vAlign w:val="center"/>
                </w:tcPr>
                <w:p>
                  <w:pPr>
                    <w:adjustRightInd w:val="0"/>
                    <w:snapToGrid w:val="0"/>
                    <w:jc w:val="center"/>
                    <w:rPr>
                      <w:rFonts w:hint="default" w:ascii="Times New Roman" w:hAnsi="Times New Roman" w:cs="Times New Roman"/>
                      <w:color w:val="auto"/>
                      <w:szCs w:val="21"/>
                    </w:rPr>
                  </w:pPr>
                  <w:r>
                    <w:rPr>
                      <w:rFonts w:hint="default" w:ascii="Times New Roman" w:hAnsi="Times New Roman" w:cs="Times New Roman"/>
                      <w:color w:val="auto"/>
                      <w:szCs w:val="21"/>
                    </w:rPr>
                    <w:t>一般固体废物</w:t>
                  </w:r>
                </w:p>
              </w:tc>
              <w:tc>
                <w:tcPr>
                  <w:tcW w:w="2284" w:type="pct"/>
                  <w:vMerge w:val="continue"/>
                  <w:noWrap w:val="0"/>
                  <w:vAlign w:val="center"/>
                </w:tcPr>
                <w:p>
                  <w:pPr>
                    <w:adjustRightInd w:val="0"/>
                    <w:snapToGrid w:val="0"/>
                    <w:jc w:val="center"/>
                    <w:rPr>
                      <w:rFonts w:hint="default" w:ascii="Times New Roman" w:hAnsi="Times New Roman" w:cs="Times New Roman"/>
                      <w:color w:val="auto"/>
                      <w:szCs w:val="21"/>
                    </w:rPr>
                  </w:pPr>
                </w:p>
              </w:tc>
            </w:tr>
          </w:tbl>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因此，本项目建成后应切实加强对项目的危险废物进行管理，对生产过程中临时存放和使用上述原辅材料的仓库和车间采取严密的防渗措施，项目固体废物临时堆放库应严格按照《危险废物贮存污染控制标准》（GB18597-2023）</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《中华人民共和国固体废物污染环境防治法》（2020年4月29日修订，2020年9月1日施行）、《广东省固体废物污染环境防治条例》（2018年11月29日修订，2019年3月1日施行）</w:t>
            </w:r>
            <w:r>
              <w:rPr>
                <w:rFonts w:hint="default" w:ascii="Times New Roman" w:hAnsi="Times New Roman" w:eastAsia="宋体" w:cs="Times New Roman"/>
                <w:color w:val="auto"/>
                <w:sz w:val="24"/>
                <w:szCs w:val="24"/>
              </w:rPr>
              <w:t>的有关规定建设，包括以下几点。</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（1）严格落实废气污染防治措施，加强废气治理设施检修、维护，使大气污染物得到处理，减少有机废气等污染物干湿沉降。</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（2）原料及产品转运、贮存等各环节做好防风、防水、防渗措施，避免有害物质流失禁止随意弃置、堆放、填埋。固体废物应分类收集暂存，严格按照《</w:t>
            </w:r>
            <w:r>
              <w:rPr>
                <w:rFonts w:hint="default" w:ascii="Times New Roman" w:hAnsi="Times New Roman" w:cs="Times New Roman"/>
                <w:color w:val="auto"/>
                <w:sz w:val="24"/>
              </w:rPr>
              <w:t>危险废物收集、贮存、运输技术规范</w:t>
            </w:r>
            <w:r>
              <w:rPr>
                <w:rFonts w:hint="default" w:ascii="Times New Roman" w:hAnsi="Times New Roman" w:cs="Times New Roman"/>
                <w:color w:val="auto"/>
                <w:sz w:val="24"/>
                <w:szCs w:val="24"/>
              </w:rPr>
              <w:t>》（</w:t>
            </w:r>
            <w:r>
              <w:rPr>
                <w:rFonts w:hint="default" w:ascii="Times New Roman" w:hAnsi="Times New Roman" w:cs="Times New Roman"/>
                <w:color w:val="auto"/>
                <w:sz w:val="24"/>
              </w:rPr>
              <w:t>HJ2025-2012</w:t>
            </w:r>
            <w:r>
              <w:rPr>
                <w:rFonts w:hint="default" w:ascii="Times New Roman" w:hAnsi="Times New Roman" w:cs="Times New Roman"/>
                <w:color w:val="auto"/>
                <w:sz w:val="24"/>
                <w:szCs w:val="24"/>
              </w:rPr>
              <w:t>）对危险废物进行收集、暂存，并委托持有《危险废物经营许可证》的单位进行无害化处理处置。原辅料仓库应备有泄漏应急处理设备（防渗托盘）和合适的收容材料，储存、运输过程中应当进行密闭，使用塑料包装物进行密闭等措施，避免</w:t>
            </w:r>
            <w:r>
              <w:rPr>
                <w:rFonts w:hint="default" w:ascii="Times New Roman" w:hAnsi="Times New Roman" w:cs="Times New Roman"/>
                <w:color w:val="auto"/>
                <w:sz w:val="24"/>
                <w:szCs w:val="24"/>
                <w:lang w:eastAsia="zh-CN"/>
              </w:rPr>
              <w:t>化学品泄漏</w:t>
            </w:r>
            <w:r>
              <w:rPr>
                <w:rFonts w:hint="default" w:ascii="Times New Roman" w:hAnsi="Times New Roman" w:cs="Times New Roman"/>
                <w:color w:val="auto"/>
                <w:sz w:val="24"/>
                <w:szCs w:val="24"/>
              </w:rPr>
              <w:t>。</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（3）厂区分区防渗，加强地下水环境跟踪监测，一旦发现地下水发生异常情况，必须马上暂停生产采取紧急措施。</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综上可知，建设单位按照要求做好源头控制措施和分区防控措施，不存在土壤和地下水污染途径，污染物不会直接进入土壤和地下水，因此，本项目不会对土壤和地下水产生明显的不利影响。</w:t>
            </w:r>
          </w:p>
          <w:p>
            <w:pPr>
              <w:spacing w:line="360" w:lineRule="auto"/>
              <w:ind w:firstLine="482" w:firstLineChars="200"/>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4.2.6环境风险</w:t>
            </w:r>
          </w:p>
          <w:p>
            <w:pPr>
              <w:pStyle w:val="91"/>
              <w:autoSpaceDE w:val="0"/>
              <w:autoSpaceDN w:val="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w:t>
            </w:r>
            <w:r>
              <w:rPr>
                <w:rFonts w:hint="default" w:ascii="Times New Roman" w:hAnsi="Times New Roman" w:cs="Times New Roman"/>
                <w:color w:val="auto"/>
                <w:sz w:val="24"/>
                <w:szCs w:val="24"/>
                <w:lang w:eastAsia="zh-CN"/>
              </w:rPr>
              <w:t>建设项目环境风险评价技术导则</w:t>
            </w:r>
            <w:r>
              <w:rPr>
                <w:rFonts w:hint="default" w:ascii="Times New Roman" w:hAnsi="Times New Roman" w:cs="Times New Roman"/>
                <w:color w:val="auto"/>
                <w:sz w:val="24"/>
                <w:szCs w:val="24"/>
              </w:rPr>
              <w:t>》（HJ169-2018）的要求，环境风险评价应以突发性事故导致的危险物质环境急性损害防控为目标，对建设项目的环境风险进行分析、预测和评估，提出环境风险预防、控制、减缓措施，明确环境风险监控及应急建议要求，为建设项目环境风险防控提供科学依据。</w:t>
            </w:r>
          </w:p>
          <w:p>
            <w:pPr>
              <w:pStyle w:val="91"/>
              <w:autoSpaceDE w:val="0"/>
              <w:autoSpaceDN w:val="0"/>
              <w:spacing w:line="360" w:lineRule="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（1）风险识别</w:t>
            </w:r>
          </w:p>
          <w:p>
            <w:pPr>
              <w:pStyle w:val="12"/>
              <w:widowControl w:val="0"/>
              <w:snapToGrid/>
              <w:spacing w:before="0" w:after="0" w:line="360" w:lineRule="auto"/>
              <w:ind w:right="0" w:firstLine="480"/>
              <w:jc w:val="left"/>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rPr>
              <w:t>对照《建设项目环境风险评价技术导则》（HJ169-2018）附录B，</w:t>
            </w:r>
            <w:r>
              <w:rPr>
                <w:rFonts w:hint="default" w:ascii="Times New Roman" w:hAnsi="Times New Roman" w:cs="Times New Roman"/>
                <w:color w:val="auto"/>
                <w:sz w:val="24"/>
                <w:szCs w:val="24"/>
                <w:lang w:val="en-US" w:eastAsia="zh-CN"/>
              </w:rPr>
              <w:t>本项目环境风险评价应识别的主要风险物质主要为锰酸锂、三元材</w:t>
            </w:r>
            <w:r>
              <w:rPr>
                <w:rFonts w:hint="default" w:ascii="Times New Roman" w:hAnsi="Times New Roman" w:cs="Times New Roman"/>
                <w:color w:val="auto"/>
                <w:sz w:val="24"/>
                <w:szCs w:val="24"/>
                <w:lang w:val="en-US" w:eastAsia="zh-CN"/>
              </w:rPr>
              <w:t>料、镍极耳、NMP、废NMP、电解液</w:t>
            </w:r>
            <w:r>
              <w:rPr>
                <w:rFonts w:hint="default" w:ascii="Times New Roman" w:hAnsi="Times New Roman" w:cs="Times New Roman"/>
                <w:color w:val="auto"/>
                <w:sz w:val="24"/>
                <w:szCs w:val="24"/>
                <w:lang w:val="en-US" w:eastAsia="zh-CN"/>
              </w:rPr>
              <w:t>。结合项目各类危险物质的状态、浓度、储存方式等得出其相应的临界量，</w:t>
            </w:r>
            <w:r>
              <w:rPr>
                <w:rFonts w:hint="default" w:ascii="Times New Roman" w:hAnsi="Times New Roman" w:cs="Times New Roman"/>
                <w:color w:val="auto"/>
                <w:spacing w:val="-3"/>
                <w:sz w:val="24"/>
                <w:szCs w:val="24"/>
                <w:lang w:val="en-US" w:eastAsia="zh-CN"/>
              </w:rPr>
              <w:t>其中风险物质中</w:t>
            </w:r>
            <w:r>
              <w:rPr>
                <w:rFonts w:hint="default" w:ascii="Times New Roman" w:hAnsi="Times New Roman" w:cs="Times New Roman"/>
                <w:snapToGrid w:val="0"/>
                <w:color w:val="auto"/>
                <w:sz w:val="24"/>
                <w:szCs w:val="24"/>
                <w:lang w:val="en-US" w:eastAsia="zh-CN"/>
              </w:rPr>
              <w:t>锰酸锂（锰</w:t>
            </w:r>
            <w:r>
              <w:rPr>
                <w:rFonts w:hint="default" w:ascii="Times New Roman" w:hAnsi="Times New Roman" w:cs="Times New Roman"/>
                <w:color w:val="auto"/>
                <w:sz w:val="24"/>
                <w:szCs w:val="24"/>
                <w:lang w:val="en-US" w:eastAsia="zh-CN"/>
              </w:rPr>
              <w:t>及其化合物</w:t>
            </w:r>
            <w:r>
              <w:rPr>
                <w:rFonts w:hint="default" w:ascii="Times New Roman" w:hAnsi="Times New Roman" w:cs="Times New Roman"/>
                <w:snapToGrid w:val="0"/>
                <w:color w:val="auto"/>
                <w:sz w:val="24"/>
                <w:szCs w:val="24"/>
                <w:lang w:val="en-US" w:eastAsia="zh-CN"/>
              </w:rPr>
              <w:t>）和三元材料（</w:t>
            </w:r>
            <w:r>
              <w:rPr>
                <w:rFonts w:hint="default" w:ascii="Times New Roman" w:hAnsi="Times New Roman" w:cs="Times New Roman"/>
                <w:color w:val="auto"/>
                <w:sz w:val="24"/>
                <w:szCs w:val="24"/>
                <w:lang w:val="en-US" w:eastAsia="zh-CN"/>
              </w:rPr>
              <w:t>镍及其化合物、钴及其化合物、锰及其化合物</w:t>
            </w:r>
            <w:r>
              <w:rPr>
                <w:rFonts w:hint="default" w:ascii="Times New Roman" w:hAnsi="Times New Roman" w:cs="Times New Roman"/>
                <w:snapToGrid w:val="0"/>
                <w:color w:val="auto"/>
                <w:sz w:val="24"/>
                <w:szCs w:val="24"/>
                <w:lang w:val="en-US" w:eastAsia="zh-CN"/>
              </w:rPr>
              <w:t>）要计算金属单质的量，折算具体情况详见下表</w:t>
            </w:r>
            <w:r>
              <w:rPr>
                <w:rFonts w:hint="default" w:ascii="Times New Roman" w:hAnsi="Times New Roman" w:cs="Times New Roman"/>
                <w:color w:val="auto"/>
                <w:sz w:val="24"/>
                <w:szCs w:val="24"/>
                <w:lang w:val="en-US" w:eastAsia="zh-CN"/>
              </w:rPr>
              <w:t>。</w:t>
            </w:r>
          </w:p>
          <w:p>
            <w:pPr>
              <w:pStyle w:val="91"/>
              <w:autoSpaceDE w:val="0"/>
              <w:autoSpaceDN w:val="0"/>
              <w:spacing w:line="360" w:lineRule="auto"/>
              <w:ind w:left="0" w:leftChars="0" w:firstLine="0" w:firstLineChars="0"/>
              <w:jc w:val="center"/>
              <w:rPr>
                <w:rFonts w:hint="default" w:ascii="Times New Roman" w:hAnsi="Times New Roman" w:eastAsia="宋体" w:cs="Times New Roman"/>
                <w:color w:val="auto"/>
                <w:sz w:val="24"/>
                <w:szCs w:val="24"/>
                <w:lang w:val="en-US" w:eastAsia="zh-CN"/>
              </w:rPr>
            </w:pPr>
            <w:r>
              <w:rPr>
                <w:rFonts w:hint="default" w:ascii="Times New Roman" w:hAnsi="Times New Roman" w:cs="Times New Roman"/>
                <w:b/>
                <w:bCs/>
                <w:color w:val="auto"/>
                <w:sz w:val="24"/>
                <w:szCs w:val="24"/>
              </w:rPr>
              <w:t>表4</w:t>
            </w:r>
            <w:r>
              <w:rPr>
                <w:rFonts w:hint="default" w:ascii="Times New Roman" w:hAnsi="Times New Roman" w:cs="Times New Roman"/>
                <w:b/>
                <w:bCs/>
                <w:color w:val="auto"/>
                <w:sz w:val="24"/>
                <w:szCs w:val="24"/>
                <w:lang w:val="en-US" w:eastAsia="zh-CN"/>
              </w:rPr>
              <w:t>-3</w:t>
            </w:r>
            <w:r>
              <w:rPr>
                <w:rFonts w:hint="eastAsia" w:ascii="Times New Roman" w:hAnsi="Times New Roman" w:cs="Times New Roman"/>
                <w:b/>
                <w:bCs/>
                <w:color w:val="auto"/>
                <w:sz w:val="24"/>
                <w:szCs w:val="24"/>
                <w:lang w:val="en-US" w:eastAsia="zh-CN"/>
              </w:rPr>
              <w:t>6</w:t>
            </w:r>
            <w:r>
              <w:rPr>
                <w:rFonts w:hint="default" w:ascii="Times New Roman" w:hAnsi="Times New Roman" w:cs="Times New Roman"/>
                <w:b/>
                <w:bCs/>
                <w:color w:val="auto"/>
                <w:sz w:val="24"/>
                <w:szCs w:val="24"/>
              </w:rPr>
              <w:t xml:space="preserve"> </w:t>
            </w:r>
            <w:r>
              <w:rPr>
                <w:rFonts w:hint="default" w:ascii="Times New Roman" w:hAnsi="Times New Roman" w:cs="Times New Roman"/>
                <w:b/>
                <w:bCs/>
                <w:color w:val="auto"/>
                <w:kern w:val="0"/>
                <w:sz w:val="24"/>
                <w:szCs w:val="24"/>
                <w:lang w:val="en-US" w:eastAsia="zh-CN"/>
              </w:rPr>
              <w:t>原料储存量核算表</w:t>
            </w:r>
          </w:p>
          <w:tbl>
            <w:tblPr>
              <w:tblStyle w:val="32"/>
              <w:tblW w:w="8503"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8"/>
              <w:gridCol w:w="1155"/>
              <w:gridCol w:w="1149"/>
              <w:gridCol w:w="3206"/>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8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color w:val="auto"/>
                      <w:kern w:val="2"/>
                      <w:sz w:val="21"/>
                      <w:szCs w:val="21"/>
                      <w:lang w:val="en-US" w:eastAsia="zh-CN" w:bidi="ar-SA"/>
                    </w:rPr>
                  </w:pPr>
                  <w:r>
                    <w:rPr>
                      <w:rFonts w:hint="default" w:ascii="Times New Roman" w:hAnsi="Times New Roman" w:cs="Times New Roman"/>
                      <w:b/>
                      <w:color w:val="auto"/>
                      <w:sz w:val="21"/>
                      <w:szCs w:val="21"/>
                    </w:rPr>
                    <w:t>序号</w:t>
                  </w:r>
                </w:p>
              </w:tc>
              <w:tc>
                <w:tcPr>
                  <w:tcW w:w="67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color w:val="auto"/>
                      <w:kern w:val="2"/>
                      <w:sz w:val="21"/>
                      <w:szCs w:val="21"/>
                      <w:lang w:val="en-US" w:eastAsia="zh-CN" w:bidi="ar-SA"/>
                    </w:rPr>
                  </w:pPr>
                  <w:r>
                    <w:rPr>
                      <w:rFonts w:hint="default" w:ascii="Times New Roman" w:hAnsi="Times New Roman" w:cs="Times New Roman"/>
                      <w:b/>
                      <w:color w:val="auto"/>
                      <w:sz w:val="21"/>
                      <w:szCs w:val="21"/>
                    </w:rPr>
                    <w:t>原料名称</w:t>
                  </w:r>
                </w:p>
              </w:tc>
              <w:tc>
                <w:tcPr>
                  <w:tcW w:w="6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color w:val="auto"/>
                      <w:kern w:val="2"/>
                      <w:sz w:val="21"/>
                      <w:szCs w:val="21"/>
                      <w:lang w:val="en-US" w:eastAsia="zh-CN" w:bidi="ar-SA"/>
                    </w:rPr>
                  </w:pPr>
                  <w:r>
                    <w:rPr>
                      <w:rFonts w:hint="default" w:ascii="Times New Roman" w:hAnsi="Times New Roman" w:cs="Times New Roman"/>
                      <w:b/>
                      <w:color w:val="auto"/>
                      <w:sz w:val="21"/>
                      <w:szCs w:val="21"/>
                    </w:rPr>
                    <w:t>最大储存量（</w:t>
                  </w:r>
                  <w:r>
                    <w:rPr>
                      <w:rFonts w:hint="default" w:ascii="Times New Roman" w:hAnsi="Times New Roman" w:eastAsia="Times New Roman" w:cs="Times New Roman"/>
                      <w:b/>
                      <w:color w:val="auto"/>
                      <w:sz w:val="21"/>
                      <w:szCs w:val="21"/>
                    </w:rPr>
                    <w:t>t</w:t>
                  </w:r>
                  <w:r>
                    <w:rPr>
                      <w:rFonts w:hint="default" w:ascii="Times New Roman" w:hAnsi="Times New Roman" w:cs="Times New Roman"/>
                      <w:b/>
                      <w:color w:val="auto"/>
                      <w:sz w:val="21"/>
                      <w:szCs w:val="21"/>
                    </w:rPr>
                    <w:t>）</w:t>
                  </w:r>
                </w:p>
              </w:tc>
              <w:tc>
                <w:tcPr>
                  <w:tcW w:w="18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color w:val="auto"/>
                      <w:kern w:val="2"/>
                      <w:sz w:val="21"/>
                      <w:szCs w:val="21"/>
                      <w:lang w:val="en-US" w:eastAsia="zh-CN" w:bidi="ar-SA"/>
                    </w:rPr>
                  </w:pPr>
                  <w:r>
                    <w:rPr>
                      <w:rFonts w:hint="default" w:ascii="Times New Roman" w:hAnsi="Times New Roman" w:cs="Times New Roman"/>
                      <w:b/>
                      <w:color w:val="auto"/>
                      <w:sz w:val="21"/>
                      <w:szCs w:val="21"/>
                    </w:rPr>
                    <w:t>金属含量（%）</w:t>
                  </w:r>
                </w:p>
              </w:tc>
              <w:tc>
                <w:tcPr>
                  <w:tcW w:w="127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color w:val="auto"/>
                      <w:kern w:val="2"/>
                      <w:sz w:val="21"/>
                      <w:szCs w:val="21"/>
                      <w:lang w:val="en-US" w:eastAsia="zh-CN" w:bidi="ar-SA"/>
                    </w:rPr>
                  </w:pPr>
                  <w:r>
                    <w:rPr>
                      <w:rFonts w:hint="default" w:ascii="Times New Roman" w:hAnsi="Times New Roman" w:cs="Times New Roman"/>
                      <w:b/>
                      <w:color w:val="auto"/>
                      <w:sz w:val="21"/>
                      <w:szCs w:val="21"/>
                    </w:rPr>
                    <w:t>金属最大储存量（</w:t>
                  </w:r>
                  <w:r>
                    <w:rPr>
                      <w:rFonts w:hint="default" w:ascii="Times New Roman" w:hAnsi="Times New Roman" w:eastAsia="Times New Roman" w:cs="Times New Roman"/>
                      <w:b/>
                      <w:color w:val="auto"/>
                      <w:sz w:val="21"/>
                      <w:szCs w:val="21"/>
                    </w:rPr>
                    <w:t>t</w:t>
                  </w:r>
                  <w:r>
                    <w:rPr>
                      <w:rFonts w:hint="default" w:ascii="Times New Roman" w:hAnsi="Times New Roman" w:cs="Times New Roman"/>
                      <w:b/>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1"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w:t>
                  </w:r>
                </w:p>
              </w:tc>
              <w:tc>
                <w:tcPr>
                  <w:tcW w:w="679" w:type="pct"/>
                  <w:noWrap w:val="0"/>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eastAsia="宋体" w:cs="Times New Roman"/>
                      <w:bCs/>
                      <w:snapToGrid w:val="0"/>
                      <w:color w:val="auto"/>
                      <w:sz w:val="21"/>
                      <w:szCs w:val="21"/>
                      <w:lang w:val="en-US" w:eastAsia="zh-CN" w:bidi="en-US"/>
                    </w:rPr>
                  </w:pPr>
                  <w:r>
                    <w:rPr>
                      <w:rFonts w:hint="default" w:ascii="Times New Roman" w:hAnsi="Times New Roman" w:cs="Times New Roman"/>
                      <w:bCs/>
                      <w:snapToGrid w:val="0"/>
                      <w:color w:val="auto"/>
                      <w:sz w:val="21"/>
                      <w:szCs w:val="21"/>
                      <w:lang w:val="en-US" w:eastAsia="zh-CN" w:bidi="en-US"/>
                    </w:rPr>
                    <w:t>锰酸锂</w:t>
                  </w:r>
                </w:p>
              </w:tc>
              <w:tc>
                <w:tcPr>
                  <w:tcW w:w="6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1.7</w:t>
                  </w:r>
                </w:p>
              </w:tc>
              <w:tc>
                <w:tcPr>
                  <w:tcW w:w="18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kern w:val="0"/>
                      <w:sz w:val="21"/>
                      <w:szCs w:val="21"/>
                      <w:lang w:val="en-US" w:eastAsia="zh-CN"/>
                    </w:rPr>
                    <w:t>锰</w:t>
                  </w:r>
                  <w:r>
                    <w:rPr>
                      <w:rFonts w:hint="default" w:ascii="Times New Roman" w:hAnsi="Times New Roman" w:cs="Times New Roman"/>
                      <w:color w:val="auto"/>
                      <w:kern w:val="0"/>
                      <w:sz w:val="21"/>
                      <w:szCs w:val="21"/>
                    </w:rPr>
                    <w:t>及其化合物（以</w:t>
                  </w:r>
                  <w:r>
                    <w:rPr>
                      <w:rFonts w:hint="default" w:ascii="Times New Roman" w:hAnsi="Times New Roman" w:cs="Times New Roman"/>
                      <w:color w:val="auto"/>
                      <w:kern w:val="0"/>
                      <w:sz w:val="21"/>
                      <w:szCs w:val="21"/>
                      <w:lang w:val="en-US" w:eastAsia="zh-CN"/>
                    </w:rPr>
                    <w:t>锰</w:t>
                  </w:r>
                  <w:r>
                    <w:rPr>
                      <w:rFonts w:hint="default" w:ascii="Times New Roman" w:hAnsi="Times New Roman" w:cs="Times New Roman"/>
                      <w:color w:val="auto"/>
                      <w:kern w:val="0"/>
                      <w:sz w:val="21"/>
                      <w:szCs w:val="21"/>
                    </w:rPr>
                    <w:t>计）</w:t>
                  </w:r>
                  <w:r>
                    <w:rPr>
                      <w:rFonts w:hint="default" w:ascii="Times New Roman" w:hAnsi="Times New Roman" w:cs="Times New Roman"/>
                      <w:bCs/>
                      <w:snapToGrid w:val="0"/>
                      <w:color w:val="auto"/>
                      <w:sz w:val="21"/>
                      <w:szCs w:val="21"/>
                    </w:rPr>
                    <w:t>：</w:t>
                  </w:r>
                  <w:r>
                    <w:rPr>
                      <w:rFonts w:hint="default" w:ascii="Times New Roman" w:hAnsi="Times New Roman" w:cs="Times New Roman"/>
                      <w:bCs/>
                      <w:snapToGrid w:val="0"/>
                      <w:color w:val="auto"/>
                      <w:sz w:val="21"/>
                      <w:szCs w:val="21"/>
                      <w:lang w:val="en-US" w:eastAsia="zh-CN"/>
                    </w:rPr>
                    <w:t>59.5</w:t>
                  </w:r>
                </w:p>
              </w:tc>
              <w:tc>
                <w:tcPr>
                  <w:tcW w:w="127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1.0115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1"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2</w:t>
                  </w:r>
                </w:p>
              </w:tc>
              <w:tc>
                <w:tcPr>
                  <w:tcW w:w="679" w:type="pct"/>
                  <w:vMerge w:val="restart"/>
                  <w:noWrap w:val="0"/>
                  <w:vAlign w:val="center"/>
                </w:tcPr>
                <w:p>
                  <w:pPr>
                    <w:pStyle w:val="25"/>
                    <w:keepNext w:val="0"/>
                    <w:keepLines w:val="0"/>
                    <w:pageBreakBefore w:val="0"/>
                    <w:widowControl w:val="0"/>
                    <w:kinsoku/>
                    <w:wordWrap/>
                    <w:overflowPunct/>
                    <w:topLinePunct w:val="0"/>
                    <w:autoSpaceDE/>
                    <w:autoSpaceDN/>
                    <w:bidi w:val="0"/>
                    <w:adjustRightInd w:val="0"/>
                    <w:snapToGrid w:val="0"/>
                    <w:spacing w:line="240" w:lineRule="auto"/>
                    <w:ind w:firstLine="0"/>
                    <w:jc w:val="center"/>
                    <w:textAlignment w:val="auto"/>
                    <w:rPr>
                      <w:rFonts w:hint="default" w:ascii="Times New Roman" w:hAnsi="Times New Roman" w:cs="Times New Roman"/>
                      <w:bCs/>
                      <w:snapToGrid w:val="0"/>
                      <w:color w:val="auto"/>
                      <w:sz w:val="21"/>
                      <w:szCs w:val="21"/>
                      <w:lang w:bidi="en-US"/>
                    </w:rPr>
                  </w:pPr>
                  <w:r>
                    <w:rPr>
                      <w:rFonts w:hint="default" w:ascii="Times New Roman" w:hAnsi="Times New Roman" w:cs="Times New Roman"/>
                      <w:bCs/>
                      <w:snapToGrid w:val="0"/>
                      <w:color w:val="auto"/>
                      <w:sz w:val="21"/>
                      <w:szCs w:val="21"/>
                    </w:rPr>
                    <w:t>三元材料（镍钴锰酸锂）</w:t>
                  </w:r>
                </w:p>
              </w:tc>
              <w:tc>
                <w:tcPr>
                  <w:tcW w:w="67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1.25</w:t>
                  </w:r>
                </w:p>
              </w:tc>
              <w:tc>
                <w:tcPr>
                  <w:tcW w:w="18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kern w:val="0"/>
                      <w:sz w:val="21"/>
                      <w:szCs w:val="21"/>
                    </w:rPr>
                    <w:t>镍及其化合物（以镍计）：</w:t>
                  </w:r>
                  <w:r>
                    <w:rPr>
                      <w:rFonts w:hint="default" w:ascii="Times New Roman" w:hAnsi="Times New Roman" w:cs="Times New Roman"/>
                      <w:color w:val="auto"/>
                      <w:kern w:val="0"/>
                      <w:sz w:val="21"/>
                      <w:szCs w:val="21"/>
                      <w:lang w:val="en-US" w:eastAsia="zh-CN"/>
                    </w:rPr>
                    <w:t>30.8</w:t>
                  </w:r>
                </w:p>
              </w:tc>
              <w:tc>
                <w:tcPr>
                  <w:tcW w:w="127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0.385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rPr>
                  </w:pPr>
                </w:p>
              </w:tc>
              <w:tc>
                <w:tcPr>
                  <w:tcW w:w="67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rPr>
                  </w:pPr>
                </w:p>
              </w:tc>
              <w:tc>
                <w:tcPr>
                  <w:tcW w:w="67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rPr>
                  </w:pPr>
                </w:p>
              </w:tc>
              <w:tc>
                <w:tcPr>
                  <w:tcW w:w="18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kern w:val="0"/>
                      <w:sz w:val="21"/>
                      <w:szCs w:val="21"/>
                    </w:rPr>
                    <w:t>钴及其化合物（以钴计）</w:t>
                  </w:r>
                  <w:r>
                    <w:rPr>
                      <w:rFonts w:hint="default" w:ascii="Times New Roman" w:hAnsi="Times New Roman" w:cs="Times New Roman"/>
                      <w:bCs/>
                      <w:snapToGrid w:val="0"/>
                      <w:color w:val="auto"/>
                      <w:sz w:val="21"/>
                      <w:szCs w:val="21"/>
                    </w:rPr>
                    <w:t>：</w:t>
                  </w:r>
                  <w:r>
                    <w:rPr>
                      <w:rFonts w:hint="default" w:ascii="Times New Roman" w:hAnsi="Times New Roman" w:cs="Times New Roman"/>
                      <w:bCs/>
                      <w:snapToGrid w:val="0"/>
                      <w:color w:val="auto"/>
                      <w:sz w:val="21"/>
                      <w:szCs w:val="21"/>
                      <w:lang w:val="en-US" w:eastAsia="zh-CN"/>
                    </w:rPr>
                    <w:t>13.1</w:t>
                  </w:r>
                </w:p>
              </w:tc>
              <w:tc>
                <w:tcPr>
                  <w:tcW w:w="127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0.16375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1"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rPr>
                  </w:pPr>
                </w:p>
              </w:tc>
              <w:tc>
                <w:tcPr>
                  <w:tcW w:w="67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rPr>
                  </w:pPr>
                </w:p>
              </w:tc>
              <w:tc>
                <w:tcPr>
                  <w:tcW w:w="67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Cs/>
                      <w:color w:val="auto"/>
                      <w:sz w:val="21"/>
                      <w:szCs w:val="21"/>
                    </w:rPr>
                  </w:pPr>
                </w:p>
              </w:tc>
              <w:tc>
                <w:tcPr>
                  <w:tcW w:w="18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color w:val="auto"/>
                      <w:kern w:val="0"/>
                      <w:sz w:val="21"/>
                      <w:szCs w:val="21"/>
                    </w:rPr>
                    <w:t>锰及其化合物（以锰计）：</w:t>
                  </w:r>
                  <w:r>
                    <w:rPr>
                      <w:rFonts w:hint="default" w:ascii="Times New Roman" w:hAnsi="Times New Roman" w:cs="Times New Roman"/>
                      <w:color w:val="auto"/>
                      <w:kern w:val="0"/>
                      <w:sz w:val="21"/>
                      <w:szCs w:val="21"/>
                      <w:lang w:val="en-US" w:eastAsia="zh-CN"/>
                    </w:rPr>
                    <w:t>15</w:t>
                  </w:r>
                </w:p>
              </w:tc>
              <w:tc>
                <w:tcPr>
                  <w:tcW w:w="1278"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0.1875</w:t>
                  </w:r>
                </w:p>
              </w:tc>
            </w:tr>
          </w:tbl>
          <w:p>
            <w:pPr>
              <w:pStyle w:val="91"/>
              <w:keepNext w:val="0"/>
              <w:keepLines w:val="0"/>
              <w:pageBreakBefore w:val="0"/>
              <w:widowControl w:val="0"/>
              <w:kinsoku/>
              <w:wordWrap/>
              <w:overflowPunct/>
              <w:topLinePunct w:val="0"/>
              <w:autoSpaceDE w:val="0"/>
              <w:autoSpaceDN w:val="0"/>
              <w:bidi w:val="0"/>
              <w:adjustRightInd/>
              <w:spacing w:line="360" w:lineRule="auto"/>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（2）环境风险评价等级</w:t>
            </w:r>
          </w:p>
          <w:p>
            <w:pPr>
              <w:keepNext w:val="0"/>
              <w:keepLines w:val="0"/>
              <w:pageBreakBefore w:val="0"/>
              <w:widowControl w:val="0"/>
              <w:kinsoku/>
              <w:wordWrap/>
              <w:overflowPunct/>
              <w:topLinePunct w:val="0"/>
              <w:bidi w:val="0"/>
              <w:adjustRightInd/>
              <w:snapToGrid w:val="0"/>
              <w:spacing w:line="360" w:lineRule="auto"/>
              <w:ind w:firstLine="480" w:firstLineChars="200"/>
              <w:textAlignment w:val="auto"/>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根据《建设项目环境风险评价技术导则》（HJ 169-2018）附录C，计算所涉及的每种危险物质在厂界内的最大存在总量与其在附录B中对应临界量的比值Q。在不同厂区的同一种物质，按其在厂界内的最大存在总量计算。</w:t>
            </w:r>
          </w:p>
          <w:p>
            <w:pPr>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当只涉及一种危险物质时，计算该物质的总量及其临界量比值，即为Q；当存在多种危险物质时，则按下列式子计算物质总量与其临界量比值（Q）：</w:t>
            </w:r>
          </w:p>
          <w:p>
            <w:pPr>
              <w:snapToGrid w:val="0"/>
              <w:spacing w:line="360" w:lineRule="auto"/>
              <w:ind w:firstLine="480" w:firstLineChars="200"/>
              <w:jc w:val="center"/>
              <w:rPr>
                <w:rFonts w:hint="default" w:ascii="Times New Roman" w:hAnsi="Times New Roman" w:cs="Times New Roman"/>
                <w:color w:val="auto"/>
                <w:sz w:val="24"/>
                <w:szCs w:val="24"/>
                <w:vertAlign w:val="subscript"/>
              </w:rPr>
            </w:pPr>
            <w:r>
              <w:rPr>
                <w:rFonts w:hint="default" w:ascii="Times New Roman" w:hAnsi="Times New Roman" w:cs="Times New Roman"/>
                <w:color w:val="auto"/>
                <w:sz w:val="24"/>
                <w:szCs w:val="24"/>
              </w:rPr>
              <w:t>Q=q</w:t>
            </w:r>
            <w:r>
              <w:rPr>
                <w:rFonts w:hint="default" w:ascii="Times New Roman" w:hAnsi="Times New Roman" w:cs="Times New Roman"/>
                <w:color w:val="auto"/>
                <w:sz w:val="24"/>
                <w:szCs w:val="24"/>
                <w:vertAlign w:val="subscript"/>
              </w:rPr>
              <w:t>1</w:t>
            </w: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vertAlign w:val="subscript"/>
              </w:rPr>
              <w:t>1</w:t>
            </w:r>
            <w:r>
              <w:rPr>
                <w:rFonts w:hint="default" w:ascii="Times New Roman" w:hAnsi="Times New Roman" w:cs="Times New Roman"/>
                <w:color w:val="auto"/>
                <w:sz w:val="24"/>
                <w:szCs w:val="24"/>
              </w:rPr>
              <w:t>+ q</w:t>
            </w:r>
            <w:r>
              <w:rPr>
                <w:rFonts w:hint="default" w:ascii="Times New Roman" w:hAnsi="Times New Roman" w:cs="Times New Roman"/>
                <w:color w:val="auto"/>
                <w:sz w:val="24"/>
                <w:szCs w:val="24"/>
                <w:vertAlign w:val="subscript"/>
              </w:rPr>
              <w:t>2</w:t>
            </w: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vertAlign w:val="subscript"/>
              </w:rPr>
              <w:t>2</w:t>
            </w:r>
            <w:r>
              <w:rPr>
                <w:rFonts w:hint="default" w:ascii="Times New Roman" w:hAnsi="Times New Roman" w:cs="Times New Roman"/>
                <w:color w:val="auto"/>
                <w:sz w:val="24"/>
                <w:szCs w:val="24"/>
              </w:rPr>
              <w:t>……+ q</w:t>
            </w:r>
            <w:r>
              <w:rPr>
                <w:rFonts w:hint="default" w:ascii="Times New Roman" w:hAnsi="Times New Roman" w:cs="Times New Roman"/>
                <w:color w:val="auto"/>
                <w:sz w:val="24"/>
                <w:szCs w:val="24"/>
                <w:vertAlign w:val="subscript"/>
              </w:rPr>
              <w:t>n</w:t>
            </w: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vertAlign w:val="subscript"/>
              </w:rPr>
              <w:t>n</w:t>
            </w:r>
          </w:p>
          <w:p>
            <w:pPr>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式中：q</w:t>
            </w:r>
            <w:r>
              <w:rPr>
                <w:rFonts w:hint="default" w:ascii="Times New Roman" w:hAnsi="Times New Roman" w:cs="Times New Roman"/>
                <w:color w:val="auto"/>
                <w:sz w:val="24"/>
                <w:szCs w:val="24"/>
                <w:vertAlign w:val="subscript"/>
              </w:rPr>
              <w:t>1</w:t>
            </w: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vertAlign w:val="subscript"/>
              </w:rPr>
              <w:t>2</w:t>
            </w:r>
            <w:r>
              <w:rPr>
                <w:rFonts w:hint="default" w:ascii="Times New Roman" w:hAnsi="Times New Roman" w:cs="Times New Roman"/>
                <w:color w:val="auto"/>
                <w:sz w:val="24"/>
                <w:szCs w:val="24"/>
                <w:vertAlign w:val="subscript"/>
                <w:lang w:eastAsia="zh-CN"/>
              </w:rPr>
              <w:t>……</w:t>
            </w: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vertAlign w:val="subscript"/>
              </w:rPr>
              <w:t>n</w:t>
            </w:r>
            <w:r>
              <w:rPr>
                <w:rFonts w:hint="default" w:ascii="Times New Roman" w:hAnsi="Times New Roman" w:cs="Times New Roman"/>
                <w:color w:val="auto"/>
                <w:sz w:val="24"/>
                <w:szCs w:val="24"/>
              </w:rPr>
              <w:t>——每种危险物质实际存在量，t。</w:t>
            </w:r>
          </w:p>
          <w:p>
            <w:pPr>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vertAlign w:val="subscript"/>
              </w:rPr>
              <w:t>1</w:t>
            </w: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vertAlign w:val="subscript"/>
              </w:rPr>
              <w:t>2</w:t>
            </w:r>
            <w:r>
              <w:rPr>
                <w:rFonts w:hint="default" w:ascii="Times New Roman" w:hAnsi="Times New Roman" w:cs="Times New Roman"/>
                <w:color w:val="auto"/>
                <w:sz w:val="24"/>
                <w:szCs w:val="24"/>
                <w:vertAlign w:val="subscript"/>
                <w:lang w:eastAsia="zh-CN"/>
              </w:rPr>
              <w:t>……</w:t>
            </w:r>
            <w:r>
              <w:rPr>
                <w:rFonts w:hint="default" w:ascii="Times New Roman" w:hAnsi="Times New Roman" w:cs="Times New Roman"/>
                <w:color w:val="auto"/>
                <w:sz w:val="24"/>
                <w:szCs w:val="24"/>
              </w:rPr>
              <w:t>Q</w:t>
            </w:r>
            <w:r>
              <w:rPr>
                <w:rFonts w:hint="default" w:ascii="Times New Roman" w:hAnsi="Times New Roman" w:cs="Times New Roman"/>
                <w:color w:val="auto"/>
                <w:sz w:val="24"/>
                <w:szCs w:val="24"/>
                <w:vertAlign w:val="subscript"/>
              </w:rPr>
              <w:t>n</w:t>
            </w:r>
            <w:r>
              <w:rPr>
                <w:rFonts w:hint="default" w:ascii="Times New Roman" w:hAnsi="Times New Roman" w:cs="Times New Roman"/>
                <w:color w:val="auto"/>
                <w:sz w:val="24"/>
                <w:szCs w:val="24"/>
              </w:rPr>
              <w:t>——与各危险物质相对应的生产场所或贮存区的临界量，t。</w:t>
            </w:r>
          </w:p>
          <w:p>
            <w:pPr>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当Q＜1时，该项目环境风险潜势为Ⅰ，简单分析即可。</w:t>
            </w:r>
          </w:p>
          <w:p>
            <w:pPr>
              <w:snapToGri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当Q≥1时，将Q值划分为：（1）1≤Q＜10；（2）10≤Q＜100；（3）Q≥100。</w:t>
            </w:r>
          </w:p>
          <w:p>
            <w:pPr>
              <w:snapToGrid w:val="0"/>
              <w:spacing w:line="360" w:lineRule="auto"/>
              <w:ind w:firstLine="480" w:firstLineChars="200"/>
              <w:rPr>
                <w:rFonts w:hint="default" w:ascii="Times New Roman" w:hAnsi="Times New Roman" w:cs="Times New Roman"/>
                <w:color w:val="auto"/>
                <w:spacing w:val="-2"/>
                <w:sz w:val="24"/>
                <w:szCs w:val="24"/>
              </w:rPr>
            </w:pPr>
            <w:r>
              <w:rPr>
                <w:rFonts w:hint="default" w:ascii="Times New Roman" w:hAnsi="Times New Roman" w:cs="Times New Roman"/>
                <w:color w:val="auto"/>
                <w:sz w:val="24"/>
                <w:szCs w:val="24"/>
              </w:rPr>
              <w:t>对照《建设项目环境风险评价技术导则》（HJ169-2018）附录B，本项目突发环境事件风险物质及其临界量比值Q计算结果如下表所示</w:t>
            </w:r>
            <w:r>
              <w:rPr>
                <w:rFonts w:hint="default" w:ascii="Times New Roman" w:hAnsi="Times New Roman" w:cs="Times New Roman"/>
                <w:color w:val="auto"/>
                <w:spacing w:val="-2"/>
                <w:sz w:val="24"/>
                <w:szCs w:val="24"/>
              </w:rPr>
              <w:t>。</w:t>
            </w:r>
          </w:p>
          <w:p>
            <w:pPr>
              <w:widowControl/>
              <w:spacing w:line="360" w:lineRule="auto"/>
              <w:jc w:val="center"/>
              <w:rPr>
                <w:rFonts w:hint="default" w:ascii="Times New Roman" w:hAnsi="Times New Roman" w:cs="Times New Roman"/>
                <w:b/>
                <w:bCs/>
                <w:color w:val="auto"/>
                <w:sz w:val="24"/>
                <w:szCs w:val="24"/>
              </w:rPr>
            </w:pPr>
            <w:r>
              <w:rPr>
                <w:rFonts w:hint="default" w:ascii="Times New Roman" w:hAnsi="Times New Roman" w:cs="Times New Roman"/>
                <w:b/>
                <w:bCs/>
                <w:color w:val="auto"/>
                <w:sz w:val="24"/>
                <w:szCs w:val="24"/>
              </w:rPr>
              <w:t>表4</w:t>
            </w:r>
            <w:r>
              <w:rPr>
                <w:rFonts w:hint="default" w:ascii="Times New Roman" w:hAnsi="Times New Roman" w:cs="Times New Roman"/>
                <w:b/>
                <w:bCs/>
                <w:color w:val="auto"/>
                <w:sz w:val="24"/>
                <w:szCs w:val="24"/>
                <w:lang w:val="en-US" w:eastAsia="zh-CN"/>
              </w:rPr>
              <w:t>-3</w:t>
            </w:r>
            <w:r>
              <w:rPr>
                <w:rFonts w:hint="eastAsia" w:ascii="Times New Roman" w:hAnsi="Times New Roman" w:cs="Times New Roman"/>
                <w:b/>
                <w:bCs/>
                <w:color w:val="auto"/>
                <w:sz w:val="24"/>
                <w:szCs w:val="24"/>
                <w:lang w:val="en-US" w:eastAsia="zh-CN"/>
              </w:rPr>
              <w:t>7</w:t>
            </w:r>
            <w:r>
              <w:rPr>
                <w:rFonts w:hint="default" w:ascii="Times New Roman" w:hAnsi="Times New Roman" w:cs="Times New Roman"/>
                <w:b/>
                <w:bCs/>
                <w:color w:val="auto"/>
                <w:sz w:val="24"/>
                <w:szCs w:val="24"/>
                <w:lang w:val="en-US" w:eastAsia="zh-CN"/>
              </w:rPr>
              <w:t xml:space="preserve"> </w:t>
            </w:r>
            <w:r>
              <w:rPr>
                <w:rFonts w:hint="default" w:ascii="Times New Roman" w:hAnsi="Times New Roman" w:cs="Times New Roman"/>
                <w:b/>
                <w:bCs/>
                <w:color w:val="auto"/>
                <w:sz w:val="24"/>
                <w:szCs w:val="24"/>
              </w:rPr>
              <w:t>项目突发环境事件风险物质及其临界量一览表</w:t>
            </w:r>
          </w:p>
          <w:tbl>
            <w:tblPr>
              <w:tblStyle w:val="3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6"/>
              <w:gridCol w:w="1194"/>
              <w:gridCol w:w="1998"/>
              <w:gridCol w:w="643"/>
              <w:gridCol w:w="993"/>
              <w:gridCol w:w="1984"/>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314" w:type="pct"/>
                  <w:noWrap w:val="0"/>
                  <w:vAlign w:val="center"/>
                </w:tcPr>
                <w:p>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序号</w:t>
                  </w:r>
                </w:p>
              </w:tc>
              <w:tc>
                <w:tcPr>
                  <w:tcW w:w="1868" w:type="pct"/>
                  <w:gridSpan w:val="2"/>
                  <w:noWrap w:val="0"/>
                  <w:vAlign w:val="center"/>
                </w:tcPr>
                <w:p>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危化品名</w:t>
                  </w:r>
                </w:p>
              </w:tc>
              <w:tc>
                <w:tcPr>
                  <w:tcW w:w="376" w:type="pct"/>
                  <w:noWrap w:val="0"/>
                  <w:vAlign w:val="center"/>
                </w:tcPr>
                <w:p>
                  <w:pPr>
                    <w:jc w:val="center"/>
                    <w:rPr>
                      <w:rFonts w:hint="default" w:ascii="Times New Roman" w:hAnsi="Times New Roman" w:eastAsia="宋体" w:cs="Times New Roman"/>
                      <w:b/>
                      <w:color w:val="auto"/>
                      <w:szCs w:val="21"/>
                      <w:lang w:val="en-US" w:eastAsia="zh-CN"/>
                    </w:rPr>
                  </w:pPr>
                  <w:r>
                    <w:rPr>
                      <w:rFonts w:hint="default" w:ascii="Times New Roman" w:hAnsi="Times New Roman" w:cs="Times New Roman"/>
                      <w:b/>
                      <w:color w:val="auto"/>
                      <w:szCs w:val="21"/>
                      <w:lang w:val="en-US" w:eastAsia="zh-CN"/>
                    </w:rPr>
                    <w:t>CAS</w:t>
                  </w:r>
                </w:p>
              </w:tc>
              <w:tc>
                <w:tcPr>
                  <w:tcW w:w="581" w:type="pct"/>
                  <w:noWrap w:val="0"/>
                  <w:vAlign w:val="center"/>
                </w:tcPr>
                <w:p>
                  <w:pPr>
                    <w:jc w:val="center"/>
                    <w:rPr>
                      <w:rFonts w:hint="default" w:ascii="Times New Roman" w:hAnsi="Times New Roman" w:cs="Times New Roman"/>
                      <w:b/>
                      <w:color w:val="auto"/>
                      <w:szCs w:val="21"/>
                    </w:rPr>
                  </w:pPr>
                  <w:r>
                    <w:rPr>
                      <w:rFonts w:hint="default" w:ascii="Times New Roman" w:hAnsi="Times New Roman" w:cs="Times New Roman"/>
                      <w:b/>
                      <w:color w:val="auto"/>
                      <w:szCs w:val="21"/>
                    </w:rPr>
                    <w:t>临界量</w:t>
                  </w:r>
                </w:p>
                <w:p>
                  <w:pPr>
                    <w:jc w:val="center"/>
                    <w:rPr>
                      <w:rFonts w:hint="default" w:ascii="Times New Roman" w:hAnsi="Times New Roman" w:cs="Times New Roman"/>
                      <w:b/>
                      <w:color w:val="auto"/>
                      <w:kern w:val="0"/>
                      <w:szCs w:val="21"/>
                    </w:rPr>
                  </w:pPr>
                  <w:r>
                    <w:rPr>
                      <w:rFonts w:hint="default" w:ascii="Times New Roman" w:hAnsi="Times New Roman" w:cs="Times New Roman"/>
                      <w:b/>
                      <w:color w:val="auto"/>
                      <w:szCs w:val="21"/>
                    </w:rPr>
                    <w:t>Qi（t）</w:t>
                  </w:r>
                </w:p>
              </w:tc>
              <w:tc>
                <w:tcPr>
                  <w:tcW w:w="1159" w:type="pct"/>
                  <w:noWrap w:val="0"/>
                  <w:vAlign w:val="center"/>
                </w:tcPr>
                <w:p>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szCs w:val="21"/>
                    </w:rPr>
                    <w:t>厂内最大存在量qi（t）</w:t>
                  </w:r>
                </w:p>
              </w:tc>
              <w:tc>
                <w:tcPr>
                  <w:tcW w:w="699" w:type="pct"/>
                  <w:noWrap w:val="0"/>
                  <w:vAlign w:val="center"/>
                </w:tcPr>
                <w:p>
                  <w:pPr>
                    <w:widowControl/>
                    <w:jc w:val="center"/>
                    <w:rPr>
                      <w:rFonts w:hint="default" w:ascii="Times New Roman" w:hAnsi="Times New Roman" w:cs="Times New Roman"/>
                      <w:b/>
                      <w:color w:val="auto"/>
                      <w:kern w:val="0"/>
                      <w:szCs w:val="21"/>
                    </w:rPr>
                  </w:pPr>
                  <w:r>
                    <w:rPr>
                      <w:rFonts w:hint="default" w:ascii="Times New Roman" w:hAnsi="Times New Roman" w:cs="Times New Roman"/>
                      <w:b/>
                      <w:color w:val="auto"/>
                      <w:kern w:val="0"/>
                      <w:szCs w:val="21"/>
                    </w:rPr>
                    <w:t>q</w:t>
                  </w:r>
                  <w:r>
                    <w:rPr>
                      <w:rFonts w:hint="default" w:ascii="Times New Roman" w:hAnsi="Times New Roman" w:cs="Times New Roman"/>
                      <w:b/>
                      <w:color w:val="auto"/>
                      <w:kern w:val="0"/>
                      <w:szCs w:val="21"/>
                      <w:vertAlign w:val="subscript"/>
                    </w:rPr>
                    <w:t>i</w:t>
                  </w:r>
                  <w:r>
                    <w:rPr>
                      <w:rFonts w:hint="default" w:ascii="Times New Roman" w:hAnsi="Times New Roman" w:cs="Times New Roman"/>
                      <w:b/>
                      <w:color w:val="auto"/>
                      <w:kern w:val="0"/>
                      <w:szCs w:val="21"/>
                    </w:rPr>
                    <w:t>/Q</w:t>
                  </w:r>
                  <w:r>
                    <w:rPr>
                      <w:rFonts w:hint="default" w:ascii="Times New Roman" w:hAnsi="Times New Roman" w:cs="Times New Roman"/>
                      <w:b/>
                      <w:color w:val="auto"/>
                      <w:kern w:val="0"/>
                      <w:szCs w:val="21"/>
                      <w:vertAlign w:val="subscript"/>
                    </w:rPr>
                    <w:t>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14" w:type="pct"/>
                  <w:noWrap w:val="0"/>
                  <w:vAlign w:val="center"/>
                </w:tcPr>
                <w:p>
                  <w:pPr>
                    <w:widowControl/>
                    <w:jc w:val="center"/>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69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 w:val="0"/>
                      <w:bCs w:val="0"/>
                      <w:color w:val="auto"/>
                      <w:sz w:val="21"/>
                      <w:szCs w:val="21"/>
                      <w:lang w:val="en-US" w:eastAsia="zh-CN"/>
                    </w:rPr>
                    <w:t>锰酸锂</w:t>
                  </w:r>
                </w:p>
              </w:tc>
              <w:tc>
                <w:tcPr>
                  <w:tcW w:w="11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kern w:val="0"/>
                      <w:sz w:val="21"/>
                      <w:szCs w:val="21"/>
                      <w:lang w:val="en-US" w:eastAsia="zh-CN"/>
                    </w:rPr>
                    <w:t>锰</w:t>
                  </w:r>
                  <w:r>
                    <w:rPr>
                      <w:rFonts w:hint="default" w:ascii="Times New Roman" w:hAnsi="Times New Roman" w:cs="Times New Roman"/>
                      <w:color w:val="auto"/>
                      <w:kern w:val="0"/>
                      <w:sz w:val="21"/>
                      <w:szCs w:val="21"/>
                    </w:rPr>
                    <w:t>及其化合物（以</w:t>
                  </w:r>
                  <w:r>
                    <w:rPr>
                      <w:rFonts w:hint="default" w:ascii="Times New Roman" w:hAnsi="Times New Roman" w:cs="Times New Roman"/>
                      <w:color w:val="auto"/>
                      <w:kern w:val="0"/>
                      <w:sz w:val="21"/>
                      <w:szCs w:val="21"/>
                      <w:lang w:val="en-US" w:eastAsia="zh-CN"/>
                    </w:rPr>
                    <w:t>锰</w:t>
                  </w:r>
                  <w:r>
                    <w:rPr>
                      <w:rFonts w:hint="default" w:ascii="Times New Roman" w:hAnsi="Times New Roman" w:cs="Times New Roman"/>
                      <w:color w:val="auto"/>
                      <w:kern w:val="0"/>
                      <w:sz w:val="21"/>
                      <w:szCs w:val="21"/>
                    </w:rPr>
                    <w:t>计）</w:t>
                  </w:r>
                </w:p>
              </w:tc>
              <w:tc>
                <w:tcPr>
                  <w:tcW w:w="376"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w:t>
                  </w:r>
                </w:p>
              </w:tc>
              <w:tc>
                <w:tcPr>
                  <w:tcW w:w="581"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0.25</w:t>
                  </w:r>
                </w:p>
              </w:tc>
              <w:tc>
                <w:tcPr>
                  <w:tcW w:w="1159"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1.7*0.595=1.0115</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以锰计</w:t>
                  </w:r>
                  <w:r>
                    <w:rPr>
                      <w:rFonts w:hint="default" w:ascii="Times New Roman" w:hAnsi="Times New Roman" w:cs="Times New Roman"/>
                      <w:color w:val="auto"/>
                      <w:lang w:eastAsia="zh-CN"/>
                    </w:rPr>
                    <w:t>）</w:t>
                  </w:r>
                </w:p>
              </w:tc>
              <w:tc>
                <w:tcPr>
                  <w:tcW w:w="699"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4.046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1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2</w:t>
                  </w:r>
                </w:p>
              </w:tc>
              <w:tc>
                <w:tcPr>
                  <w:tcW w:w="69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r>
                    <w:rPr>
                      <w:rFonts w:hint="default" w:ascii="Times New Roman" w:hAnsi="Times New Roman" w:cs="Times New Roman"/>
                      <w:bCs/>
                      <w:snapToGrid w:val="0"/>
                      <w:color w:val="auto"/>
                      <w:sz w:val="21"/>
                      <w:szCs w:val="21"/>
                    </w:rPr>
                    <w:t>三元材料（镍钴锰酸锂）</w:t>
                  </w:r>
                </w:p>
              </w:tc>
              <w:tc>
                <w:tcPr>
                  <w:tcW w:w="11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kern w:val="0"/>
                      <w:sz w:val="21"/>
                      <w:szCs w:val="21"/>
                      <w:lang w:val="en-US" w:eastAsia="zh-CN"/>
                    </w:rPr>
                    <w:t>锰</w:t>
                  </w:r>
                  <w:r>
                    <w:rPr>
                      <w:rFonts w:hint="default" w:ascii="Times New Roman" w:hAnsi="Times New Roman" w:cs="Times New Roman"/>
                      <w:color w:val="auto"/>
                      <w:kern w:val="0"/>
                      <w:sz w:val="21"/>
                      <w:szCs w:val="21"/>
                    </w:rPr>
                    <w:t>及其化合物（以</w:t>
                  </w:r>
                  <w:r>
                    <w:rPr>
                      <w:rFonts w:hint="default" w:ascii="Times New Roman" w:hAnsi="Times New Roman" w:cs="Times New Roman"/>
                      <w:color w:val="auto"/>
                      <w:kern w:val="0"/>
                      <w:sz w:val="21"/>
                      <w:szCs w:val="21"/>
                      <w:lang w:val="en-US" w:eastAsia="zh-CN"/>
                    </w:rPr>
                    <w:t>锰</w:t>
                  </w:r>
                  <w:r>
                    <w:rPr>
                      <w:rFonts w:hint="default" w:ascii="Times New Roman" w:hAnsi="Times New Roman" w:cs="Times New Roman"/>
                      <w:color w:val="auto"/>
                      <w:kern w:val="0"/>
                      <w:sz w:val="21"/>
                      <w:szCs w:val="21"/>
                    </w:rPr>
                    <w:t>计）</w:t>
                  </w:r>
                </w:p>
              </w:tc>
              <w:tc>
                <w:tcPr>
                  <w:tcW w:w="376" w:type="pct"/>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c>
                <w:tcPr>
                  <w:tcW w:w="581"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0.25</w:t>
                  </w:r>
                </w:p>
              </w:tc>
              <w:tc>
                <w:tcPr>
                  <w:tcW w:w="1159"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1.25*0.15=0.1875</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以锰计</w:t>
                  </w:r>
                  <w:r>
                    <w:rPr>
                      <w:rFonts w:hint="default" w:ascii="Times New Roman" w:hAnsi="Times New Roman" w:cs="Times New Roman"/>
                      <w:color w:val="auto"/>
                      <w:lang w:eastAsia="zh-CN"/>
                    </w:rPr>
                    <w:t>）</w:t>
                  </w:r>
                </w:p>
              </w:tc>
              <w:tc>
                <w:tcPr>
                  <w:tcW w:w="699" w:type="pct"/>
                  <w:noWrap w:val="0"/>
                  <w:vAlign w:val="center"/>
                </w:tcPr>
                <w:p>
                  <w:pPr>
                    <w:widowControl/>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1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3</w:t>
                  </w:r>
                </w:p>
              </w:tc>
              <w:tc>
                <w:tcPr>
                  <w:tcW w:w="69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val="0"/>
                      <w:bCs w:val="0"/>
                      <w:color w:val="auto"/>
                      <w:sz w:val="21"/>
                      <w:szCs w:val="21"/>
                      <w:lang w:val="en-US" w:eastAsia="zh-CN"/>
                    </w:rPr>
                  </w:pPr>
                </w:p>
              </w:tc>
              <w:tc>
                <w:tcPr>
                  <w:tcW w:w="11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kern w:val="0"/>
                      <w:sz w:val="21"/>
                      <w:szCs w:val="21"/>
                    </w:rPr>
                    <w:t>钴及其化合物（以钴计）</w:t>
                  </w:r>
                </w:p>
              </w:tc>
              <w:tc>
                <w:tcPr>
                  <w:tcW w:w="376" w:type="pct"/>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c>
                <w:tcPr>
                  <w:tcW w:w="581"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0.25</w:t>
                  </w:r>
                </w:p>
              </w:tc>
              <w:tc>
                <w:tcPr>
                  <w:tcW w:w="115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bCs/>
                      <w:color w:val="auto"/>
                      <w:sz w:val="21"/>
                      <w:szCs w:val="21"/>
                      <w:lang w:val="en-US" w:eastAsia="zh-CN"/>
                    </w:rPr>
                    <w:t>1.25*0.131=0.16375</w:t>
                  </w:r>
                  <w:r>
                    <w:rPr>
                      <w:rFonts w:hint="default" w:ascii="Times New Roman" w:hAnsi="Times New Roman" w:cs="Times New Roman"/>
                      <w:color w:val="auto"/>
                      <w:kern w:val="0"/>
                      <w:sz w:val="21"/>
                      <w:szCs w:val="21"/>
                    </w:rPr>
                    <w:t>（以钴计）</w:t>
                  </w:r>
                </w:p>
              </w:tc>
              <w:tc>
                <w:tcPr>
                  <w:tcW w:w="699" w:type="pct"/>
                  <w:noWrap w:val="0"/>
                  <w:vAlign w:val="center"/>
                </w:tcPr>
                <w:p>
                  <w:pPr>
                    <w:widowControl/>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0.655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1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4</w:t>
                  </w:r>
                </w:p>
              </w:tc>
              <w:tc>
                <w:tcPr>
                  <w:tcW w:w="69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lang w:val="en-US" w:eastAsia="zh-CN"/>
                    </w:rPr>
                  </w:pPr>
                </w:p>
              </w:tc>
              <w:tc>
                <w:tcPr>
                  <w:tcW w:w="116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kern w:val="0"/>
                      <w:sz w:val="21"/>
                      <w:szCs w:val="21"/>
                    </w:rPr>
                    <w:t>镍及其化合物（以镍计）</w:t>
                  </w:r>
                </w:p>
              </w:tc>
              <w:tc>
                <w:tcPr>
                  <w:tcW w:w="376" w:type="pct"/>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c>
                <w:tcPr>
                  <w:tcW w:w="581"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0.25</w:t>
                  </w:r>
                </w:p>
              </w:tc>
              <w:tc>
                <w:tcPr>
                  <w:tcW w:w="115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bCs/>
                      <w:color w:val="auto"/>
                      <w:sz w:val="21"/>
                      <w:szCs w:val="21"/>
                      <w:lang w:val="en-US" w:eastAsia="zh-CN"/>
                    </w:rPr>
                    <w:t>1.25*0.308=0.385</w:t>
                  </w:r>
                  <w:r>
                    <w:rPr>
                      <w:rFonts w:hint="default" w:ascii="Times New Roman" w:hAnsi="Times New Roman" w:cs="Times New Roman"/>
                      <w:color w:val="auto"/>
                      <w:kern w:val="0"/>
                      <w:sz w:val="21"/>
                      <w:szCs w:val="21"/>
                    </w:rPr>
                    <w:t>（以镍计）</w:t>
                  </w:r>
                </w:p>
              </w:tc>
              <w:tc>
                <w:tcPr>
                  <w:tcW w:w="699" w:type="pct"/>
                  <w:noWrap w:val="0"/>
                  <w:vAlign w:val="center"/>
                </w:tcPr>
                <w:p>
                  <w:pPr>
                    <w:widowControl/>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1.54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14" w:type="pct"/>
                  <w:noWrap w:val="0"/>
                  <w:vAlign w:val="center"/>
                </w:tcPr>
                <w:p>
                  <w:pPr>
                    <w:widowControl/>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w:t>
                  </w:r>
                </w:p>
              </w:tc>
              <w:tc>
                <w:tcPr>
                  <w:tcW w:w="1868"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镍极耳</w:t>
                  </w:r>
                </w:p>
              </w:tc>
              <w:tc>
                <w:tcPr>
                  <w:tcW w:w="376" w:type="pct"/>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c>
                <w:tcPr>
                  <w:tcW w:w="581" w:type="pct"/>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0.25</w:t>
                  </w:r>
                </w:p>
              </w:tc>
              <w:tc>
                <w:tcPr>
                  <w:tcW w:w="1159"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0.09</w:t>
                  </w:r>
                </w:p>
              </w:tc>
              <w:tc>
                <w:tcPr>
                  <w:tcW w:w="699" w:type="pct"/>
                  <w:noWrap w:val="0"/>
                  <w:vAlign w:val="center"/>
                </w:tcPr>
                <w:p>
                  <w:pPr>
                    <w:widowControl/>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14"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lang w:val="en-US" w:eastAsia="zh-CN"/>
                    </w:rPr>
                    <w:t>6</w:t>
                  </w:r>
                </w:p>
              </w:tc>
              <w:tc>
                <w:tcPr>
                  <w:tcW w:w="1868"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rPr>
                    <w:t>NMP（N-甲基吡咯烷酮）</w:t>
                  </w:r>
                </w:p>
              </w:tc>
              <w:tc>
                <w:tcPr>
                  <w:tcW w:w="376" w:type="pct"/>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581" w:type="pct"/>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szCs w:val="21"/>
                      <w:lang w:val="en-US" w:eastAsia="zh-CN"/>
                    </w:rPr>
                    <w:t>50</w:t>
                  </w:r>
                </w:p>
              </w:tc>
              <w:tc>
                <w:tcPr>
                  <w:tcW w:w="1159"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699" w:type="pct"/>
                  <w:noWrap w:val="0"/>
                  <w:vAlign w:val="center"/>
                </w:tcPr>
                <w:p>
                  <w:pPr>
                    <w:widowControl/>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14" w:type="pct"/>
                  <w:noWrap w:val="0"/>
                  <w:vAlign w:val="center"/>
                </w:tcPr>
                <w:p>
                  <w:pPr>
                    <w:widowControl/>
                    <w:jc w:val="center"/>
                    <w:rPr>
                      <w:rFonts w:hint="default" w:ascii="Times New Roman" w:hAnsi="Times New Roman" w:eastAsia="宋体" w:cs="Times New Roman"/>
                      <w:color w:val="auto"/>
                      <w:lang w:val="en-US" w:eastAsia="zh-CN"/>
                    </w:rPr>
                  </w:pPr>
                  <w:r>
                    <w:rPr>
                      <w:rFonts w:hint="default" w:ascii="Times New Roman" w:hAnsi="Times New Roman" w:cs="Times New Roman"/>
                      <w:color w:val="auto"/>
                      <w:lang w:val="en-US" w:eastAsia="zh-CN"/>
                    </w:rPr>
                    <w:t>7</w:t>
                  </w:r>
                </w:p>
              </w:tc>
              <w:tc>
                <w:tcPr>
                  <w:tcW w:w="1868"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废NMP（</w:t>
                  </w:r>
                  <w:r>
                    <w:rPr>
                      <w:rFonts w:hint="default" w:ascii="Times New Roman" w:hAnsi="Times New Roman" w:cs="Times New Roman"/>
                      <w:color w:val="auto"/>
                      <w:szCs w:val="21"/>
                    </w:rPr>
                    <w:t>N-甲基吡咯烷酮</w:t>
                  </w:r>
                  <w:r>
                    <w:rPr>
                      <w:rFonts w:hint="default" w:ascii="Times New Roman" w:hAnsi="Times New Roman" w:cs="Times New Roman"/>
                      <w:color w:val="auto"/>
                      <w:szCs w:val="21"/>
                      <w:lang w:val="en-US" w:eastAsia="zh-CN"/>
                    </w:rPr>
                    <w:t>）</w:t>
                  </w:r>
                </w:p>
              </w:tc>
              <w:tc>
                <w:tcPr>
                  <w:tcW w:w="376" w:type="pct"/>
                  <w:noWrap w:val="0"/>
                  <w:vAlign w:val="center"/>
                </w:tcPr>
                <w:p>
                  <w:pPr>
                    <w:jc w:val="center"/>
                    <w:rPr>
                      <w:rFonts w:hint="default" w:ascii="Times New Roman" w:hAnsi="Times New Roman" w:cs="Times New Roman"/>
                      <w:color w:val="auto"/>
                      <w:kern w:val="2"/>
                      <w:sz w:val="21"/>
                      <w:szCs w:val="21"/>
                      <w:lang w:val="en-US" w:eastAsia="zh-CN" w:bidi="ar-SA"/>
                    </w:rPr>
                  </w:pPr>
                  <w:r>
                    <w:rPr>
                      <w:rFonts w:hint="default" w:ascii="Times New Roman" w:hAnsi="Times New Roman" w:cs="Times New Roman"/>
                      <w:color w:val="auto"/>
                      <w:kern w:val="2"/>
                      <w:sz w:val="21"/>
                      <w:szCs w:val="21"/>
                      <w:lang w:val="en-US" w:eastAsia="zh-CN" w:bidi="ar-SA"/>
                    </w:rPr>
                    <w:t>/</w:t>
                  </w:r>
                </w:p>
              </w:tc>
              <w:tc>
                <w:tcPr>
                  <w:tcW w:w="581" w:type="pct"/>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50</w:t>
                  </w:r>
                </w:p>
              </w:tc>
              <w:tc>
                <w:tcPr>
                  <w:tcW w:w="1159" w:type="pct"/>
                  <w:noWrap w:val="0"/>
                  <w:vAlign w:val="center"/>
                </w:tcPr>
                <w:p>
                  <w:pPr>
                    <w:jc w:val="center"/>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 w:val="21"/>
                      <w:szCs w:val="21"/>
                      <w:highlight w:val="none"/>
                      <w:lang w:val="en-US" w:eastAsia="zh-CN"/>
                    </w:rPr>
                    <w:t>14.004</w:t>
                  </w:r>
                </w:p>
              </w:tc>
              <w:tc>
                <w:tcPr>
                  <w:tcW w:w="699" w:type="pct"/>
                  <w:noWrap w:val="0"/>
                  <w:vAlign w:val="center"/>
                </w:tcPr>
                <w:p>
                  <w:pPr>
                    <w:widowControl/>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w:t>
                  </w:r>
                  <w:r>
                    <w:rPr>
                      <w:rFonts w:hint="eastAsia" w:ascii="Times New Roman" w:hAnsi="Times New Roman" w:cs="Times New Roman"/>
                      <w:color w:val="auto"/>
                      <w:szCs w:val="21"/>
                      <w:lang w:val="en-US" w:eastAsia="zh-CN"/>
                    </w:rPr>
                    <w:t>28008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314" w:type="pct"/>
                  <w:noWrap w:val="0"/>
                  <w:vAlign w:val="center"/>
                </w:tcPr>
                <w:p>
                  <w:pPr>
                    <w:widowControl/>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8</w:t>
                  </w:r>
                </w:p>
              </w:tc>
              <w:tc>
                <w:tcPr>
                  <w:tcW w:w="1868" w:type="pct"/>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 w:val="21"/>
                      <w:szCs w:val="21"/>
                      <w:lang w:val="en-US" w:eastAsia="zh-CN"/>
                    </w:rPr>
                    <w:t>电解液</w:t>
                  </w:r>
                </w:p>
              </w:tc>
              <w:tc>
                <w:tcPr>
                  <w:tcW w:w="376" w:type="pct"/>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c>
                <w:tcPr>
                  <w:tcW w:w="581" w:type="pct"/>
                  <w:noWrap w:val="0"/>
                  <w:vAlign w:val="center"/>
                </w:tcPr>
                <w:p>
                  <w:pPr>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50</w:t>
                  </w:r>
                </w:p>
              </w:tc>
              <w:tc>
                <w:tcPr>
                  <w:tcW w:w="1159" w:type="pct"/>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1</w:t>
                  </w:r>
                </w:p>
              </w:tc>
              <w:tc>
                <w:tcPr>
                  <w:tcW w:w="699" w:type="pct"/>
                  <w:noWrap w:val="0"/>
                  <w:vAlign w:val="center"/>
                </w:tcPr>
                <w:p>
                  <w:pPr>
                    <w:widowControl/>
                    <w:jc w:val="center"/>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4300" w:type="pct"/>
                  <w:gridSpan w:val="6"/>
                  <w:noWrap w:val="0"/>
                  <w:vAlign w:val="center"/>
                </w:tcPr>
                <w:p>
                  <w:pPr>
                    <w:widowControl/>
                    <w:jc w:val="center"/>
                    <w:rPr>
                      <w:rFonts w:hint="default" w:ascii="Times New Roman" w:hAnsi="Times New Roman" w:cs="Times New Roman"/>
                      <w:color w:val="auto"/>
                      <w:szCs w:val="21"/>
                      <w:lang w:val="zh-CN"/>
                    </w:rPr>
                  </w:pPr>
                  <w:r>
                    <w:rPr>
                      <w:rFonts w:hint="default" w:ascii="Times New Roman" w:hAnsi="Times New Roman" w:cs="Times New Roman"/>
                      <w:color w:val="auto"/>
                      <w:position w:val="-28"/>
                      <w:szCs w:val="21"/>
                      <w:lang w:val="zh-CN"/>
                    </w:rPr>
                    <w:object>
                      <v:shape id="_x0000_i1036" o:spt="75" type="#_x0000_t75" style="height:27.55pt;width:37.3pt;" o:ole="t" filled="f" o:preferrelative="t" stroked="f" coordsize="21600,21600">
                        <v:path/>
                        <v:fill on="f" focussize="0,0"/>
                        <v:stroke on="f"/>
                        <v:imagedata r:id="rId40" o:title=""/>
                        <o:lock v:ext="edit" aspectratio="t"/>
                        <w10:wrap type="none"/>
                        <w10:anchorlock/>
                      </v:shape>
                      <o:OLEObject Type="Embed" ProgID="Equation.KSEE3" ShapeID="_x0000_i1036" DrawAspect="Content" ObjectID="_1468075736" r:id="rId39">
                        <o:LockedField>false</o:LockedField>
                      </o:OLEObject>
                    </w:object>
                  </w:r>
                </w:p>
              </w:tc>
              <w:tc>
                <w:tcPr>
                  <w:tcW w:w="699" w:type="pct"/>
                  <w:noWrap w:val="0"/>
                  <w:vAlign w:val="center"/>
                </w:tcPr>
                <w:p>
                  <w:pPr>
                    <w:widowControl/>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7.</w:t>
                  </w:r>
                  <w:r>
                    <w:rPr>
                      <w:rFonts w:hint="eastAsia" w:ascii="Times New Roman" w:hAnsi="Times New Roman" w:eastAsia="宋体" w:cs="Times New Roman"/>
                      <w:color w:val="auto"/>
                      <w:szCs w:val="21"/>
                      <w:lang w:val="en-US" w:eastAsia="zh-CN"/>
                    </w:rPr>
                    <w:t>67108</w:t>
                  </w:r>
                </w:p>
              </w:tc>
            </w:tr>
          </w:tbl>
          <w:p>
            <w:pPr>
              <w:pStyle w:val="91"/>
              <w:autoSpaceDE w:val="0"/>
              <w:autoSpaceDN w:val="0"/>
              <w:spacing w:before="120" w:beforeLines="50" w:line="360" w:lineRule="auto"/>
              <w:rPr>
                <w:rFonts w:hint="default" w:ascii="Times New Roman" w:hAnsi="Times New Roman" w:eastAsia="宋体" w:cs="Times New Roman"/>
                <w:color w:val="auto"/>
                <w:kern w:val="18"/>
                <w:sz w:val="24"/>
                <w:szCs w:val="24"/>
                <w:lang w:val="en-US" w:eastAsia="zh-CN"/>
              </w:rPr>
            </w:pPr>
            <w:r>
              <w:rPr>
                <w:rFonts w:hint="default" w:ascii="Times New Roman" w:hAnsi="Times New Roman" w:cs="Times New Roman"/>
                <w:color w:val="auto"/>
                <w:kern w:val="18"/>
                <w:sz w:val="24"/>
                <w:szCs w:val="24"/>
              </w:rPr>
              <w:t>根据上表的计算结果，本项目</w:t>
            </w:r>
            <w:r>
              <w:rPr>
                <w:rFonts w:hint="default" w:ascii="Times New Roman" w:hAnsi="Times New Roman" w:cs="Times New Roman"/>
                <w:color w:val="auto"/>
                <w:kern w:val="18"/>
                <w:sz w:val="24"/>
                <w:szCs w:val="24"/>
                <w:lang w:val="en-US" w:eastAsia="zh-CN"/>
              </w:rPr>
              <w:t>的Q值为</w:t>
            </w:r>
            <w:r>
              <w:rPr>
                <w:rFonts w:hint="default" w:ascii="Times New Roman" w:hAnsi="Times New Roman" w:cs="Times New Roman"/>
                <w:color w:val="auto"/>
                <w:kern w:val="18"/>
                <w:sz w:val="24"/>
                <w:szCs w:val="24"/>
                <w:lang w:val="en-US" w:eastAsia="zh-CN"/>
              </w:rPr>
              <w:t>7.</w:t>
            </w:r>
            <w:r>
              <w:rPr>
                <w:rFonts w:hint="eastAsia" w:ascii="Times New Roman" w:hAnsi="Times New Roman" w:cs="Times New Roman"/>
                <w:color w:val="auto"/>
                <w:kern w:val="18"/>
                <w:sz w:val="24"/>
                <w:szCs w:val="24"/>
                <w:lang w:val="en-US" w:eastAsia="zh-CN"/>
              </w:rPr>
              <w:t>67108</w:t>
            </w:r>
            <w:r>
              <w:rPr>
                <w:rFonts w:hint="default" w:ascii="Times New Roman" w:hAnsi="Times New Roman" w:cs="Times New Roman"/>
                <w:color w:val="auto"/>
                <w:kern w:val="18"/>
                <w:sz w:val="24"/>
                <w:szCs w:val="24"/>
                <w:lang w:val="en-US" w:eastAsia="zh-CN"/>
              </w:rPr>
              <w:t>，即1≤Q＜10，需设置风险专项，项目风险评价内容详见风险专章。</w:t>
            </w:r>
          </w:p>
          <w:p>
            <w:pPr>
              <w:pStyle w:val="89"/>
              <w:tabs>
                <w:tab w:val="left" w:pos="540"/>
              </w:tabs>
              <w:spacing w:line="360" w:lineRule="auto"/>
              <w:ind w:left="420" w:leftChars="200" w:firstLine="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环境风险防治措施</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1）原料仓库、生产车间</w:t>
            </w:r>
            <w:r>
              <w:rPr>
                <w:rFonts w:hint="default" w:ascii="Times New Roman" w:hAnsi="Times New Roman" w:cs="Times New Roman"/>
                <w:color w:val="auto"/>
                <w:szCs w:val="24"/>
                <w:lang w:val="en-US" w:eastAsia="zh-CN" w:bidi="ar"/>
              </w:rPr>
              <w:t>泄漏</w:t>
            </w:r>
            <w:r>
              <w:rPr>
                <w:rFonts w:hint="default" w:ascii="Times New Roman" w:hAnsi="Times New Roman" w:cs="Times New Roman"/>
                <w:color w:val="auto"/>
                <w:szCs w:val="24"/>
                <w:lang w:bidi="ar"/>
              </w:rPr>
              <w:t>防范措施</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泄漏事故的预防是物料储运中最重要的环节，发生泄漏事故可能引起火灾和爆炸等一系列重大事故。经验表明：设备失灵和人为的操作失误是引发泄漏的主要原因。因此选用较好的设备、精心设计、认真管理和操作人员的责任心是减少泄漏事故的关键。</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项目主要采取以下预防措施：</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①在仓库及危废暂存间四周设置地沟避免泄漏物料流入水体。泄漏的物料经收集后作为废液送相应委外单位处理；</w:t>
            </w:r>
          </w:p>
          <w:p>
            <w:pPr>
              <w:pStyle w:val="27"/>
              <w:widowControl w:val="0"/>
              <w:numPr>
                <w:ilvl w:val="0"/>
                <w:numId w:val="0"/>
              </w:numPr>
              <w:adjustRightInd w:val="0"/>
              <w:spacing w:before="0" w:beforeAutospacing="0" w:after="0" w:afterAutospacing="0" w:line="360" w:lineRule="auto"/>
              <w:ind w:left="480" w:leftChars="0"/>
              <w:jc w:val="both"/>
              <w:textAlignment w:val="baseline"/>
              <w:rPr>
                <w:rFonts w:hint="default" w:ascii="Times New Roman" w:hAnsi="Times New Roman" w:cs="Times New Roman"/>
                <w:color w:val="auto"/>
                <w:szCs w:val="24"/>
                <w:lang w:bidi="ar"/>
              </w:rPr>
            </w:pPr>
            <w:r>
              <w:rPr>
                <w:rFonts w:hint="default" w:ascii="Times New Roman" w:hAnsi="Times New Roman" w:eastAsia="宋体" w:cs="Times New Roman"/>
                <w:color w:val="auto"/>
                <w:szCs w:val="24"/>
                <w:lang w:bidi="ar"/>
              </w:rPr>
              <w:t>②</w:t>
            </w:r>
            <w:r>
              <w:rPr>
                <w:rFonts w:hint="default" w:ascii="Times New Roman" w:hAnsi="Times New Roman" w:cs="Times New Roman"/>
                <w:color w:val="auto"/>
                <w:szCs w:val="24"/>
                <w:lang w:bidi="ar"/>
              </w:rPr>
              <w:t>按照生产周期要求配置贮存量，尽量减少不必要的贮存</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2）火灾风险防范措施</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①加强对可燃物质的安全管理，保证安全生产，保护环境，原辅料的贮存过程中必须按照国家《仓库防火安全管理规则》</w:t>
            </w:r>
            <w:r>
              <w:rPr>
                <w:rFonts w:hint="eastAsia" w:ascii="Times New Roman" w:hAnsi="Times New Roman" w:cs="Times New Roman"/>
                <w:color w:val="auto"/>
                <w:szCs w:val="24"/>
                <w:lang w:eastAsia="zh-CN" w:bidi="ar"/>
              </w:rPr>
              <w:t>（</w:t>
            </w:r>
            <w:r>
              <w:rPr>
                <w:rFonts w:hint="eastAsia" w:ascii="Times New Roman" w:hAnsi="Times New Roman" w:cs="Times New Roman"/>
                <w:color w:val="auto"/>
                <w:szCs w:val="24"/>
                <w:lang w:val="en-US" w:eastAsia="zh-CN" w:bidi="ar"/>
              </w:rPr>
              <w:t>公安部令第6号</w:t>
            </w:r>
            <w:r>
              <w:rPr>
                <w:rFonts w:hint="eastAsia" w:ascii="Times New Roman" w:hAnsi="Times New Roman" w:cs="Times New Roman"/>
                <w:color w:val="auto"/>
                <w:szCs w:val="24"/>
                <w:lang w:eastAsia="zh-CN" w:bidi="ar"/>
              </w:rPr>
              <w:t>）</w:t>
            </w:r>
            <w:r>
              <w:rPr>
                <w:rFonts w:hint="default" w:ascii="Times New Roman" w:hAnsi="Times New Roman" w:cs="Times New Roman"/>
                <w:color w:val="auto"/>
                <w:szCs w:val="24"/>
                <w:lang w:bidi="ar"/>
              </w:rPr>
              <w:t>等规定做到安全贮存。</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②要求厂方加强对</w:t>
            </w:r>
            <w:r>
              <w:rPr>
                <w:rFonts w:hint="default" w:ascii="Times New Roman" w:hAnsi="Times New Roman" w:cs="Times New Roman"/>
                <w:color w:val="auto"/>
                <w:szCs w:val="24"/>
                <w:lang w:val="en-US" w:eastAsia="zh-CN" w:bidi="ar"/>
              </w:rPr>
              <w:t>生产</w:t>
            </w:r>
            <w:r>
              <w:rPr>
                <w:rFonts w:hint="default" w:ascii="Times New Roman" w:hAnsi="Times New Roman" w:cs="Times New Roman"/>
                <w:color w:val="auto"/>
                <w:szCs w:val="24"/>
                <w:lang w:bidi="ar"/>
              </w:rPr>
              <w:t>成型车间和原辅料的安全管理工作，做到专人管理、专人负责，原辅料的储存场所必须保持干燥，室温应在35℃以下，并有相应的防火安全措施。储存应远离热源和避免阳光直射，禁止一切烟火，设置防火标示牌。</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③采用防爆型照明、通风设施，禁止使用易产生火花的机械设备和工具。储区应备有合适的材料收容泄漏物。</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④在雨水管网、污水管网的厂区出口处设置闸门，发生事故时可及时关闭闸门，防止消防废水流出厂区，将其可能产生的环境影响控制在厂区之内，从传播途径控制污染物，减少火灾水污染物扩散范围。</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⑤灭火器应布置在明显便于取用的地方，并定期维护检查，确保能正常使用。</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⑥制定和落实防火安全责任制及消防安全规章制度，除加强对员工的消防知识进行培训，对消防安全责任人及员工也定期进行消防知识培训，消防安全管理人员持证上岗。</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⑦自动消防系统应定期维护保养，保证消防设施正常运作。</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⑧对电路定期予以检查，用电负荷与电路的设计要匹配。</w:t>
            </w:r>
          </w:p>
          <w:p>
            <w:pPr>
              <w:pStyle w:val="27"/>
              <w:widowControl w:val="0"/>
              <w:adjustRightInd w:val="0"/>
              <w:spacing w:before="0" w:beforeAutospacing="0" w:after="0" w:afterAutospacing="0" w:line="360" w:lineRule="auto"/>
              <w:ind w:firstLine="480" w:firstLineChars="200"/>
              <w:jc w:val="both"/>
              <w:textAlignment w:val="baseline"/>
              <w:rPr>
                <w:rFonts w:hint="eastAsia"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⑨制定灭火和应急疏散预案，同时设置安全疏散通道</w:t>
            </w:r>
            <w:r>
              <w:rPr>
                <w:rFonts w:hint="eastAsia" w:ascii="Times New Roman" w:hAnsi="Times New Roman" w:cs="Times New Roman"/>
                <w:color w:val="auto"/>
                <w:szCs w:val="24"/>
                <w:lang w:eastAsia="zh-CN" w:bidi="ar"/>
              </w:rPr>
              <w:t>。</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在事故容易发生位置四周准备好装满沙土的袋子（用于做围堰拦截消防废水），并在厂内采取导流方式将消防废水统一收集，集中处理，消除安全隐患后交由有</w:t>
            </w:r>
            <w:r>
              <w:rPr>
                <w:rFonts w:hint="eastAsia" w:ascii="Times New Roman" w:hAnsi="Times New Roman" w:cs="Times New Roman"/>
                <w:color w:val="auto"/>
                <w:szCs w:val="24"/>
                <w:lang w:val="en-US" w:eastAsia="zh-CN" w:bidi="ar"/>
              </w:rPr>
              <w:t>危险废物</w:t>
            </w:r>
            <w:r>
              <w:rPr>
                <w:rFonts w:hint="default" w:ascii="Times New Roman" w:hAnsi="Times New Roman" w:cs="Times New Roman"/>
                <w:color w:val="auto"/>
                <w:szCs w:val="24"/>
                <w:lang w:bidi="ar"/>
              </w:rPr>
              <w:t>资质单位处理，从末端处理污染物，减少火灾水污染物排放。</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3）危险废物贮存间风险防范措施</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cs="Times New Roman"/>
                <w:color w:val="auto"/>
                <w:szCs w:val="24"/>
                <w:lang w:bidi="ar"/>
              </w:rPr>
            </w:pPr>
            <w:r>
              <w:rPr>
                <w:rFonts w:hint="default" w:ascii="Times New Roman" w:hAnsi="Times New Roman" w:cs="Times New Roman"/>
                <w:color w:val="auto"/>
                <w:szCs w:val="24"/>
                <w:lang w:bidi="ar"/>
              </w:rPr>
              <w:t>企业应严格按照</w:t>
            </w:r>
            <w:r>
              <w:rPr>
                <w:rFonts w:hint="default" w:ascii="Times New Roman" w:hAnsi="Times New Roman" w:cs="Times New Roman"/>
                <w:color w:val="auto"/>
              </w:rPr>
              <w:t>《危险废物贮存污染控制标准》（GB18597-2023）</w:t>
            </w:r>
            <w:r>
              <w:rPr>
                <w:rFonts w:hint="default" w:ascii="Times New Roman" w:hAnsi="Times New Roman" w:cs="Times New Roman"/>
                <w:color w:val="auto"/>
                <w:szCs w:val="24"/>
                <w:lang w:bidi="ar"/>
              </w:rPr>
              <w:t>对危险废物贮存间进行设计和建设，危险废物必须使用符合标准的容器盛装，盛装危险废物的容器上必须粘贴标签，标签内容应包括废物类别、行业来源、废物代码、危险废物和危险特性以及符合防风、防雨、防晒、防渗透的要求。同时按相关法律法规将危险废物交由具有相应类型危险废物处理资质单位处理。危险废物实行分类收集后置于贮存设施内，贮存时限一般不得超过一年，并设专人管理。企业还需健全产生单位内部管理制度，包括落实危险废物产生信息公开制度，建立员工培训和固体废物管理员制度，建立和完善突发危险废物环境应急预案，并报当地环保部门备案。</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4）废气处理设施故障风险防范措施</w:t>
            </w:r>
          </w:p>
          <w:p>
            <w:pPr>
              <w:pStyle w:val="27"/>
              <w:widowControl w:val="0"/>
              <w:adjustRightInd w:val="0"/>
              <w:spacing w:before="0" w:beforeAutospacing="0" w:after="0" w:afterAutospacing="0" w:line="360" w:lineRule="auto"/>
              <w:ind w:firstLine="480" w:firstLineChars="200"/>
              <w:jc w:val="both"/>
              <w:textAlignment w:val="baseline"/>
              <w:rPr>
                <w:rFonts w:hint="default" w:ascii="Times New Roman" w:hAnsi="Times New Roman" w:eastAsia="宋体" w:cs="Times New Roman"/>
                <w:color w:val="auto"/>
                <w:szCs w:val="24"/>
                <w:lang w:eastAsia="zh-CN" w:bidi="ar"/>
              </w:rPr>
            </w:pPr>
            <w:r>
              <w:rPr>
                <w:rFonts w:hint="default" w:ascii="Times New Roman" w:hAnsi="Times New Roman" w:cs="Times New Roman"/>
                <w:color w:val="auto"/>
                <w:szCs w:val="24"/>
                <w:lang w:bidi="ar"/>
              </w:rPr>
              <w:t>环保部门负责编制《废气处理设施运行巡查制度》，定期对废气处理装置进行巡查，发现问题做到及时整改。</w:t>
            </w:r>
          </w:p>
          <w:p>
            <w:pPr>
              <w:keepNext w:val="0"/>
              <w:keepLines w:val="0"/>
              <w:pageBreakBefore w:val="0"/>
              <w:widowControl w:val="0"/>
              <w:kinsoku/>
              <w:wordWrap/>
              <w:overflowPunct/>
              <w:topLinePunct w:val="0"/>
              <w:bidi w:val="0"/>
              <w:snapToGrid/>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5）事故应急池</w:t>
            </w:r>
          </w:p>
          <w:p>
            <w:pPr>
              <w:keepNext w:val="0"/>
              <w:keepLines w:val="0"/>
              <w:pageBreakBefore w:val="0"/>
              <w:widowControl w:val="0"/>
              <w:kinsoku/>
              <w:wordWrap/>
              <w:overflowPunct/>
              <w:topLinePunct w:val="0"/>
              <w:bidi w:val="0"/>
              <w:snapToGrid/>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根据《事故状态下水体污染的预防与控制技术要求》（Q/SY1190-2013）的要求，事故应急池容积计算公式：</w:t>
            </w:r>
          </w:p>
          <w:p>
            <w:pPr>
              <w:keepNext w:val="0"/>
              <w:keepLines w:val="0"/>
              <w:pageBreakBefore w:val="0"/>
              <w:widowControl w:val="0"/>
              <w:kinsoku/>
              <w:wordWrap/>
              <w:overflowPunct/>
              <w:topLinePunct w:val="0"/>
              <w:bidi w:val="0"/>
              <w:snapToGrid/>
              <w:spacing w:line="360" w:lineRule="auto"/>
              <w:ind w:firstLine="480" w:firstLineChars="20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V总=（V</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)max+V</w:t>
            </w:r>
            <w:r>
              <w:rPr>
                <w:rFonts w:hint="default" w:ascii="Times New Roman" w:hAnsi="Times New Roman" w:eastAsia="宋体" w:cs="Times New Roman"/>
                <w:color w:val="auto"/>
                <w:sz w:val="24"/>
                <w:szCs w:val="24"/>
                <w:vertAlign w:val="subscript"/>
              </w:rPr>
              <w:t>4</w:t>
            </w: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bidi w:val="0"/>
              <w:snapToGrid/>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式中：V总——事故应急设施总有效容积，m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bidi w:val="0"/>
              <w:snapToGrid/>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1</w:t>
            </w:r>
            <w:r>
              <w:rPr>
                <w:rFonts w:hint="default" w:ascii="Times New Roman" w:hAnsi="Times New Roman" w:eastAsia="宋体" w:cs="Times New Roman"/>
                <w:color w:val="auto"/>
                <w:sz w:val="24"/>
                <w:szCs w:val="24"/>
              </w:rPr>
              <w:t>——收集系统范围内发生事故的物料量，m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bidi w:val="0"/>
              <w:snapToGrid/>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2</w:t>
            </w:r>
            <w:r>
              <w:rPr>
                <w:rFonts w:hint="default" w:ascii="Times New Roman" w:hAnsi="Times New Roman" w:eastAsia="宋体" w:cs="Times New Roman"/>
                <w:color w:val="auto"/>
                <w:sz w:val="24"/>
                <w:szCs w:val="24"/>
              </w:rPr>
              <w:t>——发生事故的储罐、装置或铁路、汽车装卸区的消防水量，m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bidi w:val="0"/>
              <w:snapToGrid/>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3</w:t>
            </w:r>
            <w:r>
              <w:rPr>
                <w:rFonts w:hint="default" w:ascii="Times New Roman" w:hAnsi="Times New Roman" w:eastAsia="宋体" w:cs="Times New Roman"/>
                <w:color w:val="auto"/>
                <w:sz w:val="24"/>
                <w:szCs w:val="24"/>
              </w:rPr>
              <w:t>——发生事故时可以传输到其他储存或处理设施的物料量，m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p>
          <w:p>
            <w:pPr>
              <w:keepNext w:val="0"/>
              <w:keepLines w:val="0"/>
              <w:pageBreakBefore w:val="0"/>
              <w:widowControl w:val="0"/>
              <w:kinsoku/>
              <w:wordWrap/>
              <w:overflowPunct/>
              <w:topLinePunct w:val="0"/>
              <w:bidi w:val="0"/>
              <w:snapToGrid/>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4</w:t>
            </w:r>
            <w:r>
              <w:rPr>
                <w:rFonts w:hint="default" w:ascii="Times New Roman" w:hAnsi="Times New Roman" w:eastAsia="宋体" w:cs="Times New Roman"/>
                <w:color w:val="auto"/>
                <w:sz w:val="24"/>
                <w:szCs w:val="24"/>
              </w:rPr>
              <w:t>——发生事故时仍必须进入该收集系统的生产废水量，m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p>
          <w:p>
            <w:pPr>
              <w:pStyle w:val="49"/>
              <w:keepNext w:val="0"/>
              <w:keepLines w:val="0"/>
              <w:pageBreakBefore w:val="0"/>
              <w:widowControl w:val="0"/>
              <w:kinsoku/>
              <w:wordWrap/>
              <w:overflowPunct/>
              <w:topLinePunct w:val="0"/>
              <w:bidi w:val="0"/>
              <w:snapToGrid/>
              <w:spacing w:line="360" w:lineRule="auto"/>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V</w:t>
            </w:r>
            <w:r>
              <w:rPr>
                <w:rFonts w:hint="default" w:ascii="Times New Roman" w:hAnsi="Times New Roman" w:eastAsia="宋体" w:cs="Times New Roman"/>
                <w:color w:val="auto"/>
                <w:sz w:val="24"/>
                <w:szCs w:val="24"/>
                <w:vertAlign w:val="subscript"/>
              </w:rPr>
              <w:t>5</w:t>
            </w:r>
            <w:r>
              <w:rPr>
                <w:rFonts w:hint="default" w:ascii="Times New Roman" w:hAnsi="Times New Roman" w:eastAsia="宋体" w:cs="Times New Roman"/>
                <w:color w:val="auto"/>
                <w:sz w:val="24"/>
                <w:szCs w:val="24"/>
              </w:rPr>
              <w:t>——发生事故时</w:t>
            </w:r>
            <w:r>
              <w:rPr>
                <w:rFonts w:hint="default" w:ascii="Times New Roman" w:hAnsi="Times New Roman" w:eastAsia="宋体" w:cs="Times New Roman"/>
                <w:color w:val="auto"/>
                <w:kern w:val="0"/>
                <w:sz w:val="24"/>
                <w:szCs w:val="24"/>
                <w:lang w:val="en-US" w:eastAsia="zh-CN" w:bidi="ar"/>
              </w:rPr>
              <w:t>可能</w:t>
            </w:r>
            <w:r>
              <w:rPr>
                <w:rFonts w:hint="default" w:ascii="Times New Roman" w:hAnsi="Times New Roman" w:eastAsia="宋体" w:cs="Times New Roman"/>
                <w:color w:val="auto"/>
                <w:sz w:val="24"/>
                <w:szCs w:val="24"/>
              </w:rPr>
              <w:t>进入该收集系统的降雨量，m</w:t>
            </w:r>
            <w:r>
              <w:rPr>
                <w:rFonts w:hint="default" w:ascii="Times New Roman" w:hAnsi="Times New Roman" w:eastAsia="宋体" w:cs="Times New Roman"/>
                <w:color w:val="auto"/>
                <w:sz w:val="24"/>
                <w:szCs w:val="24"/>
                <w:vertAlign w:val="superscript"/>
              </w:rPr>
              <w:t>3</w:t>
            </w:r>
          </w:p>
          <w:p>
            <w:pPr>
              <w:widowControl/>
              <w:spacing w:line="360" w:lineRule="auto"/>
              <w:ind w:firstLine="482" w:firstLineChars="200"/>
              <w:jc w:val="left"/>
              <w:rPr>
                <w:rFonts w:hint="default" w:ascii="Times New Roman" w:hAnsi="Times New Roman" w:cs="Times New Roman"/>
                <w:b/>
                <w:bCs/>
                <w:color w:val="auto"/>
                <w:kern w:val="0"/>
                <w:sz w:val="24"/>
                <w:lang w:bidi="ar"/>
              </w:rPr>
            </w:pPr>
            <w:r>
              <w:rPr>
                <w:rFonts w:hint="default" w:ascii="Times New Roman" w:hAnsi="Times New Roman" w:cs="Times New Roman"/>
                <w:b/>
                <w:bCs/>
                <w:color w:val="auto"/>
                <w:kern w:val="0"/>
                <w:sz w:val="24"/>
                <w:lang w:val="en-US" w:eastAsia="zh-CN" w:bidi="ar"/>
              </w:rPr>
              <w:t>a.</w:t>
            </w:r>
            <w:r>
              <w:rPr>
                <w:rFonts w:hint="default" w:ascii="Times New Roman" w:hAnsi="Times New Roman" w:cs="Times New Roman"/>
                <w:b/>
                <w:bCs/>
                <w:color w:val="auto"/>
                <w:kern w:val="0"/>
                <w:sz w:val="24"/>
                <w:lang w:bidi="ar"/>
              </w:rPr>
              <w:t>事故应急池核算</w:t>
            </w:r>
          </w:p>
          <w:p>
            <w:pPr>
              <w:widowControl/>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kern w:val="0"/>
                <w:sz w:val="24"/>
                <w:lang w:bidi="ar"/>
              </w:rPr>
              <w:t>V</w:t>
            </w:r>
            <w:r>
              <w:rPr>
                <w:rFonts w:hint="default" w:ascii="Times New Roman" w:hAnsi="Times New Roman" w:cs="Times New Roman"/>
                <w:color w:val="auto"/>
                <w:kern w:val="0"/>
                <w:sz w:val="24"/>
                <w:vertAlign w:val="subscript"/>
                <w:lang w:bidi="ar"/>
              </w:rPr>
              <w:t>1</w:t>
            </w:r>
            <w:r>
              <w:rPr>
                <w:rFonts w:hint="default" w:ascii="Times New Roman" w:hAnsi="Times New Roman" w:cs="Times New Roman"/>
                <w:color w:val="auto"/>
                <w:kern w:val="0"/>
                <w:sz w:val="24"/>
                <w:lang w:bidi="ar"/>
              </w:rPr>
              <w:t>——收集系统范围内发生事故的一个罐组或一套装置的物料量，m</w:t>
            </w:r>
            <w:r>
              <w:rPr>
                <w:rFonts w:hint="default" w:ascii="Times New Roman" w:hAnsi="Times New Roman" w:cs="Times New Roman"/>
                <w:color w:val="auto"/>
                <w:kern w:val="0"/>
                <w:sz w:val="24"/>
                <w:vertAlign w:val="superscript"/>
                <w:lang w:bidi="ar"/>
              </w:rPr>
              <w:t>3</w:t>
            </w:r>
            <w:r>
              <w:rPr>
                <w:rFonts w:hint="default" w:ascii="Times New Roman" w:hAnsi="Times New Roman" w:cs="Times New Roman"/>
                <w:color w:val="auto"/>
                <w:kern w:val="0"/>
                <w:sz w:val="24"/>
                <w:lang w:eastAsia="zh-CN" w:bidi="ar"/>
              </w:rPr>
              <w:t>。</w:t>
            </w:r>
            <w:r>
              <w:rPr>
                <w:rFonts w:hint="default" w:ascii="Times New Roman" w:hAnsi="Times New Roman" w:cs="Times New Roman"/>
                <w:color w:val="auto"/>
                <w:kern w:val="0"/>
                <w:sz w:val="24"/>
                <w:lang w:bidi="ar"/>
              </w:rPr>
              <w:t>储存相同物料的罐组按1个最大储罐计，取单一物料罐</w:t>
            </w:r>
            <w:r>
              <w:rPr>
                <w:rFonts w:hint="default" w:ascii="Times New Roman" w:hAnsi="Times New Roman" w:cs="Times New Roman"/>
                <w:color w:val="auto"/>
                <w:kern w:val="0"/>
                <w:sz w:val="24"/>
                <w:lang w:val="en-US" w:eastAsia="zh-CN" w:bidi="ar"/>
              </w:rPr>
              <w:t>最大储存量为0.2</w:t>
            </w:r>
            <w:r>
              <w:rPr>
                <w:rFonts w:hint="default" w:ascii="Times New Roman" w:hAnsi="Times New Roman" w:cs="Times New Roman"/>
                <w:color w:val="auto"/>
                <w:kern w:val="0"/>
                <w:sz w:val="24"/>
                <w:lang w:bidi="ar"/>
              </w:rPr>
              <w:t>m</w:t>
            </w:r>
            <w:r>
              <w:rPr>
                <w:rFonts w:hint="default" w:ascii="Times New Roman" w:hAnsi="Times New Roman" w:cs="Times New Roman"/>
                <w:color w:val="auto"/>
                <w:kern w:val="0"/>
                <w:sz w:val="24"/>
                <w:vertAlign w:val="superscript"/>
                <w:lang w:bidi="ar"/>
              </w:rPr>
              <w:t>3</w:t>
            </w:r>
          </w:p>
          <w:p>
            <w:pPr>
              <w:widowControl/>
              <w:spacing w:line="360" w:lineRule="auto"/>
              <w:ind w:firstLine="480" w:firstLineChars="200"/>
              <w:jc w:val="left"/>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V</w:t>
            </w:r>
            <w:r>
              <w:rPr>
                <w:rFonts w:hint="default" w:ascii="Times New Roman" w:hAnsi="Times New Roman" w:cs="Times New Roman"/>
                <w:color w:val="auto"/>
                <w:kern w:val="0"/>
                <w:sz w:val="24"/>
                <w:vertAlign w:val="subscript"/>
                <w:lang w:bidi="ar"/>
              </w:rPr>
              <w:t>2</w:t>
            </w:r>
            <w:r>
              <w:rPr>
                <w:rFonts w:hint="default" w:ascii="Times New Roman" w:hAnsi="Times New Roman" w:cs="Times New Roman"/>
                <w:color w:val="auto"/>
                <w:kern w:val="0"/>
                <w:sz w:val="24"/>
                <w:lang w:bidi="ar"/>
              </w:rPr>
              <w:t>——发生事故的储罐或装置的消防水量，m³；</w:t>
            </w:r>
          </w:p>
          <w:p>
            <w:pPr>
              <w:widowControl/>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室外消防废水量：根据《消防给水及消火栓系统技术规范》(GB50974-2014)相关要求，其火灾状况下室外消火栓灭火用水流量为</w:t>
            </w:r>
            <w:r>
              <w:rPr>
                <w:rFonts w:hint="default" w:ascii="Times New Roman" w:hAnsi="Times New Roman" w:cs="Times New Roman"/>
                <w:color w:val="auto"/>
                <w:kern w:val="0"/>
                <w:sz w:val="24"/>
                <w:lang w:val="en-US" w:eastAsia="zh-CN" w:bidi="ar"/>
              </w:rPr>
              <w:t>25</w:t>
            </w:r>
            <w:r>
              <w:rPr>
                <w:rFonts w:hint="default" w:ascii="Times New Roman" w:hAnsi="Times New Roman" w:cs="Times New Roman"/>
                <w:color w:val="auto"/>
                <w:kern w:val="0"/>
                <w:sz w:val="24"/>
                <w:lang w:bidi="ar"/>
              </w:rPr>
              <w:t>L/s，火灾延续时间为3小时，由此计算室外消防系统一次灭火最大废水量为</w:t>
            </w:r>
            <w:r>
              <w:rPr>
                <w:rFonts w:hint="default" w:ascii="Times New Roman" w:hAnsi="Times New Roman" w:cs="Times New Roman"/>
                <w:color w:val="auto"/>
                <w:kern w:val="0"/>
                <w:sz w:val="24"/>
                <w:lang w:val="en-US" w:eastAsia="zh-CN" w:bidi="ar"/>
              </w:rPr>
              <w:t>270</w:t>
            </w:r>
            <w:r>
              <w:rPr>
                <w:rFonts w:hint="default" w:ascii="Times New Roman" w:hAnsi="Times New Roman" w:cs="Times New Roman"/>
                <w:color w:val="auto"/>
                <w:kern w:val="0"/>
                <w:sz w:val="24"/>
                <w:lang w:bidi="ar"/>
              </w:rPr>
              <w:t>m</w:t>
            </w:r>
            <w:r>
              <w:rPr>
                <w:rFonts w:hint="default" w:ascii="Times New Roman" w:hAnsi="Times New Roman" w:cs="Times New Roman"/>
                <w:color w:val="auto"/>
                <w:kern w:val="0"/>
                <w:sz w:val="24"/>
                <w:vertAlign w:val="superscript"/>
                <w:lang w:bidi="ar"/>
              </w:rPr>
              <w:t>3</w:t>
            </w:r>
            <w:r>
              <w:rPr>
                <w:rFonts w:hint="default" w:ascii="Times New Roman" w:hAnsi="Times New Roman" w:cs="Times New Roman"/>
                <w:color w:val="auto"/>
                <w:kern w:val="0"/>
                <w:sz w:val="24"/>
                <w:lang w:bidi="ar"/>
              </w:rPr>
              <w:t>。</w:t>
            </w:r>
          </w:p>
          <w:p>
            <w:pPr>
              <w:widowControl/>
              <w:spacing w:line="360" w:lineRule="auto"/>
              <w:ind w:firstLine="480" w:firstLineChars="200"/>
              <w:rPr>
                <w:rFonts w:hint="default" w:ascii="Times New Roman" w:hAnsi="Times New Roman" w:cs="Times New Roman"/>
                <w:color w:val="auto"/>
                <w:kern w:val="0"/>
                <w:sz w:val="24"/>
                <w:lang w:bidi="ar"/>
              </w:rPr>
            </w:pPr>
            <w:r>
              <w:rPr>
                <w:rFonts w:hint="default" w:ascii="Times New Roman" w:hAnsi="Times New Roman" w:cs="Times New Roman"/>
                <w:color w:val="auto"/>
                <w:kern w:val="0"/>
                <w:sz w:val="24"/>
                <w:lang w:bidi="ar"/>
              </w:rPr>
              <w:t>室内消火栓系统：根据《消防给水及消火栓系统技术规范》(GB50974-2014)的相关要求其室内消火栓灭火用水流量为</w:t>
            </w:r>
            <w:r>
              <w:rPr>
                <w:rFonts w:hint="default" w:ascii="Times New Roman" w:hAnsi="Times New Roman" w:cs="Times New Roman"/>
                <w:color w:val="auto"/>
                <w:kern w:val="0"/>
                <w:sz w:val="24"/>
                <w:lang w:val="en-US" w:eastAsia="zh-CN" w:bidi="ar"/>
              </w:rPr>
              <w:t>20</w:t>
            </w:r>
            <w:r>
              <w:rPr>
                <w:rFonts w:hint="default" w:ascii="Times New Roman" w:hAnsi="Times New Roman" w:cs="Times New Roman"/>
                <w:color w:val="auto"/>
                <w:kern w:val="0"/>
                <w:sz w:val="24"/>
                <w:lang w:bidi="ar"/>
              </w:rPr>
              <w:t>L/s，火灾延续时间3小时，由此计算室内消防系统一次灭火最大废水量为</w:t>
            </w:r>
            <w:r>
              <w:rPr>
                <w:rFonts w:hint="default" w:ascii="Times New Roman" w:hAnsi="Times New Roman" w:cs="Times New Roman"/>
                <w:color w:val="auto"/>
                <w:kern w:val="0"/>
                <w:sz w:val="24"/>
                <w:lang w:val="en-US" w:eastAsia="zh-CN" w:bidi="ar"/>
              </w:rPr>
              <w:t>216</w:t>
            </w:r>
            <w:r>
              <w:rPr>
                <w:rFonts w:hint="default" w:ascii="Times New Roman" w:hAnsi="Times New Roman" w:cs="Times New Roman"/>
                <w:color w:val="auto"/>
                <w:kern w:val="0"/>
                <w:sz w:val="24"/>
                <w:lang w:bidi="ar"/>
              </w:rPr>
              <w:t>m</w:t>
            </w:r>
            <w:r>
              <w:rPr>
                <w:rFonts w:hint="default" w:ascii="Times New Roman" w:hAnsi="Times New Roman" w:cs="Times New Roman"/>
                <w:color w:val="auto"/>
                <w:kern w:val="0"/>
                <w:sz w:val="24"/>
                <w:vertAlign w:val="superscript"/>
                <w:lang w:bidi="ar"/>
              </w:rPr>
              <w:t>3</w:t>
            </w:r>
            <w:r>
              <w:rPr>
                <w:rFonts w:hint="default" w:ascii="Times New Roman" w:hAnsi="Times New Roman" w:cs="Times New Roman"/>
                <w:color w:val="auto"/>
                <w:kern w:val="0"/>
                <w:sz w:val="24"/>
                <w:lang w:bidi="ar"/>
              </w:rPr>
              <w:t>。</w:t>
            </w:r>
          </w:p>
          <w:p>
            <w:pPr>
              <w:widowControl/>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kern w:val="0"/>
                <w:sz w:val="24"/>
                <w:lang w:bidi="ar"/>
              </w:rPr>
              <w:t>V</w:t>
            </w:r>
            <w:r>
              <w:rPr>
                <w:rFonts w:hint="default" w:ascii="Times New Roman" w:hAnsi="Times New Roman" w:cs="Times New Roman"/>
                <w:color w:val="auto"/>
                <w:kern w:val="0"/>
                <w:sz w:val="24"/>
                <w:vertAlign w:val="subscript"/>
                <w:lang w:bidi="ar"/>
              </w:rPr>
              <w:t>3</w:t>
            </w:r>
            <w:r>
              <w:rPr>
                <w:rFonts w:hint="default" w:ascii="Times New Roman" w:hAnsi="Times New Roman" w:cs="Times New Roman"/>
                <w:color w:val="auto"/>
                <w:kern w:val="0"/>
                <w:sz w:val="24"/>
                <w:lang w:bidi="ar"/>
              </w:rPr>
              <w:t>——发生事故时可以转输</w:t>
            </w:r>
            <w:r>
              <w:rPr>
                <w:rFonts w:hint="default" w:ascii="Times New Roman" w:hAnsi="Times New Roman" w:cs="Times New Roman"/>
                <w:color w:val="auto"/>
                <w:kern w:val="0"/>
                <w:sz w:val="24"/>
                <w:lang w:eastAsia="zh-CN" w:bidi="ar"/>
              </w:rPr>
              <w:t>到其他</w:t>
            </w:r>
            <w:r>
              <w:rPr>
                <w:rFonts w:hint="default" w:ascii="Times New Roman" w:hAnsi="Times New Roman" w:cs="Times New Roman"/>
                <w:color w:val="auto"/>
                <w:kern w:val="0"/>
                <w:sz w:val="24"/>
                <w:lang w:bidi="ar"/>
              </w:rPr>
              <w:t>储存或处理设施的物料量，m³，本项目无其他存储设施，取0m</w:t>
            </w:r>
            <w:r>
              <w:rPr>
                <w:rFonts w:hint="default" w:ascii="Times New Roman" w:hAnsi="Times New Roman" w:cs="Times New Roman"/>
                <w:color w:val="auto"/>
                <w:kern w:val="0"/>
                <w:sz w:val="24"/>
                <w:vertAlign w:val="superscript"/>
                <w:lang w:bidi="ar"/>
              </w:rPr>
              <w:t>3</w:t>
            </w:r>
            <w:r>
              <w:rPr>
                <w:rFonts w:hint="default" w:ascii="Times New Roman" w:hAnsi="Times New Roman" w:cs="Times New Roman"/>
                <w:color w:val="auto"/>
                <w:kern w:val="0"/>
                <w:sz w:val="24"/>
                <w:lang w:bidi="ar"/>
              </w:rPr>
              <w:t>。</w:t>
            </w:r>
          </w:p>
          <w:p>
            <w:pPr>
              <w:widowControl/>
              <w:spacing w:line="360" w:lineRule="auto"/>
              <w:ind w:firstLine="480" w:firstLineChars="200"/>
              <w:jc w:val="left"/>
              <w:rPr>
                <w:rFonts w:hint="default" w:ascii="Times New Roman" w:hAnsi="Times New Roman" w:cs="Times New Roman"/>
                <w:color w:val="auto"/>
              </w:rPr>
            </w:pPr>
            <w:r>
              <w:rPr>
                <w:rFonts w:hint="default" w:ascii="Times New Roman" w:hAnsi="Times New Roman" w:cs="Times New Roman"/>
                <w:color w:val="auto"/>
                <w:kern w:val="0"/>
                <w:sz w:val="24"/>
                <w:lang w:bidi="ar"/>
              </w:rPr>
              <w:t>V</w:t>
            </w:r>
            <w:r>
              <w:rPr>
                <w:rFonts w:hint="default" w:ascii="Times New Roman" w:hAnsi="Times New Roman" w:cs="Times New Roman"/>
                <w:color w:val="auto"/>
                <w:kern w:val="0"/>
                <w:sz w:val="24"/>
                <w:vertAlign w:val="subscript"/>
                <w:lang w:bidi="ar"/>
              </w:rPr>
              <w:t>4</w:t>
            </w:r>
            <w:r>
              <w:rPr>
                <w:rFonts w:hint="default" w:ascii="Times New Roman" w:hAnsi="Times New Roman" w:cs="Times New Roman"/>
                <w:color w:val="auto"/>
                <w:kern w:val="0"/>
                <w:sz w:val="24"/>
                <w:lang w:bidi="ar"/>
              </w:rPr>
              <w:t>——发生事故时仍必须进入该收集系统的生产废水量，m³；本项目生产废水为间歇产生，事故状态下，停产生产，生产废水量取0m</w:t>
            </w:r>
            <w:r>
              <w:rPr>
                <w:rFonts w:hint="default" w:ascii="Times New Roman" w:hAnsi="Times New Roman" w:cs="Times New Roman"/>
                <w:color w:val="auto"/>
                <w:kern w:val="0"/>
                <w:sz w:val="24"/>
                <w:vertAlign w:val="superscript"/>
                <w:lang w:bidi="ar"/>
              </w:rPr>
              <w:t>3</w:t>
            </w:r>
            <w:r>
              <w:rPr>
                <w:rFonts w:hint="default" w:ascii="Times New Roman" w:hAnsi="Times New Roman" w:cs="Times New Roman"/>
                <w:color w:val="auto"/>
                <w:kern w:val="0"/>
                <w:sz w:val="24"/>
                <w:lang w:bidi="ar"/>
              </w:rPr>
              <w:t>。</w:t>
            </w:r>
          </w:p>
          <w:p>
            <w:pPr>
              <w:spacing w:line="360" w:lineRule="auto"/>
              <w:ind w:firstLine="480" w:firstLineChars="200"/>
              <w:jc w:val="center"/>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rPr>
              <w:t>V</w:t>
            </w:r>
            <w:r>
              <w:rPr>
                <w:rFonts w:hint="default" w:ascii="Times New Roman" w:hAnsi="Times New Roman" w:cs="Times New Roman"/>
                <w:color w:val="auto"/>
                <w:sz w:val="24"/>
                <w:vertAlign w:val="subscript"/>
              </w:rPr>
              <w:t>5</w:t>
            </w:r>
            <w:r>
              <w:rPr>
                <w:rFonts w:hint="default" w:ascii="Times New Roman" w:hAnsi="Times New Roman" w:cs="Times New Roman"/>
                <w:color w:val="auto"/>
                <w:sz w:val="24"/>
              </w:rPr>
              <w:t>=10qF；q=qa/n</w:t>
            </w:r>
          </w:p>
          <w:p>
            <w:pPr>
              <w:spacing w:line="360" w:lineRule="auto"/>
              <w:ind w:firstLine="480"/>
              <w:rPr>
                <w:rFonts w:hint="default" w:ascii="Times New Roman" w:hAnsi="Times New Roman" w:cs="Times New Roman"/>
                <w:color w:val="auto"/>
                <w:sz w:val="24"/>
              </w:rPr>
            </w:pPr>
            <w:r>
              <w:rPr>
                <w:rFonts w:hint="default" w:ascii="Times New Roman" w:hAnsi="Times New Roman" w:cs="Times New Roman"/>
                <w:color w:val="auto"/>
                <w:sz w:val="24"/>
              </w:rPr>
              <w:t>其中，q——降雨强度，mm，按平均日降雨量；</w:t>
            </w:r>
          </w:p>
          <w:p>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qa——年平均降雨量，mm；</w:t>
            </w:r>
          </w:p>
          <w:p>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n——年平均降雨日数；</w:t>
            </w:r>
          </w:p>
          <w:p>
            <w:pPr>
              <w:spacing w:line="360" w:lineRule="auto"/>
              <w:ind w:firstLine="1200" w:firstLineChars="500"/>
              <w:rPr>
                <w:rFonts w:hint="default" w:ascii="Times New Roman" w:hAnsi="Times New Roman" w:cs="Times New Roman"/>
                <w:color w:val="auto"/>
                <w:sz w:val="24"/>
              </w:rPr>
            </w:pPr>
            <w:r>
              <w:rPr>
                <w:rFonts w:hint="default" w:ascii="Times New Roman" w:hAnsi="Times New Roman" w:cs="Times New Roman"/>
                <w:color w:val="auto"/>
                <w:sz w:val="24"/>
              </w:rPr>
              <w:t>F——必须进入事故收集系统的雨水汇水面积，ha。</w:t>
            </w:r>
          </w:p>
          <w:p>
            <w:pPr>
              <w:adjustRightInd w:val="0"/>
              <w:snapToGrid w:val="0"/>
              <w:spacing w:line="360" w:lineRule="auto"/>
              <w:ind w:right="-63" w:rightChars="-30" w:firstLine="480" w:firstLineChars="200"/>
              <w:rPr>
                <w:rFonts w:hint="eastAsia" w:eastAsia="宋体"/>
                <w:color w:val="auto"/>
                <w:sz w:val="24"/>
                <w:szCs w:val="24"/>
                <w:highlight w:val="none"/>
                <w:lang w:val="en-US" w:eastAsia="zh-CN"/>
              </w:rPr>
            </w:pPr>
            <w:r>
              <w:rPr>
                <w:rFonts w:hint="eastAsia"/>
                <w:color w:val="auto"/>
                <w:sz w:val="24"/>
                <w:szCs w:val="24"/>
                <w:highlight w:val="none"/>
              </w:rPr>
              <w:t>注：根据多年气象统计资料，惠州市区多年平均降雨量为</w:t>
            </w:r>
            <w:r>
              <w:rPr>
                <w:color w:val="auto"/>
                <w:sz w:val="24"/>
                <w:szCs w:val="24"/>
                <w:highlight w:val="none"/>
              </w:rPr>
              <w:t>1799.0mm</w:t>
            </w:r>
            <w:r>
              <w:rPr>
                <w:rFonts w:hint="eastAsia"/>
                <w:color w:val="auto"/>
                <w:sz w:val="24"/>
                <w:szCs w:val="24"/>
                <w:highlight w:val="none"/>
              </w:rPr>
              <w:t>，年降雨天数（降雨量≥</w:t>
            </w:r>
            <w:r>
              <w:rPr>
                <w:color w:val="auto"/>
                <w:sz w:val="24"/>
                <w:szCs w:val="24"/>
                <w:highlight w:val="none"/>
              </w:rPr>
              <w:t>0.1mm</w:t>
            </w:r>
            <w:r>
              <w:rPr>
                <w:rFonts w:hint="eastAsia"/>
                <w:color w:val="auto"/>
                <w:sz w:val="24"/>
                <w:szCs w:val="24"/>
                <w:highlight w:val="none"/>
              </w:rPr>
              <w:t>）为</w:t>
            </w:r>
            <w:r>
              <w:rPr>
                <w:color w:val="auto"/>
                <w:sz w:val="24"/>
                <w:szCs w:val="24"/>
                <w:highlight w:val="none"/>
              </w:rPr>
              <w:t>216</w:t>
            </w:r>
            <w:r>
              <w:rPr>
                <w:rFonts w:hint="eastAsia"/>
                <w:color w:val="auto"/>
                <w:sz w:val="24"/>
                <w:szCs w:val="24"/>
                <w:highlight w:val="none"/>
              </w:rPr>
              <w:t>天；计算可得降雨强度</w:t>
            </w:r>
            <w:r>
              <w:rPr>
                <w:color w:val="auto"/>
                <w:sz w:val="24"/>
                <w:szCs w:val="24"/>
                <w:highlight w:val="none"/>
              </w:rPr>
              <w:t>q</w:t>
            </w:r>
            <w:r>
              <w:rPr>
                <w:rFonts w:hint="eastAsia"/>
                <w:color w:val="auto"/>
                <w:sz w:val="24"/>
                <w:szCs w:val="24"/>
                <w:highlight w:val="none"/>
              </w:rPr>
              <w:t>约</w:t>
            </w:r>
            <w:r>
              <w:rPr>
                <w:color w:val="auto"/>
                <w:sz w:val="24"/>
                <w:szCs w:val="24"/>
                <w:highlight w:val="none"/>
              </w:rPr>
              <w:t>8.3mm</w:t>
            </w:r>
            <w:r>
              <w:rPr>
                <w:rFonts w:hint="eastAsia"/>
                <w:color w:val="auto"/>
                <w:sz w:val="24"/>
                <w:szCs w:val="24"/>
                <w:highlight w:val="none"/>
              </w:rPr>
              <w:t>。</w:t>
            </w:r>
            <w:r>
              <w:rPr>
                <w:rFonts w:hint="default" w:ascii="Times New Roman" w:hAnsi="Times New Roman" w:cs="Times New Roman"/>
                <w:color w:val="auto"/>
                <w:sz w:val="24"/>
                <w:highlight w:val="none"/>
              </w:rPr>
              <w:t>项目所在厂区雨水汇水面积约</w:t>
            </w:r>
            <w:r>
              <w:rPr>
                <w:rFonts w:hint="default" w:ascii="Times New Roman" w:hAnsi="Times New Roman" w:cs="Times New Roman"/>
                <w:color w:val="auto"/>
                <w:sz w:val="24"/>
                <w:highlight w:val="none"/>
                <w:lang w:val="en-US" w:eastAsia="zh-CN"/>
              </w:rPr>
              <w:t>0.25</w:t>
            </w:r>
            <w:r>
              <w:rPr>
                <w:rFonts w:hint="default" w:ascii="Times New Roman" w:hAnsi="Times New Roman" w:cs="Times New Roman"/>
                <w:color w:val="auto"/>
                <w:sz w:val="24"/>
                <w:highlight w:val="none"/>
              </w:rPr>
              <w:t>ha，</w:t>
            </w:r>
            <w:r>
              <w:rPr>
                <w:rFonts w:hint="eastAsia"/>
                <w:color w:val="auto"/>
                <w:sz w:val="24"/>
                <w:szCs w:val="24"/>
                <w:highlight w:val="none"/>
                <w:lang w:val="en-US" w:eastAsia="zh-CN"/>
              </w:rPr>
              <w:t>V</w:t>
            </w:r>
            <w:r>
              <w:rPr>
                <w:rFonts w:hint="eastAsia"/>
                <w:color w:val="auto"/>
                <w:sz w:val="24"/>
                <w:szCs w:val="24"/>
                <w:highlight w:val="none"/>
                <w:vertAlign w:val="subscript"/>
                <w:lang w:val="en-US" w:eastAsia="zh-CN"/>
              </w:rPr>
              <w:t>5</w:t>
            </w:r>
            <w:r>
              <w:rPr>
                <w:rFonts w:hint="eastAsia"/>
                <w:color w:val="auto"/>
                <w:sz w:val="24"/>
                <w:szCs w:val="24"/>
                <w:highlight w:val="none"/>
                <w:lang w:val="en-US" w:eastAsia="zh-CN"/>
              </w:rPr>
              <w:t>=20.75</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3</w:t>
            </w:r>
            <w:r>
              <w:rPr>
                <w:rFonts w:hint="eastAsia" w:ascii="Times New Roman" w:hAnsi="Times New Roman" w:cs="Times New Roman"/>
                <w:color w:val="auto"/>
                <w:sz w:val="24"/>
                <w:highlight w:val="none"/>
                <w:vertAlign w:val="baseline"/>
                <w:lang w:eastAsia="zh-CN"/>
              </w:rPr>
              <w:t>；</w:t>
            </w:r>
          </w:p>
          <w:p>
            <w:pPr>
              <w:adjustRightInd w:val="0"/>
              <w:snapToGrid w:val="0"/>
              <w:spacing w:line="360" w:lineRule="auto"/>
              <w:ind w:firstLine="480" w:firstLineChars="200"/>
              <w:rPr>
                <w:rFonts w:hint="default" w:ascii="Times New Roman" w:hAnsi="Times New Roman" w:cs="Times New Roman"/>
                <w:color w:val="auto"/>
                <w:sz w:val="24"/>
                <w:vertAlign w:val="baseline"/>
                <w:lang w:val="en-US" w:eastAsia="zh-CN"/>
              </w:rPr>
            </w:pPr>
            <w:r>
              <w:rPr>
                <w:rFonts w:hint="default" w:ascii="Times New Roman" w:hAnsi="Times New Roman" w:cs="Times New Roman"/>
                <w:color w:val="auto"/>
                <w:sz w:val="24"/>
              </w:rPr>
              <w:t>V</w:t>
            </w:r>
            <w:r>
              <w:rPr>
                <w:rFonts w:hint="default" w:ascii="Times New Roman" w:hAnsi="Times New Roman" w:cs="Times New Roman"/>
                <w:color w:val="auto"/>
                <w:sz w:val="24"/>
                <w:vertAlign w:val="subscript"/>
              </w:rPr>
              <w:t>总</w:t>
            </w:r>
            <w:r>
              <w:rPr>
                <w:rFonts w:hint="default" w:ascii="Times New Roman" w:hAnsi="Times New Roman" w:cs="Times New Roman"/>
                <w:color w:val="auto"/>
                <w:sz w:val="24"/>
              </w:rPr>
              <w:t>=（V</w:t>
            </w:r>
            <w:r>
              <w:rPr>
                <w:rFonts w:hint="default" w:ascii="Times New Roman" w:hAnsi="Times New Roman" w:cs="Times New Roman"/>
                <w:color w:val="auto"/>
                <w:sz w:val="24"/>
                <w:vertAlign w:val="subscript"/>
              </w:rPr>
              <w:t>1</w:t>
            </w:r>
            <w:r>
              <w:rPr>
                <w:rFonts w:hint="default" w:ascii="Times New Roman" w:hAnsi="Times New Roman" w:cs="Times New Roman"/>
                <w:color w:val="auto"/>
                <w:sz w:val="24"/>
              </w:rPr>
              <w:t>+V</w:t>
            </w:r>
            <w:r>
              <w:rPr>
                <w:rFonts w:hint="default" w:ascii="Times New Roman" w:hAnsi="Times New Roman" w:cs="Times New Roman"/>
                <w:color w:val="auto"/>
                <w:sz w:val="24"/>
                <w:vertAlign w:val="subscript"/>
              </w:rPr>
              <w:t>2</w:t>
            </w:r>
            <w:r>
              <w:rPr>
                <w:rFonts w:hint="default" w:ascii="Times New Roman" w:hAnsi="Times New Roman" w:cs="Times New Roman"/>
                <w:color w:val="auto"/>
                <w:sz w:val="24"/>
              </w:rPr>
              <w:t>-V</w:t>
            </w:r>
            <w:r>
              <w:rPr>
                <w:rFonts w:hint="default" w:ascii="Times New Roman" w:hAnsi="Times New Roman" w:cs="Times New Roman"/>
                <w:color w:val="auto"/>
                <w:sz w:val="24"/>
                <w:vertAlign w:val="subscript"/>
              </w:rPr>
              <w:t>3</w:t>
            </w:r>
            <w:r>
              <w:rPr>
                <w:rFonts w:hint="default" w:ascii="Times New Roman" w:hAnsi="Times New Roman" w:cs="Times New Roman"/>
                <w:color w:val="auto"/>
                <w:sz w:val="24"/>
              </w:rPr>
              <w:t>)max+V</w:t>
            </w:r>
            <w:r>
              <w:rPr>
                <w:rFonts w:hint="default" w:ascii="Times New Roman" w:hAnsi="Times New Roman" w:cs="Times New Roman"/>
                <w:color w:val="auto"/>
                <w:sz w:val="24"/>
                <w:vertAlign w:val="subscript"/>
              </w:rPr>
              <w:t>4</w:t>
            </w:r>
            <w:r>
              <w:rPr>
                <w:rFonts w:hint="default" w:ascii="Times New Roman" w:hAnsi="Times New Roman" w:cs="Times New Roman"/>
                <w:color w:val="auto"/>
                <w:sz w:val="24"/>
              </w:rPr>
              <w:t>+V</w:t>
            </w:r>
            <w:r>
              <w:rPr>
                <w:rFonts w:hint="default" w:ascii="Times New Roman" w:hAnsi="Times New Roman" w:cs="Times New Roman"/>
                <w:color w:val="auto"/>
                <w:sz w:val="24"/>
                <w:vertAlign w:val="subscript"/>
              </w:rPr>
              <w:t>5</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5</w:t>
            </w:r>
            <w:r>
              <w:rPr>
                <w:rFonts w:hint="eastAsia" w:ascii="Times New Roman" w:hAnsi="Times New Roman" w:cs="Times New Roman"/>
                <w:color w:val="auto"/>
                <w:sz w:val="24"/>
                <w:lang w:val="en-US" w:eastAsia="zh-CN"/>
              </w:rPr>
              <w:t>07</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vertAlign w:val="baseline"/>
                <w:lang w:val="en-US" w:eastAsia="zh-CN"/>
              </w:rPr>
              <w:t>。</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vertAlign w:val="baseline"/>
                <w:lang w:val="en-US" w:eastAsia="zh-CN"/>
              </w:rPr>
              <w:t>项目在发生事故时，可关闭雨水阀门，项目消防废水通过雨水管网流入应急池。项目生产车间出入口设置沙袋建成临时围堰，围堰高度为0.25m，生产厂房占地面积为</w:t>
            </w:r>
            <w:r>
              <w:rPr>
                <w:rFonts w:hint="eastAsia" w:ascii="Times New Roman" w:hAnsi="Times New Roman" w:cs="Times New Roman"/>
                <w:color w:val="auto"/>
                <w:sz w:val="24"/>
                <w:vertAlign w:val="baseline"/>
                <w:lang w:val="en-US" w:eastAsia="zh-CN"/>
              </w:rPr>
              <w:t>100</w:t>
            </w:r>
            <w:r>
              <w:rPr>
                <w:rFonts w:hint="default" w:ascii="Times New Roman" w:hAnsi="Times New Roman" w:cs="Times New Roman"/>
                <w:color w:val="auto"/>
                <w:sz w:val="24"/>
                <w:vertAlign w:val="baseline"/>
                <w:lang w:val="en-US" w:eastAsia="zh-CN"/>
              </w:rPr>
              <w:t>0m</w:t>
            </w:r>
            <w:r>
              <w:rPr>
                <w:rFonts w:hint="default" w:ascii="Times New Roman" w:hAnsi="Times New Roman" w:cs="Times New Roman"/>
                <w:color w:val="auto"/>
                <w:sz w:val="24"/>
                <w:vertAlign w:val="superscript"/>
                <w:lang w:val="en-US" w:eastAsia="zh-CN"/>
              </w:rPr>
              <w:t>2</w:t>
            </w:r>
            <w:r>
              <w:rPr>
                <w:rFonts w:hint="default" w:ascii="Times New Roman" w:hAnsi="Times New Roman" w:cs="Times New Roman"/>
                <w:color w:val="auto"/>
                <w:sz w:val="24"/>
                <w:vertAlign w:val="baseline"/>
                <w:lang w:val="en-US" w:eastAsia="zh-CN"/>
              </w:rPr>
              <w:t>，</w:t>
            </w:r>
            <w:r>
              <w:rPr>
                <w:rFonts w:hint="eastAsia" w:ascii="Times New Roman" w:hAnsi="Times New Roman" w:cs="Times New Roman"/>
                <w:color w:val="auto"/>
                <w:sz w:val="24"/>
                <w:vertAlign w:val="baseline"/>
                <w:lang w:val="en-US" w:eastAsia="zh-CN"/>
              </w:rPr>
              <w:t>生产厂房</w:t>
            </w:r>
            <w:r>
              <w:rPr>
                <w:rFonts w:hint="default" w:ascii="Times New Roman" w:hAnsi="Times New Roman" w:cs="Times New Roman"/>
                <w:color w:val="auto"/>
                <w:sz w:val="24"/>
                <w:vertAlign w:val="baseline"/>
                <w:lang w:val="en-US" w:eastAsia="zh-CN"/>
              </w:rPr>
              <w:t>可暂存事故废水2</w:t>
            </w:r>
            <w:r>
              <w:rPr>
                <w:rFonts w:hint="eastAsia" w:ascii="Times New Roman" w:hAnsi="Times New Roman" w:cs="Times New Roman"/>
                <w:color w:val="auto"/>
                <w:sz w:val="24"/>
                <w:vertAlign w:val="baseline"/>
                <w:lang w:val="en-US" w:eastAsia="zh-CN"/>
              </w:rPr>
              <w:t>50</w:t>
            </w:r>
            <w:r>
              <w:rPr>
                <w:rFonts w:hint="default" w:ascii="Times New Roman" w:hAnsi="Times New Roman" w:cs="Times New Roman"/>
                <w:color w:val="auto"/>
                <w:sz w:val="24"/>
                <w:vertAlign w:val="baseline"/>
                <w:lang w:val="en-US" w:eastAsia="zh-CN"/>
              </w:rPr>
              <w:t>m</w:t>
            </w:r>
            <w:r>
              <w:rPr>
                <w:rFonts w:hint="default" w:ascii="Times New Roman" w:hAnsi="Times New Roman" w:cs="Times New Roman"/>
                <w:color w:val="auto"/>
                <w:sz w:val="24"/>
                <w:vertAlign w:val="superscript"/>
                <w:lang w:val="en-US" w:eastAsia="zh-CN"/>
              </w:rPr>
              <w:t>2</w:t>
            </w:r>
            <w:r>
              <w:rPr>
                <w:rFonts w:hint="default" w:ascii="Times New Roman" w:hAnsi="Times New Roman" w:cs="Times New Roman"/>
                <w:color w:val="auto"/>
                <w:sz w:val="24"/>
                <w:vertAlign w:val="baseline"/>
                <w:lang w:val="en-US" w:eastAsia="zh-CN"/>
              </w:rPr>
              <w:t>，故室内消防水可暂存在</w:t>
            </w:r>
            <w:r>
              <w:rPr>
                <w:rFonts w:hint="eastAsia" w:ascii="Times New Roman" w:hAnsi="Times New Roman" w:cs="Times New Roman"/>
                <w:color w:val="auto"/>
                <w:sz w:val="24"/>
                <w:vertAlign w:val="baseline"/>
                <w:lang w:val="en-US" w:eastAsia="zh-CN"/>
              </w:rPr>
              <w:t>生产厂房</w:t>
            </w:r>
            <w:r>
              <w:rPr>
                <w:rFonts w:hint="default" w:ascii="Times New Roman" w:hAnsi="Times New Roman" w:cs="Times New Roman"/>
                <w:color w:val="auto"/>
                <w:sz w:val="24"/>
                <w:vertAlign w:val="baseline"/>
                <w:lang w:val="en-US" w:eastAsia="zh-CN"/>
              </w:rPr>
              <w:t>内。</w:t>
            </w:r>
            <w:r>
              <w:rPr>
                <w:rFonts w:hint="default" w:ascii="Times New Roman" w:hAnsi="Times New Roman" w:cs="Times New Roman"/>
                <w:color w:val="auto"/>
                <w:sz w:val="24"/>
              </w:rPr>
              <w:t>综上，经计算需要的应急容积为</w:t>
            </w:r>
            <w:r>
              <w:rPr>
                <w:rFonts w:hint="eastAsia" w:ascii="Times New Roman" w:hAnsi="Times New Roman" w:cs="Times New Roman"/>
                <w:color w:val="auto"/>
                <w:sz w:val="24"/>
                <w:lang w:val="en-US" w:eastAsia="zh-CN"/>
              </w:rPr>
              <w:t>291</w:t>
            </w:r>
            <w:r>
              <w:rPr>
                <w:rFonts w:hint="default" w:ascii="Times New Roman" w:hAnsi="Times New Roman" w:cs="Times New Roman"/>
                <w:color w:val="auto"/>
                <w:sz w:val="24"/>
              </w:rPr>
              <w:t>m</w:t>
            </w:r>
            <w:r>
              <w:rPr>
                <w:rFonts w:hint="default" w:ascii="Times New Roman" w:hAnsi="Times New Roman" w:cs="Times New Roman"/>
                <w:color w:val="auto"/>
                <w:sz w:val="24"/>
                <w:vertAlign w:val="superscript"/>
              </w:rPr>
              <w:t>3</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为了</w:t>
            </w:r>
            <w:r>
              <w:rPr>
                <w:rFonts w:hint="default" w:ascii="Times New Roman" w:hAnsi="Times New Roman" w:cs="Times New Roman"/>
                <w:color w:val="auto"/>
                <w:sz w:val="24"/>
              </w:rPr>
              <w:t>确保项目事故废水不外排</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建设容积为300m</w:t>
            </w:r>
            <w:r>
              <w:rPr>
                <w:rFonts w:hint="eastAsia" w:ascii="Times New Roman" w:hAnsi="Times New Roman" w:cs="Times New Roman"/>
                <w:color w:val="auto"/>
                <w:sz w:val="24"/>
                <w:vertAlign w:val="superscript"/>
                <w:lang w:val="en-US" w:eastAsia="zh-CN"/>
              </w:rPr>
              <w:t>3</w:t>
            </w:r>
            <w:r>
              <w:rPr>
                <w:rFonts w:hint="eastAsia" w:ascii="Times New Roman" w:hAnsi="Times New Roman" w:cs="Times New Roman"/>
                <w:color w:val="auto"/>
                <w:sz w:val="24"/>
                <w:lang w:val="en-US" w:eastAsia="zh-CN"/>
              </w:rPr>
              <w:t>（规格为10m*6m*5m）</w:t>
            </w:r>
            <w:r>
              <w:rPr>
                <w:rFonts w:hint="default" w:ascii="Times New Roman" w:hAnsi="Times New Roman" w:cs="Times New Roman"/>
                <w:color w:val="auto"/>
                <w:sz w:val="24"/>
              </w:rPr>
              <w:t>。</w:t>
            </w:r>
            <w:r>
              <w:rPr>
                <w:rFonts w:hint="eastAsia" w:ascii="Times New Roman" w:hAnsi="Times New Roman" w:cs="Times New Roman"/>
                <w:color w:val="auto"/>
                <w:sz w:val="24"/>
                <w:lang w:val="en-US" w:eastAsia="zh-CN"/>
              </w:rPr>
              <w:t>当发生事故时，关闭雨水阀门，打开应急池阀门。</w:t>
            </w:r>
            <w:r>
              <w:rPr>
                <w:rFonts w:hint="default" w:ascii="Times New Roman" w:hAnsi="Times New Roman" w:cs="Times New Roman"/>
                <w:color w:val="auto"/>
                <w:sz w:val="24"/>
              </w:rPr>
              <w:t>待事故结束后，对事故废水进行检测分析，达到污水处理厂纳污标准，排入市政污水管网，纳入污水处理厂处理；不能满足污水处理厂进水水质的，则通过罐车输送，委托其他有处理资质的单位进行处理。</w:t>
            </w:r>
          </w:p>
          <w:p>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事故废水三级防控体系：</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1、废水收集措施（一级防控）</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一级防控措施（车间内防控措施）为缓坡与沙袋等，生产车间、</w:t>
            </w:r>
            <w:r>
              <w:rPr>
                <w:rFonts w:hint="default" w:ascii="Times New Roman" w:hAnsi="Times New Roman" w:cs="Times New Roman"/>
                <w:color w:val="auto"/>
                <w:sz w:val="24"/>
                <w:lang w:val="en-US" w:eastAsia="zh-CN"/>
              </w:rPr>
              <w:t>原料</w:t>
            </w:r>
            <w:r>
              <w:rPr>
                <w:rFonts w:hint="default" w:ascii="Times New Roman" w:hAnsi="Times New Roman" w:cs="Times New Roman"/>
                <w:color w:val="auto"/>
                <w:sz w:val="24"/>
              </w:rPr>
              <w:t>仓库的地面均设有缓坡，当风险源发生物料泄漏或产生事故废水时，用沙袋将生产车间、仓库门口堵住，及时拦截事故废水或是泄漏物，可避免泄漏物或事故废水蔓延。</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rPr>
              <w:t>、本公司</w:t>
            </w:r>
            <w:r>
              <w:rPr>
                <w:rFonts w:hint="default" w:ascii="Times New Roman" w:hAnsi="Times New Roman" w:cs="Times New Roman"/>
                <w:color w:val="auto"/>
                <w:sz w:val="24"/>
                <w:lang w:val="en-US" w:eastAsia="zh-CN"/>
              </w:rPr>
              <w:t>围堰</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二</w:t>
            </w:r>
            <w:r>
              <w:rPr>
                <w:rFonts w:hint="default" w:ascii="Times New Roman" w:hAnsi="Times New Roman" w:cs="Times New Roman"/>
                <w:color w:val="auto"/>
                <w:sz w:val="24"/>
              </w:rPr>
              <w:t>级防控）</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二</w:t>
            </w:r>
            <w:r>
              <w:rPr>
                <w:rFonts w:hint="default" w:ascii="Times New Roman" w:hAnsi="Times New Roman" w:cs="Times New Roman"/>
                <w:color w:val="auto"/>
                <w:sz w:val="24"/>
              </w:rPr>
              <w:t>级防控措施为</w:t>
            </w:r>
            <w:r>
              <w:rPr>
                <w:rFonts w:hint="default" w:ascii="Times New Roman" w:hAnsi="Times New Roman" w:cs="Times New Roman"/>
                <w:color w:val="auto"/>
                <w:sz w:val="24"/>
                <w:lang w:val="en-US" w:eastAsia="zh-CN"/>
              </w:rPr>
              <w:t>围堰</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车间、原料仓库消防废水流入雨水管网时，需关闭雨水阀门，公司设置厂区围堰，可以暂存事故废水</w:t>
            </w:r>
            <w:r>
              <w:rPr>
                <w:rFonts w:hint="default" w:ascii="Times New Roman" w:hAnsi="Times New Roman" w:cs="Times New Roman"/>
                <w:color w:val="auto"/>
                <w:sz w:val="24"/>
              </w:rPr>
              <w:t>。</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3</w:t>
            </w:r>
            <w:r>
              <w:rPr>
                <w:rFonts w:hint="default" w:ascii="Times New Roman" w:hAnsi="Times New Roman" w:cs="Times New Roman"/>
                <w:color w:val="auto"/>
                <w:sz w:val="24"/>
              </w:rPr>
              <w:t>、本公司事故应急池（</w:t>
            </w:r>
            <w:r>
              <w:rPr>
                <w:rFonts w:hint="default" w:ascii="Times New Roman" w:hAnsi="Times New Roman" w:cs="Times New Roman"/>
                <w:color w:val="auto"/>
                <w:sz w:val="24"/>
                <w:lang w:val="en-US" w:eastAsia="zh-CN"/>
              </w:rPr>
              <w:t>三</w:t>
            </w:r>
            <w:r>
              <w:rPr>
                <w:rFonts w:hint="default" w:ascii="Times New Roman" w:hAnsi="Times New Roman" w:cs="Times New Roman"/>
                <w:color w:val="auto"/>
                <w:sz w:val="24"/>
              </w:rPr>
              <w:t>级防控）</w:t>
            </w:r>
          </w:p>
          <w:p>
            <w:pPr>
              <w:adjustRightInd w:val="0"/>
              <w:snapToGrid w:val="0"/>
              <w:spacing w:line="360" w:lineRule="auto"/>
              <w:ind w:firstLine="480" w:firstLineChars="20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三级防控措施为事故应急池，当车间或原料仓库的物料流出至厂区雨水管网，或车间、仓库外消防废水流入雨水管网时，需关闭雨水阀门，打开事故应急池的阀门，设置的事故应急池作为事故污水的暂存池收纳事故污水。事故应急池平时预留充足的空间，正常情况不使用，事故池有阀门，正常时关闭状态，紧急时打开。</w:t>
            </w:r>
          </w:p>
          <w:p>
            <w:pPr>
              <w:pStyle w:val="89"/>
              <w:tabs>
                <w:tab w:val="left" w:pos="540"/>
              </w:tabs>
              <w:spacing w:line="360" w:lineRule="auto"/>
              <w:ind w:left="420" w:leftChars="200" w:firstLine="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分析结论</w:t>
            </w:r>
          </w:p>
          <w:p>
            <w:pPr>
              <w:pStyle w:val="89"/>
              <w:tabs>
                <w:tab w:val="left" w:pos="540"/>
              </w:tabs>
              <w:spacing w:line="360" w:lineRule="auto"/>
              <w:ind w:firstLine="480" w:firstLineChars="200"/>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根据风险评价分析，本项目风险评价结论如下：</w:t>
            </w:r>
          </w:p>
          <w:p>
            <w:pPr>
              <w:pStyle w:val="107"/>
              <w:ind w:firstLine="480"/>
              <w:jc w:val="both"/>
              <w:rPr>
                <w:rFonts w:hint="default" w:ascii="Times New Roman" w:hAnsi="Times New Roman" w:eastAsia="宋体" w:cs="Times New Roman"/>
                <w:color w:val="auto"/>
                <w:szCs w:val="24"/>
                <w:highlight w:val="none"/>
                <w:lang w:val="en-US" w:eastAsia="zh-CN"/>
              </w:rPr>
            </w:pPr>
            <w:r>
              <w:rPr>
                <w:rFonts w:hint="default" w:ascii="Times New Roman" w:hAnsi="Times New Roman" w:cs="Times New Roman"/>
                <w:color w:val="auto"/>
                <w:kern w:val="0"/>
                <w:sz w:val="24"/>
                <w:szCs w:val="24"/>
                <w:highlight w:val="none"/>
                <w:lang w:val="en-US" w:eastAsia="zh-CN"/>
              </w:rPr>
              <w:t>本项目环境风险评价工作等级为二级评价。</w:t>
            </w:r>
            <w:r>
              <w:rPr>
                <w:rFonts w:hint="default" w:ascii="Times New Roman" w:hAnsi="Times New Roman" w:eastAsia="宋体" w:cs="Times New Roman"/>
                <w:color w:val="auto"/>
                <w:szCs w:val="24"/>
                <w:highlight w:val="none"/>
                <w:lang w:val="en-US" w:eastAsia="zh-CN"/>
              </w:rPr>
              <w:t>项目严格落实各项风险事故防范措施情况下，可最大限度地降低环境风险，环境风险可防控。</w:t>
            </w:r>
          </w:p>
          <w:p>
            <w:pPr>
              <w:adjustRightInd w:val="0"/>
              <w:snapToGrid w:val="0"/>
              <w:spacing w:line="360" w:lineRule="auto"/>
              <w:rPr>
                <w:rFonts w:hint="default" w:ascii="Times New Roman" w:hAnsi="Times New Roman" w:cs="Times New Roman"/>
                <w:b/>
                <w:color w:val="auto"/>
                <w:kern w:val="0"/>
                <w:sz w:val="28"/>
                <w:szCs w:val="28"/>
                <w:vertAlign w:val="baseline"/>
              </w:rPr>
            </w:pPr>
          </w:p>
          <w:p>
            <w:pPr>
              <w:adjustRightInd w:val="0"/>
              <w:snapToGrid w:val="0"/>
              <w:spacing w:line="360" w:lineRule="auto"/>
              <w:rPr>
                <w:rFonts w:hint="default" w:ascii="Times New Roman" w:hAnsi="Times New Roman" w:cs="Times New Roman"/>
                <w:b/>
                <w:color w:val="auto"/>
                <w:kern w:val="0"/>
                <w:sz w:val="28"/>
                <w:szCs w:val="28"/>
                <w:vertAlign w:val="baseline"/>
              </w:rPr>
            </w:pPr>
          </w:p>
        </w:tc>
      </w:tr>
    </w:tbl>
    <w:p>
      <w:pPr>
        <w:adjustRightInd w:val="0"/>
        <w:snapToGrid w:val="0"/>
        <w:spacing w:line="360" w:lineRule="auto"/>
        <w:rPr>
          <w:rFonts w:hint="default" w:ascii="Times New Roman" w:hAnsi="Times New Roman" w:cs="Times New Roman"/>
          <w:b/>
          <w:color w:val="auto"/>
          <w:kern w:val="0"/>
          <w:sz w:val="28"/>
          <w:szCs w:val="28"/>
        </w:rPr>
        <w:sectPr>
          <w:pgSz w:w="11907" w:h="16840"/>
          <w:pgMar w:top="1701" w:right="1531" w:bottom="2127" w:left="1531"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27"/>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eastAsia="黑体" w:cs="Times New Roman"/>
          <w:snapToGrid w:val="0"/>
          <w:color w:val="auto"/>
          <w:sz w:val="30"/>
          <w:szCs w:val="30"/>
        </w:rPr>
        <w:t>五、</w:t>
      </w:r>
      <w:bookmarkStart w:id="0" w:name="_Hlk54167917"/>
      <w:r>
        <w:rPr>
          <w:rFonts w:hint="default" w:ascii="Times New Roman" w:hAnsi="Times New Roman" w:eastAsia="黑体" w:cs="Times New Roman"/>
          <w:snapToGrid w:val="0"/>
          <w:color w:val="auto"/>
          <w:sz w:val="30"/>
          <w:szCs w:val="30"/>
        </w:rPr>
        <w:t>环境保护措施监督检查清单</w:t>
      </w:r>
      <w:bookmarkEnd w:id="0"/>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10"/>
        <w:gridCol w:w="1290"/>
        <w:gridCol w:w="1275"/>
        <w:gridCol w:w="1335"/>
        <w:gridCol w:w="37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310" w:type="dxa"/>
            <w:tcBorders>
              <w:tl2br w:val="single" w:color="auto" w:sz="4" w:space="0"/>
            </w:tcBorders>
            <w:noWrap w:val="0"/>
            <w:vAlign w:val="top"/>
          </w:tcPr>
          <w:p>
            <w:pPr>
              <w:adjustRightInd w:val="0"/>
              <w:snapToGrid w:val="0"/>
              <w:ind w:firstLine="632" w:firstLineChars="300"/>
              <w:rPr>
                <w:rFonts w:hint="default" w:ascii="Times New Roman" w:hAnsi="Times New Roman" w:cs="Times New Roman"/>
                <w:b/>
                <w:bCs/>
                <w:color w:val="auto"/>
                <w:szCs w:val="21"/>
              </w:rPr>
            </w:pPr>
            <w:r>
              <w:rPr>
                <w:rFonts w:hint="default" w:ascii="Times New Roman" w:hAnsi="Times New Roman" w:cs="Times New Roman"/>
                <w:b/>
                <w:bCs/>
                <w:color w:val="auto"/>
                <w:szCs w:val="21"/>
              </w:rPr>
              <w:t>内容</w:t>
            </w:r>
          </w:p>
          <w:p>
            <w:pPr>
              <w:adjustRightInd w:val="0"/>
              <w:snapToGrid w:val="0"/>
              <w:rPr>
                <w:rFonts w:hint="default" w:ascii="Times New Roman" w:hAnsi="Times New Roman" w:cs="Times New Roman"/>
                <w:b/>
                <w:bCs/>
                <w:color w:val="auto"/>
                <w:szCs w:val="21"/>
              </w:rPr>
            </w:pPr>
            <w:r>
              <w:rPr>
                <w:rFonts w:hint="default" w:ascii="Times New Roman" w:hAnsi="Times New Roman" w:cs="Times New Roman"/>
                <w:b/>
                <w:bCs/>
                <w:color w:val="auto"/>
                <w:szCs w:val="21"/>
              </w:rPr>
              <w:t>要素</w:t>
            </w:r>
          </w:p>
        </w:tc>
        <w:tc>
          <w:tcPr>
            <w:tcW w:w="1290"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排放口</w:t>
            </w:r>
            <w:r>
              <w:rPr>
                <w:rFonts w:hint="default" w:ascii="Times New Roman" w:hAnsi="Times New Roman" w:cs="Times New Roman"/>
                <w:b/>
                <w:bCs/>
                <w:color w:val="auto"/>
                <w:szCs w:val="21"/>
                <w:lang w:eastAsia="zh-CN"/>
              </w:rPr>
              <w:t>（</w:t>
            </w:r>
            <w:r>
              <w:rPr>
                <w:rFonts w:hint="default" w:ascii="Times New Roman" w:hAnsi="Times New Roman" w:cs="Times New Roman"/>
                <w:b/>
                <w:bCs/>
                <w:color w:val="auto"/>
                <w:szCs w:val="21"/>
              </w:rPr>
              <w:t>编号、名称</w:t>
            </w:r>
            <w:r>
              <w:rPr>
                <w:rFonts w:hint="default" w:ascii="Times New Roman" w:hAnsi="Times New Roman" w:cs="Times New Roman"/>
                <w:b/>
                <w:bCs/>
                <w:color w:val="auto"/>
                <w:szCs w:val="21"/>
                <w:lang w:eastAsia="zh-CN"/>
              </w:rPr>
              <w:t>）</w:t>
            </w:r>
            <w:r>
              <w:rPr>
                <w:rFonts w:hint="default" w:ascii="Times New Roman" w:hAnsi="Times New Roman" w:cs="Times New Roman"/>
                <w:b/>
                <w:bCs/>
                <w:color w:val="auto"/>
                <w:szCs w:val="21"/>
              </w:rPr>
              <w:t>/污染源</w:t>
            </w:r>
          </w:p>
        </w:tc>
        <w:tc>
          <w:tcPr>
            <w:tcW w:w="1275"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污染物项目</w:t>
            </w:r>
          </w:p>
        </w:tc>
        <w:tc>
          <w:tcPr>
            <w:tcW w:w="1335"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环境保护措施</w:t>
            </w:r>
          </w:p>
        </w:tc>
        <w:tc>
          <w:tcPr>
            <w:tcW w:w="3736"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1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r>
              <w:rPr>
                <w:rFonts w:hint="default" w:ascii="Times New Roman" w:hAnsi="Times New Roman" w:cs="Times New Roman"/>
                <w:b/>
                <w:bCs/>
                <w:color w:val="auto"/>
                <w:szCs w:val="21"/>
              </w:rPr>
              <w:t>大气环境</w:t>
            </w:r>
          </w:p>
        </w:tc>
        <w:tc>
          <w:tcPr>
            <w:tcW w:w="129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DA001</w:t>
            </w:r>
          </w:p>
        </w:tc>
        <w:tc>
          <w:tcPr>
            <w:tcW w:w="12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非甲烷总烃</w:t>
            </w:r>
          </w:p>
        </w:tc>
        <w:tc>
          <w:tcPr>
            <w:tcW w:w="1335"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布袋除尘器+</w:t>
            </w:r>
            <w:r>
              <w:rPr>
                <w:rFonts w:hint="default" w:ascii="Times New Roman" w:hAnsi="Times New Roman" w:cs="Times New Roman"/>
                <w:color w:val="auto"/>
                <w:szCs w:val="21"/>
                <w:lang w:eastAsia="zh-CN"/>
              </w:rPr>
              <w:t>二级活性炭</w:t>
            </w:r>
            <w:r>
              <w:rPr>
                <w:rFonts w:hint="default" w:ascii="Times New Roman" w:hAnsi="Times New Roman" w:cs="Times New Roman"/>
                <w:color w:val="auto"/>
                <w:szCs w:val="21"/>
              </w:rPr>
              <w:t>吸附装置</w:t>
            </w:r>
          </w:p>
        </w:tc>
        <w:tc>
          <w:tcPr>
            <w:tcW w:w="3736"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《电池工业污染物排放标准》（GB30484-2013）表5新建企业大气污染物排放限值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1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p>
        </w:tc>
        <w:tc>
          <w:tcPr>
            <w:tcW w:w="129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p>
        </w:tc>
        <w:tc>
          <w:tcPr>
            <w:tcW w:w="12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颗粒物</w:t>
            </w:r>
          </w:p>
        </w:tc>
        <w:tc>
          <w:tcPr>
            <w:tcW w:w="1335"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eastAsia="zh-CN"/>
              </w:rPr>
            </w:pPr>
          </w:p>
        </w:tc>
        <w:tc>
          <w:tcPr>
            <w:tcW w:w="3736"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1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p>
        </w:tc>
        <w:tc>
          <w:tcPr>
            <w:tcW w:w="129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p>
        </w:tc>
        <w:tc>
          <w:tcPr>
            <w:tcW w:w="12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eastAsia"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碳黑</w:t>
            </w:r>
          </w:p>
        </w:tc>
        <w:tc>
          <w:tcPr>
            <w:tcW w:w="1335"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eastAsia="zh-CN"/>
              </w:rPr>
            </w:pPr>
          </w:p>
        </w:tc>
        <w:tc>
          <w:tcPr>
            <w:tcW w:w="3736"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eastAsia" w:ascii="Times New Roman" w:hAnsi="Times New Roman" w:eastAsia="宋体" w:cs="Times New Roman"/>
                <w:color w:val="auto"/>
                <w:sz w:val="21"/>
                <w:szCs w:val="21"/>
              </w:rPr>
              <w:t>广东省《大气污染物排放限值》（DB44/27-2001）第二时段二级标准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31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p>
        </w:tc>
        <w:tc>
          <w:tcPr>
            <w:tcW w:w="1290" w:type="dxa"/>
            <w:vMerge w:val="restar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厂界</w:t>
            </w:r>
          </w:p>
        </w:tc>
        <w:tc>
          <w:tcPr>
            <w:tcW w:w="12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非甲烷总烃</w:t>
            </w:r>
          </w:p>
        </w:tc>
        <w:tc>
          <w:tcPr>
            <w:tcW w:w="133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736" w:type="dxa"/>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rPr>
              <w:t>《电池工业污染物排放标准》（GB30484-2013）表6现有新建企业边界大气污染物浓度限值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31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p>
        </w:tc>
        <w:tc>
          <w:tcPr>
            <w:tcW w:w="129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颗粒物</w:t>
            </w:r>
          </w:p>
        </w:tc>
        <w:tc>
          <w:tcPr>
            <w:tcW w:w="133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lang w:val="en-US" w:eastAsia="zh-CN"/>
              </w:rPr>
              <w:t>/</w:t>
            </w:r>
          </w:p>
        </w:tc>
        <w:tc>
          <w:tcPr>
            <w:tcW w:w="3736" w:type="dxa"/>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31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p>
        </w:tc>
        <w:tc>
          <w:tcPr>
            <w:tcW w:w="129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p>
        </w:tc>
        <w:tc>
          <w:tcPr>
            <w:tcW w:w="1275"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碳黑</w:t>
            </w:r>
          </w:p>
        </w:tc>
        <w:tc>
          <w:tcPr>
            <w:tcW w:w="133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w:t>
            </w:r>
          </w:p>
        </w:tc>
        <w:tc>
          <w:tcPr>
            <w:tcW w:w="373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rPr>
              <w:t>广东省《大气污染物排放限值》（DB44/27-2001）第二时段</w:t>
            </w:r>
            <w:r>
              <w:rPr>
                <w:rFonts w:hint="eastAsia" w:ascii="Times New Roman" w:hAnsi="Times New Roman" w:eastAsia="宋体" w:cs="Times New Roman"/>
                <w:color w:val="auto"/>
                <w:sz w:val="21"/>
                <w:szCs w:val="21"/>
                <w:lang w:val="en-US" w:eastAsia="zh-CN"/>
              </w:rPr>
              <w:t>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1310" w:type="dxa"/>
            <w:vMerge w:val="continue"/>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b/>
                <w:bCs/>
                <w:color w:val="auto"/>
                <w:szCs w:val="21"/>
              </w:rPr>
            </w:pPr>
          </w:p>
        </w:tc>
        <w:tc>
          <w:tcPr>
            <w:tcW w:w="1290"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厂区内</w:t>
            </w:r>
          </w:p>
        </w:tc>
        <w:tc>
          <w:tcPr>
            <w:tcW w:w="1275"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NMHC</w:t>
            </w:r>
          </w:p>
        </w:tc>
        <w:tc>
          <w:tcPr>
            <w:tcW w:w="1335" w:type="dxa"/>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w:t>
            </w:r>
          </w:p>
        </w:tc>
        <w:tc>
          <w:tcPr>
            <w:tcW w:w="3736" w:type="dxa"/>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《固定污染源挥发性有机物综合排放标准》（DB44/2367-2022）</w:t>
            </w:r>
            <w:r>
              <w:rPr>
                <w:rFonts w:hint="default" w:ascii="Times New Roman" w:hAnsi="Times New Roman" w:cs="Times New Roman"/>
                <w:color w:val="auto"/>
                <w:szCs w:val="21"/>
                <w:lang w:val="en-US" w:eastAsia="zh-CN"/>
              </w:rPr>
              <w:t>无组织</w:t>
            </w:r>
            <w:r>
              <w:rPr>
                <w:rFonts w:hint="default" w:ascii="Times New Roman" w:hAnsi="Times New Roman" w:cs="Times New Roman"/>
                <w:color w:val="auto"/>
                <w:szCs w:val="21"/>
              </w:rPr>
              <w:t>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53" w:hRule="atLeast"/>
          <w:jc w:val="center"/>
        </w:trPr>
        <w:tc>
          <w:tcPr>
            <w:tcW w:w="1310"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地表水环境</w:t>
            </w:r>
          </w:p>
        </w:tc>
        <w:tc>
          <w:tcPr>
            <w:tcW w:w="1290"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生活污水</w:t>
            </w:r>
          </w:p>
        </w:tc>
        <w:tc>
          <w:tcPr>
            <w:tcW w:w="1275" w:type="dxa"/>
            <w:noWrap w:val="0"/>
            <w:vAlign w:val="center"/>
          </w:tcPr>
          <w:p>
            <w:pPr>
              <w:pStyle w:val="49"/>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eastAsia="宋体" w:cs="Times New Roman"/>
                <w:color w:val="auto"/>
                <w:lang w:val="en-US" w:eastAsia="zh-CN"/>
              </w:rPr>
            </w:pPr>
            <w:r>
              <w:rPr>
                <w:rFonts w:hint="default" w:ascii="Times New Roman" w:hAnsi="Times New Roman" w:cs="Times New Roman"/>
                <w:color w:val="auto"/>
                <w:sz w:val="21"/>
                <w:szCs w:val="21"/>
              </w:rPr>
              <w:t>COD</w:t>
            </w:r>
            <w:r>
              <w:rPr>
                <w:rFonts w:hint="default" w:ascii="Times New Roman" w:hAnsi="Times New Roman" w:cs="Times New Roman"/>
                <w:b/>
                <w:bCs/>
                <w:color w:val="auto"/>
                <w:sz w:val="21"/>
                <w:szCs w:val="21"/>
                <w:vertAlign w:val="subscript"/>
              </w:rPr>
              <w:t>Cr</w:t>
            </w:r>
            <w:r>
              <w:rPr>
                <w:rFonts w:hint="default" w:ascii="Times New Roman" w:hAnsi="Times New Roman" w:cs="Times New Roman"/>
                <w:color w:val="auto"/>
                <w:sz w:val="21"/>
                <w:szCs w:val="21"/>
              </w:rPr>
              <w:t>、BOD、SS、氨氮、总磷、</w:t>
            </w:r>
            <w:r>
              <w:rPr>
                <w:rFonts w:hint="default" w:ascii="Times New Roman" w:hAnsi="Times New Roman" w:cs="Times New Roman"/>
                <w:color w:val="auto"/>
                <w:sz w:val="21"/>
                <w:szCs w:val="21"/>
                <w:lang w:val="en-US" w:eastAsia="zh-CN"/>
              </w:rPr>
              <w:t>总氮</w:t>
            </w:r>
          </w:p>
        </w:tc>
        <w:tc>
          <w:tcPr>
            <w:tcW w:w="1335"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rPr>
            </w:pPr>
            <w:r>
              <w:rPr>
                <w:rFonts w:hint="default" w:ascii="Times New Roman" w:hAnsi="Times New Roman" w:cs="Times New Roman"/>
                <w:color w:val="auto"/>
                <w:szCs w:val="21"/>
              </w:rPr>
              <w:t>经</w:t>
            </w:r>
            <w:r>
              <w:rPr>
                <w:rFonts w:hint="default" w:ascii="Times New Roman" w:hAnsi="Times New Roman" w:cs="Times New Roman"/>
                <w:color w:val="auto"/>
                <w:sz w:val="21"/>
                <w:szCs w:val="21"/>
              </w:rPr>
              <w:t>三级化粪池</w:t>
            </w:r>
            <w:r>
              <w:rPr>
                <w:rFonts w:hint="eastAsia" w:cs="Times New Roman"/>
                <w:color w:val="auto"/>
                <w:sz w:val="21"/>
                <w:szCs w:val="21"/>
                <w:lang w:val="en-US" w:eastAsia="zh-CN"/>
              </w:rPr>
              <w:t>+接触氧化池</w:t>
            </w:r>
            <w:r>
              <w:rPr>
                <w:rFonts w:hint="default" w:ascii="Times New Roman" w:hAnsi="Times New Roman" w:cs="Times New Roman"/>
                <w:color w:val="auto"/>
                <w:szCs w:val="21"/>
              </w:rPr>
              <w:t>预处理后经市政污水管网进入</w:t>
            </w:r>
            <w:r>
              <w:rPr>
                <w:rFonts w:hint="eastAsia" w:ascii="Times New Roman" w:hAnsi="Times New Roman" w:cs="Times New Roman"/>
                <w:color w:val="auto"/>
                <w:sz w:val="21"/>
                <w:szCs w:val="21"/>
                <w:lang w:val="en-US" w:eastAsia="zh-CN"/>
              </w:rPr>
              <w:t>博罗县</w:t>
            </w:r>
            <w:r>
              <w:rPr>
                <w:rFonts w:hint="default" w:ascii="Times New Roman" w:hAnsi="Times New Roman" w:cs="Times New Roman"/>
                <w:color w:val="auto"/>
                <w:sz w:val="21"/>
                <w:szCs w:val="21"/>
              </w:rPr>
              <w:t>园洲镇第五污水处理厂</w:t>
            </w:r>
            <w:r>
              <w:rPr>
                <w:rFonts w:hint="default" w:ascii="Times New Roman" w:hAnsi="Times New Roman" w:cs="Times New Roman"/>
                <w:color w:val="auto"/>
              </w:rPr>
              <w:t>处理</w:t>
            </w:r>
          </w:p>
        </w:tc>
        <w:tc>
          <w:tcPr>
            <w:tcW w:w="373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 w:val="21"/>
                <w:szCs w:val="21"/>
              </w:rPr>
              <w:t>《城镇污水处理厂污染物排放标准》（GB18918-2002）一级标准的</w:t>
            </w:r>
            <w:r>
              <w:rPr>
                <w:rFonts w:hint="default" w:ascii="Times New Roman" w:hAnsi="Times New Roman" w:cs="Times New Roman"/>
                <w:color w:val="auto"/>
                <w:sz w:val="21"/>
                <w:szCs w:val="21"/>
                <w:lang w:val="en-US" w:eastAsia="zh-CN"/>
              </w:rPr>
              <w:t>A</w:t>
            </w:r>
            <w:r>
              <w:rPr>
                <w:rFonts w:hint="default" w:ascii="Times New Roman" w:hAnsi="Times New Roman" w:cs="Times New Roman"/>
                <w:color w:val="auto"/>
                <w:sz w:val="21"/>
                <w:szCs w:val="21"/>
              </w:rPr>
              <w:t>类标准</w:t>
            </w:r>
            <w:r>
              <w:rPr>
                <w:rFonts w:hint="default" w:ascii="Times New Roman" w:hAnsi="Times New Roman" w:cs="Times New Roman"/>
                <w:color w:val="auto"/>
                <w:sz w:val="21"/>
                <w:szCs w:val="21"/>
                <w:lang w:eastAsia="zh-CN"/>
              </w:rPr>
              <w:t>、</w:t>
            </w:r>
            <w:r>
              <w:rPr>
                <w:rFonts w:hint="default" w:ascii="Times New Roman" w:hAnsi="Times New Roman" w:cs="Times New Roman"/>
                <w:color w:val="auto"/>
                <w:sz w:val="21"/>
                <w:szCs w:val="21"/>
              </w:rPr>
              <w:t>广东省地方标准《水污染物排放限值》（DB44/26-2001）第二时段一级标准</w:t>
            </w:r>
            <w:r>
              <w:rPr>
                <w:rFonts w:hint="default" w:ascii="Times New Roman" w:hAnsi="Times New Roman" w:cs="Times New Roman"/>
                <w:color w:val="auto"/>
                <w:sz w:val="21"/>
                <w:szCs w:val="21"/>
                <w:lang w:val="en-US" w:eastAsia="zh-CN"/>
              </w:rPr>
              <w:t>两</w:t>
            </w:r>
            <w:r>
              <w:rPr>
                <w:rFonts w:hint="default" w:ascii="Times New Roman" w:hAnsi="Times New Roman" w:eastAsia="宋体" w:cs="Times New Roman"/>
                <w:color w:val="auto"/>
                <w:sz w:val="21"/>
                <w:szCs w:val="21"/>
              </w:rPr>
              <w:t>者的较严</w:t>
            </w:r>
            <w:r>
              <w:rPr>
                <w:rFonts w:hint="default" w:ascii="Times New Roman" w:hAnsi="Times New Roman" w:cs="Times New Roman"/>
                <w:color w:val="auto"/>
                <w:sz w:val="21"/>
                <w:szCs w:val="21"/>
              </w:rPr>
              <w:t>值（其中氨氮、总磷指标优于《地表水环境质量标准》（GB3838-2002）Ⅴ类标准）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1310"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声环境</w:t>
            </w:r>
          </w:p>
        </w:tc>
        <w:tc>
          <w:tcPr>
            <w:tcW w:w="1290"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rPr>
              <w:t>生产设备</w:t>
            </w:r>
          </w:p>
        </w:tc>
        <w:tc>
          <w:tcPr>
            <w:tcW w:w="1275"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rPr>
              <w:t>机械噪声</w:t>
            </w:r>
          </w:p>
        </w:tc>
        <w:tc>
          <w:tcPr>
            <w:tcW w:w="1335"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减振、隔声、消声处理</w:t>
            </w:r>
          </w:p>
        </w:tc>
        <w:tc>
          <w:tcPr>
            <w:tcW w:w="3736" w:type="dxa"/>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《工业企业厂界环境噪声排放标准》（GB12348-2008）</w:t>
            </w: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类标准要求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10"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电磁辐射</w:t>
            </w:r>
          </w:p>
        </w:tc>
        <w:tc>
          <w:tcPr>
            <w:tcW w:w="7636" w:type="dxa"/>
            <w:gridSpan w:val="4"/>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1310"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固体废物</w:t>
            </w:r>
          </w:p>
        </w:tc>
        <w:tc>
          <w:tcPr>
            <w:tcW w:w="7636" w:type="dxa"/>
            <w:gridSpan w:val="4"/>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default" w:ascii="Times New Roman" w:hAnsi="Times New Roman" w:eastAsia="宋体" w:cs="Times New Roman"/>
                <w:bCs/>
                <w:color w:val="auto"/>
                <w:kern w:val="0"/>
                <w:sz w:val="21"/>
                <w:szCs w:val="21"/>
              </w:rPr>
              <w:t>一般工业固体废物的贮存场所应满足防渗漏、防雨淋、防扬尘的要求</w:t>
            </w:r>
            <w:r>
              <w:rPr>
                <w:rFonts w:hint="default" w:ascii="Times New Roman" w:hAnsi="Times New Roman" w:cs="Times New Roman"/>
                <w:color w:val="auto"/>
                <w:sz w:val="21"/>
                <w:szCs w:val="21"/>
              </w:rPr>
              <w:t>；危险废物交有</w:t>
            </w:r>
            <w:r>
              <w:rPr>
                <w:rFonts w:hint="default" w:ascii="Times New Roman" w:hAnsi="Times New Roman" w:cs="Times New Roman"/>
                <w:color w:val="auto"/>
                <w:lang w:val="en-US" w:eastAsia="zh-CN"/>
              </w:rPr>
              <w:t>危险废物</w:t>
            </w:r>
            <w:r>
              <w:rPr>
                <w:rFonts w:hint="default" w:ascii="Times New Roman" w:hAnsi="Times New Roman" w:cs="Times New Roman"/>
                <w:color w:val="auto"/>
                <w:sz w:val="21"/>
                <w:szCs w:val="21"/>
              </w:rPr>
              <w:t>资质的单位处理</w:t>
            </w:r>
            <w:r>
              <w:rPr>
                <w:rFonts w:hint="default" w:ascii="Times New Roman" w:hAnsi="Times New Roman" w:cs="Times New Roman"/>
                <w:bCs/>
                <w:color w:val="auto"/>
                <w:kern w:val="0"/>
                <w:sz w:val="21"/>
                <w:szCs w:val="21"/>
              </w:rPr>
              <w:t>；</w:t>
            </w:r>
            <w:r>
              <w:rPr>
                <w:rFonts w:hint="default" w:ascii="Times New Roman" w:hAnsi="Times New Roman" w:cs="Times New Roman"/>
                <w:color w:val="auto"/>
                <w:sz w:val="21"/>
                <w:szCs w:val="21"/>
              </w:rPr>
              <w:t>生活垃圾交给环卫部门处理。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3" w:hRule="atLeast"/>
          <w:jc w:val="center"/>
        </w:trPr>
        <w:tc>
          <w:tcPr>
            <w:tcW w:w="1310"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土壤及地下水污染防治措施</w:t>
            </w:r>
          </w:p>
        </w:tc>
        <w:tc>
          <w:tcPr>
            <w:tcW w:w="7636" w:type="dxa"/>
            <w:gridSpan w:val="4"/>
            <w:noWrap w:val="0"/>
            <w:vAlign w:val="center"/>
          </w:tcPr>
          <w:p>
            <w:pPr>
              <w:pStyle w:val="49"/>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生产车间及危废间地面做好防渗、防流失工作；危险废物的收集、贮存、运输等过程严格按危险废物管理规定管理，交由有相关资质的单位处置；加强对产污环节的废气进行收集，减少无组织排放。</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310" w:type="dxa"/>
            <w:noWrap w:val="0"/>
            <w:vAlign w:val="center"/>
          </w:tcPr>
          <w:p>
            <w:pPr>
              <w:adjustRightInd w:val="0"/>
              <w:snapToGrid w:val="0"/>
              <w:jc w:val="center"/>
              <w:rPr>
                <w:rFonts w:hint="default" w:ascii="Times New Roman" w:hAnsi="Times New Roman" w:cs="Times New Roman"/>
                <w:b/>
                <w:bCs/>
                <w:color w:val="auto"/>
                <w:szCs w:val="21"/>
              </w:rPr>
            </w:pPr>
            <w:r>
              <w:rPr>
                <w:rFonts w:hint="default" w:ascii="Times New Roman" w:hAnsi="Times New Roman" w:cs="Times New Roman"/>
                <w:b/>
                <w:bCs/>
                <w:color w:val="auto"/>
                <w:szCs w:val="21"/>
              </w:rPr>
              <w:t>生态保护措施</w:t>
            </w:r>
          </w:p>
        </w:tc>
        <w:tc>
          <w:tcPr>
            <w:tcW w:w="7636" w:type="dxa"/>
            <w:gridSpan w:val="4"/>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310" w:type="dxa"/>
            <w:noWrap w:val="0"/>
            <w:vAlign w:val="center"/>
          </w:tcPr>
          <w:p>
            <w:pPr>
              <w:adjustRightInd w:val="0"/>
              <w:snapToGrid w:val="0"/>
              <w:jc w:val="center"/>
              <w:rPr>
                <w:rFonts w:hint="default" w:ascii="Times New Roman" w:hAnsi="Times New Roman" w:cs="Times New Roman"/>
                <w:b/>
                <w:bCs/>
                <w:color w:val="auto"/>
                <w:spacing w:val="-8"/>
                <w:szCs w:val="21"/>
              </w:rPr>
            </w:pPr>
            <w:r>
              <w:rPr>
                <w:rFonts w:hint="default" w:ascii="Times New Roman" w:hAnsi="Times New Roman" w:cs="Times New Roman"/>
                <w:b/>
                <w:bCs/>
                <w:color w:val="auto"/>
                <w:spacing w:val="-8"/>
                <w:szCs w:val="21"/>
              </w:rPr>
              <w:t>环境风险防范措施</w:t>
            </w:r>
          </w:p>
        </w:tc>
        <w:tc>
          <w:tcPr>
            <w:tcW w:w="7636" w:type="dxa"/>
            <w:gridSpan w:val="4"/>
            <w:noWrap w:val="0"/>
            <w:vAlign w:val="center"/>
          </w:tcPr>
          <w:p>
            <w:pPr>
              <w:keepNext w:val="0"/>
              <w:keepLines w:val="0"/>
              <w:pageBreakBefore w:val="0"/>
              <w:kinsoku/>
              <w:wordWrap/>
              <w:overflowPunct/>
              <w:topLinePunct w:val="0"/>
              <w:bidi w:val="0"/>
              <w:adjustRightInd w:val="0"/>
              <w:snapToGrid w:val="0"/>
              <w:spacing w:line="360" w:lineRule="exact"/>
              <w:jc w:val="center"/>
              <w:textAlignment w:val="auto"/>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严格本环评要求的火灾风险防范措施、废气处理系统故障的预防措施、泄漏事故防范措施。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310" w:type="dxa"/>
            <w:noWrap w:val="0"/>
            <w:vAlign w:val="center"/>
          </w:tcPr>
          <w:p>
            <w:pPr>
              <w:adjustRightInd w:val="0"/>
              <w:snapToGrid w:val="0"/>
              <w:jc w:val="center"/>
              <w:rPr>
                <w:rFonts w:hint="default" w:ascii="Times New Roman" w:hAnsi="Times New Roman" w:cs="Times New Roman"/>
                <w:b/>
                <w:bCs/>
                <w:color w:val="auto"/>
                <w:spacing w:val="-8"/>
                <w:szCs w:val="21"/>
              </w:rPr>
            </w:pPr>
            <w:r>
              <w:rPr>
                <w:rFonts w:hint="default" w:ascii="Times New Roman" w:hAnsi="Times New Roman" w:cs="Times New Roman"/>
                <w:b/>
                <w:bCs/>
                <w:color w:val="auto"/>
                <w:spacing w:val="-8"/>
                <w:szCs w:val="21"/>
              </w:rPr>
              <w:t>其他环境管理要求</w:t>
            </w:r>
          </w:p>
        </w:tc>
        <w:tc>
          <w:tcPr>
            <w:tcW w:w="7636" w:type="dxa"/>
            <w:gridSpan w:val="4"/>
            <w:noWrap w:val="0"/>
            <w:vAlign w:val="center"/>
          </w:tcPr>
          <w:p>
            <w:pPr>
              <w:adjustRightInd w:val="0"/>
              <w:snapToGrid w:val="0"/>
              <w:spacing w:before="120" w:beforeLines="50" w:line="360" w:lineRule="auto"/>
              <w:ind w:firstLine="422" w:firstLineChars="200"/>
              <w:jc w:val="left"/>
              <w:rPr>
                <w:rFonts w:hint="default" w:ascii="Times New Roman" w:hAnsi="Times New Roman" w:cs="Times New Roman"/>
                <w:color w:val="auto"/>
                <w:sz w:val="21"/>
                <w:szCs w:val="21"/>
              </w:rPr>
            </w:pPr>
            <w:r>
              <w:rPr>
                <w:rFonts w:hint="default" w:ascii="Times New Roman" w:hAnsi="Times New Roman" w:cs="Times New Roman"/>
                <w:b/>
                <w:bCs/>
                <w:color w:val="auto"/>
                <w:sz w:val="21"/>
                <w:szCs w:val="21"/>
              </w:rPr>
              <w:t>与排污许可</w:t>
            </w:r>
            <w:r>
              <w:rPr>
                <w:rFonts w:hint="default" w:ascii="Times New Roman" w:hAnsi="Times New Roman" w:cs="Times New Roman"/>
                <w:b/>
                <w:bCs/>
                <w:color w:val="auto"/>
                <w:sz w:val="21"/>
                <w:szCs w:val="21"/>
                <w:lang w:eastAsia="zh-CN"/>
              </w:rPr>
              <w:t>制度</w:t>
            </w:r>
            <w:r>
              <w:rPr>
                <w:rFonts w:hint="default" w:ascii="Times New Roman" w:hAnsi="Times New Roman" w:cs="Times New Roman"/>
                <w:b/>
                <w:bCs/>
                <w:color w:val="auto"/>
                <w:sz w:val="21"/>
                <w:szCs w:val="21"/>
              </w:rPr>
              <w:t>衔接相关工作</w:t>
            </w:r>
            <w:r>
              <w:rPr>
                <w:rFonts w:hint="default" w:ascii="Times New Roman" w:hAnsi="Times New Roman" w:cs="Times New Roman"/>
                <w:color w:val="auto"/>
                <w:sz w:val="21"/>
                <w:szCs w:val="21"/>
              </w:rPr>
              <w:t xml:space="preserve"> </w:t>
            </w:r>
          </w:p>
          <w:p>
            <w:pPr>
              <w:adjustRightInd w:val="0"/>
              <w:snapToGrid w:val="0"/>
              <w:spacing w:line="360" w:lineRule="auto"/>
              <w:ind w:firstLine="420" w:firstLineChars="200"/>
              <w:jc w:val="left"/>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根据《建设项目环境影响评价分类管理名录》（2021年版），项目属于“</w:t>
            </w:r>
            <w:r>
              <w:rPr>
                <w:rFonts w:hint="default" w:ascii="Times New Roman" w:hAnsi="Times New Roman" w:cs="Times New Roman"/>
                <w:color w:val="auto"/>
                <w:sz w:val="21"/>
                <w:szCs w:val="21"/>
                <w:lang w:val="en-US" w:eastAsia="zh-CN"/>
              </w:rPr>
              <w:t>77 电池制造384-其他</w:t>
            </w:r>
            <w:r>
              <w:rPr>
                <w:rFonts w:hint="default" w:ascii="Times New Roman" w:hAnsi="Times New Roman" w:cs="Times New Roman"/>
                <w:color w:val="auto"/>
                <w:sz w:val="21"/>
                <w:szCs w:val="21"/>
              </w:rPr>
              <w:t>”类别，需编制环境影响报告表；按照《固定污染源排污许可分类管理名录（2019年版）》以及《国民经济行业分类》（</w:t>
            </w:r>
            <w:r>
              <w:rPr>
                <w:rFonts w:hint="default" w:ascii="Times New Roman" w:hAnsi="Times New Roman" w:cs="Times New Roman"/>
                <w:color w:val="auto"/>
                <w:sz w:val="21"/>
                <w:szCs w:val="21"/>
                <w:lang w:eastAsia="zh-CN"/>
              </w:rPr>
              <w:t>GB/T 4754-2017</w:t>
            </w:r>
            <w:r>
              <w:rPr>
                <w:rFonts w:hint="default" w:ascii="Times New Roman" w:hAnsi="Times New Roman" w:cs="Times New Roman"/>
                <w:color w:val="auto"/>
                <w:sz w:val="21"/>
                <w:szCs w:val="21"/>
              </w:rPr>
              <w:t>），本项目行业类别属于排污</w:t>
            </w:r>
            <w:r>
              <w:rPr>
                <w:rFonts w:hint="default" w:ascii="Times New Roman" w:hAnsi="Times New Roman" w:cs="Times New Roman"/>
                <w:color w:val="auto"/>
                <w:sz w:val="21"/>
                <w:szCs w:val="21"/>
                <w:lang w:val="en-US" w:eastAsia="zh-CN"/>
              </w:rPr>
              <w:t>简化</w:t>
            </w:r>
            <w:r>
              <w:rPr>
                <w:rFonts w:hint="default" w:ascii="Times New Roman" w:hAnsi="Times New Roman" w:cs="Times New Roman"/>
                <w:color w:val="auto"/>
                <w:sz w:val="21"/>
                <w:szCs w:val="21"/>
              </w:rPr>
              <w:t>管理类别，建设单位环评审批完成后应该及时按照要求进行国家排污许可证申请工作。</w:t>
            </w:r>
          </w:p>
        </w:tc>
      </w:tr>
    </w:tbl>
    <w:p>
      <w:pPr>
        <w:pStyle w:val="27"/>
        <w:jc w:val="center"/>
        <w:outlineLvl w:val="0"/>
        <w:rPr>
          <w:rFonts w:hint="default" w:ascii="Times New Roman" w:hAnsi="Times New Roman" w:eastAsia="黑体" w:cs="Times New Roman"/>
          <w:snapToGrid w:val="0"/>
          <w:color w:val="auto"/>
          <w:sz w:val="30"/>
          <w:szCs w:val="30"/>
        </w:rPr>
      </w:pPr>
      <w:r>
        <w:rPr>
          <w:rFonts w:hint="default" w:ascii="Times New Roman" w:hAnsi="Times New Roman" w:cs="Times New Roman"/>
          <w:snapToGrid w:val="0"/>
          <w:color w:val="auto"/>
        </w:rPr>
        <w:br w:type="page"/>
      </w:r>
      <w:r>
        <w:rPr>
          <w:rFonts w:hint="default" w:ascii="Times New Roman" w:hAnsi="Times New Roman" w:eastAsia="黑体" w:cs="Times New Roman"/>
          <w:snapToGrid w:val="0"/>
          <w:color w:val="auto"/>
          <w:sz w:val="30"/>
          <w:szCs w:val="30"/>
        </w:rPr>
        <w:t>六、结论</w:t>
      </w: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noWrap w:val="0"/>
            <w:vAlign w:val="center"/>
          </w:tcPr>
          <w:p>
            <w:pPr>
              <w:adjustRightInd w:val="0"/>
              <w:snapToGrid w:val="0"/>
              <w:spacing w:before="120" w:beforeLines="50" w:line="360" w:lineRule="auto"/>
              <w:ind w:firstLine="480" w:firstLineChars="200"/>
              <w:jc w:val="both"/>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综上所述，本项目符合国家产业政策和区域发展规划，用地合法、选址合理。建设项目应认真执行环保“三同时”管理规定，对可能影响环境的污染因素按环评要求采取合理、有效的处理措施后，可保证生产过程产生的废气、废水和噪声等达标排放，固废经</w:t>
            </w:r>
            <w:r>
              <w:rPr>
                <w:rFonts w:hint="default" w:ascii="Times New Roman" w:hAnsi="Times New Roman" w:cs="Times New Roman"/>
                <w:color w:val="auto"/>
                <w:sz w:val="24"/>
                <w:szCs w:val="24"/>
                <w:lang w:eastAsia="zh-CN"/>
              </w:rPr>
              <w:t>妥善地处理</w:t>
            </w:r>
            <w:r>
              <w:rPr>
                <w:rFonts w:hint="default" w:ascii="Times New Roman" w:hAnsi="Times New Roman" w:cs="Times New Roman"/>
                <w:color w:val="auto"/>
                <w:sz w:val="24"/>
                <w:szCs w:val="24"/>
              </w:rPr>
              <w:t>，可把对环境的影响控制在最低的程度，同时经过加强管理和落实风险防范措施后，发生风险的概率较小，项目的建设不至于对周围环境产生明显的影响。项目建设单位应认真落实本次环评提出的各项环保措施，并按照环境行政主管部门的要求，在贯彻落实国家和广东省制定的有关环保法律、法规的基础上，</w:t>
            </w:r>
            <w:r>
              <w:rPr>
                <w:rFonts w:hint="default" w:ascii="Times New Roman" w:hAnsi="Times New Roman" w:cs="Times New Roman"/>
                <w:b/>
                <w:bCs/>
                <w:color w:val="auto"/>
                <w:sz w:val="24"/>
                <w:szCs w:val="24"/>
              </w:rPr>
              <w:t>从环境保护的角度来看，项目建设是可行的。</w:t>
            </w:r>
          </w:p>
          <w:p>
            <w:pPr>
              <w:spacing w:line="360" w:lineRule="auto"/>
              <w:jc w:val="center"/>
              <w:rPr>
                <w:rFonts w:hint="default" w:ascii="Times New Roman" w:hAnsi="Times New Roman" w:cs="Times New Roman"/>
                <w:color w:val="auto"/>
                <w:sz w:val="24"/>
              </w:rPr>
            </w:pPr>
          </w:p>
        </w:tc>
      </w:tr>
    </w:tbl>
    <w:p>
      <w:pPr>
        <w:rPr>
          <w:rFonts w:hint="default" w:ascii="Times New Roman" w:hAnsi="Times New Roman" w:cs="Times New Roman"/>
          <w:color w:val="auto"/>
        </w:rPr>
        <w:sectPr>
          <w:pgSz w:w="11906" w:h="16838"/>
          <w:pgMar w:top="1701" w:right="1531" w:bottom="1701" w:left="1531"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27"/>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textAlignment w:val="auto"/>
        <w:outlineLvl w:val="0"/>
        <w:rPr>
          <w:rFonts w:hint="default" w:ascii="Times New Roman" w:hAnsi="Times New Roman" w:eastAsia="黑体" w:cs="Times New Roman"/>
          <w:snapToGrid w:val="0"/>
          <w:color w:val="auto"/>
          <w:sz w:val="32"/>
          <w:szCs w:val="32"/>
        </w:rPr>
      </w:pPr>
      <w:r>
        <w:rPr>
          <w:rFonts w:hint="default" w:ascii="Times New Roman" w:hAnsi="Times New Roman" w:eastAsia="黑体" w:cs="Times New Roman"/>
          <w:snapToGrid w:val="0"/>
          <w:color w:val="auto"/>
          <w:sz w:val="32"/>
          <w:szCs w:val="32"/>
        </w:rPr>
        <w:t>附表</w:t>
      </w:r>
    </w:p>
    <w:p>
      <w:pPr>
        <w:pStyle w:val="27"/>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jc w:val="center"/>
        <w:textAlignment w:val="auto"/>
        <w:outlineLvl w:val="0"/>
        <w:rPr>
          <w:rFonts w:hint="default" w:ascii="Times New Roman" w:hAnsi="Times New Roman" w:eastAsia="方正小标宋_GBK" w:cs="Times New Roman"/>
          <w:snapToGrid w:val="0"/>
          <w:color w:val="auto"/>
          <w:sz w:val="38"/>
          <w:szCs w:val="38"/>
        </w:rPr>
      </w:pPr>
      <w:r>
        <w:rPr>
          <w:rFonts w:hint="default" w:ascii="Times New Roman" w:hAnsi="Times New Roman" w:eastAsia="方正小标宋_GBK" w:cs="Times New Roman"/>
          <w:snapToGrid w:val="0"/>
          <w:color w:val="auto"/>
          <w:sz w:val="38"/>
          <w:szCs w:val="38"/>
        </w:rPr>
        <w:t>建设项目污染物排放量汇总表（单位：t/a）</w:t>
      </w:r>
    </w:p>
    <w:tbl>
      <w:tblPr>
        <w:tblStyle w:val="32"/>
        <w:tblW w:w="4998"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17"/>
        <w:gridCol w:w="1957"/>
        <w:gridCol w:w="1415"/>
        <w:gridCol w:w="1391"/>
        <w:gridCol w:w="1450"/>
        <w:gridCol w:w="1488"/>
        <w:gridCol w:w="1682"/>
        <w:gridCol w:w="1742"/>
        <w:gridCol w:w="124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 w:type="pct"/>
            <w:tcBorders>
              <w:tl2br w:val="single" w:color="auto" w:sz="4" w:space="0"/>
            </w:tcBorders>
            <w:noWrap w:val="0"/>
            <w:tcMar>
              <w:left w:w="28" w:type="dxa"/>
              <w:right w:w="28" w:type="dxa"/>
            </w:tcMar>
            <w:vAlign w:val="center"/>
          </w:tcPr>
          <w:p>
            <w:pPr>
              <w:pStyle w:val="56"/>
              <w:spacing w:beforeLines="0" w:afterLines="0" w:line="240" w:lineRule="auto"/>
              <w:jc w:val="right"/>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项目</w:t>
            </w:r>
          </w:p>
          <w:p>
            <w:pPr>
              <w:pStyle w:val="56"/>
              <w:spacing w:beforeLines="0" w:afterLines="0" w:line="240" w:lineRule="auto"/>
              <w:jc w:val="left"/>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分类</w:t>
            </w:r>
          </w:p>
        </w:tc>
        <w:tc>
          <w:tcPr>
            <w:tcW w:w="725" w:type="pct"/>
            <w:noWrap w:val="0"/>
            <w:tcMar>
              <w:left w:w="28" w:type="dxa"/>
              <w:right w:w="28" w:type="dxa"/>
            </w:tcMar>
            <w:vAlign w:val="center"/>
          </w:tcPr>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污染物名称</w:t>
            </w:r>
          </w:p>
        </w:tc>
        <w:tc>
          <w:tcPr>
            <w:tcW w:w="524" w:type="pct"/>
            <w:noWrap w:val="0"/>
            <w:tcMar>
              <w:left w:w="28" w:type="dxa"/>
              <w:right w:w="28" w:type="dxa"/>
            </w:tcMar>
            <w:vAlign w:val="center"/>
          </w:tcPr>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现有工程</w:t>
            </w:r>
          </w:p>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排放量（固体废物产生量）</w:t>
            </w:r>
            <w:r>
              <w:rPr>
                <w:rFonts w:hint="default" w:ascii="Times New Roman" w:hAnsi="Times New Roman" w:eastAsia="黑体" w:cs="Times New Roman"/>
                <w:snapToGrid w:val="0"/>
                <w:color w:val="auto"/>
                <w:spacing w:val="-6"/>
                <w:kern w:val="21"/>
                <w:szCs w:val="21"/>
                <w:lang w:val="en-US" w:eastAsia="zh-CN"/>
              </w:rPr>
              <w:fldChar w:fldCharType="begin"/>
            </w:r>
            <w:r>
              <w:rPr>
                <w:rFonts w:hint="default" w:ascii="Times New Roman" w:hAnsi="Times New Roman" w:eastAsia="黑体" w:cs="Times New Roman"/>
                <w:snapToGrid w:val="0"/>
                <w:color w:val="auto"/>
                <w:spacing w:val="-6"/>
                <w:kern w:val="21"/>
                <w:szCs w:val="21"/>
                <w:lang w:val="en-US" w:eastAsia="zh-CN"/>
              </w:rPr>
              <w:instrText xml:space="preserve"> = 1 \* GB3 \* MERGEFORMAT </w:instrText>
            </w:r>
            <w:r>
              <w:rPr>
                <w:rFonts w:hint="default" w:ascii="Times New Roman" w:hAnsi="Times New Roman" w:eastAsia="黑体" w:cs="Times New Roman"/>
                <w:snapToGrid w:val="0"/>
                <w:color w:val="auto"/>
                <w:spacing w:val="-6"/>
                <w:kern w:val="21"/>
                <w:szCs w:val="21"/>
                <w:lang w:val="en-US" w:eastAsia="zh-CN"/>
              </w:rPr>
              <w:fldChar w:fldCharType="separate"/>
            </w:r>
            <w:r>
              <w:rPr>
                <w:rFonts w:hint="default" w:ascii="Times New Roman" w:hAnsi="Times New Roman" w:eastAsia="黑体" w:cs="Times New Roman"/>
                <w:color w:val="auto"/>
                <w:kern w:val="2"/>
                <w:szCs w:val="21"/>
                <w:lang w:val="en-US" w:eastAsia="zh-CN"/>
              </w:rPr>
              <w:t>①</w:t>
            </w:r>
            <w:r>
              <w:rPr>
                <w:rFonts w:hint="default" w:ascii="Times New Roman" w:hAnsi="Times New Roman" w:eastAsia="黑体" w:cs="Times New Roman"/>
                <w:snapToGrid w:val="0"/>
                <w:color w:val="auto"/>
                <w:spacing w:val="-6"/>
                <w:kern w:val="21"/>
                <w:szCs w:val="21"/>
                <w:lang w:val="en-US" w:eastAsia="zh-CN"/>
              </w:rPr>
              <w:fldChar w:fldCharType="end"/>
            </w:r>
          </w:p>
        </w:tc>
        <w:tc>
          <w:tcPr>
            <w:tcW w:w="515" w:type="pct"/>
            <w:noWrap w:val="0"/>
            <w:tcMar>
              <w:left w:w="28" w:type="dxa"/>
              <w:right w:w="28" w:type="dxa"/>
            </w:tcMar>
            <w:vAlign w:val="center"/>
          </w:tcPr>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现有工程</w:t>
            </w:r>
          </w:p>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许可排放量</w:t>
            </w:r>
          </w:p>
          <w:p>
            <w:pPr>
              <w:pStyle w:val="56"/>
              <w:spacing w:beforeLines="0" w:afterLines="0"/>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fldChar w:fldCharType="begin"/>
            </w:r>
            <w:r>
              <w:rPr>
                <w:rFonts w:hint="default" w:ascii="Times New Roman" w:hAnsi="Times New Roman" w:eastAsia="黑体" w:cs="Times New Roman"/>
                <w:snapToGrid w:val="0"/>
                <w:color w:val="auto"/>
                <w:spacing w:val="-6"/>
                <w:kern w:val="21"/>
                <w:szCs w:val="21"/>
                <w:lang w:val="en-US" w:eastAsia="zh-CN"/>
              </w:rPr>
              <w:instrText xml:space="preserve"> = 2 \* GB3 \* MERGEFORMAT </w:instrText>
            </w:r>
            <w:r>
              <w:rPr>
                <w:rFonts w:hint="default" w:ascii="Times New Roman" w:hAnsi="Times New Roman" w:eastAsia="黑体" w:cs="Times New Roman"/>
                <w:snapToGrid w:val="0"/>
                <w:color w:val="auto"/>
                <w:spacing w:val="-6"/>
                <w:kern w:val="21"/>
                <w:szCs w:val="21"/>
                <w:lang w:val="en-US" w:eastAsia="zh-CN"/>
              </w:rPr>
              <w:fldChar w:fldCharType="separate"/>
            </w:r>
            <w:r>
              <w:rPr>
                <w:rFonts w:hint="default" w:ascii="Times New Roman" w:hAnsi="Times New Roman" w:eastAsia="黑体" w:cs="Times New Roman"/>
                <w:snapToGrid w:val="0"/>
                <w:color w:val="auto"/>
                <w:spacing w:val="-6"/>
                <w:kern w:val="21"/>
                <w:szCs w:val="21"/>
                <w:lang w:val="en-US" w:eastAsia="zh-CN"/>
              </w:rPr>
              <w:t>②</w:t>
            </w:r>
            <w:r>
              <w:rPr>
                <w:rFonts w:hint="default" w:ascii="Times New Roman" w:hAnsi="Times New Roman" w:eastAsia="黑体" w:cs="Times New Roman"/>
                <w:snapToGrid w:val="0"/>
                <w:color w:val="auto"/>
                <w:spacing w:val="-6"/>
                <w:kern w:val="21"/>
                <w:szCs w:val="21"/>
                <w:lang w:val="en-US" w:eastAsia="zh-CN"/>
              </w:rPr>
              <w:fldChar w:fldCharType="end"/>
            </w:r>
          </w:p>
        </w:tc>
        <w:tc>
          <w:tcPr>
            <w:tcW w:w="537" w:type="pct"/>
            <w:noWrap w:val="0"/>
            <w:tcMar>
              <w:left w:w="28" w:type="dxa"/>
              <w:right w:w="28" w:type="dxa"/>
            </w:tcMar>
            <w:vAlign w:val="center"/>
          </w:tcPr>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在建工程</w:t>
            </w:r>
          </w:p>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排放量（固体废物产生量）</w:t>
            </w:r>
            <w:r>
              <w:rPr>
                <w:rFonts w:hint="default" w:ascii="Times New Roman" w:hAnsi="Times New Roman" w:eastAsia="黑体" w:cs="Times New Roman"/>
                <w:snapToGrid w:val="0"/>
                <w:color w:val="auto"/>
                <w:spacing w:val="-6"/>
                <w:kern w:val="21"/>
                <w:szCs w:val="21"/>
                <w:lang w:val="en-US" w:eastAsia="zh-CN"/>
              </w:rPr>
              <w:fldChar w:fldCharType="begin"/>
            </w:r>
            <w:r>
              <w:rPr>
                <w:rFonts w:hint="default" w:ascii="Times New Roman" w:hAnsi="Times New Roman" w:eastAsia="黑体" w:cs="Times New Roman"/>
                <w:snapToGrid w:val="0"/>
                <w:color w:val="auto"/>
                <w:spacing w:val="-6"/>
                <w:kern w:val="21"/>
                <w:szCs w:val="21"/>
                <w:lang w:val="en-US" w:eastAsia="zh-CN"/>
              </w:rPr>
              <w:instrText xml:space="preserve"> = 3 \* GB3 \* MERGEFORMAT </w:instrText>
            </w:r>
            <w:r>
              <w:rPr>
                <w:rFonts w:hint="default" w:ascii="Times New Roman" w:hAnsi="Times New Roman" w:eastAsia="黑体" w:cs="Times New Roman"/>
                <w:snapToGrid w:val="0"/>
                <w:color w:val="auto"/>
                <w:spacing w:val="-6"/>
                <w:kern w:val="21"/>
                <w:szCs w:val="21"/>
                <w:lang w:val="en-US" w:eastAsia="zh-CN"/>
              </w:rPr>
              <w:fldChar w:fldCharType="separate"/>
            </w:r>
            <w:r>
              <w:rPr>
                <w:rFonts w:hint="default" w:ascii="Times New Roman" w:hAnsi="Times New Roman" w:eastAsia="黑体" w:cs="Times New Roman"/>
                <w:color w:val="auto"/>
                <w:kern w:val="2"/>
                <w:szCs w:val="21"/>
                <w:lang w:val="en-US" w:eastAsia="zh-CN"/>
              </w:rPr>
              <w:t>③</w:t>
            </w:r>
            <w:r>
              <w:rPr>
                <w:rFonts w:hint="default" w:ascii="Times New Roman" w:hAnsi="Times New Roman" w:eastAsia="黑体" w:cs="Times New Roman"/>
                <w:snapToGrid w:val="0"/>
                <w:color w:val="auto"/>
                <w:spacing w:val="-6"/>
                <w:kern w:val="21"/>
                <w:szCs w:val="21"/>
                <w:lang w:val="en-US" w:eastAsia="zh-CN"/>
              </w:rPr>
              <w:fldChar w:fldCharType="end"/>
            </w:r>
          </w:p>
        </w:tc>
        <w:tc>
          <w:tcPr>
            <w:tcW w:w="551" w:type="pct"/>
            <w:noWrap w:val="0"/>
            <w:tcMar>
              <w:left w:w="28" w:type="dxa"/>
              <w:right w:w="28" w:type="dxa"/>
            </w:tcMar>
            <w:vAlign w:val="center"/>
          </w:tcPr>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本项目</w:t>
            </w:r>
          </w:p>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排放量（固体废物产生量）</w:t>
            </w:r>
            <w:r>
              <w:rPr>
                <w:rFonts w:hint="default" w:ascii="Times New Roman" w:hAnsi="Times New Roman" w:eastAsia="黑体" w:cs="Times New Roman"/>
                <w:snapToGrid w:val="0"/>
                <w:color w:val="auto"/>
                <w:spacing w:val="-6"/>
                <w:kern w:val="21"/>
                <w:szCs w:val="21"/>
                <w:lang w:val="en-US" w:eastAsia="zh-CN"/>
              </w:rPr>
              <w:fldChar w:fldCharType="begin"/>
            </w:r>
            <w:r>
              <w:rPr>
                <w:rFonts w:hint="default" w:ascii="Times New Roman" w:hAnsi="Times New Roman" w:eastAsia="黑体" w:cs="Times New Roman"/>
                <w:snapToGrid w:val="0"/>
                <w:color w:val="auto"/>
                <w:spacing w:val="-6"/>
                <w:kern w:val="21"/>
                <w:szCs w:val="21"/>
                <w:lang w:val="en-US" w:eastAsia="zh-CN"/>
              </w:rPr>
              <w:instrText xml:space="preserve"> = 4 \* GB3 \* MERGEFORMAT </w:instrText>
            </w:r>
            <w:r>
              <w:rPr>
                <w:rFonts w:hint="default" w:ascii="Times New Roman" w:hAnsi="Times New Roman" w:eastAsia="黑体" w:cs="Times New Roman"/>
                <w:snapToGrid w:val="0"/>
                <w:color w:val="auto"/>
                <w:spacing w:val="-6"/>
                <w:kern w:val="21"/>
                <w:szCs w:val="21"/>
                <w:lang w:val="en-US" w:eastAsia="zh-CN"/>
              </w:rPr>
              <w:fldChar w:fldCharType="separate"/>
            </w:r>
            <w:r>
              <w:rPr>
                <w:rFonts w:hint="default" w:ascii="Times New Roman" w:hAnsi="Times New Roman" w:eastAsia="黑体" w:cs="Times New Roman"/>
                <w:color w:val="auto"/>
                <w:kern w:val="2"/>
                <w:szCs w:val="21"/>
                <w:lang w:val="en-US" w:eastAsia="zh-CN"/>
              </w:rPr>
              <w:t>④</w:t>
            </w:r>
            <w:r>
              <w:rPr>
                <w:rFonts w:hint="default" w:ascii="Times New Roman" w:hAnsi="Times New Roman" w:eastAsia="黑体" w:cs="Times New Roman"/>
                <w:snapToGrid w:val="0"/>
                <w:color w:val="auto"/>
                <w:spacing w:val="-6"/>
                <w:kern w:val="21"/>
                <w:szCs w:val="21"/>
                <w:lang w:val="en-US" w:eastAsia="zh-CN"/>
              </w:rPr>
              <w:fldChar w:fldCharType="end"/>
            </w:r>
          </w:p>
        </w:tc>
        <w:tc>
          <w:tcPr>
            <w:tcW w:w="623" w:type="pct"/>
            <w:noWrap w:val="0"/>
            <w:tcMar>
              <w:left w:w="28" w:type="dxa"/>
              <w:right w:w="28" w:type="dxa"/>
            </w:tcMar>
            <w:vAlign w:val="center"/>
          </w:tcPr>
          <w:p>
            <w:pPr>
              <w:pStyle w:val="56"/>
              <w:spacing w:beforeLines="0" w:afterLines="0" w:line="240" w:lineRule="auto"/>
              <w:rPr>
                <w:rFonts w:hint="default" w:ascii="Times New Roman" w:hAnsi="Times New Roman" w:eastAsia="黑体" w:cs="Times New Roman"/>
                <w:snapToGrid w:val="0"/>
                <w:color w:val="auto"/>
                <w:spacing w:val="-16"/>
                <w:kern w:val="21"/>
                <w:szCs w:val="21"/>
                <w:lang w:val="en-US" w:eastAsia="zh-CN"/>
              </w:rPr>
            </w:pPr>
            <w:r>
              <w:rPr>
                <w:rFonts w:hint="default" w:ascii="Times New Roman" w:hAnsi="Times New Roman" w:eastAsia="黑体" w:cs="Times New Roman"/>
                <w:snapToGrid w:val="0"/>
                <w:color w:val="auto"/>
                <w:spacing w:val="-16"/>
                <w:kern w:val="21"/>
                <w:szCs w:val="21"/>
                <w:lang w:val="en-US" w:eastAsia="zh-CN"/>
              </w:rPr>
              <w:t>以新带老削减量</w:t>
            </w:r>
          </w:p>
          <w:p>
            <w:pPr>
              <w:pStyle w:val="56"/>
              <w:spacing w:beforeLines="0" w:afterLines="0" w:line="240" w:lineRule="auto"/>
              <w:rPr>
                <w:rFonts w:hint="default" w:ascii="Times New Roman" w:hAnsi="Times New Roman" w:eastAsia="黑体" w:cs="Times New Roman"/>
                <w:snapToGrid w:val="0"/>
                <w:color w:val="auto"/>
                <w:spacing w:val="-16"/>
                <w:kern w:val="21"/>
                <w:szCs w:val="21"/>
                <w:lang w:val="en-US" w:eastAsia="zh-CN"/>
              </w:rPr>
            </w:pPr>
            <w:r>
              <w:rPr>
                <w:rFonts w:hint="default" w:ascii="Times New Roman" w:hAnsi="Times New Roman" w:eastAsia="黑体" w:cs="Times New Roman"/>
                <w:snapToGrid w:val="0"/>
                <w:color w:val="auto"/>
                <w:spacing w:val="-16"/>
                <w:kern w:val="21"/>
                <w:szCs w:val="21"/>
                <w:lang w:val="en-US" w:eastAsia="zh-CN"/>
              </w:rPr>
              <w:t>（新建项目不填）</w:t>
            </w:r>
            <w:r>
              <w:rPr>
                <w:rFonts w:hint="default" w:ascii="Times New Roman" w:hAnsi="Times New Roman" w:eastAsia="黑体" w:cs="Times New Roman"/>
                <w:snapToGrid w:val="0"/>
                <w:color w:val="auto"/>
                <w:spacing w:val="-16"/>
                <w:kern w:val="21"/>
                <w:szCs w:val="21"/>
                <w:lang w:val="en-US" w:eastAsia="zh-CN"/>
              </w:rPr>
              <w:fldChar w:fldCharType="begin"/>
            </w:r>
            <w:r>
              <w:rPr>
                <w:rFonts w:hint="default" w:ascii="Times New Roman" w:hAnsi="Times New Roman" w:eastAsia="黑体" w:cs="Times New Roman"/>
                <w:snapToGrid w:val="0"/>
                <w:color w:val="auto"/>
                <w:spacing w:val="-16"/>
                <w:kern w:val="21"/>
                <w:szCs w:val="21"/>
                <w:lang w:val="en-US" w:eastAsia="zh-CN"/>
              </w:rPr>
              <w:instrText xml:space="preserve"> = 5 \* GB3 \* MERGEFORMAT </w:instrText>
            </w:r>
            <w:r>
              <w:rPr>
                <w:rFonts w:hint="default" w:ascii="Times New Roman" w:hAnsi="Times New Roman" w:eastAsia="黑体" w:cs="Times New Roman"/>
                <w:snapToGrid w:val="0"/>
                <w:color w:val="auto"/>
                <w:spacing w:val="-16"/>
                <w:kern w:val="21"/>
                <w:szCs w:val="21"/>
                <w:lang w:val="en-US" w:eastAsia="zh-CN"/>
              </w:rPr>
              <w:fldChar w:fldCharType="separate"/>
            </w:r>
            <w:r>
              <w:rPr>
                <w:rFonts w:hint="default" w:ascii="Times New Roman" w:hAnsi="Times New Roman" w:eastAsia="黑体" w:cs="Times New Roman"/>
                <w:color w:val="auto"/>
                <w:kern w:val="2"/>
                <w:szCs w:val="21"/>
                <w:lang w:val="en-US" w:eastAsia="zh-CN"/>
              </w:rPr>
              <w:t>⑤</w:t>
            </w:r>
            <w:r>
              <w:rPr>
                <w:rFonts w:hint="default" w:ascii="Times New Roman" w:hAnsi="Times New Roman" w:eastAsia="黑体" w:cs="Times New Roman"/>
                <w:snapToGrid w:val="0"/>
                <w:color w:val="auto"/>
                <w:spacing w:val="-16"/>
                <w:kern w:val="21"/>
                <w:szCs w:val="21"/>
                <w:lang w:val="en-US" w:eastAsia="zh-CN"/>
              </w:rPr>
              <w:fldChar w:fldCharType="end"/>
            </w:r>
          </w:p>
        </w:tc>
        <w:tc>
          <w:tcPr>
            <w:tcW w:w="645" w:type="pct"/>
            <w:noWrap w:val="0"/>
            <w:tcMar>
              <w:left w:w="28" w:type="dxa"/>
              <w:right w:w="28" w:type="dxa"/>
            </w:tcMar>
            <w:vAlign w:val="center"/>
          </w:tcPr>
          <w:p>
            <w:pPr>
              <w:pStyle w:val="56"/>
              <w:spacing w:beforeLines="0" w:afterLines="0" w:line="240" w:lineRule="auto"/>
              <w:rPr>
                <w:rFonts w:hint="default" w:ascii="Times New Roman" w:hAnsi="Times New Roman" w:eastAsia="黑体" w:cs="Times New Roman"/>
                <w:snapToGrid w:val="0"/>
                <w:color w:val="auto"/>
                <w:spacing w:val="-16"/>
                <w:kern w:val="21"/>
                <w:szCs w:val="21"/>
                <w:lang w:val="en-US" w:eastAsia="zh-CN"/>
              </w:rPr>
            </w:pPr>
            <w:r>
              <w:rPr>
                <w:rFonts w:hint="default" w:ascii="Times New Roman" w:hAnsi="Times New Roman" w:eastAsia="黑体" w:cs="Times New Roman"/>
                <w:snapToGrid w:val="0"/>
                <w:color w:val="auto"/>
                <w:spacing w:val="-16"/>
                <w:kern w:val="21"/>
                <w:szCs w:val="21"/>
                <w:lang w:val="en-US" w:eastAsia="zh-CN"/>
              </w:rPr>
              <w:t>本项目建成后</w:t>
            </w:r>
          </w:p>
          <w:p>
            <w:pPr>
              <w:pStyle w:val="56"/>
              <w:spacing w:beforeLines="0" w:afterLines="0" w:line="240" w:lineRule="auto"/>
              <w:rPr>
                <w:rFonts w:hint="default" w:ascii="Times New Roman" w:hAnsi="Times New Roman" w:eastAsia="黑体" w:cs="Times New Roman"/>
                <w:snapToGrid w:val="0"/>
                <w:color w:val="auto"/>
                <w:spacing w:val="-16"/>
                <w:kern w:val="21"/>
                <w:szCs w:val="21"/>
                <w:lang w:val="en-US" w:eastAsia="zh-CN"/>
              </w:rPr>
            </w:pPr>
            <w:r>
              <w:rPr>
                <w:rFonts w:hint="default" w:ascii="Times New Roman" w:hAnsi="Times New Roman" w:eastAsia="黑体" w:cs="Times New Roman"/>
                <w:snapToGrid w:val="0"/>
                <w:color w:val="auto"/>
                <w:spacing w:val="-16"/>
                <w:kern w:val="21"/>
                <w:szCs w:val="21"/>
                <w:lang w:val="en-US" w:eastAsia="zh-CN"/>
              </w:rPr>
              <w:t>全厂排放量（固体废物产生量）</w:t>
            </w:r>
            <w:r>
              <w:rPr>
                <w:rFonts w:hint="default" w:ascii="Times New Roman" w:hAnsi="Times New Roman" w:eastAsia="黑体" w:cs="Times New Roman"/>
                <w:snapToGrid w:val="0"/>
                <w:color w:val="auto"/>
                <w:spacing w:val="-16"/>
                <w:kern w:val="21"/>
                <w:szCs w:val="21"/>
                <w:lang w:val="en-US" w:eastAsia="zh-CN"/>
              </w:rPr>
              <w:fldChar w:fldCharType="begin"/>
            </w:r>
            <w:r>
              <w:rPr>
                <w:rFonts w:hint="default" w:ascii="Times New Roman" w:hAnsi="Times New Roman" w:eastAsia="黑体" w:cs="Times New Roman"/>
                <w:snapToGrid w:val="0"/>
                <w:color w:val="auto"/>
                <w:spacing w:val="-16"/>
                <w:kern w:val="21"/>
                <w:szCs w:val="21"/>
                <w:lang w:val="en-US" w:eastAsia="zh-CN"/>
              </w:rPr>
              <w:instrText xml:space="preserve"> = 6 \* GB3 \* MERGEFORMAT </w:instrText>
            </w:r>
            <w:r>
              <w:rPr>
                <w:rFonts w:hint="default" w:ascii="Times New Roman" w:hAnsi="Times New Roman" w:eastAsia="黑体" w:cs="Times New Roman"/>
                <w:snapToGrid w:val="0"/>
                <w:color w:val="auto"/>
                <w:spacing w:val="-16"/>
                <w:kern w:val="21"/>
                <w:szCs w:val="21"/>
                <w:lang w:val="en-US" w:eastAsia="zh-CN"/>
              </w:rPr>
              <w:fldChar w:fldCharType="separate"/>
            </w:r>
            <w:r>
              <w:rPr>
                <w:rFonts w:hint="default" w:ascii="Times New Roman" w:hAnsi="Times New Roman" w:eastAsia="黑体" w:cs="Times New Roman"/>
                <w:color w:val="auto"/>
                <w:kern w:val="2"/>
                <w:szCs w:val="21"/>
                <w:lang w:val="en-US" w:eastAsia="zh-CN"/>
              </w:rPr>
              <w:t>⑥</w:t>
            </w:r>
            <w:r>
              <w:rPr>
                <w:rFonts w:hint="default" w:ascii="Times New Roman" w:hAnsi="Times New Roman" w:eastAsia="黑体" w:cs="Times New Roman"/>
                <w:snapToGrid w:val="0"/>
                <w:color w:val="auto"/>
                <w:spacing w:val="-16"/>
                <w:kern w:val="21"/>
                <w:szCs w:val="21"/>
                <w:lang w:val="en-US" w:eastAsia="zh-CN"/>
              </w:rPr>
              <w:fldChar w:fldCharType="end"/>
            </w:r>
          </w:p>
        </w:tc>
        <w:tc>
          <w:tcPr>
            <w:tcW w:w="461" w:type="pct"/>
            <w:noWrap w:val="0"/>
            <w:tcMar>
              <w:left w:w="28" w:type="dxa"/>
              <w:right w:w="28" w:type="dxa"/>
            </w:tcMar>
            <w:vAlign w:val="center"/>
          </w:tcPr>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t>变化量</w:t>
            </w:r>
          </w:p>
          <w:p>
            <w:pPr>
              <w:pStyle w:val="56"/>
              <w:spacing w:beforeLines="0" w:afterLines="0" w:line="240" w:lineRule="auto"/>
              <w:rPr>
                <w:rFonts w:hint="default" w:ascii="Times New Roman" w:hAnsi="Times New Roman" w:eastAsia="黑体" w:cs="Times New Roman"/>
                <w:snapToGrid w:val="0"/>
                <w:color w:val="auto"/>
                <w:spacing w:val="-6"/>
                <w:kern w:val="21"/>
                <w:szCs w:val="21"/>
                <w:lang w:val="en-US" w:eastAsia="zh-CN"/>
              </w:rPr>
            </w:pPr>
            <w:r>
              <w:rPr>
                <w:rFonts w:hint="default" w:ascii="Times New Roman" w:hAnsi="Times New Roman" w:eastAsia="黑体" w:cs="Times New Roman"/>
                <w:snapToGrid w:val="0"/>
                <w:color w:val="auto"/>
                <w:spacing w:val="-6"/>
                <w:kern w:val="21"/>
                <w:szCs w:val="21"/>
                <w:lang w:val="en-US" w:eastAsia="zh-CN"/>
              </w:rPr>
              <w:fldChar w:fldCharType="begin"/>
            </w:r>
            <w:r>
              <w:rPr>
                <w:rFonts w:hint="default" w:ascii="Times New Roman" w:hAnsi="Times New Roman" w:eastAsia="黑体" w:cs="Times New Roman"/>
                <w:snapToGrid w:val="0"/>
                <w:color w:val="auto"/>
                <w:spacing w:val="-6"/>
                <w:kern w:val="21"/>
                <w:szCs w:val="21"/>
                <w:lang w:val="en-US" w:eastAsia="zh-CN"/>
              </w:rPr>
              <w:instrText xml:space="preserve"> = 7 \* GB3 \* MERGEFORMAT </w:instrText>
            </w:r>
            <w:r>
              <w:rPr>
                <w:rFonts w:hint="default" w:ascii="Times New Roman" w:hAnsi="Times New Roman" w:eastAsia="黑体" w:cs="Times New Roman"/>
                <w:snapToGrid w:val="0"/>
                <w:color w:val="auto"/>
                <w:spacing w:val="-6"/>
                <w:kern w:val="21"/>
                <w:szCs w:val="21"/>
                <w:lang w:val="en-US" w:eastAsia="zh-CN"/>
              </w:rPr>
              <w:fldChar w:fldCharType="separate"/>
            </w:r>
            <w:r>
              <w:rPr>
                <w:rFonts w:hint="default" w:ascii="Times New Roman" w:hAnsi="Times New Roman" w:eastAsia="黑体" w:cs="Times New Roman"/>
                <w:color w:val="auto"/>
                <w:kern w:val="2"/>
                <w:szCs w:val="21"/>
                <w:lang w:val="en-US" w:eastAsia="zh-CN"/>
              </w:rPr>
              <w:t>⑦</w:t>
            </w:r>
            <w:r>
              <w:rPr>
                <w:rFonts w:hint="default" w:ascii="Times New Roman" w:hAnsi="Times New Roman" w:eastAsia="黑体" w:cs="Times New Roman"/>
                <w:snapToGrid w:val="0"/>
                <w:color w:val="auto"/>
                <w:spacing w:val="-6"/>
                <w:kern w:val="21"/>
                <w:szCs w:val="21"/>
                <w:lang w:val="en-US" w:eastAsia="zh-CN"/>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 w:type="pct"/>
            <w:vMerge w:val="restar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废气</w:t>
            </w:r>
          </w:p>
        </w:tc>
        <w:tc>
          <w:tcPr>
            <w:tcW w:w="725" w:type="pct"/>
            <w:noWrap w:val="0"/>
            <w:vAlign w:val="center"/>
          </w:tcPr>
          <w:p>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挥发性有机物</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1.625</w:t>
            </w:r>
            <w:r>
              <w:rPr>
                <w:rFonts w:hint="eastAsia" w:ascii="Times New Roman" w:cs="Times New Roman"/>
                <w:snapToGrid w:val="0"/>
                <w:color w:val="auto"/>
                <w:kern w:val="21"/>
                <w:szCs w:val="21"/>
                <w:lang w:val="en-US" w:eastAsia="zh-CN"/>
              </w:rPr>
              <w:t>3</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1.625</w:t>
            </w:r>
            <w:r>
              <w:rPr>
                <w:rFonts w:hint="eastAsia" w:ascii="Times New Roman" w:cs="Times New Roman"/>
                <w:snapToGrid w:val="0"/>
                <w:color w:val="auto"/>
                <w:kern w:val="21"/>
                <w:szCs w:val="21"/>
                <w:lang w:val="en-US" w:eastAsia="zh-CN"/>
              </w:rPr>
              <w:t>3</w:t>
            </w:r>
          </w:p>
        </w:tc>
        <w:tc>
          <w:tcPr>
            <w:tcW w:w="46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+1.</w:t>
            </w:r>
            <w:r>
              <w:rPr>
                <w:rFonts w:hint="eastAsia" w:ascii="Times New Roman" w:hAnsi="Times New Roman" w:cs="Times New Roman"/>
                <w:snapToGrid w:val="0"/>
                <w:color w:val="auto"/>
                <w:kern w:val="21"/>
                <w:szCs w:val="21"/>
                <w:lang w:val="en-US" w:eastAsia="zh-CN"/>
              </w:rPr>
              <w:t>625</w:t>
            </w:r>
            <w:r>
              <w:rPr>
                <w:rFonts w:hint="eastAsia" w:ascii="Times New Roman" w:cs="Times New Roman"/>
                <w:snapToGrid w:val="0"/>
                <w:color w:val="auto"/>
                <w:kern w:val="21"/>
                <w:szCs w:val="21"/>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jc w:val="center"/>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bCs/>
                <w:color w:val="auto"/>
                <w:kern w:val="0"/>
                <w:szCs w:val="21"/>
                <w:lang w:val="en-US" w:eastAsia="zh-CN"/>
              </w:rPr>
              <w:t>颗粒物</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0.01</w:t>
            </w:r>
            <w:r>
              <w:rPr>
                <w:rFonts w:hint="eastAsia" w:ascii="Times New Roman" w:hAnsi="Times New Roman" w:cs="Times New Roman"/>
                <w:snapToGrid w:val="0"/>
                <w:color w:val="auto"/>
                <w:kern w:val="21"/>
                <w:szCs w:val="21"/>
                <w:lang w:val="en-US" w:eastAsia="zh-CN"/>
              </w:rPr>
              <w:t>1</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0.01</w:t>
            </w:r>
            <w:r>
              <w:rPr>
                <w:rFonts w:hint="eastAsia" w:ascii="Times New Roman" w:hAnsi="Times New Roman" w:cs="Times New Roman"/>
                <w:snapToGrid w:val="0"/>
                <w:color w:val="auto"/>
                <w:kern w:val="21"/>
                <w:szCs w:val="21"/>
                <w:lang w:val="en-US" w:eastAsia="zh-CN"/>
              </w:rPr>
              <w:t>1</w:t>
            </w:r>
          </w:p>
        </w:tc>
        <w:tc>
          <w:tcPr>
            <w:tcW w:w="46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+0.01</w:t>
            </w:r>
            <w:r>
              <w:rPr>
                <w:rFonts w:hint="eastAsia" w:ascii="Times New Roman" w:hAnsi="Times New Roman" w:cs="Times New Roman"/>
                <w:snapToGrid w:val="0"/>
                <w:color w:val="auto"/>
                <w:kern w:val="21"/>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jc w:val="center"/>
              <w:rPr>
                <w:rFonts w:hint="default" w:ascii="Times New Roman" w:hAnsi="Times New Roman" w:cs="Times New Roman"/>
                <w:bCs/>
                <w:color w:val="auto"/>
                <w:kern w:val="0"/>
                <w:szCs w:val="21"/>
                <w:lang w:val="en-US" w:eastAsia="zh-CN"/>
              </w:rPr>
            </w:pPr>
            <w:r>
              <w:rPr>
                <w:rFonts w:hint="eastAsia" w:ascii="Times New Roman" w:hAnsi="Times New Roman" w:cs="Times New Roman"/>
                <w:bCs/>
                <w:color w:val="auto"/>
                <w:kern w:val="0"/>
                <w:szCs w:val="21"/>
                <w:lang w:val="en-US" w:eastAsia="zh-CN"/>
              </w:rPr>
              <w:t>碳黑</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w:t>
            </w:r>
          </w:p>
        </w:tc>
        <w:tc>
          <w:tcPr>
            <w:tcW w:w="55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0.00024</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w:t>
            </w:r>
          </w:p>
        </w:tc>
        <w:tc>
          <w:tcPr>
            <w:tcW w:w="64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0.00024</w:t>
            </w:r>
          </w:p>
        </w:tc>
        <w:tc>
          <w:tcPr>
            <w:tcW w:w="46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+0.00024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414" w:type="pct"/>
            <w:vMerge w:val="restar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废水</w:t>
            </w:r>
          </w:p>
        </w:tc>
        <w:tc>
          <w:tcPr>
            <w:tcW w:w="72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废水量</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384</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384</w:t>
            </w:r>
          </w:p>
        </w:tc>
        <w:tc>
          <w:tcPr>
            <w:tcW w:w="46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+384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CODcr</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0.015</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0.015</w:t>
            </w:r>
          </w:p>
        </w:tc>
        <w:tc>
          <w:tcPr>
            <w:tcW w:w="46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NH</w:t>
            </w:r>
            <w:r>
              <w:rPr>
                <w:rFonts w:hint="default" w:ascii="Times New Roman" w:hAnsi="Times New Roman" w:cs="Times New Roman"/>
                <w:snapToGrid w:val="0"/>
                <w:color w:val="auto"/>
                <w:kern w:val="21"/>
                <w:szCs w:val="21"/>
                <w:vertAlign w:val="subscript"/>
                <w:lang w:val="en-US" w:eastAsia="zh-CN"/>
              </w:rPr>
              <w:t>3</w:t>
            </w:r>
            <w:r>
              <w:rPr>
                <w:rFonts w:hint="default" w:ascii="Times New Roman" w:hAnsi="Times New Roman" w:cs="Times New Roman"/>
                <w:snapToGrid w:val="0"/>
                <w:color w:val="auto"/>
                <w:kern w:val="21"/>
                <w:szCs w:val="21"/>
                <w:lang w:val="en-US" w:eastAsia="zh-CN"/>
              </w:rPr>
              <w:t>-N</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0.00</w:t>
            </w:r>
            <w:r>
              <w:rPr>
                <w:rFonts w:hint="eastAsia" w:ascii="Times New Roman" w:hAnsi="Times New Roman" w:cs="Times New Roman"/>
                <w:snapToGrid w:val="0"/>
                <w:color w:val="auto"/>
                <w:kern w:val="21"/>
                <w:szCs w:val="21"/>
                <w:lang w:val="en-US" w:eastAsia="zh-CN"/>
              </w:rPr>
              <w:t>1</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0.00</w:t>
            </w:r>
            <w:r>
              <w:rPr>
                <w:rFonts w:hint="eastAsia" w:ascii="Times New Roman" w:hAnsi="Times New Roman" w:cs="Times New Roman"/>
                <w:snapToGrid w:val="0"/>
                <w:color w:val="auto"/>
                <w:kern w:val="21"/>
                <w:szCs w:val="21"/>
                <w:lang w:val="en-US" w:eastAsia="zh-CN"/>
              </w:rPr>
              <w:t>1</w:t>
            </w:r>
          </w:p>
        </w:tc>
        <w:tc>
          <w:tcPr>
            <w:tcW w:w="461"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+0.00</w:t>
            </w:r>
            <w:r>
              <w:rPr>
                <w:rFonts w:hint="eastAsia" w:ascii="Times New Roman" w:hAnsi="Times New Roman" w:cs="Times New Roman"/>
                <w:snapToGrid w:val="0"/>
                <w:color w:val="auto"/>
                <w:kern w:val="21"/>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 w:type="pct"/>
            <w:vMerge w:val="restar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一般工业</w:t>
            </w:r>
          </w:p>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固体废物</w:t>
            </w: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bCs/>
                <w:color w:val="auto"/>
                <w:kern w:val="0"/>
                <w:szCs w:val="21"/>
                <w:lang w:val="en-US" w:eastAsia="zh-CN"/>
              </w:rPr>
            </w:pPr>
            <w:r>
              <w:rPr>
                <w:rFonts w:hint="default" w:ascii="Times New Roman" w:hAnsi="Times New Roman" w:cs="Times New Roman"/>
                <w:color w:val="auto"/>
                <w:sz w:val="21"/>
                <w:szCs w:val="21"/>
                <w:lang w:val="en-US" w:eastAsia="zh-CN"/>
              </w:rPr>
              <w:t>废铜铝箔边角料</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b w:val="0"/>
                <w:bCs w:val="0"/>
                <w:color w:val="auto"/>
                <w:sz w:val="21"/>
                <w:szCs w:val="21"/>
                <w:lang w:val="en-US" w:eastAsia="zh-CN"/>
              </w:rPr>
              <w:t>0.70</w:t>
            </w:r>
            <w:r>
              <w:rPr>
                <w:rFonts w:hint="eastAsia" w:cs="Times New Roman"/>
                <w:b w:val="0"/>
                <w:bCs w:val="0"/>
                <w:color w:val="auto"/>
                <w:sz w:val="21"/>
                <w:szCs w:val="21"/>
                <w:lang w:val="en-US" w:eastAsia="zh-CN"/>
              </w:rPr>
              <w:t>29</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b w:val="0"/>
                <w:bCs w:val="0"/>
                <w:color w:val="auto"/>
                <w:sz w:val="21"/>
                <w:szCs w:val="21"/>
                <w:lang w:val="en-US" w:eastAsia="zh-CN"/>
              </w:rPr>
              <w:t>0.70</w:t>
            </w:r>
            <w:r>
              <w:rPr>
                <w:rFonts w:hint="eastAsia" w:cs="Times New Roman"/>
                <w:b w:val="0"/>
                <w:bCs w:val="0"/>
                <w:color w:val="auto"/>
                <w:sz w:val="21"/>
                <w:szCs w:val="21"/>
                <w:lang w:val="en-US" w:eastAsia="zh-CN"/>
              </w:rPr>
              <w:t>29</w:t>
            </w:r>
          </w:p>
        </w:tc>
        <w:tc>
          <w:tcPr>
            <w:tcW w:w="461" w:type="pct"/>
            <w:noWrap w:val="0"/>
            <w:vAlign w:val="center"/>
          </w:tcPr>
          <w:p>
            <w:pPr>
              <w:keepNext w:val="0"/>
              <w:keepLines w:val="0"/>
              <w:pageBreakBefore w:val="0"/>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Cs w:val="21"/>
                <w:lang w:val="en-US"/>
              </w:rPr>
            </w:pPr>
            <w:r>
              <w:rPr>
                <w:rFonts w:hint="default" w:ascii="Times New Roman" w:hAnsi="Times New Roman" w:eastAsia="宋体" w:cs="Times New Roman"/>
                <w:b w:val="0"/>
                <w:bCs w:val="0"/>
                <w:color w:val="auto"/>
                <w:sz w:val="21"/>
                <w:szCs w:val="21"/>
                <w:lang w:val="en-US" w:eastAsia="zh-CN"/>
              </w:rPr>
              <w:t>+</w:t>
            </w:r>
            <w:r>
              <w:rPr>
                <w:rFonts w:hint="eastAsia" w:ascii="Times New Roman" w:hAnsi="Times New Roman" w:eastAsia="宋体" w:cs="Times New Roman"/>
                <w:b w:val="0"/>
                <w:bCs w:val="0"/>
                <w:color w:val="auto"/>
                <w:sz w:val="21"/>
                <w:szCs w:val="21"/>
                <w:lang w:val="en-US" w:eastAsia="zh-CN"/>
              </w:rPr>
              <w:t>0.70</w:t>
            </w:r>
            <w:r>
              <w:rPr>
                <w:rFonts w:hint="eastAsia" w:cs="Times New Roman"/>
                <w:b w:val="0"/>
                <w:bCs w:val="0"/>
                <w:color w:val="auto"/>
                <w:sz w:val="21"/>
                <w:szCs w:val="21"/>
                <w:lang w:val="en-US" w:eastAsia="zh-CN"/>
              </w:rPr>
              <w:t>29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color w:val="auto"/>
                <w:sz w:val="21"/>
                <w:szCs w:val="21"/>
                <w:lang w:val="en-US" w:eastAsia="zh-CN"/>
              </w:rPr>
              <w:t>分条边角料</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0.3</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0.3</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Cs w:val="21"/>
                <w:lang w:val="en-US"/>
              </w:rPr>
            </w:pPr>
            <w:r>
              <w:rPr>
                <w:rFonts w:hint="default" w:ascii="Times New Roman" w:hAnsi="Times New Roman" w:eastAsia="宋体" w:cs="Times New Roman"/>
                <w:color w:val="auto"/>
                <w:szCs w:val="21"/>
                <w:lang w:val="en-US" w:eastAsia="zh-CN"/>
              </w:rPr>
              <w:t>+0.3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废隔膜纸</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废铝塑膜</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bCs/>
                <w:color w:val="auto"/>
                <w:kern w:val="0"/>
                <w:sz w:val="21"/>
                <w:szCs w:val="21"/>
                <w:lang w:val="en-US" w:eastAsia="zh-CN"/>
              </w:rPr>
              <w:t>废包装材料</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bCs/>
                <w:color w:val="auto"/>
                <w:kern w:val="0"/>
                <w:sz w:val="21"/>
                <w:szCs w:val="21"/>
                <w:lang w:val="en-US" w:eastAsia="zh-CN"/>
              </w:rPr>
              <w:t>废电池</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r>
              <w:rPr>
                <w:rFonts w:hint="eastAsia" w:ascii="Times New Roman" w:hAnsi="Times New Roman" w:cs="Times New Roman"/>
                <w:color w:val="auto"/>
                <w:sz w:val="21"/>
                <w:szCs w:val="21"/>
                <w:lang w:val="en-US" w:eastAsia="zh-CN"/>
              </w:rPr>
              <w:t>378</w:t>
            </w:r>
          </w:p>
        </w:tc>
        <w:tc>
          <w:tcPr>
            <w:tcW w:w="623"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r>
              <w:rPr>
                <w:rFonts w:hint="eastAsia" w:ascii="Times New Roman" w:hAnsi="Times New Roman" w:cs="Times New Roman"/>
                <w:color w:val="auto"/>
                <w:sz w:val="21"/>
                <w:szCs w:val="21"/>
                <w:lang w:val="en-US" w:eastAsia="zh-CN"/>
              </w:rPr>
              <w:t>378</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+4.</w:t>
            </w:r>
            <w:r>
              <w:rPr>
                <w:rFonts w:hint="eastAsia" w:ascii="Times New Roman" w:hAnsi="Times New Roman" w:cs="Times New Roman"/>
                <w:color w:val="auto"/>
                <w:sz w:val="21"/>
                <w:szCs w:val="21"/>
                <w:lang w:val="en-US" w:eastAsia="zh-CN"/>
              </w:rPr>
              <w:t>378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414" w:type="pct"/>
            <w:vMerge w:val="restar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危险废物</w:t>
            </w: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b w:val="0"/>
                <w:bCs w:val="0"/>
                <w:color w:val="auto"/>
                <w:sz w:val="21"/>
                <w:szCs w:val="21"/>
                <w:lang w:val="en-US" w:eastAsia="zh-CN"/>
              </w:rPr>
              <w:t>废包装桶/袋</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 w:val="21"/>
                <w:szCs w:val="21"/>
                <w:vertAlign w:val="baseline"/>
                <w:lang w:val="en-US" w:eastAsia="zh-CN"/>
              </w:rPr>
              <w:t>2</w:t>
            </w:r>
          </w:p>
        </w:tc>
        <w:tc>
          <w:tcPr>
            <w:tcW w:w="623" w:type="pct"/>
            <w:noWrap w:val="0"/>
            <w:vAlign w:val="center"/>
          </w:tcPr>
          <w:p>
            <w:pPr>
              <w:jc w:val="center"/>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 w:val="21"/>
                <w:szCs w:val="21"/>
                <w:vertAlign w:val="baseline"/>
                <w:lang w:val="en-US" w:eastAsia="zh-CN"/>
              </w:rPr>
              <w:t>2</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Cs w:val="21"/>
              </w:rPr>
            </w:pPr>
            <w:r>
              <w:rPr>
                <w:rFonts w:hint="default" w:ascii="Times New Roman" w:hAnsi="Times New Roman" w:cs="Times New Roman"/>
                <w:color w:val="auto"/>
                <w:sz w:val="21"/>
                <w:szCs w:val="21"/>
                <w:vertAlign w:val="baseline"/>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rPr>
            </w:pPr>
            <w:r>
              <w:rPr>
                <w:rFonts w:hint="default" w:ascii="Times New Roman" w:hAnsi="Times New Roman" w:cs="Times New Roman"/>
                <w:color w:val="auto"/>
                <w:sz w:val="21"/>
                <w:szCs w:val="21"/>
              </w:rPr>
              <w:t>废抹布</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 w:val="21"/>
                <w:szCs w:val="21"/>
                <w:vertAlign w:val="baseline"/>
                <w:lang w:val="en-US" w:eastAsia="zh-CN"/>
              </w:rPr>
              <w:t>0.2</w:t>
            </w:r>
          </w:p>
        </w:tc>
        <w:tc>
          <w:tcPr>
            <w:tcW w:w="623" w:type="pct"/>
            <w:noWrap w:val="0"/>
            <w:vAlign w:val="center"/>
          </w:tcPr>
          <w:p>
            <w:pPr>
              <w:jc w:val="center"/>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Cs w:val="21"/>
                <w:lang w:val="en-US"/>
              </w:rPr>
            </w:pPr>
            <w:r>
              <w:rPr>
                <w:rFonts w:hint="default" w:ascii="Times New Roman" w:hAnsi="Times New Roman" w:cs="Times New Roman"/>
                <w:color w:val="auto"/>
                <w:sz w:val="21"/>
                <w:szCs w:val="21"/>
                <w:vertAlign w:val="baseline"/>
                <w:lang w:val="en-US" w:eastAsia="zh-CN"/>
              </w:rPr>
              <w:t>0.2</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Cs w:val="21"/>
                <w:lang w:val="en-US"/>
              </w:rPr>
            </w:pPr>
            <w:r>
              <w:rPr>
                <w:rFonts w:hint="default" w:ascii="Times New Roman" w:hAnsi="Times New Roman" w:cs="Times New Roman"/>
                <w:color w:val="auto"/>
                <w:sz w:val="21"/>
                <w:szCs w:val="21"/>
                <w:vertAlign w:val="baseline"/>
                <w:lang w:val="en-US" w:eastAsia="zh-CN"/>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清洗废液</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10.56</w:t>
            </w:r>
          </w:p>
        </w:tc>
        <w:tc>
          <w:tcPr>
            <w:tcW w:w="623" w:type="pct"/>
            <w:noWrap w:val="0"/>
            <w:vAlign w:val="center"/>
          </w:tcPr>
          <w:p>
            <w:pPr>
              <w:jc w:val="center"/>
              <w:rPr>
                <w:rFonts w:hint="default" w:ascii="Times New Roman" w:hAnsi="Times New Roman" w:eastAsia="宋体" w:cs="Times New Roman"/>
                <w:snapToGrid w:val="0"/>
                <w:color w:val="auto"/>
                <w:kern w:val="21"/>
                <w:szCs w:val="21"/>
                <w:lang w:val="en-US" w:eastAsia="zh-CN"/>
              </w:rPr>
            </w:pPr>
            <w:r>
              <w:rPr>
                <w:rFonts w:hint="default" w:ascii="Times New Roman" w:hAnsi="Times New Roman" w:cs="Times New Roman"/>
                <w:snapToGrid w:val="0"/>
                <w:color w:val="auto"/>
                <w:kern w:val="21"/>
                <w:szCs w:val="21"/>
                <w:lang w:val="en-US" w:eastAsia="zh-CN"/>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10.56</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+10.56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 w:val="21"/>
                <w:szCs w:val="21"/>
                <w:lang w:val="en-US" w:eastAsia="zh-CN"/>
              </w:rPr>
            </w:pPr>
            <w:r>
              <w:rPr>
                <w:rFonts w:hint="default" w:ascii="Times New Roman" w:hAnsi="Times New Roman" w:cs="Times New Roman"/>
                <w:color w:val="auto"/>
                <w:sz w:val="21"/>
                <w:szCs w:val="21"/>
                <w:vertAlign w:val="baseline"/>
                <w:lang w:val="en-US" w:eastAsia="zh-CN"/>
              </w:rPr>
              <w:t>NMP废液</w:t>
            </w:r>
          </w:p>
        </w:tc>
        <w:tc>
          <w:tcPr>
            <w:tcW w:w="524"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w:t>
            </w:r>
          </w:p>
        </w:tc>
        <w:tc>
          <w:tcPr>
            <w:tcW w:w="515"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w:t>
            </w:r>
          </w:p>
        </w:tc>
        <w:tc>
          <w:tcPr>
            <w:tcW w:w="537" w:type="pct"/>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14.004</w:t>
            </w:r>
          </w:p>
        </w:tc>
        <w:tc>
          <w:tcPr>
            <w:tcW w:w="623" w:type="pct"/>
            <w:noWrap w:val="0"/>
            <w:vAlign w:val="center"/>
          </w:tcPr>
          <w:p>
            <w:pPr>
              <w:jc w:val="center"/>
              <w:rPr>
                <w:rFonts w:hint="default" w:ascii="Times New Roman" w:hAnsi="Times New Roman" w:cs="Times New Roman"/>
                <w:snapToGrid w:val="0"/>
                <w:color w:val="auto"/>
                <w:kern w:val="21"/>
                <w:szCs w:val="21"/>
                <w:lang w:val="en-US" w:eastAsia="zh-CN"/>
              </w:rPr>
            </w:pPr>
            <w:r>
              <w:rPr>
                <w:rFonts w:hint="eastAsia" w:ascii="Times New Roman" w:hAnsi="Times New Roman" w:cs="Times New Roman"/>
                <w:snapToGrid w:val="0"/>
                <w:color w:val="auto"/>
                <w:kern w:val="21"/>
                <w:szCs w:val="21"/>
                <w:lang w:val="en-US" w:eastAsia="zh-CN"/>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14.004</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+14.004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414" w:type="pct"/>
            <w:vMerge w:val="continue"/>
            <w:noWrap w:val="0"/>
            <w:vAlign w:val="center"/>
          </w:tcPr>
          <w:p>
            <w:pPr>
              <w:pStyle w:val="56"/>
              <w:spacing w:beforeLines="0" w:afterLines="0" w:line="240" w:lineRule="auto"/>
              <w:rPr>
                <w:rFonts w:hint="default" w:ascii="Times New Roman" w:hAnsi="Times New Roman" w:cs="Times New Roman"/>
                <w:snapToGrid w:val="0"/>
                <w:color w:val="auto"/>
                <w:kern w:val="21"/>
                <w:szCs w:val="21"/>
                <w:lang w:val="en-US" w:eastAsia="zh-CN"/>
              </w:rPr>
            </w:pPr>
          </w:p>
        </w:tc>
        <w:tc>
          <w:tcPr>
            <w:tcW w:w="72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bCs/>
                <w:color w:val="auto"/>
                <w:kern w:val="0"/>
                <w:szCs w:val="21"/>
                <w:lang w:val="en-US" w:eastAsia="zh-CN"/>
              </w:rPr>
            </w:pPr>
            <w:r>
              <w:rPr>
                <w:rFonts w:hint="default" w:ascii="Times New Roman" w:hAnsi="Times New Roman" w:cs="Times New Roman"/>
                <w:color w:val="auto"/>
                <w:sz w:val="21"/>
                <w:szCs w:val="21"/>
              </w:rPr>
              <w:t>废活性炭</w:t>
            </w:r>
          </w:p>
        </w:tc>
        <w:tc>
          <w:tcPr>
            <w:tcW w:w="524" w:type="pct"/>
            <w:noWrap w:val="0"/>
            <w:vAlign w:val="center"/>
          </w:tcPr>
          <w:p>
            <w:pPr>
              <w:spacing w:beforeLines="0" w:afterLines="0" w:line="240" w:lineRule="auto"/>
              <w:jc w:val="center"/>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rPr>
              <w:t>0</w:t>
            </w:r>
          </w:p>
        </w:tc>
        <w:tc>
          <w:tcPr>
            <w:tcW w:w="515" w:type="pct"/>
            <w:noWrap w:val="0"/>
            <w:vAlign w:val="center"/>
          </w:tcPr>
          <w:p>
            <w:pPr>
              <w:spacing w:beforeLines="0" w:afterLines="0" w:line="240" w:lineRule="auto"/>
              <w:jc w:val="center"/>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rPr>
              <w:t>0</w:t>
            </w:r>
          </w:p>
        </w:tc>
        <w:tc>
          <w:tcPr>
            <w:tcW w:w="537" w:type="pct"/>
            <w:noWrap w:val="0"/>
            <w:vAlign w:val="center"/>
          </w:tcPr>
          <w:p>
            <w:pPr>
              <w:spacing w:beforeLines="0" w:afterLines="0" w:line="240" w:lineRule="auto"/>
              <w:jc w:val="center"/>
              <w:rPr>
                <w:rFonts w:hint="default" w:ascii="Times New Roman" w:hAnsi="Times New Roman" w:cs="Times New Roman"/>
                <w:snapToGrid w:val="0"/>
                <w:color w:val="auto"/>
                <w:kern w:val="21"/>
                <w:szCs w:val="21"/>
                <w:lang w:val="en-US" w:eastAsia="zh-CN"/>
              </w:rPr>
            </w:pPr>
            <w:r>
              <w:rPr>
                <w:rFonts w:hint="default" w:ascii="Times New Roman" w:hAnsi="Times New Roman" w:cs="Times New Roman"/>
                <w:snapToGrid w:val="0"/>
                <w:color w:val="auto"/>
                <w:kern w:val="21"/>
                <w:szCs w:val="21"/>
              </w:rPr>
              <w:t>0</w:t>
            </w:r>
          </w:p>
        </w:tc>
        <w:tc>
          <w:tcPr>
            <w:tcW w:w="55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lang w:val="en-US" w:eastAsia="zh-CN"/>
              </w:rPr>
              <w:t>11.516</w:t>
            </w:r>
          </w:p>
        </w:tc>
        <w:tc>
          <w:tcPr>
            <w:tcW w:w="623" w:type="pct"/>
            <w:noWrap w:val="0"/>
            <w:vAlign w:val="center"/>
          </w:tcPr>
          <w:p>
            <w:pPr>
              <w:jc w:val="center"/>
              <w:rPr>
                <w:rFonts w:hint="default" w:ascii="Times New Roman" w:hAnsi="Times New Roman" w:cs="Times New Roman"/>
                <w:snapToGrid w:val="0"/>
                <w:color w:val="auto"/>
                <w:kern w:val="21"/>
                <w:szCs w:val="21"/>
              </w:rPr>
            </w:pPr>
            <w:r>
              <w:rPr>
                <w:rFonts w:hint="default" w:ascii="Times New Roman" w:hAnsi="Times New Roman" w:cs="Times New Roman"/>
                <w:snapToGrid w:val="0"/>
                <w:color w:val="auto"/>
                <w:kern w:val="21"/>
                <w:szCs w:val="21"/>
              </w:rPr>
              <w:t>0</w:t>
            </w:r>
          </w:p>
        </w:tc>
        <w:tc>
          <w:tcPr>
            <w:tcW w:w="645"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Cs w:val="21"/>
                <w:lang w:val="en-US" w:eastAsia="zh-CN"/>
              </w:rPr>
            </w:pPr>
            <w:r>
              <w:rPr>
                <w:rFonts w:hint="eastAsia" w:ascii="Times New Roman" w:hAnsi="Times New Roman" w:cs="Times New Roman"/>
                <w:color w:val="auto"/>
                <w:lang w:val="en-US" w:eastAsia="zh-CN"/>
              </w:rPr>
              <w:t>11.516</w:t>
            </w:r>
          </w:p>
        </w:tc>
        <w:tc>
          <w:tcPr>
            <w:tcW w:w="461" w:type="pct"/>
            <w:noWrap w:val="0"/>
            <w:vAlign w:val="center"/>
          </w:tcPr>
          <w:p>
            <w:pPr>
              <w:keepNext w:val="0"/>
              <w:keepLines w:val="0"/>
              <w:pageBreakBefore w:val="0"/>
              <w:widowControl/>
              <w:kinsoku/>
              <w:wordWrap/>
              <w:overflowPunct/>
              <w:topLinePunct w:val="0"/>
              <w:autoSpaceDE/>
              <w:autoSpaceDN/>
              <w:bidi w:val="0"/>
              <w:adjustRightInd w:val="0"/>
              <w:snapToGrid w:val="0"/>
              <w:spacing w:line="360" w:lineRule="exact"/>
              <w:jc w:val="center"/>
              <w:textAlignment w:val="center"/>
              <w:rPr>
                <w:rFonts w:hint="default" w:ascii="Times New Roman" w:hAnsi="Times New Roman" w:cs="Times New Roman"/>
                <w:color w:val="auto"/>
                <w:szCs w:val="21"/>
                <w:lang w:val="en-US" w:eastAsia="zh-CN"/>
              </w:rPr>
            </w:pP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1.516</w:t>
            </w:r>
          </w:p>
        </w:tc>
      </w:tr>
    </w:tbl>
    <w:p>
      <w:pPr>
        <w:pStyle w:val="56"/>
        <w:spacing w:before="192" w:beforeLines="80" w:after="24"/>
        <w:jc w:val="left"/>
        <w:rPr>
          <w:rFonts w:hint="default" w:ascii="Times New Roman" w:hAnsi="Times New Roman" w:cs="Times New Roman"/>
          <w:color w:val="auto"/>
        </w:rPr>
      </w:pPr>
      <w:r>
        <w:rPr>
          <w:rFonts w:hint="default" w:ascii="Times New Roman" w:hAnsi="Times New Roman" w:cs="Times New Roman"/>
          <w:snapToGrid w:val="0"/>
          <w:color w:val="auto"/>
          <w:kern w:val="21"/>
          <w:szCs w:val="21"/>
        </w:rPr>
        <w:t>注：</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3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③</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4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④</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5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⑤</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7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⑦</w:t>
      </w:r>
      <w:r>
        <w:rPr>
          <w:rFonts w:hint="default" w:ascii="Times New Roman" w:hAnsi="Times New Roman" w:cs="Times New Roman"/>
          <w:snapToGrid w:val="0"/>
          <w:color w:val="auto"/>
          <w:spacing w:val="-6"/>
          <w:kern w:val="21"/>
          <w:szCs w:val="21"/>
        </w:rPr>
        <w:fldChar w:fldCharType="end"/>
      </w:r>
      <w:r>
        <w:rPr>
          <w:rFonts w:hint="default" w:ascii="Times New Roman" w:hAnsi="Times New Roman" w:cs="Times New Roman"/>
          <w:snapToGrid w:val="0"/>
          <w:color w:val="auto"/>
          <w:spacing w:val="-6"/>
          <w:kern w:val="21"/>
          <w:szCs w:val="21"/>
        </w:rPr>
        <w:t>=</w:t>
      </w:r>
      <w:r>
        <w:rPr>
          <w:rFonts w:hint="default" w:ascii="Times New Roman" w:hAnsi="Times New Roman" w:cs="Times New Roman"/>
          <w:snapToGrid w:val="0"/>
          <w:color w:val="auto"/>
          <w:spacing w:val="-16"/>
          <w:kern w:val="21"/>
          <w:szCs w:val="21"/>
        </w:rPr>
        <w:fldChar w:fldCharType="begin"/>
      </w:r>
      <w:r>
        <w:rPr>
          <w:rFonts w:hint="default" w:ascii="Times New Roman" w:hAnsi="Times New Roman" w:cs="Times New Roman"/>
          <w:snapToGrid w:val="0"/>
          <w:color w:val="auto"/>
          <w:spacing w:val="-16"/>
          <w:kern w:val="21"/>
          <w:szCs w:val="21"/>
        </w:rPr>
        <w:instrText xml:space="preserve"> = 6 \* GB3 \* MERGEFORMAT </w:instrText>
      </w:r>
      <w:r>
        <w:rPr>
          <w:rFonts w:hint="default" w:ascii="Times New Roman" w:hAnsi="Times New Roman" w:cs="Times New Roman"/>
          <w:snapToGrid w:val="0"/>
          <w:color w:val="auto"/>
          <w:spacing w:val="-16"/>
          <w:kern w:val="21"/>
          <w:szCs w:val="21"/>
        </w:rPr>
        <w:fldChar w:fldCharType="separate"/>
      </w:r>
      <w:r>
        <w:rPr>
          <w:rFonts w:hint="default" w:ascii="Times New Roman" w:hAnsi="Times New Roman" w:cs="Times New Roman"/>
          <w:color w:val="auto"/>
          <w:szCs w:val="21"/>
        </w:rPr>
        <w:t>⑥</w:t>
      </w:r>
      <w:r>
        <w:rPr>
          <w:rFonts w:hint="default" w:ascii="Times New Roman" w:hAnsi="Times New Roman" w:cs="Times New Roman"/>
          <w:snapToGrid w:val="0"/>
          <w:color w:val="auto"/>
          <w:spacing w:val="-16"/>
          <w:kern w:val="21"/>
          <w:szCs w:val="21"/>
        </w:rPr>
        <w:fldChar w:fldCharType="end"/>
      </w:r>
      <w:r>
        <w:rPr>
          <w:rFonts w:hint="default" w:ascii="Times New Roman" w:hAnsi="Times New Roman" w:cs="Times New Roman"/>
          <w:snapToGrid w:val="0"/>
          <w:color w:val="auto"/>
          <w:spacing w:val="-16"/>
          <w:kern w:val="21"/>
          <w:szCs w:val="21"/>
        </w:rPr>
        <w:t>-</w:t>
      </w:r>
      <w:r>
        <w:rPr>
          <w:rFonts w:hint="default" w:ascii="Times New Roman" w:hAnsi="Times New Roman" w:cs="Times New Roman"/>
          <w:snapToGrid w:val="0"/>
          <w:color w:val="auto"/>
          <w:spacing w:val="-6"/>
          <w:kern w:val="21"/>
          <w:szCs w:val="21"/>
        </w:rPr>
        <w:fldChar w:fldCharType="begin"/>
      </w:r>
      <w:r>
        <w:rPr>
          <w:rFonts w:hint="default" w:ascii="Times New Roman" w:hAnsi="Times New Roman" w:cs="Times New Roman"/>
          <w:snapToGrid w:val="0"/>
          <w:color w:val="auto"/>
          <w:spacing w:val="-6"/>
          <w:kern w:val="21"/>
          <w:szCs w:val="21"/>
        </w:rPr>
        <w:instrText xml:space="preserve"> = 1 \* GB3 \* MERGEFORMAT </w:instrText>
      </w:r>
      <w:r>
        <w:rPr>
          <w:rFonts w:hint="default" w:ascii="Times New Roman" w:hAnsi="Times New Roman" w:cs="Times New Roman"/>
          <w:snapToGrid w:val="0"/>
          <w:color w:val="auto"/>
          <w:spacing w:val="-6"/>
          <w:kern w:val="21"/>
          <w:szCs w:val="21"/>
        </w:rPr>
        <w:fldChar w:fldCharType="separate"/>
      </w:r>
      <w:r>
        <w:rPr>
          <w:rFonts w:hint="default" w:ascii="Times New Roman" w:hAnsi="Times New Roman" w:cs="Times New Roman"/>
          <w:color w:val="auto"/>
          <w:szCs w:val="21"/>
        </w:rPr>
        <w:t>①</w:t>
      </w:r>
      <w:r>
        <w:rPr>
          <w:rFonts w:hint="default" w:ascii="Times New Roman" w:hAnsi="Times New Roman" w:cs="Times New Roman"/>
          <w:snapToGrid w:val="0"/>
          <w:color w:val="auto"/>
          <w:spacing w:val="-6"/>
          <w:kern w:val="21"/>
          <w:szCs w:val="21"/>
        </w:rPr>
        <w:fldChar w:fldCharType="end"/>
      </w:r>
    </w:p>
    <w:p>
      <w:pPr>
        <w:rPr>
          <w:rFonts w:hint="default" w:ascii="Times New Roman" w:hAnsi="Times New Roman" w:eastAsia="黑体" w:cs="Times New Roman"/>
          <w:color w:val="auto"/>
        </w:rPr>
        <w:sectPr>
          <w:footerReference r:id="rId4"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pPr>
    </w:p>
    <w:p>
      <w:pPr>
        <w:pStyle w:val="18"/>
        <w:jc w:val="center"/>
        <w:rPr>
          <w:rFonts w:hint="default" w:ascii="Times New Roman" w:hAnsi="Times New Roman" w:cs="Times New Roman"/>
          <w:color w:val="auto"/>
          <w:lang w:val="en-US" w:eastAsia="zh-CN"/>
        </w:rPr>
      </w:pPr>
    </w:p>
    <w:sectPr>
      <w:headerReference r:id="rId5" w:type="default"/>
      <w:footerReference r:id="rId6" w:type="default"/>
      <w:pgSz w:w="16838" w:h="11906" w:orient="landscape"/>
      <w:pgMar w:top="1800" w:right="1440" w:bottom="1800" w:left="144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7BBE50E-A677-4AAF-AD9D-6776AD7DCAA7}"/>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embedRegular r:id="rId2" w:fontKey="{70DB91E4-412A-4F08-8258-4CDEAE221607}"/>
  </w:font>
  <w:font w:name="Calibri">
    <w:panose1 w:val="020F0502020204030204"/>
    <w:charset w:val="00"/>
    <w:family w:val="swiss"/>
    <w:pitch w:val="default"/>
    <w:sig w:usb0="E0002EFF" w:usb1="C000247B" w:usb2="00000009" w:usb3="00000000" w:csb0="200001FF" w:csb1="00000000"/>
  </w:font>
  <w:font w:name="仿宋体">
    <w:altName w:val="宋体"/>
    <w:panose1 w:val="00000000000000000000"/>
    <w:charset w:val="86"/>
    <w:family w:val="roman"/>
    <w:pitch w:val="default"/>
    <w:sig w:usb0="00000000" w:usb1="00000000" w:usb2="00000010" w:usb3="00000000" w:csb0="00040000" w:csb1="00000000"/>
    <w:embedRegular r:id="rId3" w:fontKey="{9A935091-0112-461E-A6BE-D73E32340789}"/>
  </w:font>
  <w:font w:name="仿宋_GB2312">
    <w:altName w:val="仿宋"/>
    <w:panose1 w:val="02010609030101010101"/>
    <w:charset w:val="86"/>
    <w:family w:val="modern"/>
    <w:pitch w:val="default"/>
    <w:sig w:usb0="00000000" w:usb1="00000000" w:usb2="00000000" w:usb3="00000000" w:csb0="00040000" w:csb1="00000000"/>
  </w:font>
  <w:font w:name="Roman">
    <w:altName w:val="Times New Roman"/>
    <w:panose1 w:val="00000000000000000000"/>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embedRegular r:id="rId4" w:fontKey="{504C5EE7-6BCB-4A03-ACA2-3474801DD065}"/>
  </w:font>
  <w:font w:name="Impact">
    <w:panose1 w:val="020B0806030902050204"/>
    <w:charset w:val="00"/>
    <w:family w:val="swiss"/>
    <w:pitch w:val="default"/>
    <w:sig w:usb0="00000287"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TimesNewRomanPSMT">
    <w:altName w:val="Times New Roman"/>
    <w:panose1 w:val="00000000000000000000"/>
    <w:charset w:val="00"/>
    <w:family w:val="auto"/>
    <w:pitch w:val="default"/>
    <w:sig w:usb0="00000000" w:usb1="00000000" w:usb2="00000000" w:usb3="00000000" w:csb0="00040001" w:csb1="00000000"/>
    <w:embedRegular r:id="rId5" w:fontKey="{24A94857-8754-411B-A06E-44DEA9988277}"/>
  </w:font>
  <w:font w:name="Wingdings 2">
    <w:panose1 w:val="05020102010507070707"/>
    <w:charset w:val="02"/>
    <w:family w:val="roman"/>
    <w:pitch w:val="default"/>
    <w:sig w:usb0="00000000" w:usb1="00000000" w:usb2="00000000" w:usb3="00000000" w:csb0="80000000" w:csb1="00000000"/>
    <w:embedRegular r:id="rId6" w:fontKey="{5CB5EF2B-B56B-4F42-BCED-53A3699E0BCB}"/>
  </w:font>
  <w:font w:name="Cambria Math">
    <w:panose1 w:val="02040503050406030204"/>
    <w:charset w:val="00"/>
    <w:family w:val="auto"/>
    <w:pitch w:val="default"/>
    <w:sig w:usb0="E00006FF" w:usb1="420024FF" w:usb2="02000000" w:usb3="00000000" w:csb0="2000019F" w:csb1="00000000"/>
    <w:embedRegular r:id="rId7" w:fontKey="{BE84554A-9977-42BD-A124-0095B2D6FD92}"/>
  </w:font>
  <w:font w:name="楷体_GB2312">
    <w:panose1 w:val="02010609030101010101"/>
    <w:charset w:val="86"/>
    <w:family w:val="modern"/>
    <w:pitch w:val="default"/>
    <w:sig w:usb0="00000001" w:usb1="080E0000" w:usb2="00000000" w:usb3="00000000" w:csb0="00040000" w:csb1="00000000"/>
    <w:embedRegular r:id="rId8" w:fontKey="{EF384936-2976-477B-8BCB-012533862938}"/>
  </w:font>
  <w:font w:name="方正小标宋_GBK">
    <w:panose1 w:val="02000000000000000000"/>
    <w:charset w:val="86"/>
    <w:family w:val="script"/>
    <w:pitch w:val="default"/>
    <w:sig w:usb0="A00002BF" w:usb1="38CF7CFA" w:usb2="00082016" w:usb3="00000000" w:csb0="00040001" w:csb1="00000000"/>
    <w:embedRegular r:id="rId9" w:fontKey="{B8A3C56C-48C3-4977-A586-04A69B13E14C}"/>
  </w:font>
  <w:font w:name="方正姚体">
    <w:panose1 w:val="02010601030101010101"/>
    <w:charset w:val="86"/>
    <w:family w:val="auto"/>
    <w:pitch w:val="default"/>
    <w:sig w:usb0="00000003"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NewRomanPS-ItalicMT">
    <w:altName w:val="宋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7"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vert="horz" wrap="none" lIns="0" tIns="0" rIns="0" bIns="0" anchor="t" anchorCtr="0" upright="0">
                      <a:spAutoFit/>
                    </wps:bodyPr>
                  </wps:wsp>
                </a:graphicData>
              </a:graphic>
            </wp:anchor>
          </w:drawing>
        </mc:Choice>
        <mc:Fallback>
          <w:pict>
            <v:shape id="文本框 103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OqXm5zwAAAAUBAAAPAAAAAAAA&#10;AAEAIAAAACIAAABkcnMvZG93bnJldi54bWxQSwECFAAUAAAACACHTuJA2VVQw+IBAADDAwAADgAA&#10;AAAAAAABACAAAAAeAQAAZHJzL2Uyb0RvYy54bWxQSwUGAAAAAAYABgBZAQAAcgUAAAAA&#10;">
              <v:fill on="f" focussize="0,0"/>
              <v:stroke on="f"/>
              <v:imagedata o:title=""/>
              <o:lock v:ext="edit" aspectratio="f"/>
              <v:textbox inset="0mm,0mm,0mm,0mm" style="mso-fit-shape-to-text:t;">
                <w:txbxContent>
                  <w:p>
                    <w:pPr>
                      <w:pStyle w:val="2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78" name="文本框 10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pPr>
                          <w:r>
                            <w:fldChar w:fldCharType="begin"/>
                          </w:r>
                          <w:r>
                            <w:instrText xml:space="preserve"> PAGE  \* MERGEFORMAT </w:instrText>
                          </w:r>
                          <w:r>
                            <w:fldChar w:fldCharType="separate"/>
                          </w:r>
                          <w:r>
                            <w:t>81</w:t>
                          </w:r>
                          <w:r>
                            <w:fldChar w:fldCharType="end"/>
                          </w:r>
                        </w:p>
                      </w:txbxContent>
                    </wps:txbx>
                    <wps:bodyPr vert="horz" wrap="none" lIns="0" tIns="0" rIns="0" bIns="0" anchor="t" anchorCtr="0" upright="0">
                      <a:spAutoFit/>
                    </wps:bodyPr>
                  </wps:wsp>
                </a:graphicData>
              </a:graphic>
            </wp:anchor>
          </w:drawing>
        </mc:Choice>
        <mc:Fallback>
          <w:pict>
            <v:shape id="文本框 103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BuQg3r4QEAAMMDAAAOAAAA&#10;AAAAAAEAIAAAAB4BAABkcnMvZTJvRG9jLnhtbFBLBQYAAAAABgAGAFkBAABxBQAAAAA=&#10;">
              <v:fill on="f" focussize="0,0"/>
              <v:stroke on="f"/>
              <v:imagedata o:title=""/>
              <o:lock v:ext="edit" aspectratio="f"/>
              <v:textbox inset="0mm,0mm,0mm,0mm" style="mso-fit-shape-to-text:t;">
                <w:txbxContent>
                  <w:p>
                    <w:pPr>
                      <w:pStyle w:val="22"/>
                    </w:pPr>
                    <w:r>
                      <w:fldChar w:fldCharType="begin"/>
                    </w:r>
                    <w:r>
                      <w:instrText xml:space="preserve"> PAGE  \* MERGEFORMAT </w:instrText>
                    </w:r>
                    <w:r>
                      <w:fldChar w:fldCharType="separate"/>
                    </w:r>
                    <w:r>
                      <w:t>81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82" name="文本框 10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1038"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zql5uc8AAAAFAQAADwAAAAAAAAAB&#10;ACAAAAAiAAAAZHJzL2Rvd25yZXYueG1sUEsBAhQAFAAAAAgAh07iQAjHx+fgAQAAwwMAAA4AAAAA&#10;AAAAAQAgAAAAHgEAAGRycy9lMm9Eb2MueG1sUEsFBgAAAAAGAAYAWQEAAHAFAAAAAA==&#10;">
              <v:fill on="f" focussize="0,0"/>
              <v:stroke on="f"/>
              <v:imagedata o:title=""/>
              <o:lock v:ext="edit" aspectratio="f"/>
              <v:textbox inset="0mm,0mm,0mm,0mm" style="mso-fit-shape-to-text:t;">
                <w:txbxContent>
                  <w:p>
                    <w:pPr>
                      <w:pStyle w:val="2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ind w:firstLine="48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19E13"/>
    <w:multiLevelType w:val="singleLevel"/>
    <w:tmpl w:val="86019E13"/>
    <w:lvl w:ilvl="0" w:tentative="0">
      <w:start w:val="1"/>
      <w:numFmt w:val="bullet"/>
      <w:pStyle w:val="14"/>
      <w:lvlText w:val=""/>
      <w:lvlJc w:val="left"/>
      <w:pPr>
        <w:tabs>
          <w:tab w:val="left" w:pos="780"/>
        </w:tabs>
        <w:ind w:left="780" w:hanging="360"/>
      </w:pPr>
      <w:rPr>
        <w:rFonts w:hint="default" w:ascii="Wingdings" w:hAnsi="Wingdings"/>
      </w:rPr>
    </w:lvl>
  </w:abstractNum>
  <w:abstractNum w:abstractNumId="1">
    <w:nsid w:val="9A321759"/>
    <w:multiLevelType w:val="singleLevel"/>
    <w:tmpl w:val="9A321759"/>
    <w:lvl w:ilvl="0" w:tentative="0">
      <w:start w:val="9"/>
      <w:numFmt w:val="decimal"/>
      <w:suff w:val="nothing"/>
      <w:lvlText w:val="%1、"/>
      <w:lvlJc w:val="left"/>
    </w:lvl>
  </w:abstractNum>
  <w:abstractNum w:abstractNumId="2">
    <w:nsid w:val="A01E8CB3"/>
    <w:multiLevelType w:val="singleLevel"/>
    <w:tmpl w:val="A01E8CB3"/>
    <w:lvl w:ilvl="0" w:tentative="0">
      <w:start w:val="6"/>
      <w:numFmt w:val="upperLetter"/>
      <w:suff w:val="nothing"/>
      <w:lvlText w:val="%1-"/>
      <w:lvlJc w:val="left"/>
    </w:lvl>
  </w:abstractNum>
  <w:abstractNum w:abstractNumId="3">
    <w:nsid w:val="55667699"/>
    <w:multiLevelType w:val="singleLevel"/>
    <w:tmpl w:val="55667699"/>
    <w:lvl w:ilvl="0" w:tentative="0">
      <w:start w:val="3"/>
      <w:numFmt w:val="decimal"/>
      <w:suff w:val="nothing"/>
      <w:lvlText w:val="%1、"/>
      <w:lvlJc w:val="left"/>
    </w:lvl>
  </w:abstractNum>
  <w:abstractNum w:abstractNumId="4">
    <w:nsid w:val="7BA5092F"/>
    <w:multiLevelType w:val="singleLevel"/>
    <w:tmpl w:val="7BA5092F"/>
    <w:lvl w:ilvl="0" w:tentative="0">
      <w:start w:val="3"/>
      <w:numFmt w:val="decimal"/>
      <w:suff w:val="nothing"/>
      <w:lvlText w:val="%1、"/>
      <w:lvlJc w:val="left"/>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20"/>
  <w:hyphenationZone w:val="36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5NjE0NzZhZmNkNWNiODE5ZmVmN2E4MjJhNDMwNmIifQ=="/>
    <w:docVar w:name="KSO_WPS_MARK_KEY" w:val="63b0caf0-7e48-45b7-9810-ba6f7263c621"/>
  </w:docVars>
  <w:rsids>
    <w:rsidRoot w:val="00172A27"/>
    <w:rsid w:val="000060B3"/>
    <w:rsid w:val="00014BFF"/>
    <w:rsid w:val="0004364B"/>
    <w:rsid w:val="00061B1F"/>
    <w:rsid w:val="000733C4"/>
    <w:rsid w:val="00074783"/>
    <w:rsid w:val="0008070B"/>
    <w:rsid w:val="000810AC"/>
    <w:rsid w:val="00081A02"/>
    <w:rsid w:val="00082231"/>
    <w:rsid w:val="00092D38"/>
    <w:rsid w:val="0009377B"/>
    <w:rsid w:val="00094D6A"/>
    <w:rsid w:val="000A20C9"/>
    <w:rsid w:val="000B058F"/>
    <w:rsid w:val="000B4467"/>
    <w:rsid w:val="000B4DB9"/>
    <w:rsid w:val="000C09AC"/>
    <w:rsid w:val="000C767F"/>
    <w:rsid w:val="000D5A44"/>
    <w:rsid w:val="000D6423"/>
    <w:rsid w:val="000E3ED2"/>
    <w:rsid w:val="000E3FC3"/>
    <w:rsid w:val="001100A6"/>
    <w:rsid w:val="001172CF"/>
    <w:rsid w:val="00131F42"/>
    <w:rsid w:val="001357F1"/>
    <w:rsid w:val="00140FA8"/>
    <w:rsid w:val="00142FEB"/>
    <w:rsid w:val="00143A2D"/>
    <w:rsid w:val="00145A41"/>
    <w:rsid w:val="00151675"/>
    <w:rsid w:val="00157435"/>
    <w:rsid w:val="00164D19"/>
    <w:rsid w:val="0017504D"/>
    <w:rsid w:val="0017671A"/>
    <w:rsid w:val="00177422"/>
    <w:rsid w:val="0018274C"/>
    <w:rsid w:val="00184590"/>
    <w:rsid w:val="001870D1"/>
    <w:rsid w:val="0018781E"/>
    <w:rsid w:val="0019262D"/>
    <w:rsid w:val="001A1B35"/>
    <w:rsid w:val="001A48A2"/>
    <w:rsid w:val="001A6F61"/>
    <w:rsid w:val="001B72B8"/>
    <w:rsid w:val="001C69B3"/>
    <w:rsid w:val="001D5595"/>
    <w:rsid w:val="001D7874"/>
    <w:rsid w:val="001D7F22"/>
    <w:rsid w:val="001E1233"/>
    <w:rsid w:val="001F0F17"/>
    <w:rsid w:val="001F3347"/>
    <w:rsid w:val="001F69E4"/>
    <w:rsid w:val="001F7456"/>
    <w:rsid w:val="0020270A"/>
    <w:rsid w:val="002125B4"/>
    <w:rsid w:val="00212A94"/>
    <w:rsid w:val="002155B8"/>
    <w:rsid w:val="00224839"/>
    <w:rsid w:val="002249B2"/>
    <w:rsid w:val="00226574"/>
    <w:rsid w:val="002278EC"/>
    <w:rsid w:val="0023280E"/>
    <w:rsid w:val="002377D1"/>
    <w:rsid w:val="002506BC"/>
    <w:rsid w:val="00254345"/>
    <w:rsid w:val="00264557"/>
    <w:rsid w:val="002805AB"/>
    <w:rsid w:val="00284204"/>
    <w:rsid w:val="00291773"/>
    <w:rsid w:val="0029665E"/>
    <w:rsid w:val="002A168C"/>
    <w:rsid w:val="002A3DC7"/>
    <w:rsid w:val="002B49E2"/>
    <w:rsid w:val="002B7B00"/>
    <w:rsid w:val="002B7C44"/>
    <w:rsid w:val="002C2B17"/>
    <w:rsid w:val="002D3DD0"/>
    <w:rsid w:val="002E1F3A"/>
    <w:rsid w:val="002E298A"/>
    <w:rsid w:val="00301978"/>
    <w:rsid w:val="0030332C"/>
    <w:rsid w:val="003051C2"/>
    <w:rsid w:val="00312296"/>
    <w:rsid w:val="003142C6"/>
    <w:rsid w:val="00314F0E"/>
    <w:rsid w:val="00321D8E"/>
    <w:rsid w:val="00325928"/>
    <w:rsid w:val="00332863"/>
    <w:rsid w:val="0033684D"/>
    <w:rsid w:val="00337B42"/>
    <w:rsid w:val="00341B42"/>
    <w:rsid w:val="0034348F"/>
    <w:rsid w:val="00356653"/>
    <w:rsid w:val="0035743F"/>
    <w:rsid w:val="00357BE2"/>
    <w:rsid w:val="0036170C"/>
    <w:rsid w:val="003650BF"/>
    <w:rsid w:val="00366E0F"/>
    <w:rsid w:val="00381A72"/>
    <w:rsid w:val="00384676"/>
    <w:rsid w:val="00390857"/>
    <w:rsid w:val="003A3A6F"/>
    <w:rsid w:val="003A4BF3"/>
    <w:rsid w:val="003B420D"/>
    <w:rsid w:val="003C6C16"/>
    <w:rsid w:val="003D794D"/>
    <w:rsid w:val="003E3058"/>
    <w:rsid w:val="003E76A9"/>
    <w:rsid w:val="003F0809"/>
    <w:rsid w:val="003F5F2A"/>
    <w:rsid w:val="003F6A8C"/>
    <w:rsid w:val="003F755C"/>
    <w:rsid w:val="00406F01"/>
    <w:rsid w:val="00416D50"/>
    <w:rsid w:val="00416FD5"/>
    <w:rsid w:val="00417772"/>
    <w:rsid w:val="00420E6A"/>
    <w:rsid w:val="00425A9E"/>
    <w:rsid w:val="00426D6B"/>
    <w:rsid w:val="00431E6C"/>
    <w:rsid w:val="00433CE7"/>
    <w:rsid w:val="00452738"/>
    <w:rsid w:val="00456091"/>
    <w:rsid w:val="00466321"/>
    <w:rsid w:val="004715C6"/>
    <w:rsid w:val="004728D0"/>
    <w:rsid w:val="00484B9B"/>
    <w:rsid w:val="004855F6"/>
    <w:rsid w:val="0048661E"/>
    <w:rsid w:val="00494670"/>
    <w:rsid w:val="004A3823"/>
    <w:rsid w:val="004E6946"/>
    <w:rsid w:val="004F1AD8"/>
    <w:rsid w:val="005039CB"/>
    <w:rsid w:val="0050558F"/>
    <w:rsid w:val="00506286"/>
    <w:rsid w:val="00510813"/>
    <w:rsid w:val="00511990"/>
    <w:rsid w:val="00511DE0"/>
    <w:rsid w:val="00514870"/>
    <w:rsid w:val="00514B9B"/>
    <w:rsid w:val="00517F02"/>
    <w:rsid w:val="00523EB0"/>
    <w:rsid w:val="00524303"/>
    <w:rsid w:val="005258A2"/>
    <w:rsid w:val="005401AE"/>
    <w:rsid w:val="00542E07"/>
    <w:rsid w:val="00545424"/>
    <w:rsid w:val="00554A7B"/>
    <w:rsid w:val="0055572C"/>
    <w:rsid w:val="0056106A"/>
    <w:rsid w:val="005720AE"/>
    <w:rsid w:val="005828C2"/>
    <w:rsid w:val="00594D77"/>
    <w:rsid w:val="005969E4"/>
    <w:rsid w:val="005A06B7"/>
    <w:rsid w:val="005A1759"/>
    <w:rsid w:val="005A68A7"/>
    <w:rsid w:val="005C7758"/>
    <w:rsid w:val="005D36AB"/>
    <w:rsid w:val="00617CC3"/>
    <w:rsid w:val="006377A6"/>
    <w:rsid w:val="00637A3D"/>
    <w:rsid w:val="006411EF"/>
    <w:rsid w:val="006748B8"/>
    <w:rsid w:val="006775C3"/>
    <w:rsid w:val="0069290A"/>
    <w:rsid w:val="0069775A"/>
    <w:rsid w:val="00697813"/>
    <w:rsid w:val="006A3EE8"/>
    <w:rsid w:val="006A72BF"/>
    <w:rsid w:val="006B03F2"/>
    <w:rsid w:val="006B37DC"/>
    <w:rsid w:val="006B4F68"/>
    <w:rsid w:val="006C0592"/>
    <w:rsid w:val="006C272E"/>
    <w:rsid w:val="006C5479"/>
    <w:rsid w:val="006D13B5"/>
    <w:rsid w:val="006E12FF"/>
    <w:rsid w:val="006E5C7F"/>
    <w:rsid w:val="006E607E"/>
    <w:rsid w:val="00706C5D"/>
    <w:rsid w:val="0071394F"/>
    <w:rsid w:val="00732078"/>
    <w:rsid w:val="00732922"/>
    <w:rsid w:val="0075162E"/>
    <w:rsid w:val="00754034"/>
    <w:rsid w:val="00756556"/>
    <w:rsid w:val="007618C4"/>
    <w:rsid w:val="007650B3"/>
    <w:rsid w:val="00767980"/>
    <w:rsid w:val="00770B19"/>
    <w:rsid w:val="00772D5E"/>
    <w:rsid w:val="0077463F"/>
    <w:rsid w:val="007836EA"/>
    <w:rsid w:val="00784CDA"/>
    <w:rsid w:val="007906C4"/>
    <w:rsid w:val="007940EA"/>
    <w:rsid w:val="007967E8"/>
    <w:rsid w:val="007A2170"/>
    <w:rsid w:val="007A22BF"/>
    <w:rsid w:val="007A3323"/>
    <w:rsid w:val="007B72B8"/>
    <w:rsid w:val="007B7A58"/>
    <w:rsid w:val="007C21B5"/>
    <w:rsid w:val="007E4BD2"/>
    <w:rsid w:val="00801393"/>
    <w:rsid w:val="00802F88"/>
    <w:rsid w:val="0081293E"/>
    <w:rsid w:val="00815465"/>
    <w:rsid w:val="00817E9A"/>
    <w:rsid w:val="008306BD"/>
    <w:rsid w:val="00831A80"/>
    <w:rsid w:val="00833743"/>
    <w:rsid w:val="008340A4"/>
    <w:rsid w:val="0084026B"/>
    <w:rsid w:val="00870719"/>
    <w:rsid w:val="0087135F"/>
    <w:rsid w:val="00872D94"/>
    <w:rsid w:val="00880364"/>
    <w:rsid w:val="00891592"/>
    <w:rsid w:val="00891E9E"/>
    <w:rsid w:val="008A2F68"/>
    <w:rsid w:val="008A38E3"/>
    <w:rsid w:val="008A5530"/>
    <w:rsid w:val="008B4FA6"/>
    <w:rsid w:val="008B5282"/>
    <w:rsid w:val="008B7C17"/>
    <w:rsid w:val="008C2D01"/>
    <w:rsid w:val="008C40E6"/>
    <w:rsid w:val="008D0F7A"/>
    <w:rsid w:val="008D68E4"/>
    <w:rsid w:val="008E0506"/>
    <w:rsid w:val="008E0CFF"/>
    <w:rsid w:val="008E5D6B"/>
    <w:rsid w:val="008E76F0"/>
    <w:rsid w:val="008F15FE"/>
    <w:rsid w:val="008F2D29"/>
    <w:rsid w:val="008F5187"/>
    <w:rsid w:val="008F60D8"/>
    <w:rsid w:val="00902727"/>
    <w:rsid w:val="0090312B"/>
    <w:rsid w:val="0091736D"/>
    <w:rsid w:val="0093037A"/>
    <w:rsid w:val="0094154D"/>
    <w:rsid w:val="0095155F"/>
    <w:rsid w:val="00954429"/>
    <w:rsid w:val="009563CE"/>
    <w:rsid w:val="00956E98"/>
    <w:rsid w:val="00976328"/>
    <w:rsid w:val="0097680D"/>
    <w:rsid w:val="00982438"/>
    <w:rsid w:val="0098404C"/>
    <w:rsid w:val="00985283"/>
    <w:rsid w:val="00995992"/>
    <w:rsid w:val="009A03E5"/>
    <w:rsid w:val="009A0F3B"/>
    <w:rsid w:val="009A1BB4"/>
    <w:rsid w:val="009A2628"/>
    <w:rsid w:val="009A3200"/>
    <w:rsid w:val="009B0897"/>
    <w:rsid w:val="009B7BD9"/>
    <w:rsid w:val="009C7DD5"/>
    <w:rsid w:val="009E227D"/>
    <w:rsid w:val="009E5019"/>
    <w:rsid w:val="00A04F1B"/>
    <w:rsid w:val="00A0501B"/>
    <w:rsid w:val="00A14947"/>
    <w:rsid w:val="00A321CE"/>
    <w:rsid w:val="00A32A83"/>
    <w:rsid w:val="00A3610E"/>
    <w:rsid w:val="00A368DB"/>
    <w:rsid w:val="00A423AA"/>
    <w:rsid w:val="00A53EC6"/>
    <w:rsid w:val="00A55C0F"/>
    <w:rsid w:val="00A8713F"/>
    <w:rsid w:val="00A90BA1"/>
    <w:rsid w:val="00A97A9A"/>
    <w:rsid w:val="00AA0671"/>
    <w:rsid w:val="00AA2531"/>
    <w:rsid w:val="00AB1E09"/>
    <w:rsid w:val="00AB5330"/>
    <w:rsid w:val="00AB7747"/>
    <w:rsid w:val="00AC14CE"/>
    <w:rsid w:val="00AC2A56"/>
    <w:rsid w:val="00AD055E"/>
    <w:rsid w:val="00AD10E6"/>
    <w:rsid w:val="00AD47A7"/>
    <w:rsid w:val="00AF0CBF"/>
    <w:rsid w:val="00AF257F"/>
    <w:rsid w:val="00AF33CF"/>
    <w:rsid w:val="00AF4D50"/>
    <w:rsid w:val="00AF6179"/>
    <w:rsid w:val="00B1295A"/>
    <w:rsid w:val="00B20A45"/>
    <w:rsid w:val="00B22C5C"/>
    <w:rsid w:val="00B24F30"/>
    <w:rsid w:val="00B31ABF"/>
    <w:rsid w:val="00B33BE3"/>
    <w:rsid w:val="00B4300E"/>
    <w:rsid w:val="00B53B5D"/>
    <w:rsid w:val="00B6055E"/>
    <w:rsid w:val="00B6317D"/>
    <w:rsid w:val="00B7723F"/>
    <w:rsid w:val="00B80534"/>
    <w:rsid w:val="00B8433C"/>
    <w:rsid w:val="00B87491"/>
    <w:rsid w:val="00BA29E9"/>
    <w:rsid w:val="00BA7142"/>
    <w:rsid w:val="00BB237C"/>
    <w:rsid w:val="00BB41A3"/>
    <w:rsid w:val="00BC32DC"/>
    <w:rsid w:val="00BC35B6"/>
    <w:rsid w:val="00BD1B51"/>
    <w:rsid w:val="00BD4596"/>
    <w:rsid w:val="00BE1405"/>
    <w:rsid w:val="00BE312D"/>
    <w:rsid w:val="00BF1C20"/>
    <w:rsid w:val="00C10578"/>
    <w:rsid w:val="00C135BC"/>
    <w:rsid w:val="00C15C95"/>
    <w:rsid w:val="00C2596A"/>
    <w:rsid w:val="00C27537"/>
    <w:rsid w:val="00C328FE"/>
    <w:rsid w:val="00C33507"/>
    <w:rsid w:val="00C4409D"/>
    <w:rsid w:val="00C44E72"/>
    <w:rsid w:val="00C45A06"/>
    <w:rsid w:val="00C47E5B"/>
    <w:rsid w:val="00C50B26"/>
    <w:rsid w:val="00C61E4B"/>
    <w:rsid w:val="00C64BFF"/>
    <w:rsid w:val="00C704E9"/>
    <w:rsid w:val="00C763C9"/>
    <w:rsid w:val="00C80057"/>
    <w:rsid w:val="00C82232"/>
    <w:rsid w:val="00C82913"/>
    <w:rsid w:val="00C972B1"/>
    <w:rsid w:val="00CA2CCE"/>
    <w:rsid w:val="00CA43FD"/>
    <w:rsid w:val="00CA7EF8"/>
    <w:rsid w:val="00CC489B"/>
    <w:rsid w:val="00CD2BCD"/>
    <w:rsid w:val="00CD3A4C"/>
    <w:rsid w:val="00CE10E9"/>
    <w:rsid w:val="00CE2910"/>
    <w:rsid w:val="00CE5393"/>
    <w:rsid w:val="00CF36BE"/>
    <w:rsid w:val="00CF6000"/>
    <w:rsid w:val="00D003F3"/>
    <w:rsid w:val="00D0364F"/>
    <w:rsid w:val="00D06834"/>
    <w:rsid w:val="00D308ED"/>
    <w:rsid w:val="00D36D86"/>
    <w:rsid w:val="00D428AA"/>
    <w:rsid w:val="00D50A34"/>
    <w:rsid w:val="00D53EFA"/>
    <w:rsid w:val="00D94A7C"/>
    <w:rsid w:val="00D95896"/>
    <w:rsid w:val="00DB2983"/>
    <w:rsid w:val="00DC1257"/>
    <w:rsid w:val="00DC3DC0"/>
    <w:rsid w:val="00DC5B2B"/>
    <w:rsid w:val="00DD318D"/>
    <w:rsid w:val="00DF2E12"/>
    <w:rsid w:val="00DF514A"/>
    <w:rsid w:val="00DF6690"/>
    <w:rsid w:val="00DF6804"/>
    <w:rsid w:val="00E0358D"/>
    <w:rsid w:val="00E04323"/>
    <w:rsid w:val="00E070A2"/>
    <w:rsid w:val="00E20804"/>
    <w:rsid w:val="00E2656A"/>
    <w:rsid w:val="00E412D0"/>
    <w:rsid w:val="00E56322"/>
    <w:rsid w:val="00E60982"/>
    <w:rsid w:val="00E62C62"/>
    <w:rsid w:val="00E654C1"/>
    <w:rsid w:val="00E65D97"/>
    <w:rsid w:val="00E72A5A"/>
    <w:rsid w:val="00E73354"/>
    <w:rsid w:val="00E9242D"/>
    <w:rsid w:val="00EB5255"/>
    <w:rsid w:val="00EB5C47"/>
    <w:rsid w:val="00ED0639"/>
    <w:rsid w:val="00EF4755"/>
    <w:rsid w:val="00EF7135"/>
    <w:rsid w:val="00F027DB"/>
    <w:rsid w:val="00F1024A"/>
    <w:rsid w:val="00F14A7A"/>
    <w:rsid w:val="00F22985"/>
    <w:rsid w:val="00F3383E"/>
    <w:rsid w:val="00F465A7"/>
    <w:rsid w:val="00F50B7C"/>
    <w:rsid w:val="00F550E6"/>
    <w:rsid w:val="00F74345"/>
    <w:rsid w:val="00F80A0A"/>
    <w:rsid w:val="00F82B19"/>
    <w:rsid w:val="00F9212D"/>
    <w:rsid w:val="00F965DA"/>
    <w:rsid w:val="00FA406A"/>
    <w:rsid w:val="00FB503A"/>
    <w:rsid w:val="00FB516C"/>
    <w:rsid w:val="00FD0236"/>
    <w:rsid w:val="00FD18F4"/>
    <w:rsid w:val="00FD54DB"/>
    <w:rsid w:val="00FD619F"/>
    <w:rsid w:val="01154EDD"/>
    <w:rsid w:val="011815CE"/>
    <w:rsid w:val="01290F7E"/>
    <w:rsid w:val="012C4CFE"/>
    <w:rsid w:val="015B4FE6"/>
    <w:rsid w:val="015C1523"/>
    <w:rsid w:val="015D1E09"/>
    <w:rsid w:val="01602EAB"/>
    <w:rsid w:val="018D1303"/>
    <w:rsid w:val="01A22C15"/>
    <w:rsid w:val="01A249C3"/>
    <w:rsid w:val="01A46D14"/>
    <w:rsid w:val="01A67D89"/>
    <w:rsid w:val="01A97B4B"/>
    <w:rsid w:val="01BC13BA"/>
    <w:rsid w:val="01BE7323"/>
    <w:rsid w:val="01BF5575"/>
    <w:rsid w:val="01C77A26"/>
    <w:rsid w:val="01CC3898"/>
    <w:rsid w:val="01CF32DE"/>
    <w:rsid w:val="01E15FCF"/>
    <w:rsid w:val="01E4555C"/>
    <w:rsid w:val="01FE79A0"/>
    <w:rsid w:val="020267C1"/>
    <w:rsid w:val="02054F52"/>
    <w:rsid w:val="0209655E"/>
    <w:rsid w:val="021B26D1"/>
    <w:rsid w:val="02237986"/>
    <w:rsid w:val="022C1393"/>
    <w:rsid w:val="02373CAF"/>
    <w:rsid w:val="02551A35"/>
    <w:rsid w:val="02630006"/>
    <w:rsid w:val="02697903"/>
    <w:rsid w:val="026F7379"/>
    <w:rsid w:val="02822168"/>
    <w:rsid w:val="029D4015"/>
    <w:rsid w:val="02AA2678"/>
    <w:rsid w:val="02B04EBD"/>
    <w:rsid w:val="02B57C65"/>
    <w:rsid w:val="02BC7D06"/>
    <w:rsid w:val="02C7621D"/>
    <w:rsid w:val="02EA5DA9"/>
    <w:rsid w:val="02F71CF6"/>
    <w:rsid w:val="02F84736"/>
    <w:rsid w:val="02F96569"/>
    <w:rsid w:val="031511C4"/>
    <w:rsid w:val="03224008"/>
    <w:rsid w:val="032378F2"/>
    <w:rsid w:val="03261624"/>
    <w:rsid w:val="032E134E"/>
    <w:rsid w:val="0353739D"/>
    <w:rsid w:val="03690C69"/>
    <w:rsid w:val="037F499F"/>
    <w:rsid w:val="038500F8"/>
    <w:rsid w:val="039157B4"/>
    <w:rsid w:val="039707CE"/>
    <w:rsid w:val="03AA73D8"/>
    <w:rsid w:val="03AC6D65"/>
    <w:rsid w:val="03C31C94"/>
    <w:rsid w:val="03E64E79"/>
    <w:rsid w:val="03E8497B"/>
    <w:rsid w:val="03EA7B21"/>
    <w:rsid w:val="03F64AE1"/>
    <w:rsid w:val="03FA5861"/>
    <w:rsid w:val="03FB03BA"/>
    <w:rsid w:val="040C0504"/>
    <w:rsid w:val="0414251A"/>
    <w:rsid w:val="04273C26"/>
    <w:rsid w:val="0442572E"/>
    <w:rsid w:val="0450757C"/>
    <w:rsid w:val="04727A0B"/>
    <w:rsid w:val="0488454E"/>
    <w:rsid w:val="048D0B58"/>
    <w:rsid w:val="049D1976"/>
    <w:rsid w:val="04AC7907"/>
    <w:rsid w:val="04C153D4"/>
    <w:rsid w:val="04C42EA2"/>
    <w:rsid w:val="04DC01EC"/>
    <w:rsid w:val="04EB0BEA"/>
    <w:rsid w:val="04EB556D"/>
    <w:rsid w:val="04EE7F1F"/>
    <w:rsid w:val="050941DA"/>
    <w:rsid w:val="0529397B"/>
    <w:rsid w:val="053108BF"/>
    <w:rsid w:val="05324F3E"/>
    <w:rsid w:val="05592C80"/>
    <w:rsid w:val="055E6E53"/>
    <w:rsid w:val="05682F5C"/>
    <w:rsid w:val="057C552B"/>
    <w:rsid w:val="0584418A"/>
    <w:rsid w:val="059504AF"/>
    <w:rsid w:val="05A325C5"/>
    <w:rsid w:val="05B82AE4"/>
    <w:rsid w:val="05BA3614"/>
    <w:rsid w:val="05C74763"/>
    <w:rsid w:val="05C95914"/>
    <w:rsid w:val="05CC13F9"/>
    <w:rsid w:val="05D17F61"/>
    <w:rsid w:val="05D37118"/>
    <w:rsid w:val="05E55944"/>
    <w:rsid w:val="05EE25BC"/>
    <w:rsid w:val="05EE47B8"/>
    <w:rsid w:val="05F10868"/>
    <w:rsid w:val="05F72E03"/>
    <w:rsid w:val="05F83EAE"/>
    <w:rsid w:val="05FC5428"/>
    <w:rsid w:val="05FD2B10"/>
    <w:rsid w:val="060774EA"/>
    <w:rsid w:val="06206497"/>
    <w:rsid w:val="06233BF8"/>
    <w:rsid w:val="06366F38"/>
    <w:rsid w:val="063E7D85"/>
    <w:rsid w:val="064B5EC5"/>
    <w:rsid w:val="064E112E"/>
    <w:rsid w:val="066647C7"/>
    <w:rsid w:val="06714A61"/>
    <w:rsid w:val="0678334D"/>
    <w:rsid w:val="06883633"/>
    <w:rsid w:val="069C387F"/>
    <w:rsid w:val="06BD2EF1"/>
    <w:rsid w:val="06C17B9C"/>
    <w:rsid w:val="06C21663"/>
    <w:rsid w:val="06CA5518"/>
    <w:rsid w:val="06E840D9"/>
    <w:rsid w:val="07150E6C"/>
    <w:rsid w:val="07175CA9"/>
    <w:rsid w:val="07177C01"/>
    <w:rsid w:val="071D694C"/>
    <w:rsid w:val="07244172"/>
    <w:rsid w:val="07267C17"/>
    <w:rsid w:val="07293586"/>
    <w:rsid w:val="07295285"/>
    <w:rsid w:val="0737494B"/>
    <w:rsid w:val="07487DBA"/>
    <w:rsid w:val="074E7920"/>
    <w:rsid w:val="075B5D40"/>
    <w:rsid w:val="07636392"/>
    <w:rsid w:val="07656042"/>
    <w:rsid w:val="076E7812"/>
    <w:rsid w:val="0774295E"/>
    <w:rsid w:val="07762B7A"/>
    <w:rsid w:val="07770C56"/>
    <w:rsid w:val="07836EDF"/>
    <w:rsid w:val="07837045"/>
    <w:rsid w:val="07973A62"/>
    <w:rsid w:val="0797664C"/>
    <w:rsid w:val="07AA42AE"/>
    <w:rsid w:val="07B0770E"/>
    <w:rsid w:val="07C76849"/>
    <w:rsid w:val="07D13E96"/>
    <w:rsid w:val="07D61037"/>
    <w:rsid w:val="07DB4FDE"/>
    <w:rsid w:val="07E10258"/>
    <w:rsid w:val="07E46978"/>
    <w:rsid w:val="07E51AAD"/>
    <w:rsid w:val="07E858E7"/>
    <w:rsid w:val="07F0469E"/>
    <w:rsid w:val="07F33CB7"/>
    <w:rsid w:val="07F35413"/>
    <w:rsid w:val="07F92E63"/>
    <w:rsid w:val="07FB4E2D"/>
    <w:rsid w:val="08010F28"/>
    <w:rsid w:val="080F1B91"/>
    <w:rsid w:val="08153A69"/>
    <w:rsid w:val="081B54CF"/>
    <w:rsid w:val="082237AB"/>
    <w:rsid w:val="0823461E"/>
    <w:rsid w:val="08235F37"/>
    <w:rsid w:val="082A6E4D"/>
    <w:rsid w:val="083251D0"/>
    <w:rsid w:val="0837069C"/>
    <w:rsid w:val="0837398B"/>
    <w:rsid w:val="083C4A8F"/>
    <w:rsid w:val="08424875"/>
    <w:rsid w:val="08426D5B"/>
    <w:rsid w:val="084C4FEE"/>
    <w:rsid w:val="084F33CB"/>
    <w:rsid w:val="085E70A3"/>
    <w:rsid w:val="086A5B0F"/>
    <w:rsid w:val="088901EB"/>
    <w:rsid w:val="088B2ACC"/>
    <w:rsid w:val="08906ECE"/>
    <w:rsid w:val="08934087"/>
    <w:rsid w:val="08CC67C9"/>
    <w:rsid w:val="08D24DC7"/>
    <w:rsid w:val="08DA5909"/>
    <w:rsid w:val="08E8757E"/>
    <w:rsid w:val="08EA7968"/>
    <w:rsid w:val="0902043D"/>
    <w:rsid w:val="090917CB"/>
    <w:rsid w:val="09104C35"/>
    <w:rsid w:val="09110D9D"/>
    <w:rsid w:val="091A6C9B"/>
    <w:rsid w:val="091D0811"/>
    <w:rsid w:val="09205239"/>
    <w:rsid w:val="092217DD"/>
    <w:rsid w:val="09254344"/>
    <w:rsid w:val="092A51B9"/>
    <w:rsid w:val="09374168"/>
    <w:rsid w:val="09391872"/>
    <w:rsid w:val="093A7294"/>
    <w:rsid w:val="094301E3"/>
    <w:rsid w:val="094B6D76"/>
    <w:rsid w:val="09535A1B"/>
    <w:rsid w:val="09597507"/>
    <w:rsid w:val="095F4E7D"/>
    <w:rsid w:val="09620EF4"/>
    <w:rsid w:val="096568E0"/>
    <w:rsid w:val="0978631F"/>
    <w:rsid w:val="098826F0"/>
    <w:rsid w:val="098E6CCC"/>
    <w:rsid w:val="099960C6"/>
    <w:rsid w:val="09A1725A"/>
    <w:rsid w:val="09A75482"/>
    <w:rsid w:val="09AB4F6F"/>
    <w:rsid w:val="09AF2373"/>
    <w:rsid w:val="09B66B68"/>
    <w:rsid w:val="09B806C1"/>
    <w:rsid w:val="09BC05EC"/>
    <w:rsid w:val="09C75234"/>
    <w:rsid w:val="0A095A31"/>
    <w:rsid w:val="0A115007"/>
    <w:rsid w:val="0A222B45"/>
    <w:rsid w:val="0A263993"/>
    <w:rsid w:val="0A2D3AC2"/>
    <w:rsid w:val="0A2F473A"/>
    <w:rsid w:val="0A3F1EFB"/>
    <w:rsid w:val="0A492723"/>
    <w:rsid w:val="0A494E65"/>
    <w:rsid w:val="0A533FDF"/>
    <w:rsid w:val="0A5741B9"/>
    <w:rsid w:val="0A5D1DCF"/>
    <w:rsid w:val="0A5D3B7D"/>
    <w:rsid w:val="0A686F49"/>
    <w:rsid w:val="0A845705"/>
    <w:rsid w:val="0A8A2498"/>
    <w:rsid w:val="0A8C015C"/>
    <w:rsid w:val="0A8F52F0"/>
    <w:rsid w:val="0A9B202B"/>
    <w:rsid w:val="0A9B6453"/>
    <w:rsid w:val="0A9E7CF1"/>
    <w:rsid w:val="0AA26CF7"/>
    <w:rsid w:val="0AA41C69"/>
    <w:rsid w:val="0AA755DF"/>
    <w:rsid w:val="0AAB31AB"/>
    <w:rsid w:val="0AB917F4"/>
    <w:rsid w:val="0AC76DCA"/>
    <w:rsid w:val="0ACB2B47"/>
    <w:rsid w:val="0AEE4F64"/>
    <w:rsid w:val="0AF87B8F"/>
    <w:rsid w:val="0B095AB3"/>
    <w:rsid w:val="0B120D44"/>
    <w:rsid w:val="0B16053C"/>
    <w:rsid w:val="0B212DFC"/>
    <w:rsid w:val="0B224DC6"/>
    <w:rsid w:val="0B2D43F8"/>
    <w:rsid w:val="0B2D79F3"/>
    <w:rsid w:val="0B325F5A"/>
    <w:rsid w:val="0B381EF4"/>
    <w:rsid w:val="0B393679"/>
    <w:rsid w:val="0B4133A9"/>
    <w:rsid w:val="0B473F7A"/>
    <w:rsid w:val="0B482879"/>
    <w:rsid w:val="0B492353"/>
    <w:rsid w:val="0B4D638E"/>
    <w:rsid w:val="0B50723E"/>
    <w:rsid w:val="0B782B5E"/>
    <w:rsid w:val="0B7A69B0"/>
    <w:rsid w:val="0B7D68EA"/>
    <w:rsid w:val="0B8816CB"/>
    <w:rsid w:val="0B8D3407"/>
    <w:rsid w:val="0B927856"/>
    <w:rsid w:val="0B9613C9"/>
    <w:rsid w:val="0B9A6C5A"/>
    <w:rsid w:val="0BAD3E02"/>
    <w:rsid w:val="0BB53545"/>
    <w:rsid w:val="0BB64746"/>
    <w:rsid w:val="0BB91287"/>
    <w:rsid w:val="0BD27BF6"/>
    <w:rsid w:val="0BE45BD8"/>
    <w:rsid w:val="0BEF7F2D"/>
    <w:rsid w:val="0BFC345A"/>
    <w:rsid w:val="0C040028"/>
    <w:rsid w:val="0C1F66EB"/>
    <w:rsid w:val="0C2475C4"/>
    <w:rsid w:val="0C3B3C7D"/>
    <w:rsid w:val="0C425AB9"/>
    <w:rsid w:val="0C4D5E73"/>
    <w:rsid w:val="0C59614E"/>
    <w:rsid w:val="0C6F48B2"/>
    <w:rsid w:val="0C8264FF"/>
    <w:rsid w:val="0C8950EE"/>
    <w:rsid w:val="0C8F023A"/>
    <w:rsid w:val="0C903348"/>
    <w:rsid w:val="0C9615C8"/>
    <w:rsid w:val="0C982A17"/>
    <w:rsid w:val="0C9830DB"/>
    <w:rsid w:val="0C984FCC"/>
    <w:rsid w:val="0C9C64B3"/>
    <w:rsid w:val="0CA047E7"/>
    <w:rsid w:val="0CA33CAD"/>
    <w:rsid w:val="0CA87A0D"/>
    <w:rsid w:val="0CAB2EAE"/>
    <w:rsid w:val="0CB0640B"/>
    <w:rsid w:val="0CCD76D5"/>
    <w:rsid w:val="0CD45C4C"/>
    <w:rsid w:val="0CE265BB"/>
    <w:rsid w:val="0CE80C52"/>
    <w:rsid w:val="0CEF0CD8"/>
    <w:rsid w:val="0CF467BE"/>
    <w:rsid w:val="0CF92CBF"/>
    <w:rsid w:val="0CFD1647"/>
    <w:rsid w:val="0CFD51A3"/>
    <w:rsid w:val="0D004C93"/>
    <w:rsid w:val="0D087830"/>
    <w:rsid w:val="0D0941C3"/>
    <w:rsid w:val="0D0F42BE"/>
    <w:rsid w:val="0D124FA8"/>
    <w:rsid w:val="0D205B61"/>
    <w:rsid w:val="0D267346"/>
    <w:rsid w:val="0D27789D"/>
    <w:rsid w:val="0D314E4D"/>
    <w:rsid w:val="0D421178"/>
    <w:rsid w:val="0D4234FE"/>
    <w:rsid w:val="0D4E1EA3"/>
    <w:rsid w:val="0D5E1275"/>
    <w:rsid w:val="0D621C7D"/>
    <w:rsid w:val="0D6977B3"/>
    <w:rsid w:val="0D766D04"/>
    <w:rsid w:val="0D7D1A16"/>
    <w:rsid w:val="0D83512B"/>
    <w:rsid w:val="0D8619D8"/>
    <w:rsid w:val="0D8D4A86"/>
    <w:rsid w:val="0D9C2C0E"/>
    <w:rsid w:val="0DA357E8"/>
    <w:rsid w:val="0DA80C84"/>
    <w:rsid w:val="0DBA3094"/>
    <w:rsid w:val="0DBC0B7B"/>
    <w:rsid w:val="0DC65745"/>
    <w:rsid w:val="0DD40EAE"/>
    <w:rsid w:val="0DE567D5"/>
    <w:rsid w:val="0DF540CC"/>
    <w:rsid w:val="0DFC0433"/>
    <w:rsid w:val="0DFE7425"/>
    <w:rsid w:val="0E0453B6"/>
    <w:rsid w:val="0E063CF4"/>
    <w:rsid w:val="0E172295"/>
    <w:rsid w:val="0E2B035E"/>
    <w:rsid w:val="0E3C0C13"/>
    <w:rsid w:val="0E461C3D"/>
    <w:rsid w:val="0E4B4C54"/>
    <w:rsid w:val="0E4D17CD"/>
    <w:rsid w:val="0E5B748B"/>
    <w:rsid w:val="0E6F621F"/>
    <w:rsid w:val="0E73034D"/>
    <w:rsid w:val="0E7B3C97"/>
    <w:rsid w:val="0E7E40C2"/>
    <w:rsid w:val="0E993BD4"/>
    <w:rsid w:val="0EA014EA"/>
    <w:rsid w:val="0EA11CB4"/>
    <w:rsid w:val="0EA23B68"/>
    <w:rsid w:val="0EA32758"/>
    <w:rsid w:val="0EA33B28"/>
    <w:rsid w:val="0EA40712"/>
    <w:rsid w:val="0EB27C01"/>
    <w:rsid w:val="0EC309F4"/>
    <w:rsid w:val="0ECD49D3"/>
    <w:rsid w:val="0ED05278"/>
    <w:rsid w:val="0EEB162E"/>
    <w:rsid w:val="0F012BA3"/>
    <w:rsid w:val="0F0136D5"/>
    <w:rsid w:val="0F1056B8"/>
    <w:rsid w:val="0F106824"/>
    <w:rsid w:val="0F13775A"/>
    <w:rsid w:val="0F162732"/>
    <w:rsid w:val="0F1E7653"/>
    <w:rsid w:val="0F20260A"/>
    <w:rsid w:val="0F225395"/>
    <w:rsid w:val="0F296723"/>
    <w:rsid w:val="0F455C24"/>
    <w:rsid w:val="0F5372FC"/>
    <w:rsid w:val="0F5F45FE"/>
    <w:rsid w:val="0F753654"/>
    <w:rsid w:val="0F8A43C0"/>
    <w:rsid w:val="0F8F2FDC"/>
    <w:rsid w:val="0F9A112B"/>
    <w:rsid w:val="0F9B0CA3"/>
    <w:rsid w:val="0FB2681B"/>
    <w:rsid w:val="0FB3708A"/>
    <w:rsid w:val="0FBF3D2C"/>
    <w:rsid w:val="0FC46571"/>
    <w:rsid w:val="0FCD0FE1"/>
    <w:rsid w:val="0FE06B2B"/>
    <w:rsid w:val="0FE46009"/>
    <w:rsid w:val="0FE51F22"/>
    <w:rsid w:val="0FEA1464"/>
    <w:rsid w:val="0FEC7938"/>
    <w:rsid w:val="0FF54858"/>
    <w:rsid w:val="0FF950A5"/>
    <w:rsid w:val="100D0D8A"/>
    <w:rsid w:val="101F3AAB"/>
    <w:rsid w:val="10256788"/>
    <w:rsid w:val="102F05BC"/>
    <w:rsid w:val="10303AE2"/>
    <w:rsid w:val="103435D2"/>
    <w:rsid w:val="10386A6C"/>
    <w:rsid w:val="104906FF"/>
    <w:rsid w:val="104B1DC4"/>
    <w:rsid w:val="10501A8E"/>
    <w:rsid w:val="10556006"/>
    <w:rsid w:val="106D2F64"/>
    <w:rsid w:val="106D36EE"/>
    <w:rsid w:val="107F4121"/>
    <w:rsid w:val="10915937"/>
    <w:rsid w:val="10986672"/>
    <w:rsid w:val="109E4EEF"/>
    <w:rsid w:val="109E7648"/>
    <w:rsid w:val="10A62B57"/>
    <w:rsid w:val="10A82382"/>
    <w:rsid w:val="10B63710"/>
    <w:rsid w:val="10CB08F1"/>
    <w:rsid w:val="10E24A07"/>
    <w:rsid w:val="10E41AD5"/>
    <w:rsid w:val="10EF5C58"/>
    <w:rsid w:val="10F10820"/>
    <w:rsid w:val="10F60887"/>
    <w:rsid w:val="11005810"/>
    <w:rsid w:val="110E3A37"/>
    <w:rsid w:val="111B6540"/>
    <w:rsid w:val="111C2F7A"/>
    <w:rsid w:val="112B578E"/>
    <w:rsid w:val="1134608A"/>
    <w:rsid w:val="11390774"/>
    <w:rsid w:val="11420C1B"/>
    <w:rsid w:val="11483548"/>
    <w:rsid w:val="114E06C3"/>
    <w:rsid w:val="11665CA1"/>
    <w:rsid w:val="11722437"/>
    <w:rsid w:val="11785740"/>
    <w:rsid w:val="119F639B"/>
    <w:rsid w:val="11A17934"/>
    <w:rsid w:val="11AA65B4"/>
    <w:rsid w:val="11B90423"/>
    <w:rsid w:val="11BE053C"/>
    <w:rsid w:val="11EC7EEB"/>
    <w:rsid w:val="120D7848"/>
    <w:rsid w:val="120F33F9"/>
    <w:rsid w:val="12155922"/>
    <w:rsid w:val="1222054A"/>
    <w:rsid w:val="123C4630"/>
    <w:rsid w:val="124F46F3"/>
    <w:rsid w:val="12555A81"/>
    <w:rsid w:val="12560593"/>
    <w:rsid w:val="1258352E"/>
    <w:rsid w:val="12587046"/>
    <w:rsid w:val="1264592D"/>
    <w:rsid w:val="126710E1"/>
    <w:rsid w:val="12905384"/>
    <w:rsid w:val="12971BF6"/>
    <w:rsid w:val="12972150"/>
    <w:rsid w:val="12993BC0"/>
    <w:rsid w:val="12B4125E"/>
    <w:rsid w:val="12BE03AF"/>
    <w:rsid w:val="12C332AC"/>
    <w:rsid w:val="12C86626"/>
    <w:rsid w:val="12CE4E68"/>
    <w:rsid w:val="12D27A4D"/>
    <w:rsid w:val="12D9220E"/>
    <w:rsid w:val="12F9324A"/>
    <w:rsid w:val="12FB5CBC"/>
    <w:rsid w:val="13227601"/>
    <w:rsid w:val="13337B71"/>
    <w:rsid w:val="133A5A22"/>
    <w:rsid w:val="13497394"/>
    <w:rsid w:val="13753804"/>
    <w:rsid w:val="13783E13"/>
    <w:rsid w:val="138E3E0F"/>
    <w:rsid w:val="13951726"/>
    <w:rsid w:val="13AA1353"/>
    <w:rsid w:val="13AB68B3"/>
    <w:rsid w:val="13B25DE4"/>
    <w:rsid w:val="13B81E24"/>
    <w:rsid w:val="13C540FC"/>
    <w:rsid w:val="13D628C0"/>
    <w:rsid w:val="13D85CBA"/>
    <w:rsid w:val="13DA46FD"/>
    <w:rsid w:val="13E744B7"/>
    <w:rsid w:val="13F50CB0"/>
    <w:rsid w:val="1405766B"/>
    <w:rsid w:val="14123C2A"/>
    <w:rsid w:val="141E6E5E"/>
    <w:rsid w:val="14396509"/>
    <w:rsid w:val="143A0A8B"/>
    <w:rsid w:val="143F2545"/>
    <w:rsid w:val="14737D69"/>
    <w:rsid w:val="14783CB8"/>
    <w:rsid w:val="147E4E1C"/>
    <w:rsid w:val="148166BA"/>
    <w:rsid w:val="148E2853"/>
    <w:rsid w:val="14900FF3"/>
    <w:rsid w:val="14953A8C"/>
    <w:rsid w:val="14953C18"/>
    <w:rsid w:val="1497196B"/>
    <w:rsid w:val="149A5FCB"/>
    <w:rsid w:val="14A14FAE"/>
    <w:rsid w:val="14A2061A"/>
    <w:rsid w:val="14B42CF2"/>
    <w:rsid w:val="14BA7E1E"/>
    <w:rsid w:val="14D16E94"/>
    <w:rsid w:val="14DD2C3C"/>
    <w:rsid w:val="14E1184E"/>
    <w:rsid w:val="14E135FC"/>
    <w:rsid w:val="14E14A09"/>
    <w:rsid w:val="14E36144"/>
    <w:rsid w:val="14FD0E40"/>
    <w:rsid w:val="150C0CBB"/>
    <w:rsid w:val="1517256B"/>
    <w:rsid w:val="151F6F02"/>
    <w:rsid w:val="152B76AE"/>
    <w:rsid w:val="152C2AC9"/>
    <w:rsid w:val="153536A6"/>
    <w:rsid w:val="153E0A4F"/>
    <w:rsid w:val="15567B46"/>
    <w:rsid w:val="15593193"/>
    <w:rsid w:val="156D140D"/>
    <w:rsid w:val="157B085C"/>
    <w:rsid w:val="15806184"/>
    <w:rsid w:val="15806419"/>
    <w:rsid w:val="1594066F"/>
    <w:rsid w:val="159B3401"/>
    <w:rsid w:val="15A748E6"/>
    <w:rsid w:val="15A96764"/>
    <w:rsid w:val="15B03DE1"/>
    <w:rsid w:val="15B4486D"/>
    <w:rsid w:val="15BA205C"/>
    <w:rsid w:val="15C2342E"/>
    <w:rsid w:val="15DF288C"/>
    <w:rsid w:val="15EE7497"/>
    <w:rsid w:val="15FF3D3A"/>
    <w:rsid w:val="160566AA"/>
    <w:rsid w:val="16073797"/>
    <w:rsid w:val="16087E1D"/>
    <w:rsid w:val="16096D41"/>
    <w:rsid w:val="161B669A"/>
    <w:rsid w:val="1625156E"/>
    <w:rsid w:val="16311095"/>
    <w:rsid w:val="163F4A7E"/>
    <w:rsid w:val="164200CB"/>
    <w:rsid w:val="16445BF1"/>
    <w:rsid w:val="1665226C"/>
    <w:rsid w:val="168F60D1"/>
    <w:rsid w:val="16965E04"/>
    <w:rsid w:val="16A96F62"/>
    <w:rsid w:val="16B56AEF"/>
    <w:rsid w:val="16D43419"/>
    <w:rsid w:val="16E1781A"/>
    <w:rsid w:val="16E42F30"/>
    <w:rsid w:val="16FB08F2"/>
    <w:rsid w:val="16FD481A"/>
    <w:rsid w:val="16FE516E"/>
    <w:rsid w:val="17092996"/>
    <w:rsid w:val="17163A31"/>
    <w:rsid w:val="171E2B79"/>
    <w:rsid w:val="17495826"/>
    <w:rsid w:val="175070C8"/>
    <w:rsid w:val="175458EE"/>
    <w:rsid w:val="17582C18"/>
    <w:rsid w:val="175D4AA9"/>
    <w:rsid w:val="176B293C"/>
    <w:rsid w:val="176E6805"/>
    <w:rsid w:val="17701D14"/>
    <w:rsid w:val="17735226"/>
    <w:rsid w:val="177C760C"/>
    <w:rsid w:val="17842CFD"/>
    <w:rsid w:val="179C4A57"/>
    <w:rsid w:val="17AB1768"/>
    <w:rsid w:val="17AF3F25"/>
    <w:rsid w:val="17B46DA6"/>
    <w:rsid w:val="17B80644"/>
    <w:rsid w:val="17B9260F"/>
    <w:rsid w:val="17C36E92"/>
    <w:rsid w:val="17C50094"/>
    <w:rsid w:val="17DA0A33"/>
    <w:rsid w:val="17E54685"/>
    <w:rsid w:val="17E57DE9"/>
    <w:rsid w:val="17EB6C6C"/>
    <w:rsid w:val="17F83165"/>
    <w:rsid w:val="1800023D"/>
    <w:rsid w:val="18104D43"/>
    <w:rsid w:val="181321AA"/>
    <w:rsid w:val="18187335"/>
    <w:rsid w:val="181A12FF"/>
    <w:rsid w:val="183121A5"/>
    <w:rsid w:val="183B61E5"/>
    <w:rsid w:val="18466C0F"/>
    <w:rsid w:val="184E5830"/>
    <w:rsid w:val="184F3A42"/>
    <w:rsid w:val="186E51A7"/>
    <w:rsid w:val="187A5385"/>
    <w:rsid w:val="187B2737"/>
    <w:rsid w:val="187C3D68"/>
    <w:rsid w:val="189158E2"/>
    <w:rsid w:val="18952734"/>
    <w:rsid w:val="189A2494"/>
    <w:rsid w:val="189F624C"/>
    <w:rsid w:val="18A1732B"/>
    <w:rsid w:val="18B0756E"/>
    <w:rsid w:val="18B45A1C"/>
    <w:rsid w:val="18BA5E7F"/>
    <w:rsid w:val="18BE57C8"/>
    <w:rsid w:val="18C64FE3"/>
    <w:rsid w:val="18E71A9B"/>
    <w:rsid w:val="19067AD5"/>
    <w:rsid w:val="19084E2F"/>
    <w:rsid w:val="190C751C"/>
    <w:rsid w:val="19121FD6"/>
    <w:rsid w:val="191E6BCD"/>
    <w:rsid w:val="19570331"/>
    <w:rsid w:val="19687E48"/>
    <w:rsid w:val="196B1891"/>
    <w:rsid w:val="19722A75"/>
    <w:rsid w:val="19725B4D"/>
    <w:rsid w:val="19895A2B"/>
    <w:rsid w:val="198F5D4C"/>
    <w:rsid w:val="19957551"/>
    <w:rsid w:val="19B04F0E"/>
    <w:rsid w:val="19B54D6F"/>
    <w:rsid w:val="19BA622C"/>
    <w:rsid w:val="19CC03D7"/>
    <w:rsid w:val="19CF6CD3"/>
    <w:rsid w:val="19CF7E4E"/>
    <w:rsid w:val="19D44252"/>
    <w:rsid w:val="19D70219"/>
    <w:rsid w:val="19E26BAC"/>
    <w:rsid w:val="19F37BAD"/>
    <w:rsid w:val="1A040D33"/>
    <w:rsid w:val="1A1C66C0"/>
    <w:rsid w:val="1A1D6A2E"/>
    <w:rsid w:val="1A262CE8"/>
    <w:rsid w:val="1A2A6467"/>
    <w:rsid w:val="1A2C70C8"/>
    <w:rsid w:val="1A320E8B"/>
    <w:rsid w:val="1A383CBF"/>
    <w:rsid w:val="1A42393B"/>
    <w:rsid w:val="1A434D09"/>
    <w:rsid w:val="1A460FE2"/>
    <w:rsid w:val="1A4A30B1"/>
    <w:rsid w:val="1A5D1977"/>
    <w:rsid w:val="1A5F1579"/>
    <w:rsid w:val="1A617A4D"/>
    <w:rsid w:val="1A734CF7"/>
    <w:rsid w:val="1A751792"/>
    <w:rsid w:val="1A84240D"/>
    <w:rsid w:val="1A8C783D"/>
    <w:rsid w:val="1A8F17E2"/>
    <w:rsid w:val="1A997D27"/>
    <w:rsid w:val="1AA41354"/>
    <w:rsid w:val="1AA44EB0"/>
    <w:rsid w:val="1AA475A6"/>
    <w:rsid w:val="1AAD45DE"/>
    <w:rsid w:val="1AB1581F"/>
    <w:rsid w:val="1AB32D66"/>
    <w:rsid w:val="1AD07D41"/>
    <w:rsid w:val="1AD97F7E"/>
    <w:rsid w:val="1ADC5A0F"/>
    <w:rsid w:val="1ADF413A"/>
    <w:rsid w:val="1AE22F00"/>
    <w:rsid w:val="1AE300CE"/>
    <w:rsid w:val="1AF54E18"/>
    <w:rsid w:val="1AF71539"/>
    <w:rsid w:val="1B0018B5"/>
    <w:rsid w:val="1B046F80"/>
    <w:rsid w:val="1B17015A"/>
    <w:rsid w:val="1B1A33C4"/>
    <w:rsid w:val="1B1C0EEA"/>
    <w:rsid w:val="1B3267B5"/>
    <w:rsid w:val="1B334486"/>
    <w:rsid w:val="1B40161D"/>
    <w:rsid w:val="1B411FB1"/>
    <w:rsid w:val="1B43291B"/>
    <w:rsid w:val="1B441859"/>
    <w:rsid w:val="1B505457"/>
    <w:rsid w:val="1B560478"/>
    <w:rsid w:val="1B5E7755"/>
    <w:rsid w:val="1B6606B1"/>
    <w:rsid w:val="1B791A35"/>
    <w:rsid w:val="1B8A157B"/>
    <w:rsid w:val="1B8D29CC"/>
    <w:rsid w:val="1B906AFC"/>
    <w:rsid w:val="1B913FE1"/>
    <w:rsid w:val="1B914E0F"/>
    <w:rsid w:val="1B9C6251"/>
    <w:rsid w:val="1BA40FFA"/>
    <w:rsid w:val="1BA4116D"/>
    <w:rsid w:val="1BBD5932"/>
    <w:rsid w:val="1BC14B81"/>
    <w:rsid w:val="1BC83448"/>
    <w:rsid w:val="1BD97B48"/>
    <w:rsid w:val="1BDA1960"/>
    <w:rsid w:val="1BDC20F7"/>
    <w:rsid w:val="1BE85270"/>
    <w:rsid w:val="1BEC7FA6"/>
    <w:rsid w:val="1BF71AD9"/>
    <w:rsid w:val="1C124877"/>
    <w:rsid w:val="1C1B6515"/>
    <w:rsid w:val="1C2204C9"/>
    <w:rsid w:val="1C2269D4"/>
    <w:rsid w:val="1C280A6A"/>
    <w:rsid w:val="1C2F586E"/>
    <w:rsid w:val="1C3C0B0F"/>
    <w:rsid w:val="1C441279"/>
    <w:rsid w:val="1C444B9D"/>
    <w:rsid w:val="1C486913"/>
    <w:rsid w:val="1C5E7925"/>
    <w:rsid w:val="1C694675"/>
    <w:rsid w:val="1C6C1965"/>
    <w:rsid w:val="1C714080"/>
    <w:rsid w:val="1C7A2E6A"/>
    <w:rsid w:val="1C7D0C52"/>
    <w:rsid w:val="1C896A53"/>
    <w:rsid w:val="1CA71BE0"/>
    <w:rsid w:val="1CB71C5E"/>
    <w:rsid w:val="1CB83672"/>
    <w:rsid w:val="1CD05981"/>
    <w:rsid w:val="1CD145B6"/>
    <w:rsid w:val="1CFD070F"/>
    <w:rsid w:val="1D0151B5"/>
    <w:rsid w:val="1D0923BE"/>
    <w:rsid w:val="1D093D43"/>
    <w:rsid w:val="1D1A7884"/>
    <w:rsid w:val="1D1C3424"/>
    <w:rsid w:val="1D2D7E40"/>
    <w:rsid w:val="1D3A7A0D"/>
    <w:rsid w:val="1D404D2F"/>
    <w:rsid w:val="1D444728"/>
    <w:rsid w:val="1D503D68"/>
    <w:rsid w:val="1D526E45"/>
    <w:rsid w:val="1D557863"/>
    <w:rsid w:val="1D5F6196"/>
    <w:rsid w:val="1D6132A5"/>
    <w:rsid w:val="1D6A494C"/>
    <w:rsid w:val="1D730C34"/>
    <w:rsid w:val="1D8D6C9A"/>
    <w:rsid w:val="1D8E56D5"/>
    <w:rsid w:val="1D9456B0"/>
    <w:rsid w:val="1D9E652E"/>
    <w:rsid w:val="1DE159B2"/>
    <w:rsid w:val="1DEC1F22"/>
    <w:rsid w:val="1DF20628"/>
    <w:rsid w:val="1DF90091"/>
    <w:rsid w:val="1E0573F6"/>
    <w:rsid w:val="1E065CBC"/>
    <w:rsid w:val="1E087E4C"/>
    <w:rsid w:val="1E0A7FA6"/>
    <w:rsid w:val="1E0F4D36"/>
    <w:rsid w:val="1E205195"/>
    <w:rsid w:val="1E2A7DC2"/>
    <w:rsid w:val="1E3835E3"/>
    <w:rsid w:val="1E4470D6"/>
    <w:rsid w:val="1E4C5F8A"/>
    <w:rsid w:val="1E50182A"/>
    <w:rsid w:val="1E5075F2"/>
    <w:rsid w:val="1E517361"/>
    <w:rsid w:val="1E556DF4"/>
    <w:rsid w:val="1E763007"/>
    <w:rsid w:val="1E7A43DA"/>
    <w:rsid w:val="1E880F5A"/>
    <w:rsid w:val="1E8D6717"/>
    <w:rsid w:val="1EA445AF"/>
    <w:rsid w:val="1EB003D9"/>
    <w:rsid w:val="1ED465C5"/>
    <w:rsid w:val="1EDB10BC"/>
    <w:rsid w:val="1EE130C7"/>
    <w:rsid w:val="1EE821F1"/>
    <w:rsid w:val="1EE957C7"/>
    <w:rsid w:val="1EEE7042"/>
    <w:rsid w:val="1EEF033B"/>
    <w:rsid w:val="1EF83A1C"/>
    <w:rsid w:val="1EFB16F6"/>
    <w:rsid w:val="1F103B4F"/>
    <w:rsid w:val="1F104283"/>
    <w:rsid w:val="1F177ADA"/>
    <w:rsid w:val="1F27235B"/>
    <w:rsid w:val="1F314051"/>
    <w:rsid w:val="1F4369FC"/>
    <w:rsid w:val="1F566BD2"/>
    <w:rsid w:val="1F567C64"/>
    <w:rsid w:val="1F5B3B23"/>
    <w:rsid w:val="1F5E6FB6"/>
    <w:rsid w:val="1F8B26B8"/>
    <w:rsid w:val="1F8E10E9"/>
    <w:rsid w:val="1F8F60E9"/>
    <w:rsid w:val="1F955CA3"/>
    <w:rsid w:val="1FAC0FC1"/>
    <w:rsid w:val="1FC54A6B"/>
    <w:rsid w:val="1FD4057C"/>
    <w:rsid w:val="1FD55B0C"/>
    <w:rsid w:val="1FDB0F15"/>
    <w:rsid w:val="1FDB5753"/>
    <w:rsid w:val="1FE04D0D"/>
    <w:rsid w:val="1FE7539E"/>
    <w:rsid w:val="1FED10A7"/>
    <w:rsid w:val="1FF40688"/>
    <w:rsid w:val="1FF87735"/>
    <w:rsid w:val="1FFB2E23"/>
    <w:rsid w:val="1FFE5062"/>
    <w:rsid w:val="200C6404"/>
    <w:rsid w:val="201D69AB"/>
    <w:rsid w:val="202D5948"/>
    <w:rsid w:val="202D6FD9"/>
    <w:rsid w:val="203A349A"/>
    <w:rsid w:val="203C5A02"/>
    <w:rsid w:val="20407429"/>
    <w:rsid w:val="205739C6"/>
    <w:rsid w:val="206550E2"/>
    <w:rsid w:val="20662942"/>
    <w:rsid w:val="20671BE0"/>
    <w:rsid w:val="206F5E43"/>
    <w:rsid w:val="207417C9"/>
    <w:rsid w:val="207C3B85"/>
    <w:rsid w:val="209239FD"/>
    <w:rsid w:val="209453CD"/>
    <w:rsid w:val="20946FA5"/>
    <w:rsid w:val="20963CB8"/>
    <w:rsid w:val="209F3BE1"/>
    <w:rsid w:val="20A672B2"/>
    <w:rsid w:val="20A81A1B"/>
    <w:rsid w:val="20A84CEA"/>
    <w:rsid w:val="20B07FB6"/>
    <w:rsid w:val="20B646FB"/>
    <w:rsid w:val="20B83611"/>
    <w:rsid w:val="20B971DB"/>
    <w:rsid w:val="20C242E2"/>
    <w:rsid w:val="20D02EA3"/>
    <w:rsid w:val="20FD1BD4"/>
    <w:rsid w:val="21000ADC"/>
    <w:rsid w:val="21010AEE"/>
    <w:rsid w:val="210C37AF"/>
    <w:rsid w:val="211A2F12"/>
    <w:rsid w:val="21262AC3"/>
    <w:rsid w:val="212E4CD1"/>
    <w:rsid w:val="213A7EE4"/>
    <w:rsid w:val="213B74B1"/>
    <w:rsid w:val="213C22E6"/>
    <w:rsid w:val="21412655"/>
    <w:rsid w:val="21507111"/>
    <w:rsid w:val="21537630"/>
    <w:rsid w:val="215A2310"/>
    <w:rsid w:val="216A5D25"/>
    <w:rsid w:val="21721DB3"/>
    <w:rsid w:val="217355DC"/>
    <w:rsid w:val="21744C21"/>
    <w:rsid w:val="21770FCB"/>
    <w:rsid w:val="21863F9E"/>
    <w:rsid w:val="218F3A82"/>
    <w:rsid w:val="219A0DBB"/>
    <w:rsid w:val="21A864C6"/>
    <w:rsid w:val="21AB4139"/>
    <w:rsid w:val="21AB746C"/>
    <w:rsid w:val="21BB5A05"/>
    <w:rsid w:val="21D43F85"/>
    <w:rsid w:val="21D80F75"/>
    <w:rsid w:val="21DE318A"/>
    <w:rsid w:val="21E02CBB"/>
    <w:rsid w:val="21EE1107"/>
    <w:rsid w:val="21EF5B80"/>
    <w:rsid w:val="21FB166E"/>
    <w:rsid w:val="220C423E"/>
    <w:rsid w:val="220C636F"/>
    <w:rsid w:val="22114AA3"/>
    <w:rsid w:val="221B014E"/>
    <w:rsid w:val="22306901"/>
    <w:rsid w:val="22356D36"/>
    <w:rsid w:val="22372AAE"/>
    <w:rsid w:val="223A27CC"/>
    <w:rsid w:val="223E7CAE"/>
    <w:rsid w:val="22401A15"/>
    <w:rsid w:val="22521696"/>
    <w:rsid w:val="22550BDA"/>
    <w:rsid w:val="2256679C"/>
    <w:rsid w:val="22576990"/>
    <w:rsid w:val="22595B9F"/>
    <w:rsid w:val="225B52DB"/>
    <w:rsid w:val="225D590A"/>
    <w:rsid w:val="22702794"/>
    <w:rsid w:val="22721D34"/>
    <w:rsid w:val="228152FD"/>
    <w:rsid w:val="22943285"/>
    <w:rsid w:val="22A2261D"/>
    <w:rsid w:val="22A94A31"/>
    <w:rsid w:val="22AE734F"/>
    <w:rsid w:val="22AF210F"/>
    <w:rsid w:val="22AF2C06"/>
    <w:rsid w:val="22C22427"/>
    <w:rsid w:val="22F47480"/>
    <w:rsid w:val="22FA33A8"/>
    <w:rsid w:val="22FE5379"/>
    <w:rsid w:val="23056708"/>
    <w:rsid w:val="230665D3"/>
    <w:rsid w:val="230E2CE8"/>
    <w:rsid w:val="23137077"/>
    <w:rsid w:val="231636F2"/>
    <w:rsid w:val="232F65B7"/>
    <w:rsid w:val="233A4603"/>
    <w:rsid w:val="233F1C1A"/>
    <w:rsid w:val="23403BE4"/>
    <w:rsid w:val="23563407"/>
    <w:rsid w:val="235C54BC"/>
    <w:rsid w:val="23691BCC"/>
    <w:rsid w:val="23847F75"/>
    <w:rsid w:val="2386198F"/>
    <w:rsid w:val="23952182"/>
    <w:rsid w:val="23993C3F"/>
    <w:rsid w:val="239A75E5"/>
    <w:rsid w:val="23A3288D"/>
    <w:rsid w:val="23C422C7"/>
    <w:rsid w:val="23D22A8E"/>
    <w:rsid w:val="23DE1C48"/>
    <w:rsid w:val="23EA6F56"/>
    <w:rsid w:val="23EE53EE"/>
    <w:rsid w:val="23F15496"/>
    <w:rsid w:val="23F21382"/>
    <w:rsid w:val="23FE3C0E"/>
    <w:rsid w:val="24013373"/>
    <w:rsid w:val="240210CD"/>
    <w:rsid w:val="24150DF7"/>
    <w:rsid w:val="24156E1F"/>
    <w:rsid w:val="24457704"/>
    <w:rsid w:val="244A012A"/>
    <w:rsid w:val="2452628B"/>
    <w:rsid w:val="24565CBC"/>
    <w:rsid w:val="245D1488"/>
    <w:rsid w:val="248024EA"/>
    <w:rsid w:val="2489323B"/>
    <w:rsid w:val="24925CBD"/>
    <w:rsid w:val="24943080"/>
    <w:rsid w:val="24972D93"/>
    <w:rsid w:val="24B44889"/>
    <w:rsid w:val="24BF09F7"/>
    <w:rsid w:val="24E76A0D"/>
    <w:rsid w:val="25007ACF"/>
    <w:rsid w:val="250661E0"/>
    <w:rsid w:val="25090731"/>
    <w:rsid w:val="250A48EF"/>
    <w:rsid w:val="25150663"/>
    <w:rsid w:val="251A08E1"/>
    <w:rsid w:val="251F7E23"/>
    <w:rsid w:val="252019E2"/>
    <w:rsid w:val="25217736"/>
    <w:rsid w:val="2522156E"/>
    <w:rsid w:val="25264A5E"/>
    <w:rsid w:val="252A0123"/>
    <w:rsid w:val="252D53FE"/>
    <w:rsid w:val="25315397"/>
    <w:rsid w:val="25394A15"/>
    <w:rsid w:val="254E1685"/>
    <w:rsid w:val="25545725"/>
    <w:rsid w:val="25632B2C"/>
    <w:rsid w:val="2576237D"/>
    <w:rsid w:val="25830C8A"/>
    <w:rsid w:val="258C36D8"/>
    <w:rsid w:val="258D3072"/>
    <w:rsid w:val="258D62B7"/>
    <w:rsid w:val="25951FC5"/>
    <w:rsid w:val="25976A6C"/>
    <w:rsid w:val="25A25FA2"/>
    <w:rsid w:val="25B12B77"/>
    <w:rsid w:val="25B3480D"/>
    <w:rsid w:val="25B54415"/>
    <w:rsid w:val="25BC0341"/>
    <w:rsid w:val="25CA6A33"/>
    <w:rsid w:val="25CB0D82"/>
    <w:rsid w:val="25D16D75"/>
    <w:rsid w:val="25E90264"/>
    <w:rsid w:val="25E940BF"/>
    <w:rsid w:val="25EC2D81"/>
    <w:rsid w:val="261420F4"/>
    <w:rsid w:val="2617322A"/>
    <w:rsid w:val="262C640F"/>
    <w:rsid w:val="262D48F3"/>
    <w:rsid w:val="263E16BB"/>
    <w:rsid w:val="26445799"/>
    <w:rsid w:val="264E507F"/>
    <w:rsid w:val="264E5E54"/>
    <w:rsid w:val="265C0D35"/>
    <w:rsid w:val="26795443"/>
    <w:rsid w:val="267A4D5E"/>
    <w:rsid w:val="26851D1D"/>
    <w:rsid w:val="268665C5"/>
    <w:rsid w:val="268A2CD2"/>
    <w:rsid w:val="269009DE"/>
    <w:rsid w:val="26A62213"/>
    <w:rsid w:val="26AB698A"/>
    <w:rsid w:val="26B30B53"/>
    <w:rsid w:val="26B70CD5"/>
    <w:rsid w:val="26BC539B"/>
    <w:rsid w:val="26BD6A9C"/>
    <w:rsid w:val="26F65B1D"/>
    <w:rsid w:val="26FA0901"/>
    <w:rsid w:val="271433BD"/>
    <w:rsid w:val="2716721B"/>
    <w:rsid w:val="272056A7"/>
    <w:rsid w:val="27220444"/>
    <w:rsid w:val="27257379"/>
    <w:rsid w:val="272F71AC"/>
    <w:rsid w:val="2732301E"/>
    <w:rsid w:val="27391076"/>
    <w:rsid w:val="273F083F"/>
    <w:rsid w:val="2750020A"/>
    <w:rsid w:val="277057A2"/>
    <w:rsid w:val="27734588"/>
    <w:rsid w:val="27802FA6"/>
    <w:rsid w:val="27827CC5"/>
    <w:rsid w:val="27906876"/>
    <w:rsid w:val="279E709D"/>
    <w:rsid w:val="27A10F4D"/>
    <w:rsid w:val="27A74232"/>
    <w:rsid w:val="27A748B6"/>
    <w:rsid w:val="27AD5E60"/>
    <w:rsid w:val="27AF0293"/>
    <w:rsid w:val="27B17D40"/>
    <w:rsid w:val="27B7627C"/>
    <w:rsid w:val="27C43035"/>
    <w:rsid w:val="27C46B92"/>
    <w:rsid w:val="27DA3D7E"/>
    <w:rsid w:val="27DC061E"/>
    <w:rsid w:val="27DE67C0"/>
    <w:rsid w:val="27E45486"/>
    <w:rsid w:val="27F01E21"/>
    <w:rsid w:val="27F751B9"/>
    <w:rsid w:val="280624C3"/>
    <w:rsid w:val="281705EF"/>
    <w:rsid w:val="28172DB1"/>
    <w:rsid w:val="281A5DDE"/>
    <w:rsid w:val="281F6464"/>
    <w:rsid w:val="28221775"/>
    <w:rsid w:val="28433FF1"/>
    <w:rsid w:val="284F6F94"/>
    <w:rsid w:val="285A5748"/>
    <w:rsid w:val="28852025"/>
    <w:rsid w:val="28885BDA"/>
    <w:rsid w:val="28903C62"/>
    <w:rsid w:val="28917404"/>
    <w:rsid w:val="28936E88"/>
    <w:rsid w:val="2897121F"/>
    <w:rsid w:val="28A6515A"/>
    <w:rsid w:val="28A90280"/>
    <w:rsid w:val="28AB2236"/>
    <w:rsid w:val="28CD5F1A"/>
    <w:rsid w:val="28D0506B"/>
    <w:rsid w:val="28D40DC5"/>
    <w:rsid w:val="28D71AE6"/>
    <w:rsid w:val="28DD5CA8"/>
    <w:rsid w:val="28DF1AFF"/>
    <w:rsid w:val="28E55011"/>
    <w:rsid w:val="2900009D"/>
    <w:rsid w:val="29022E22"/>
    <w:rsid w:val="29064F88"/>
    <w:rsid w:val="291310E1"/>
    <w:rsid w:val="29206EB8"/>
    <w:rsid w:val="29211DC2"/>
    <w:rsid w:val="293F6FBA"/>
    <w:rsid w:val="29480D4F"/>
    <w:rsid w:val="2949703A"/>
    <w:rsid w:val="294A1318"/>
    <w:rsid w:val="29595666"/>
    <w:rsid w:val="297A1D19"/>
    <w:rsid w:val="297B5976"/>
    <w:rsid w:val="29874881"/>
    <w:rsid w:val="29976A3C"/>
    <w:rsid w:val="299B2824"/>
    <w:rsid w:val="29A24CB1"/>
    <w:rsid w:val="29AC7174"/>
    <w:rsid w:val="29D62BAC"/>
    <w:rsid w:val="29DD3F3B"/>
    <w:rsid w:val="29E325E0"/>
    <w:rsid w:val="29E459D2"/>
    <w:rsid w:val="29E759D1"/>
    <w:rsid w:val="29F80D74"/>
    <w:rsid w:val="2A1D4812"/>
    <w:rsid w:val="2A2D2237"/>
    <w:rsid w:val="2A3C5105"/>
    <w:rsid w:val="2A450EBF"/>
    <w:rsid w:val="2A452503"/>
    <w:rsid w:val="2A47552B"/>
    <w:rsid w:val="2A5266D7"/>
    <w:rsid w:val="2A584563"/>
    <w:rsid w:val="2A6166FD"/>
    <w:rsid w:val="2A693A20"/>
    <w:rsid w:val="2A706CFE"/>
    <w:rsid w:val="2A7F2FB7"/>
    <w:rsid w:val="2A9A3564"/>
    <w:rsid w:val="2A9B59CC"/>
    <w:rsid w:val="2AB90504"/>
    <w:rsid w:val="2AC7432C"/>
    <w:rsid w:val="2AD07C6A"/>
    <w:rsid w:val="2ADF135E"/>
    <w:rsid w:val="2AE337D3"/>
    <w:rsid w:val="2AEC1302"/>
    <w:rsid w:val="2AF34D0B"/>
    <w:rsid w:val="2AF459E0"/>
    <w:rsid w:val="2AFA28CA"/>
    <w:rsid w:val="2B0760E4"/>
    <w:rsid w:val="2B0B622E"/>
    <w:rsid w:val="2B0F281A"/>
    <w:rsid w:val="2B14563B"/>
    <w:rsid w:val="2B193698"/>
    <w:rsid w:val="2B1971F4"/>
    <w:rsid w:val="2B1C261B"/>
    <w:rsid w:val="2B1E3443"/>
    <w:rsid w:val="2B2D0EF2"/>
    <w:rsid w:val="2B3C6DD8"/>
    <w:rsid w:val="2B3E0D90"/>
    <w:rsid w:val="2B491769"/>
    <w:rsid w:val="2B524B87"/>
    <w:rsid w:val="2B6964B6"/>
    <w:rsid w:val="2B6E3E9F"/>
    <w:rsid w:val="2B795EE5"/>
    <w:rsid w:val="2B7E52A9"/>
    <w:rsid w:val="2BA936A8"/>
    <w:rsid w:val="2BAE7560"/>
    <w:rsid w:val="2BC278E4"/>
    <w:rsid w:val="2BC5112A"/>
    <w:rsid w:val="2BE11CDE"/>
    <w:rsid w:val="2BF261F2"/>
    <w:rsid w:val="2C044B47"/>
    <w:rsid w:val="2C1820FC"/>
    <w:rsid w:val="2C231B78"/>
    <w:rsid w:val="2C29186B"/>
    <w:rsid w:val="2C315A5A"/>
    <w:rsid w:val="2C39628A"/>
    <w:rsid w:val="2C4718A7"/>
    <w:rsid w:val="2C4B1C25"/>
    <w:rsid w:val="2C504E98"/>
    <w:rsid w:val="2C536736"/>
    <w:rsid w:val="2C635D21"/>
    <w:rsid w:val="2C6E17C2"/>
    <w:rsid w:val="2C736DD8"/>
    <w:rsid w:val="2C751549"/>
    <w:rsid w:val="2C7548FE"/>
    <w:rsid w:val="2C862667"/>
    <w:rsid w:val="2C876CF8"/>
    <w:rsid w:val="2C8A54AE"/>
    <w:rsid w:val="2C8D5567"/>
    <w:rsid w:val="2C923702"/>
    <w:rsid w:val="2C9830F9"/>
    <w:rsid w:val="2C9A6113"/>
    <w:rsid w:val="2C9F1FA8"/>
    <w:rsid w:val="2C9F2998"/>
    <w:rsid w:val="2CAE1BBE"/>
    <w:rsid w:val="2CAF5BEE"/>
    <w:rsid w:val="2CB34989"/>
    <w:rsid w:val="2CB505B3"/>
    <w:rsid w:val="2CC82C80"/>
    <w:rsid w:val="2CC961DA"/>
    <w:rsid w:val="2CDF67C1"/>
    <w:rsid w:val="2CE455E0"/>
    <w:rsid w:val="2CF6709D"/>
    <w:rsid w:val="2CF87B80"/>
    <w:rsid w:val="2D071FB2"/>
    <w:rsid w:val="2D087520"/>
    <w:rsid w:val="2D295BEE"/>
    <w:rsid w:val="2D2A6B27"/>
    <w:rsid w:val="2D2E5DDD"/>
    <w:rsid w:val="2D300825"/>
    <w:rsid w:val="2D451430"/>
    <w:rsid w:val="2D4908D5"/>
    <w:rsid w:val="2D4C6E2F"/>
    <w:rsid w:val="2D55028C"/>
    <w:rsid w:val="2D575311"/>
    <w:rsid w:val="2D646269"/>
    <w:rsid w:val="2D727090"/>
    <w:rsid w:val="2D74105A"/>
    <w:rsid w:val="2D7F6EC0"/>
    <w:rsid w:val="2D9E56F5"/>
    <w:rsid w:val="2DA3774C"/>
    <w:rsid w:val="2DAA682A"/>
    <w:rsid w:val="2DAD4220"/>
    <w:rsid w:val="2DB102C1"/>
    <w:rsid w:val="2DB7418D"/>
    <w:rsid w:val="2DBD655D"/>
    <w:rsid w:val="2DBE4083"/>
    <w:rsid w:val="2DC23B73"/>
    <w:rsid w:val="2DCB10F1"/>
    <w:rsid w:val="2DD63F09"/>
    <w:rsid w:val="2DD9282A"/>
    <w:rsid w:val="2DDE7064"/>
    <w:rsid w:val="2DE750C6"/>
    <w:rsid w:val="2DFA3F4E"/>
    <w:rsid w:val="2DFE0923"/>
    <w:rsid w:val="2DFF3D5F"/>
    <w:rsid w:val="2E110501"/>
    <w:rsid w:val="2E132621"/>
    <w:rsid w:val="2E1F19FA"/>
    <w:rsid w:val="2E293BF2"/>
    <w:rsid w:val="2E3D31FA"/>
    <w:rsid w:val="2E435842"/>
    <w:rsid w:val="2E462172"/>
    <w:rsid w:val="2E4866DD"/>
    <w:rsid w:val="2E497664"/>
    <w:rsid w:val="2E667F96"/>
    <w:rsid w:val="2E7763D7"/>
    <w:rsid w:val="2E8226AB"/>
    <w:rsid w:val="2E856AC7"/>
    <w:rsid w:val="2E9A689E"/>
    <w:rsid w:val="2EA63495"/>
    <w:rsid w:val="2EA768EA"/>
    <w:rsid w:val="2EAF564F"/>
    <w:rsid w:val="2EBC05C2"/>
    <w:rsid w:val="2EBC2FBB"/>
    <w:rsid w:val="2EBF2B03"/>
    <w:rsid w:val="2EDD0CC7"/>
    <w:rsid w:val="2EF174FD"/>
    <w:rsid w:val="2EF55E3F"/>
    <w:rsid w:val="2F0245FB"/>
    <w:rsid w:val="2F0E56BC"/>
    <w:rsid w:val="2F110F46"/>
    <w:rsid w:val="2F230ED6"/>
    <w:rsid w:val="2F26688E"/>
    <w:rsid w:val="2F2B1BEC"/>
    <w:rsid w:val="2F2B399A"/>
    <w:rsid w:val="2F3F4B76"/>
    <w:rsid w:val="2F527297"/>
    <w:rsid w:val="2F593873"/>
    <w:rsid w:val="2F746A2B"/>
    <w:rsid w:val="2F7722EC"/>
    <w:rsid w:val="2F92041B"/>
    <w:rsid w:val="2F9C5433"/>
    <w:rsid w:val="2FA8323D"/>
    <w:rsid w:val="2FB64007"/>
    <w:rsid w:val="2FBD2548"/>
    <w:rsid w:val="2FC411BD"/>
    <w:rsid w:val="2FC57BC8"/>
    <w:rsid w:val="2FD065E6"/>
    <w:rsid w:val="2FD35282"/>
    <w:rsid w:val="2FD70C99"/>
    <w:rsid w:val="2FD96870"/>
    <w:rsid w:val="2FE31418"/>
    <w:rsid w:val="2FF975F4"/>
    <w:rsid w:val="2FFE2E5D"/>
    <w:rsid w:val="302E50F1"/>
    <w:rsid w:val="30332040"/>
    <w:rsid w:val="3037083C"/>
    <w:rsid w:val="30370D29"/>
    <w:rsid w:val="30580BC9"/>
    <w:rsid w:val="30586D67"/>
    <w:rsid w:val="3059019D"/>
    <w:rsid w:val="30673DD0"/>
    <w:rsid w:val="306A78FB"/>
    <w:rsid w:val="307C362A"/>
    <w:rsid w:val="308275EA"/>
    <w:rsid w:val="30911F89"/>
    <w:rsid w:val="309A50D1"/>
    <w:rsid w:val="309C0CB5"/>
    <w:rsid w:val="309D61D2"/>
    <w:rsid w:val="30AA17C8"/>
    <w:rsid w:val="30B10A6E"/>
    <w:rsid w:val="30C528BD"/>
    <w:rsid w:val="30CD2225"/>
    <w:rsid w:val="30E02274"/>
    <w:rsid w:val="31195AB3"/>
    <w:rsid w:val="311E2ED7"/>
    <w:rsid w:val="31305298"/>
    <w:rsid w:val="313212E4"/>
    <w:rsid w:val="313F1A5C"/>
    <w:rsid w:val="313F41E4"/>
    <w:rsid w:val="31440D43"/>
    <w:rsid w:val="31456F95"/>
    <w:rsid w:val="314D0B32"/>
    <w:rsid w:val="314D19A6"/>
    <w:rsid w:val="315619EE"/>
    <w:rsid w:val="315A32EF"/>
    <w:rsid w:val="315C449C"/>
    <w:rsid w:val="31735F8C"/>
    <w:rsid w:val="317F4321"/>
    <w:rsid w:val="319B0270"/>
    <w:rsid w:val="31A81E84"/>
    <w:rsid w:val="31A95A65"/>
    <w:rsid w:val="31B82709"/>
    <w:rsid w:val="31CF1FF3"/>
    <w:rsid w:val="31D05482"/>
    <w:rsid w:val="31D3412D"/>
    <w:rsid w:val="31DD7C29"/>
    <w:rsid w:val="31F14A11"/>
    <w:rsid w:val="31FF1454"/>
    <w:rsid w:val="32001619"/>
    <w:rsid w:val="32044050"/>
    <w:rsid w:val="320F62BF"/>
    <w:rsid w:val="32245997"/>
    <w:rsid w:val="32250B75"/>
    <w:rsid w:val="32400B34"/>
    <w:rsid w:val="3264344B"/>
    <w:rsid w:val="326E1C4D"/>
    <w:rsid w:val="32737B32"/>
    <w:rsid w:val="32751001"/>
    <w:rsid w:val="32803063"/>
    <w:rsid w:val="3284589B"/>
    <w:rsid w:val="328551A0"/>
    <w:rsid w:val="32894C60"/>
    <w:rsid w:val="328B4D76"/>
    <w:rsid w:val="328D7992"/>
    <w:rsid w:val="32983976"/>
    <w:rsid w:val="329E0154"/>
    <w:rsid w:val="329E6876"/>
    <w:rsid w:val="329F26D5"/>
    <w:rsid w:val="32BA12BD"/>
    <w:rsid w:val="32BD25A1"/>
    <w:rsid w:val="32C72DAA"/>
    <w:rsid w:val="32CB3692"/>
    <w:rsid w:val="32CE6B16"/>
    <w:rsid w:val="32D46AD8"/>
    <w:rsid w:val="32D84CA0"/>
    <w:rsid w:val="32E42D93"/>
    <w:rsid w:val="32E86EE0"/>
    <w:rsid w:val="32F1016F"/>
    <w:rsid w:val="33077B6E"/>
    <w:rsid w:val="330E283E"/>
    <w:rsid w:val="33151E66"/>
    <w:rsid w:val="33166236"/>
    <w:rsid w:val="332833C5"/>
    <w:rsid w:val="332851F6"/>
    <w:rsid w:val="332E7A77"/>
    <w:rsid w:val="3330157F"/>
    <w:rsid w:val="333015F2"/>
    <w:rsid w:val="334B6320"/>
    <w:rsid w:val="33503455"/>
    <w:rsid w:val="336B0809"/>
    <w:rsid w:val="33934370"/>
    <w:rsid w:val="33A06705"/>
    <w:rsid w:val="33A80894"/>
    <w:rsid w:val="33AB5217"/>
    <w:rsid w:val="33AB6E58"/>
    <w:rsid w:val="33B14A97"/>
    <w:rsid w:val="33B201E6"/>
    <w:rsid w:val="33C62EBA"/>
    <w:rsid w:val="33D934D4"/>
    <w:rsid w:val="33DD6FDE"/>
    <w:rsid w:val="33F628DD"/>
    <w:rsid w:val="33FE2F6A"/>
    <w:rsid w:val="34033884"/>
    <w:rsid w:val="340E07E5"/>
    <w:rsid w:val="3413690A"/>
    <w:rsid w:val="341C206E"/>
    <w:rsid w:val="341F1175"/>
    <w:rsid w:val="34235BF7"/>
    <w:rsid w:val="34433534"/>
    <w:rsid w:val="344863DD"/>
    <w:rsid w:val="34513BC3"/>
    <w:rsid w:val="345474EF"/>
    <w:rsid w:val="34590B96"/>
    <w:rsid w:val="345E0617"/>
    <w:rsid w:val="34646885"/>
    <w:rsid w:val="34677276"/>
    <w:rsid w:val="346F4838"/>
    <w:rsid w:val="347100A1"/>
    <w:rsid w:val="3487466D"/>
    <w:rsid w:val="34917744"/>
    <w:rsid w:val="34A05C1D"/>
    <w:rsid w:val="34A926B0"/>
    <w:rsid w:val="34B306BA"/>
    <w:rsid w:val="34B53FD6"/>
    <w:rsid w:val="34BF5878"/>
    <w:rsid w:val="34BF5C11"/>
    <w:rsid w:val="34CB35B9"/>
    <w:rsid w:val="34CE54F3"/>
    <w:rsid w:val="34E95E89"/>
    <w:rsid w:val="34F61056"/>
    <w:rsid w:val="34F77462"/>
    <w:rsid w:val="34FC45A0"/>
    <w:rsid w:val="350D711A"/>
    <w:rsid w:val="351B4435"/>
    <w:rsid w:val="35255623"/>
    <w:rsid w:val="353049DA"/>
    <w:rsid w:val="35465A16"/>
    <w:rsid w:val="354E63C8"/>
    <w:rsid w:val="35663156"/>
    <w:rsid w:val="356F0F35"/>
    <w:rsid w:val="35731BF7"/>
    <w:rsid w:val="35773495"/>
    <w:rsid w:val="358C5FA8"/>
    <w:rsid w:val="358F4C83"/>
    <w:rsid w:val="3597659B"/>
    <w:rsid w:val="359F0C3E"/>
    <w:rsid w:val="35A769DF"/>
    <w:rsid w:val="35B1273D"/>
    <w:rsid w:val="35C15DF1"/>
    <w:rsid w:val="35C925F6"/>
    <w:rsid w:val="35E6061B"/>
    <w:rsid w:val="36074A7F"/>
    <w:rsid w:val="36104FF7"/>
    <w:rsid w:val="36230FD0"/>
    <w:rsid w:val="362B4280"/>
    <w:rsid w:val="362F1FC2"/>
    <w:rsid w:val="36301896"/>
    <w:rsid w:val="363B2779"/>
    <w:rsid w:val="364315C9"/>
    <w:rsid w:val="3645437A"/>
    <w:rsid w:val="364A76D7"/>
    <w:rsid w:val="36545E50"/>
    <w:rsid w:val="365B6516"/>
    <w:rsid w:val="365B79BC"/>
    <w:rsid w:val="36660B70"/>
    <w:rsid w:val="366E50DA"/>
    <w:rsid w:val="36723C5D"/>
    <w:rsid w:val="36762543"/>
    <w:rsid w:val="36923549"/>
    <w:rsid w:val="3699192B"/>
    <w:rsid w:val="369D163F"/>
    <w:rsid w:val="369E0D87"/>
    <w:rsid w:val="369E1B12"/>
    <w:rsid w:val="36AA7AD1"/>
    <w:rsid w:val="36B75FBF"/>
    <w:rsid w:val="36BD0C45"/>
    <w:rsid w:val="36D272D8"/>
    <w:rsid w:val="36D759CF"/>
    <w:rsid w:val="36D814D4"/>
    <w:rsid w:val="36D81E9B"/>
    <w:rsid w:val="36E04EFE"/>
    <w:rsid w:val="36E5276C"/>
    <w:rsid w:val="36F428C7"/>
    <w:rsid w:val="36F5767C"/>
    <w:rsid w:val="36F61C9E"/>
    <w:rsid w:val="370F2DFF"/>
    <w:rsid w:val="37152F66"/>
    <w:rsid w:val="37160571"/>
    <w:rsid w:val="371C0798"/>
    <w:rsid w:val="371D1E1A"/>
    <w:rsid w:val="372B7FBF"/>
    <w:rsid w:val="37301B76"/>
    <w:rsid w:val="374617A5"/>
    <w:rsid w:val="374A1604"/>
    <w:rsid w:val="3757357E"/>
    <w:rsid w:val="377D7767"/>
    <w:rsid w:val="378105FB"/>
    <w:rsid w:val="37812A43"/>
    <w:rsid w:val="378B6C21"/>
    <w:rsid w:val="379D2F5B"/>
    <w:rsid w:val="37A772F5"/>
    <w:rsid w:val="37A80BA2"/>
    <w:rsid w:val="37B52474"/>
    <w:rsid w:val="37C51E31"/>
    <w:rsid w:val="37E00298"/>
    <w:rsid w:val="37E654F3"/>
    <w:rsid w:val="37EE4CE1"/>
    <w:rsid w:val="37F43CD3"/>
    <w:rsid w:val="37FF7772"/>
    <w:rsid w:val="380723E4"/>
    <w:rsid w:val="38110E21"/>
    <w:rsid w:val="381F1E29"/>
    <w:rsid w:val="38255FC3"/>
    <w:rsid w:val="382C575C"/>
    <w:rsid w:val="38331438"/>
    <w:rsid w:val="3845787B"/>
    <w:rsid w:val="386121DB"/>
    <w:rsid w:val="38664C72"/>
    <w:rsid w:val="386E0CD6"/>
    <w:rsid w:val="38740160"/>
    <w:rsid w:val="3885411B"/>
    <w:rsid w:val="38877A28"/>
    <w:rsid w:val="38936487"/>
    <w:rsid w:val="38AB58F9"/>
    <w:rsid w:val="38AC419D"/>
    <w:rsid w:val="38B302F9"/>
    <w:rsid w:val="38B62026"/>
    <w:rsid w:val="38C509BB"/>
    <w:rsid w:val="38DC0CD4"/>
    <w:rsid w:val="38E40E69"/>
    <w:rsid w:val="38F12CD3"/>
    <w:rsid w:val="38F94775"/>
    <w:rsid w:val="39052747"/>
    <w:rsid w:val="390908A8"/>
    <w:rsid w:val="390B62ED"/>
    <w:rsid w:val="390E1156"/>
    <w:rsid w:val="391A2AB5"/>
    <w:rsid w:val="391B48CE"/>
    <w:rsid w:val="391B6E47"/>
    <w:rsid w:val="39271832"/>
    <w:rsid w:val="392971ED"/>
    <w:rsid w:val="392B63C1"/>
    <w:rsid w:val="39325651"/>
    <w:rsid w:val="39465505"/>
    <w:rsid w:val="394E1422"/>
    <w:rsid w:val="39520D36"/>
    <w:rsid w:val="39700927"/>
    <w:rsid w:val="39763A64"/>
    <w:rsid w:val="39791968"/>
    <w:rsid w:val="39822790"/>
    <w:rsid w:val="398C7B39"/>
    <w:rsid w:val="39925315"/>
    <w:rsid w:val="39AC5ABC"/>
    <w:rsid w:val="39C70049"/>
    <w:rsid w:val="39CA6E7A"/>
    <w:rsid w:val="39D47AAF"/>
    <w:rsid w:val="39DE1440"/>
    <w:rsid w:val="39DE1778"/>
    <w:rsid w:val="39F54788"/>
    <w:rsid w:val="3A017471"/>
    <w:rsid w:val="3A047C42"/>
    <w:rsid w:val="3A10210A"/>
    <w:rsid w:val="3A2A1B78"/>
    <w:rsid w:val="3A2B4A80"/>
    <w:rsid w:val="3A38484F"/>
    <w:rsid w:val="3A3A5061"/>
    <w:rsid w:val="3A424645"/>
    <w:rsid w:val="3A5169AB"/>
    <w:rsid w:val="3A5C0EAC"/>
    <w:rsid w:val="3A836438"/>
    <w:rsid w:val="3A872856"/>
    <w:rsid w:val="3A941851"/>
    <w:rsid w:val="3A973E86"/>
    <w:rsid w:val="3A9C574C"/>
    <w:rsid w:val="3AA47430"/>
    <w:rsid w:val="3AA63F0A"/>
    <w:rsid w:val="3AAD7959"/>
    <w:rsid w:val="3ABA0FAC"/>
    <w:rsid w:val="3ACC7DDF"/>
    <w:rsid w:val="3AE3581A"/>
    <w:rsid w:val="3AE74C19"/>
    <w:rsid w:val="3AEA4709"/>
    <w:rsid w:val="3AF235BE"/>
    <w:rsid w:val="3B02333A"/>
    <w:rsid w:val="3B037959"/>
    <w:rsid w:val="3B1672AC"/>
    <w:rsid w:val="3B167E5D"/>
    <w:rsid w:val="3B194D4B"/>
    <w:rsid w:val="3B1D4814"/>
    <w:rsid w:val="3B3763D1"/>
    <w:rsid w:val="3B411C48"/>
    <w:rsid w:val="3B477C9E"/>
    <w:rsid w:val="3B617D7D"/>
    <w:rsid w:val="3B63496A"/>
    <w:rsid w:val="3B691AD2"/>
    <w:rsid w:val="3B761E3F"/>
    <w:rsid w:val="3B850342"/>
    <w:rsid w:val="3B8706E3"/>
    <w:rsid w:val="3B896766"/>
    <w:rsid w:val="3B8A2D5C"/>
    <w:rsid w:val="3B8B1E01"/>
    <w:rsid w:val="3B9B5A04"/>
    <w:rsid w:val="3BA40D5C"/>
    <w:rsid w:val="3BBC42F8"/>
    <w:rsid w:val="3BD74196"/>
    <w:rsid w:val="3BDF0BD9"/>
    <w:rsid w:val="3BEE0229"/>
    <w:rsid w:val="3BEF0614"/>
    <w:rsid w:val="3BEF4103"/>
    <w:rsid w:val="3BFC64A2"/>
    <w:rsid w:val="3C09790D"/>
    <w:rsid w:val="3C287389"/>
    <w:rsid w:val="3C2B38B3"/>
    <w:rsid w:val="3C2B6E41"/>
    <w:rsid w:val="3C2F6E1E"/>
    <w:rsid w:val="3C3519B4"/>
    <w:rsid w:val="3C3F7CB3"/>
    <w:rsid w:val="3C495460"/>
    <w:rsid w:val="3C4F64BA"/>
    <w:rsid w:val="3C597244"/>
    <w:rsid w:val="3C5A4C7B"/>
    <w:rsid w:val="3C5D7AF9"/>
    <w:rsid w:val="3C5E715D"/>
    <w:rsid w:val="3C6763D5"/>
    <w:rsid w:val="3C6C38AA"/>
    <w:rsid w:val="3C6E69BF"/>
    <w:rsid w:val="3C7C75E3"/>
    <w:rsid w:val="3C7F5F0B"/>
    <w:rsid w:val="3C8A7F52"/>
    <w:rsid w:val="3C902980"/>
    <w:rsid w:val="3C9133C2"/>
    <w:rsid w:val="3CA37266"/>
    <w:rsid w:val="3CA843FF"/>
    <w:rsid w:val="3CB727F0"/>
    <w:rsid w:val="3CC36A8A"/>
    <w:rsid w:val="3CD218F9"/>
    <w:rsid w:val="3CD92C87"/>
    <w:rsid w:val="3CDA245A"/>
    <w:rsid w:val="3CE5162C"/>
    <w:rsid w:val="3CF423A7"/>
    <w:rsid w:val="3CF86598"/>
    <w:rsid w:val="3CFA68B1"/>
    <w:rsid w:val="3D067F7B"/>
    <w:rsid w:val="3D0777F5"/>
    <w:rsid w:val="3D1635D1"/>
    <w:rsid w:val="3D1E06B7"/>
    <w:rsid w:val="3D2008B6"/>
    <w:rsid w:val="3D233A19"/>
    <w:rsid w:val="3D2527B8"/>
    <w:rsid w:val="3D340B48"/>
    <w:rsid w:val="3D3F5C0F"/>
    <w:rsid w:val="3D4B4C13"/>
    <w:rsid w:val="3D576EB3"/>
    <w:rsid w:val="3D6758BF"/>
    <w:rsid w:val="3D683943"/>
    <w:rsid w:val="3D7101CE"/>
    <w:rsid w:val="3D840D3C"/>
    <w:rsid w:val="3D886B92"/>
    <w:rsid w:val="3D8C2BB4"/>
    <w:rsid w:val="3D8F5FE3"/>
    <w:rsid w:val="3DA212CB"/>
    <w:rsid w:val="3DCD60AB"/>
    <w:rsid w:val="3DD05E38"/>
    <w:rsid w:val="3DF64F0C"/>
    <w:rsid w:val="3DFB1C7C"/>
    <w:rsid w:val="3E0C3A3A"/>
    <w:rsid w:val="3E0E78C4"/>
    <w:rsid w:val="3E1C701C"/>
    <w:rsid w:val="3E351E97"/>
    <w:rsid w:val="3E385C2A"/>
    <w:rsid w:val="3E414593"/>
    <w:rsid w:val="3E506F79"/>
    <w:rsid w:val="3E565E71"/>
    <w:rsid w:val="3E612F34"/>
    <w:rsid w:val="3E667EAF"/>
    <w:rsid w:val="3E676FF3"/>
    <w:rsid w:val="3E925D44"/>
    <w:rsid w:val="3E9A5977"/>
    <w:rsid w:val="3E9C21BE"/>
    <w:rsid w:val="3E9E292D"/>
    <w:rsid w:val="3EA24307"/>
    <w:rsid w:val="3EB219E2"/>
    <w:rsid w:val="3EB259B2"/>
    <w:rsid w:val="3EB44280"/>
    <w:rsid w:val="3EB72E05"/>
    <w:rsid w:val="3EC36B43"/>
    <w:rsid w:val="3ECB1DC0"/>
    <w:rsid w:val="3ED8395B"/>
    <w:rsid w:val="3EDA0523"/>
    <w:rsid w:val="3EE6343A"/>
    <w:rsid w:val="3EED705E"/>
    <w:rsid w:val="3EFC2E1E"/>
    <w:rsid w:val="3F033793"/>
    <w:rsid w:val="3F0833B0"/>
    <w:rsid w:val="3F177A97"/>
    <w:rsid w:val="3F1C75C5"/>
    <w:rsid w:val="3F3860FA"/>
    <w:rsid w:val="3F4150D3"/>
    <w:rsid w:val="3F4F25C2"/>
    <w:rsid w:val="3F584CF9"/>
    <w:rsid w:val="3F5F5E1E"/>
    <w:rsid w:val="3F631124"/>
    <w:rsid w:val="3F692013"/>
    <w:rsid w:val="3F6D053F"/>
    <w:rsid w:val="3F732F1F"/>
    <w:rsid w:val="3F786788"/>
    <w:rsid w:val="3F7E0DB1"/>
    <w:rsid w:val="3FA203E3"/>
    <w:rsid w:val="3FA806EF"/>
    <w:rsid w:val="3FB86B84"/>
    <w:rsid w:val="3FC412EE"/>
    <w:rsid w:val="3FC512A1"/>
    <w:rsid w:val="3FC65745"/>
    <w:rsid w:val="3FC70A70"/>
    <w:rsid w:val="3FC8460B"/>
    <w:rsid w:val="3FCA4B09"/>
    <w:rsid w:val="3FD6525C"/>
    <w:rsid w:val="3FD77732"/>
    <w:rsid w:val="3FE957D6"/>
    <w:rsid w:val="3FEA0D08"/>
    <w:rsid w:val="3FEF5B44"/>
    <w:rsid w:val="3FFF22C1"/>
    <w:rsid w:val="40041DC9"/>
    <w:rsid w:val="40045E93"/>
    <w:rsid w:val="4007375F"/>
    <w:rsid w:val="400B06A5"/>
    <w:rsid w:val="40227680"/>
    <w:rsid w:val="40282382"/>
    <w:rsid w:val="4033445D"/>
    <w:rsid w:val="403D352D"/>
    <w:rsid w:val="405C7E57"/>
    <w:rsid w:val="406B0409"/>
    <w:rsid w:val="407A6407"/>
    <w:rsid w:val="40860A30"/>
    <w:rsid w:val="40917A70"/>
    <w:rsid w:val="409C46F8"/>
    <w:rsid w:val="409E573B"/>
    <w:rsid w:val="40A322D5"/>
    <w:rsid w:val="40AF2066"/>
    <w:rsid w:val="40B31B4C"/>
    <w:rsid w:val="40B732E0"/>
    <w:rsid w:val="40BF2194"/>
    <w:rsid w:val="40C212B2"/>
    <w:rsid w:val="40CC4A91"/>
    <w:rsid w:val="40CE4185"/>
    <w:rsid w:val="40E5220F"/>
    <w:rsid w:val="40E542EC"/>
    <w:rsid w:val="411C38E1"/>
    <w:rsid w:val="413260C8"/>
    <w:rsid w:val="413C5593"/>
    <w:rsid w:val="414B4683"/>
    <w:rsid w:val="41540B2E"/>
    <w:rsid w:val="416845DA"/>
    <w:rsid w:val="41700E0F"/>
    <w:rsid w:val="41886B6E"/>
    <w:rsid w:val="418937C7"/>
    <w:rsid w:val="418B14BE"/>
    <w:rsid w:val="418C4BA1"/>
    <w:rsid w:val="418F7DE3"/>
    <w:rsid w:val="4198144A"/>
    <w:rsid w:val="41B46C8B"/>
    <w:rsid w:val="41B93F5F"/>
    <w:rsid w:val="41C07F72"/>
    <w:rsid w:val="41CF3793"/>
    <w:rsid w:val="41E1287A"/>
    <w:rsid w:val="41F43446"/>
    <w:rsid w:val="41F52311"/>
    <w:rsid w:val="41F84C65"/>
    <w:rsid w:val="41FC24FE"/>
    <w:rsid w:val="4200449D"/>
    <w:rsid w:val="4203048B"/>
    <w:rsid w:val="42097B6B"/>
    <w:rsid w:val="42145789"/>
    <w:rsid w:val="42146400"/>
    <w:rsid w:val="421952FE"/>
    <w:rsid w:val="421D3061"/>
    <w:rsid w:val="42322E82"/>
    <w:rsid w:val="42324479"/>
    <w:rsid w:val="42334364"/>
    <w:rsid w:val="423A0E69"/>
    <w:rsid w:val="423A3BCC"/>
    <w:rsid w:val="4248129F"/>
    <w:rsid w:val="424E57D2"/>
    <w:rsid w:val="425320A1"/>
    <w:rsid w:val="426434BB"/>
    <w:rsid w:val="42783312"/>
    <w:rsid w:val="428F3D21"/>
    <w:rsid w:val="42983F9A"/>
    <w:rsid w:val="429851E4"/>
    <w:rsid w:val="429A7657"/>
    <w:rsid w:val="42B26C49"/>
    <w:rsid w:val="42B364E9"/>
    <w:rsid w:val="42B76112"/>
    <w:rsid w:val="42B876E2"/>
    <w:rsid w:val="42E54702"/>
    <w:rsid w:val="42F75C15"/>
    <w:rsid w:val="43234EF1"/>
    <w:rsid w:val="432D1637"/>
    <w:rsid w:val="432F3601"/>
    <w:rsid w:val="433230F1"/>
    <w:rsid w:val="43397FDC"/>
    <w:rsid w:val="433A6FE6"/>
    <w:rsid w:val="433C77C0"/>
    <w:rsid w:val="433D77BD"/>
    <w:rsid w:val="434344E3"/>
    <w:rsid w:val="43480868"/>
    <w:rsid w:val="434925A1"/>
    <w:rsid w:val="4350713C"/>
    <w:rsid w:val="436653E0"/>
    <w:rsid w:val="43714E3B"/>
    <w:rsid w:val="43733D94"/>
    <w:rsid w:val="4382491C"/>
    <w:rsid w:val="43942A58"/>
    <w:rsid w:val="43982E21"/>
    <w:rsid w:val="43A822E6"/>
    <w:rsid w:val="43B106C1"/>
    <w:rsid w:val="43BD7978"/>
    <w:rsid w:val="43BF60EC"/>
    <w:rsid w:val="43C4431A"/>
    <w:rsid w:val="43C56D87"/>
    <w:rsid w:val="43C71E96"/>
    <w:rsid w:val="43DE2931"/>
    <w:rsid w:val="43EF0CDE"/>
    <w:rsid w:val="43F3604D"/>
    <w:rsid w:val="43F65B04"/>
    <w:rsid w:val="441C47D2"/>
    <w:rsid w:val="441D5B50"/>
    <w:rsid w:val="44290050"/>
    <w:rsid w:val="4429592B"/>
    <w:rsid w:val="44305883"/>
    <w:rsid w:val="44391B52"/>
    <w:rsid w:val="443D5EDB"/>
    <w:rsid w:val="44401044"/>
    <w:rsid w:val="444058F7"/>
    <w:rsid w:val="444906F3"/>
    <w:rsid w:val="444A6219"/>
    <w:rsid w:val="445E7200"/>
    <w:rsid w:val="44790ED4"/>
    <w:rsid w:val="4480513B"/>
    <w:rsid w:val="449821FE"/>
    <w:rsid w:val="44B951CC"/>
    <w:rsid w:val="44BA15F0"/>
    <w:rsid w:val="44C24001"/>
    <w:rsid w:val="44C602C6"/>
    <w:rsid w:val="44C80E47"/>
    <w:rsid w:val="44C9538F"/>
    <w:rsid w:val="44CD14E0"/>
    <w:rsid w:val="44D10F6F"/>
    <w:rsid w:val="44D83825"/>
    <w:rsid w:val="44D83AC7"/>
    <w:rsid w:val="44DC45F3"/>
    <w:rsid w:val="44E72980"/>
    <w:rsid w:val="44F07327"/>
    <w:rsid w:val="44F20B0B"/>
    <w:rsid w:val="44F527F3"/>
    <w:rsid w:val="4504286C"/>
    <w:rsid w:val="45091C30"/>
    <w:rsid w:val="450C512D"/>
    <w:rsid w:val="451259BD"/>
    <w:rsid w:val="45144FC2"/>
    <w:rsid w:val="452E5F4C"/>
    <w:rsid w:val="454A0C3D"/>
    <w:rsid w:val="4550160D"/>
    <w:rsid w:val="45501E2F"/>
    <w:rsid w:val="4553383C"/>
    <w:rsid w:val="45566508"/>
    <w:rsid w:val="456055DE"/>
    <w:rsid w:val="45612018"/>
    <w:rsid w:val="456357E4"/>
    <w:rsid w:val="457963A8"/>
    <w:rsid w:val="457C2402"/>
    <w:rsid w:val="458946E9"/>
    <w:rsid w:val="458A7FEE"/>
    <w:rsid w:val="45907FE8"/>
    <w:rsid w:val="45967968"/>
    <w:rsid w:val="459A184A"/>
    <w:rsid w:val="45A100BA"/>
    <w:rsid w:val="45A47C0E"/>
    <w:rsid w:val="45C346DA"/>
    <w:rsid w:val="45C86107"/>
    <w:rsid w:val="45C862F3"/>
    <w:rsid w:val="45E92931"/>
    <w:rsid w:val="45F93325"/>
    <w:rsid w:val="45FC10D8"/>
    <w:rsid w:val="460574EF"/>
    <w:rsid w:val="46081EE8"/>
    <w:rsid w:val="4614088C"/>
    <w:rsid w:val="461C7A3A"/>
    <w:rsid w:val="462A4554"/>
    <w:rsid w:val="463D7533"/>
    <w:rsid w:val="4651388E"/>
    <w:rsid w:val="46577FD6"/>
    <w:rsid w:val="46593418"/>
    <w:rsid w:val="46596776"/>
    <w:rsid w:val="465A3B29"/>
    <w:rsid w:val="466A4950"/>
    <w:rsid w:val="466E6ED7"/>
    <w:rsid w:val="467719C2"/>
    <w:rsid w:val="467A4AAC"/>
    <w:rsid w:val="468C5365"/>
    <w:rsid w:val="469E0229"/>
    <w:rsid w:val="469F7982"/>
    <w:rsid w:val="46A165C4"/>
    <w:rsid w:val="46A24CF0"/>
    <w:rsid w:val="46A744B3"/>
    <w:rsid w:val="46BD2CD2"/>
    <w:rsid w:val="46C43CD1"/>
    <w:rsid w:val="46D5626E"/>
    <w:rsid w:val="46D955A7"/>
    <w:rsid w:val="46DA1AD6"/>
    <w:rsid w:val="46F02E84"/>
    <w:rsid w:val="46FB3C9C"/>
    <w:rsid w:val="47014946"/>
    <w:rsid w:val="4709381B"/>
    <w:rsid w:val="47133957"/>
    <w:rsid w:val="471F1376"/>
    <w:rsid w:val="471F1BDF"/>
    <w:rsid w:val="473311E6"/>
    <w:rsid w:val="47382E34"/>
    <w:rsid w:val="47395190"/>
    <w:rsid w:val="4770243A"/>
    <w:rsid w:val="47761E60"/>
    <w:rsid w:val="47855EE6"/>
    <w:rsid w:val="4787063C"/>
    <w:rsid w:val="47872FF3"/>
    <w:rsid w:val="47977F99"/>
    <w:rsid w:val="47A07E0C"/>
    <w:rsid w:val="47B42955"/>
    <w:rsid w:val="47B440D5"/>
    <w:rsid w:val="47BE4F54"/>
    <w:rsid w:val="47E41EDC"/>
    <w:rsid w:val="47E75729"/>
    <w:rsid w:val="480706A9"/>
    <w:rsid w:val="480A7CD0"/>
    <w:rsid w:val="48237DF9"/>
    <w:rsid w:val="482926F9"/>
    <w:rsid w:val="483671E0"/>
    <w:rsid w:val="4847319B"/>
    <w:rsid w:val="484A67E7"/>
    <w:rsid w:val="484C6A03"/>
    <w:rsid w:val="48516CBB"/>
    <w:rsid w:val="485D03BE"/>
    <w:rsid w:val="486A0301"/>
    <w:rsid w:val="486E53B0"/>
    <w:rsid w:val="4870272E"/>
    <w:rsid w:val="487321E2"/>
    <w:rsid w:val="488A1EB4"/>
    <w:rsid w:val="488B5D63"/>
    <w:rsid w:val="48A24198"/>
    <w:rsid w:val="48A57EC2"/>
    <w:rsid w:val="48BD16AF"/>
    <w:rsid w:val="48C5283C"/>
    <w:rsid w:val="48CB5B7A"/>
    <w:rsid w:val="48D80297"/>
    <w:rsid w:val="48DB62F9"/>
    <w:rsid w:val="48F063FF"/>
    <w:rsid w:val="490E6B40"/>
    <w:rsid w:val="491206B6"/>
    <w:rsid w:val="491336AF"/>
    <w:rsid w:val="49236455"/>
    <w:rsid w:val="49247038"/>
    <w:rsid w:val="49284D7B"/>
    <w:rsid w:val="492E7EB7"/>
    <w:rsid w:val="49310574"/>
    <w:rsid w:val="4953791E"/>
    <w:rsid w:val="495F5ABB"/>
    <w:rsid w:val="496B5FDC"/>
    <w:rsid w:val="498034E0"/>
    <w:rsid w:val="499248EA"/>
    <w:rsid w:val="49942410"/>
    <w:rsid w:val="49A34401"/>
    <w:rsid w:val="49B26D3A"/>
    <w:rsid w:val="49C23456"/>
    <w:rsid w:val="49C54A76"/>
    <w:rsid w:val="49CA0BFE"/>
    <w:rsid w:val="49DC7715"/>
    <w:rsid w:val="49E0531B"/>
    <w:rsid w:val="49F66AEF"/>
    <w:rsid w:val="49F96717"/>
    <w:rsid w:val="49FA603E"/>
    <w:rsid w:val="49FE3D2D"/>
    <w:rsid w:val="4A023139"/>
    <w:rsid w:val="4A047FDD"/>
    <w:rsid w:val="4A0D3F70"/>
    <w:rsid w:val="4A135814"/>
    <w:rsid w:val="4A22381D"/>
    <w:rsid w:val="4A293794"/>
    <w:rsid w:val="4A2F1DED"/>
    <w:rsid w:val="4A3D3322"/>
    <w:rsid w:val="4A474538"/>
    <w:rsid w:val="4A4D4038"/>
    <w:rsid w:val="4A527BD5"/>
    <w:rsid w:val="4A54324A"/>
    <w:rsid w:val="4A7162AD"/>
    <w:rsid w:val="4A75193F"/>
    <w:rsid w:val="4A7B576F"/>
    <w:rsid w:val="4A861599"/>
    <w:rsid w:val="4A875AD1"/>
    <w:rsid w:val="4A8A3813"/>
    <w:rsid w:val="4A8A736F"/>
    <w:rsid w:val="4AA64DB0"/>
    <w:rsid w:val="4AB44DF5"/>
    <w:rsid w:val="4AB87960"/>
    <w:rsid w:val="4AC3759B"/>
    <w:rsid w:val="4AD978BD"/>
    <w:rsid w:val="4ADE1237"/>
    <w:rsid w:val="4AE42F23"/>
    <w:rsid w:val="4AE6178B"/>
    <w:rsid w:val="4AE67AEF"/>
    <w:rsid w:val="4AEC0365"/>
    <w:rsid w:val="4AEF0CFA"/>
    <w:rsid w:val="4AF13892"/>
    <w:rsid w:val="4AF173EE"/>
    <w:rsid w:val="4AF36B42"/>
    <w:rsid w:val="4AF3760A"/>
    <w:rsid w:val="4AF561A9"/>
    <w:rsid w:val="4AF930F4"/>
    <w:rsid w:val="4B076C12"/>
    <w:rsid w:val="4B0C5FD6"/>
    <w:rsid w:val="4B0E7724"/>
    <w:rsid w:val="4B330168"/>
    <w:rsid w:val="4B3A55EB"/>
    <w:rsid w:val="4B4602FF"/>
    <w:rsid w:val="4B555824"/>
    <w:rsid w:val="4B581CD4"/>
    <w:rsid w:val="4BA37B51"/>
    <w:rsid w:val="4BC900EE"/>
    <w:rsid w:val="4BE22A30"/>
    <w:rsid w:val="4BE96BA4"/>
    <w:rsid w:val="4BE97317"/>
    <w:rsid w:val="4BF67279"/>
    <w:rsid w:val="4BFC564E"/>
    <w:rsid w:val="4C0565E8"/>
    <w:rsid w:val="4C1B3622"/>
    <w:rsid w:val="4C1B541A"/>
    <w:rsid w:val="4C214D1D"/>
    <w:rsid w:val="4C2F7726"/>
    <w:rsid w:val="4C371778"/>
    <w:rsid w:val="4C3752D5"/>
    <w:rsid w:val="4C4638E7"/>
    <w:rsid w:val="4C4A0649"/>
    <w:rsid w:val="4C602A7D"/>
    <w:rsid w:val="4C7544D9"/>
    <w:rsid w:val="4C7A7B6E"/>
    <w:rsid w:val="4C7E5ECA"/>
    <w:rsid w:val="4C845E14"/>
    <w:rsid w:val="4C854292"/>
    <w:rsid w:val="4C876AA5"/>
    <w:rsid w:val="4C8A33B6"/>
    <w:rsid w:val="4C8D3AF2"/>
    <w:rsid w:val="4C9461E1"/>
    <w:rsid w:val="4CB84667"/>
    <w:rsid w:val="4CB9218D"/>
    <w:rsid w:val="4CBC3E50"/>
    <w:rsid w:val="4CC9018B"/>
    <w:rsid w:val="4CDB42F4"/>
    <w:rsid w:val="4CE026DE"/>
    <w:rsid w:val="4CF431C6"/>
    <w:rsid w:val="4D0E00FB"/>
    <w:rsid w:val="4D141627"/>
    <w:rsid w:val="4D176606"/>
    <w:rsid w:val="4D27359B"/>
    <w:rsid w:val="4D424A1E"/>
    <w:rsid w:val="4D583754"/>
    <w:rsid w:val="4D7A36CB"/>
    <w:rsid w:val="4D852924"/>
    <w:rsid w:val="4D8F68F1"/>
    <w:rsid w:val="4D9A5B1B"/>
    <w:rsid w:val="4DAE7CEA"/>
    <w:rsid w:val="4DB90697"/>
    <w:rsid w:val="4DBB5A0E"/>
    <w:rsid w:val="4DBC7F62"/>
    <w:rsid w:val="4DC9379F"/>
    <w:rsid w:val="4DCC712F"/>
    <w:rsid w:val="4DD3143C"/>
    <w:rsid w:val="4DD74FC1"/>
    <w:rsid w:val="4DDB7B31"/>
    <w:rsid w:val="4DDC25D7"/>
    <w:rsid w:val="4DEC4FB0"/>
    <w:rsid w:val="4DEF0D1A"/>
    <w:rsid w:val="4DF47921"/>
    <w:rsid w:val="4E047438"/>
    <w:rsid w:val="4E075D8A"/>
    <w:rsid w:val="4E113D7B"/>
    <w:rsid w:val="4E222C65"/>
    <w:rsid w:val="4E263853"/>
    <w:rsid w:val="4E306519"/>
    <w:rsid w:val="4E402B66"/>
    <w:rsid w:val="4E445AE0"/>
    <w:rsid w:val="4E50267E"/>
    <w:rsid w:val="4E5B174E"/>
    <w:rsid w:val="4E5D3762"/>
    <w:rsid w:val="4E661EA1"/>
    <w:rsid w:val="4E7034CC"/>
    <w:rsid w:val="4E9076C8"/>
    <w:rsid w:val="4E9C58C3"/>
    <w:rsid w:val="4EA260B7"/>
    <w:rsid w:val="4EA35120"/>
    <w:rsid w:val="4EAB059E"/>
    <w:rsid w:val="4EB8094F"/>
    <w:rsid w:val="4EBD41B7"/>
    <w:rsid w:val="4EC00FAD"/>
    <w:rsid w:val="4ECA2430"/>
    <w:rsid w:val="4ECD6A52"/>
    <w:rsid w:val="4ED0393D"/>
    <w:rsid w:val="4ED84B4D"/>
    <w:rsid w:val="4EDC729E"/>
    <w:rsid w:val="4EE002CE"/>
    <w:rsid w:val="4EE03A01"/>
    <w:rsid w:val="4EF70D4B"/>
    <w:rsid w:val="4F02606E"/>
    <w:rsid w:val="4F124F23"/>
    <w:rsid w:val="4F1B2C8C"/>
    <w:rsid w:val="4F25282C"/>
    <w:rsid w:val="4F2E38ED"/>
    <w:rsid w:val="4F2F06D5"/>
    <w:rsid w:val="4F3B50DC"/>
    <w:rsid w:val="4F3E2EC5"/>
    <w:rsid w:val="4F43529A"/>
    <w:rsid w:val="4F525369"/>
    <w:rsid w:val="4F697E9B"/>
    <w:rsid w:val="4F6E3703"/>
    <w:rsid w:val="4F734876"/>
    <w:rsid w:val="4F801DF4"/>
    <w:rsid w:val="4F87473E"/>
    <w:rsid w:val="4F886F16"/>
    <w:rsid w:val="4F9843DC"/>
    <w:rsid w:val="4FA533F7"/>
    <w:rsid w:val="4FC375BA"/>
    <w:rsid w:val="4FC62A8C"/>
    <w:rsid w:val="4FD42BF3"/>
    <w:rsid w:val="4FD8732F"/>
    <w:rsid w:val="4FE20F0D"/>
    <w:rsid w:val="4FE51552"/>
    <w:rsid w:val="4FFC43BC"/>
    <w:rsid w:val="50010541"/>
    <w:rsid w:val="50060737"/>
    <w:rsid w:val="500A7532"/>
    <w:rsid w:val="501C7060"/>
    <w:rsid w:val="502E427B"/>
    <w:rsid w:val="503947DA"/>
    <w:rsid w:val="504764C2"/>
    <w:rsid w:val="504A7E7F"/>
    <w:rsid w:val="50504C4B"/>
    <w:rsid w:val="505F55FF"/>
    <w:rsid w:val="50645C81"/>
    <w:rsid w:val="506643DA"/>
    <w:rsid w:val="50760AC1"/>
    <w:rsid w:val="50854D82"/>
    <w:rsid w:val="50921448"/>
    <w:rsid w:val="5095641D"/>
    <w:rsid w:val="509C6E7C"/>
    <w:rsid w:val="509F2F5A"/>
    <w:rsid w:val="50A1128E"/>
    <w:rsid w:val="50A2798F"/>
    <w:rsid w:val="50B26775"/>
    <w:rsid w:val="50CB6753"/>
    <w:rsid w:val="50CC06E1"/>
    <w:rsid w:val="51002C81"/>
    <w:rsid w:val="51112598"/>
    <w:rsid w:val="511E6D6C"/>
    <w:rsid w:val="51217DAD"/>
    <w:rsid w:val="512C4D81"/>
    <w:rsid w:val="5131086D"/>
    <w:rsid w:val="51501CA0"/>
    <w:rsid w:val="51560124"/>
    <w:rsid w:val="5162104E"/>
    <w:rsid w:val="51691723"/>
    <w:rsid w:val="517915DE"/>
    <w:rsid w:val="517968B3"/>
    <w:rsid w:val="519136D9"/>
    <w:rsid w:val="51932D9F"/>
    <w:rsid w:val="519A07DF"/>
    <w:rsid w:val="51A45DAD"/>
    <w:rsid w:val="51AA0D3B"/>
    <w:rsid w:val="51C75697"/>
    <w:rsid w:val="51D36E47"/>
    <w:rsid w:val="51D75590"/>
    <w:rsid w:val="51E90E1F"/>
    <w:rsid w:val="51FE1C65"/>
    <w:rsid w:val="5214437F"/>
    <w:rsid w:val="522622C5"/>
    <w:rsid w:val="5233030C"/>
    <w:rsid w:val="524507B0"/>
    <w:rsid w:val="524F7B77"/>
    <w:rsid w:val="52597970"/>
    <w:rsid w:val="5261256F"/>
    <w:rsid w:val="52725F5B"/>
    <w:rsid w:val="52770B21"/>
    <w:rsid w:val="5277184B"/>
    <w:rsid w:val="5279774B"/>
    <w:rsid w:val="527A31A0"/>
    <w:rsid w:val="527E6ADD"/>
    <w:rsid w:val="528027DA"/>
    <w:rsid w:val="528B0128"/>
    <w:rsid w:val="52987209"/>
    <w:rsid w:val="52B20B63"/>
    <w:rsid w:val="52B80542"/>
    <w:rsid w:val="52BE06D4"/>
    <w:rsid w:val="52DD4E28"/>
    <w:rsid w:val="52E62769"/>
    <w:rsid w:val="52E73141"/>
    <w:rsid w:val="52ED0DE3"/>
    <w:rsid w:val="530C023B"/>
    <w:rsid w:val="53294BCE"/>
    <w:rsid w:val="53300999"/>
    <w:rsid w:val="53317D50"/>
    <w:rsid w:val="53364538"/>
    <w:rsid w:val="5339256F"/>
    <w:rsid w:val="533B7BB0"/>
    <w:rsid w:val="533E4CD2"/>
    <w:rsid w:val="535429E1"/>
    <w:rsid w:val="535F0737"/>
    <w:rsid w:val="53661EE6"/>
    <w:rsid w:val="53805E05"/>
    <w:rsid w:val="538C27E2"/>
    <w:rsid w:val="539D7F6A"/>
    <w:rsid w:val="53A039CC"/>
    <w:rsid w:val="53A1505A"/>
    <w:rsid w:val="53A15C5F"/>
    <w:rsid w:val="53AD3748"/>
    <w:rsid w:val="53B91A84"/>
    <w:rsid w:val="53D004E8"/>
    <w:rsid w:val="53D120E9"/>
    <w:rsid w:val="53D545C9"/>
    <w:rsid w:val="53E04B08"/>
    <w:rsid w:val="53ED2BBF"/>
    <w:rsid w:val="5406215C"/>
    <w:rsid w:val="54063E08"/>
    <w:rsid w:val="540647E3"/>
    <w:rsid w:val="5415414D"/>
    <w:rsid w:val="541A5E66"/>
    <w:rsid w:val="54332825"/>
    <w:rsid w:val="54337EBF"/>
    <w:rsid w:val="543437E8"/>
    <w:rsid w:val="543F19D3"/>
    <w:rsid w:val="54481CD5"/>
    <w:rsid w:val="544A0D27"/>
    <w:rsid w:val="54536FA9"/>
    <w:rsid w:val="54554D76"/>
    <w:rsid w:val="54593002"/>
    <w:rsid w:val="545A24A8"/>
    <w:rsid w:val="54600865"/>
    <w:rsid w:val="54716F87"/>
    <w:rsid w:val="54837309"/>
    <w:rsid w:val="548E7AAC"/>
    <w:rsid w:val="548E7F41"/>
    <w:rsid w:val="5492579E"/>
    <w:rsid w:val="549529EF"/>
    <w:rsid w:val="549C2B75"/>
    <w:rsid w:val="54A77532"/>
    <w:rsid w:val="54AD1563"/>
    <w:rsid w:val="54C2411D"/>
    <w:rsid w:val="54C60AEF"/>
    <w:rsid w:val="54DD42F9"/>
    <w:rsid w:val="54DE7749"/>
    <w:rsid w:val="54E07D7B"/>
    <w:rsid w:val="54E8032C"/>
    <w:rsid w:val="54ED0C26"/>
    <w:rsid w:val="54F40EBF"/>
    <w:rsid w:val="54F73313"/>
    <w:rsid w:val="54F77CF7"/>
    <w:rsid w:val="54F80955"/>
    <w:rsid w:val="5515750B"/>
    <w:rsid w:val="551921DB"/>
    <w:rsid w:val="55286102"/>
    <w:rsid w:val="55287EB0"/>
    <w:rsid w:val="552C1548"/>
    <w:rsid w:val="55346257"/>
    <w:rsid w:val="553700F3"/>
    <w:rsid w:val="553920BD"/>
    <w:rsid w:val="553B2A4C"/>
    <w:rsid w:val="553C2D8E"/>
    <w:rsid w:val="555170A7"/>
    <w:rsid w:val="555F1642"/>
    <w:rsid w:val="556062F3"/>
    <w:rsid w:val="5562761C"/>
    <w:rsid w:val="556E620B"/>
    <w:rsid w:val="557E378D"/>
    <w:rsid w:val="558511DC"/>
    <w:rsid w:val="5587536D"/>
    <w:rsid w:val="558A0B6B"/>
    <w:rsid w:val="558B4D6C"/>
    <w:rsid w:val="559B174B"/>
    <w:rsid w:val="55A4648E"/>
    <w:rsid w:val="55AB2BF3"/>
    <w:rsid w:val="55B464A8"/>
    <w:rsid w:val="55C027DF"/>
    <w:rsid w:val="55C8432B"/>
    <w:rsid w:val="55CE0CF4"/>
    <w:rsid w:val="55CF4853"/>
    <w:rsid w:val="55D479B0"/>
    <w:rsid w:val="55DC4554"/>
    <w:rsid w:val="55DC6449"/>
    <w:rsid w:val="55E90F00"/>
    <w:rsid w:val="55FB55C5"/>
    <w:rsid w:val="560662B2"/>
    <w:rsid w:val="56090611"/>
    <w:rsid w:val="56181FBC"/>
    <w:rsid w:val="562869C7"/>
    <w:rsid w:val="56332DF3"/>
    <w:rsid w:val="564927D4"/>
    <w:rsid w:val="564E5C50"/>
    <w:rsid w:val="565E7D99"/>
    <w:rsid w:val="566A00AD"/>
    <w:rsid w:val="56833DAD"/>
    <w:rsid w:val="56866378"/>
    <w:rsid w:val="568F73D6"/>
    <w:rsid w:val="569346A3"/>
    <w:rsid w:val="569A6B8C"/>
    <w:rsid w:val="56A17847"/>
    <w:rsid w:val="56A26130"/>
    <w:rsid w:val="56A33C92"/>
    <w:rsid w:val="56B22A9C"/>
    <w:rsid w:val="56B26E39"/>
    <w:rsid w:val="56BA5480"/>
    <w:rsid w:val="56D77564"/>
    <w:rsid w:val="56D976B4"/>
    <w:rsid w:val="56DF2ACC"/>
    <w:rsid w:val="56ED0DEC"/>
    <w:rsid w:val="56F95D5D"/>
    <w:rsid w:val="57007337"/>
    <w:rsid w:val="572040F2"/>
    <w:rsid w:val="57254969"/>
    <w:rsid w:val="572A1AE2"/>
    <w:rsid w:val="572A5F55"/>
    <w:rsid w:val="572C12E3"/>
    <w:rsid w:val="5730275F"/>
    <w:rsid w:val="573220FC"/>
    <w:rsid w:val="575D7FB1"/>
    <w:rsid w:val="576226E2"/>
    <w:rsid w:val="57770C7B"/>
    <w:rsid w:val="577E6A3F"/>
    <w:rsid w:val="57801767"/>
    <w:rsid w:val="578D73B3"/>
    <w:rsid w:val="57922BE2"/>
    <w:rsid w:val="579237A1"/>
    <w:rsid w:val="57996704"/>
    <w:rsid w:val="579F7DD9"/>
    <w:rsid w:val="57A537C4"/>
    <w:rsid w:val="57B72A76"/>
    <w:rsid w:val="57B819BF"/>
    <w:rsid w:val="57C3426C"/>
    <w:rsid w:val="57C6437D"/>
    <w:rsid w:val="57C739B1"/>
    <w:rsid w:val="57CE1F93"/>
    <w:rsid w:val="57D12A81"/>
    <w:rsid w:val="57DA32E7"/>
    <w:rsid w:val="57DE484E"/>
    <w:rsid w:val="57E24C8E"/>
    <w:rsid w:val="57EF4CB5"/>
    <w:rsid w:val="57FE015A"/>
    <w:rsid w:val="5805084B"/>
    <w:rsid w:val="581666E6"/>
    <w:rsid w:val="58173A48"/>
    <w:rsid w:val="583D479C"/>
    <w:rsid w:val="58555460"/>
    <w:rsid w:val="585C0AAA"/>
    <w:rsid w:val="587972C4"/>
    <w:rsid w:val="587F59E9"/>
    <w:rsid w:val="58810003"/>
    <w:rsid w:val="588743D1"/>
    <w:rsid w:val="5887701A"/>
    <w:rsid w:val="589B5060"/>
    <w:rsid w:val="58A25D49"/>
    <w:rsid w:val="58AE691E"/>
    <w:rsid w:val="58B77EC9"/>
    <w:rsid w:val="58BC4DE7"/>
    <w:rsid w:val="58C646F3"/>
    <w:rsid w:val="58C817A8"/>
    <w:rsid w:val="58D77C23"/>
    <w:rsid w:val="58DD55BF"/>
    <w:rsid w:val="58FC5AE7"/>
    <w:rsid w:val="5903700D"/>
    <w:rsid w:val="59043826"/>
    <w:rsid w:val="59054C65"/>
    <w:rsid w:val="59064EB4"/>
    <w:rsid w:val="59095893"/>
    <w:rsid w:val="590D1897"/>
    <w:rsid w:val="59106230"/>
    <w:rsid w:val="59154BEF"/>
    <w:rsid w:val="592F0CF1"/>
    <w:rsid w:val="59376914"/>
    <w:rsid w:val="593B1D80"/>
    <w:rsid w:val="59452BC9"/>
    <w:rsid w:val="594C4805"/>
    <w:rsid w:val="594E08C1"/>
    <w:rsid w:val="59513E7A"/>
    <w:rsid w:val="59573D78"/>
    <w:rsid w:val="59655497"/>
    <w:rsid w:val="5967369D"/>
    <w:rsid w:val="596F44B8"/>
    <w:rsid w:val="59722042"/>
    <w:rsid w:val="59935179"/>
    <w:rsid w:val="599947F9"/>
    <w:rsid w:val="599B6EA3"/>
    <w:rsid w:val="59B80E3B"/>
    <w:rsid w:val="59C0439F"/>
    <w:rsid w:val="59D161B4"/>
    <w:rsid w:val="59D4413A"/>
    <w:rsid w:val="59DD395F"/>
    <w:rsid w:val="59DD74BB"/>
    <w:rsid w:val="59DE302D"/>
    <w:rsid w:val="5A010301"/>
    <w:rsid w:val="5A0377E1"/>
    <w:rsid w:val="5A050D40"/>
    <w:rsid w:val="5A086C57"/>
    <w:rsid w:val="5A346F06"/>
    <w:rsid w:val="5A4E660B"/>
    <w:rsid w:val="5A543EB1"/>
    <w:rsid w:val="5A5F41DA"/>
    <w:rsid w:val="5A663955"/>
    <w:rsid w:val="5A673229"/>
    <w:rsid w:val="5A6F175C"/>
    <w:rsid w:val="5A84202D"/>
    <w:rsid w:val="5A872219"/>
    <w:rsid w:val="5A87493B"/>
    <w:rsid w:val="5A8C0168"/>
    <w:rsid w:val="5A966A76"/>
    <w:rsid w:val="5A9A6D5A"/>
    <w:rsid w:val="5ABE2233"/>
    <w:rsid w:val="5AC22CFB"/>
    <w:rsid w:val="5AC6530A"/>
    <w:rsid w:val="5ACB37B8"/>
    <w:rsid w:val="5AEF4C09"/>
    <w:rsid w:val="5B016C67"/>
    <w:rsid w:val="5B083A99"/>
    <w:rsid w:val="5B0D2022"/>
    <w:rsid w:val="5B2B4256"/>
    <w:rsid w:val="5B2D6220"/>
    <w:rsid w:val="5B434A6C"/>
    <w:rsid w:val="5B495C1D"/>
    <w:rsid w:val="5B4F5A35"/>
    <w:rsid w:val="5B526D62"/>
    <w:rsid w:val="5B5B0F77"/>
    <w:rsid w:val="5B6A7475"/>
    <w:rsid w:val="5B736DEC"/>
    <w:rsid w:val="5B967389"/>
    <w:rsid w:val="5BA412AE"/>
    <w:rsid w:val="5BA47012"/>
    <w:rsid w:val="5BB656F3"/>
    <w:rsid w:val="5BC01376"/>
    <w:rsid w:val="5BCB0D3D"/>
    <w:rsid w:val="5BCC6A4F"/>
    <w:rsid w:val="5BDF5D95"/>
    <w:rsid w:val="5BE54A10"/>
    <w:rsid w:val="5BF02B14"/>
    <w:rsid w:val="5BFB00CD"/>
    <w:rsid w:val="5BFE7528"/>
    <w:rsid w:val="5C1D09EF"/>
    <w:rsid w:val="5C447CC6"/>
    <w:rsid w:val="5C461929"/>
    <w:rsid w:val="5C4F0418"/>
    <w:rsid w:val="5C6B5F1C"/>
    <w:rsid w:val="5C7120A5"/>
    <w:rsid w:val="5C8C6276"/>
    <w:rsid w:val="5C934933"/>
    <w:rsid w:val="5CAF6C7B"/>
    <w:rsid w:val="5CB16A99"/>
    <w:rsid w:val="5CBA51DF"/>
    <w:rsid w:val="5CBC654C"/>
    <w:rsid w:val="5CCC2D71"/>
    <w:rsid w:val="5CD30853"/>
    <w:rsid w:val="5CE85A87"/>
    <w:rsid w:val="5D063347"/>
    <w:rsid w:val="5D156DAF"/>
    <w:rsid w:val="5D1A0A26"/>
    <w:rsid w:val="5D1D4073"/>
    <w:rsid w:val="5D320F50"/>
    <w:rsid w:val="5D354E3F"/>
    <w:rsid w:val="5D3A1196"/>
    <w:rsid w:val="5D437847"/>
    <w:rsid w:val="5D6746C8"/>
    <w:rsid w:val="5D812854"/>
    <w:rsid w:val="5D861B97"/>
    <w:rsid w:val="5D86734D"/>
    <w:rsid w:val="5D89345F"/>
    <w:rsid w:val="5D8A421E"/>
    <w:rsid w:val="5D995DEF"/>
    <w:rsid w:val="5D9E423F"/>
    <w:rsid w:val="5DAB7FE2"/>
    <w:rsid w:val="5DB46785"/>
    <w:rsid w:val="5DB75FEF"/>
    <w:rsid w:val="5DC12509"/>
    <w:rsid w:val="5DC22E70"/>
    <w:rsid w:val="5DCA3BA2"/>
    <w:rsid w:val="5DCC3C76"/>
    <w:rsid w:val="5DD13BCE"/>
    <w:rsid w:val="5DDA048B"/>
    <w:rsid w:val="5DDA6425"/>
    <w:rsid w:val="5DDE3B09"/>
    <w:rsid w:val="5DF474C9"/>
    <w:rsid w:val="5E070FAB"/>
    <w:rsid w:val="5E12553E"/>
    <w:rsid w:val="5E2467F1"/>
    <w:rsid w:val="5E350D7F"/>
    <w:rsid w:val="5E376FFB"/>
    <w:rsid w:val="5E42473E"/>
    <w:rsid w:val="5E443898"/>
    <w:rsid w:val="5E6D5EFA"/>
    <w:rsid w:val="5E736001"/>
    <w:rsid w:val="5E7B690F"/>
    <w:rsid w:val="5E875C48"/>
    <w:rsid w:val="5E903A08"/>
    <w:rsid w:val="5EAF23BC"/>
    <w:rsid w:val="5EB57DD4"/>
    <w:rsid w:val="5EC24ED2"/>
    <w:rsid w:val="5ECE3876"/>
    <w:rsid w:val="5ECE3AFA"/>
    <w:rsid w:val="5EDE603C"/>
    <w:rsid w:val="5EE412EC"/>
    <w:rsid w:val="5EE94B54"/>
    <w:rsid w:val="5EF04BE4"/>
    <w:rsid w:val="5EFD0600"/>
    <w:rsid w:val="5F00302E"/>
    <w:rsid w:val="5F040734"/>
    <w:rsid w:val="5F08273A"/>
    <w:rsid w:val="5F100333"/>
    <w:rsid w:val="5F137FB4"/>
    <w:rsid w:val="5F1A2B43"/>
    <w:rsid w:val="5F227300"/>
    <w:rsid w:val="5F260EC9"/>
    <w:rsid w:val="5F296CFF"/>
    <w:rsid w:val="5F2D0CB2"/>
    <w:rsid w:val="5F313B3B"/>
    <w:rsid w:val="5F3758C0"/>
    <w:rsid w:val="5F45141C"/>
    <w:rsid w:val="5F517FEB"/>
    <w:rsid w:val="5F557AF4"/>
    <w:rsid w:val="5F575A0E"/>
    <w:rsid w:val="5F5B2795"/>
    <w:rsid w:val="5F7256A2"/>
    <w:rsid w:val="5F742670"/>
    <w:rsid w:val="5F751F44"/>
    <w:rsid w:val="5F765085"/>
    <w:rsid w:val="5F8108E9"/>
    <w:rsid w:val="5F8416C1"/>
    <w:rsid w:val="5F8E2EF0"/>
    <w:rsid w:val="5F944621"/>
    <w:rsid w:val="5F9475B4"/>
    <w:rsid w:val="5F97010C"/>
    <w:rsid w:val="5FB837BB"/>
    <w:rsid w:val="5FC01B40"/>
    <w:rsid w:val="5FCC24AC"/>
    <w:rsid w:val="5FD6796B"/>
    <w:rsid w:val="5FDB16AC"/>
    <w:rsid w:val="5FEC3A99"/>
    <w:rsid w:val="5FF13CC0"/>
    <w:rsid w:val="5FFC7ACF"/>
    <w:rsid w:val="5FFE3D6F"/>
    <w:rsid w:val="60040DB5"/>
    <w:rsid w:val="60074E77"/>
    <w:rsid w:val="600E0B37"/>
    <w:rsid w:val="601E364E"/>
    <w:rsid w:val="601E3B3A"/>
    <w:rsid w:val="60335FE2"/>
    <w:rsid w:val="60455DBA"/>
    <w:rsid w:val="604D18E0"/>
    <w:rsid w:val="604E3645"/>
    <w:rsid w:val="60544992"/>
    <w:rsid w:val="60545FFD"/>
    <w:rsid w:val="605636D6"/>
    <w:rsid w:val="606673AF"/>
    <w:rsid w:val="60673F83"/>
    <w:rsid w:val="606773DD"/>
    <w:rsid w:val="606D4E40"/>
    <w:rsid w:val="606D70BF"/>
    <w:rsid w:val="606D7A20"/>
    <w:rsid w:val="60747998"/>
    <w:rsid w:val="60787F3E"/>
    <w:rsid w:val="60806EC7"/>
    <w:rsid w:val="608C04A1"/>
    <w:rsid w:val="60910E44"/>
    <w:rsid w:val="609146FA"/>
    <w:rsid w:val="609A5D16"/>
    <w:rsid w:val="60B30F76"/>
    <w:rsid w:val="60B41BD6"/>
    <w:rsid w:val="60B847DE"/>
    <w:rsid w:val="60B96AA5"/>
    <w:rsid w:val="60BA325A"/>
    <w:rsid w:val="60C85F34"/>
    <w:rsid w:val="60CB52E1"/>
    <w:rsid w:val="60CC028A"/>
    <w:rsid w:val="60CC2038"/>
    <w:rsid w:val="60CC405A"/>
    <w:rsid w:val="60D03CE6"/>
    <w:rsid w:val="60D75253"/>
    <w:rsid w:val="60E65792"/>
    <w:rsid w:val="60E920A8"/>
    <w:rsid w:val="60F35816"/>
    <w:rsid w:val="60F5760B"/>
    <w:rsid w:val="60F97ECA"/>
    <w:rsid w:val="60FD6695"/>
    <w:rsid w:val="61034831"/>
    <w:rsid w:val="610500B6"/>
    <w:rsid w:val="6106379C"/>
    <w:rsid w:val="610E08A2"/>
    <w:rsid w:val="610F0176"/>
    <w:rsid w:val="61176488"/>
    <w:rsid w:val="611A7247"/>
    <w:rsid w:val="611D0AE5"/>
    <w:rsid w:val="612B1400"/>
    <w:rsid w:val="612B3D44"/>
    <w:rsid w:val="61396388"/>
    <w:rsid w:val="613C4731"/>
    <w:rsid w:val="614602C6"/>
    <w:rsid w:val="614D2631"/>
    <w:rsid w:val="615111E5"/>
    <w:rsid w:val="61535848"/>
    <w:rsid w:val="61595635"/>
    <w:rsid w:val="615A278A"/>
    <w:rsid w:val="61664B54"/>
    <w:rsid w:val="61833108"/>
    <w:rsid w:val="6188537B"/>
    <w:rsid w:val="61987DD4"/>
    <w:rsid w:val="61A14B47"/>
    <w:rsid w:val="61A55BC1"/>
    <w:rsid w:val="61A62640"/>
    <w:rsid w:val="61B01D01"/>
    <w:rsid w:val="61BA6A89"/>
    <w:rsid w:val="61BE18D7"/>
    <w:rsid w:val="61BF2475"/>
    <w:rsid w:val="61CE6C3A"/>
    <w:rsid w:val="61D871BF"/>
    <w:rsid w:val="61E215D8"/>
    <w:rsid w:val="61EB6425"/>
    <w:rsid w:val="62053A53"/>
    <w:rsid w:val="620677CB"/>
    <w:rsid w:val="620C3034"/>
    <w:rsid w:val="621023F8"/>
    <w:rsid w:val="62166324"/>
    <w:rsid w:val="621B3775"/>
    <w:rsid w:val="622467F9"/>
    <w:rsid w:val="62364782"/>
    <w:rsid w:val="624B3430"/>
    <w:rsid w:val="624C1409"/>
    <w:rsid w:val="62550D67"/>
    <w:rsid w:val="62742B41"/>
    <w:rsid w:val="6275195C"/>
    <w:rsid w:val="627961EF"/>
    <w:rsid w:val="628A5227"/>
    <w:rsid w:val="62A70AF4"/>
    <w:rsid w:val="62B25510"/>
    <w:rsid w:val="62BF0F4A"/>
    <w:rsid w:val="62C64B81"/>
    <w:rsid w:val="62C86755"/>
    <w:rsid w:val="62D07C7B"/>
    <w:rsid w:val="62E74328"/>
    <w:rsid w:val="62E93C16"/>
    <w:rsid w:val="62E96ED1"/>
    <w:rsid w:val="63084DB5"/>
    <w:rsid w:val="630A5BB9"/>
    <w:rsid w:val="631B2E02"/>
    <w:rsid w:val="631C6EC2"/>
    <w:rsid w:val="63247F09"/>
    <w:rsid w:val="63267D59"/>
    <w:rsid w:val="63395D1F"/>
    <w:rsid w:val="633B5253"/>
    <w:rsid w:val="635822A8"/>
    <w:rsid w:val="63613FEC"/>
    <w:rsid w:val="63770981"/>
    <w:rsid w:val="63775101"/>
    <w:rsid w:val="638210D3"/>
    <w:rsid w:val="63867252"/>
    <w:rsid w:val="63902335"/>
    <w:rsid w:val="6394356A"/>
    <w:rsid w:val="63B4281C"/>
    <w:rsid w:val="63C61B2C"/>
    <w:rsid w:val="63D40BE9"/>
    <w:rsid w:val="63D95577"/>
    <w:rsid w:val="63F25419"/>
    <w:rsid w:val="64077A2E"/>
    <w:rsid w:val="640E74E1"/>
    <w:rsid w:val="64102431"/>
    <w:rsid w:val="64193C8D"/>
    <w:rsid w:val="64196D62"/>
    <w:rsid w:val="64283E1A"/>
    <w:rsid w:val="642F4DB7"/>
    <w:rsid w:val="64357EF4"/>
    <w:rsid w:val="643979E4"/>
    <w:rsid w:val="643C2B82"/>
    <w:rsid w:val="644E0CF8"/>
    <w:rsid w:val="645962D8"/>
    <w:rsid w:val="646233E5"/>
    <w:rsid w:val="647E105E"/>
    <w:rsid w:val="647E5D3F"/>
    <w:rsid w:val="64866ED7"/>
    <w:rsid w:val="648B13FC"/>
    <w:rsid w:val="64A06F1A"/>
    <w:rsid w:val="64A5243A"/>
    <w:rsid w:val="64B0793F"/>
    <w:rsid w:val="64BE438D"/>
    <w:rsid w:val="64C567C0"/>
    <w:rsid w:val="64CE1DD0"/>
    <w:rsid w:val="64D21700"/>
    <w:rsid w:val="64D70FAB"/>
    <w:rsid w:val="64D8544F"/>
    <w:rsid w:val="64DB4F3F"/>
    <w:rsid w:val="64E709F4"/>
    <w:rsid w:val="64F531DE"/>
    <w:rsid w:val="64FE478A"/>
    <w:rsid w:val="65053D6A"/>
    <w:rsid w:val="65084EC0"/>
    <w:rsid w:val="650C334B"/>
    <w:rsid w:val="650F6997"/>
    <w:rsid w:val="65146928"/>
    <w:rsid w:val="65217BAE"/>
    <w:rsid w:val="65232394"/>
    <w:rsid w:val="65257F68"/>
    <w:rsid w:val="653004DD"/>
    <w:rsid w:val="653059C1"/>
    <w:rsid w:val="65373578"/>
    <w:rsid w:val="653A4E97"/>
    <w:rsid w:val="653D52B2"/>
    <w:rsid w:val="6541588C"/>
    <w:rsid w:val="65476E6B"/>
    <w:rsid w:val="654836CC"/>
    <w:rsid w:val="654A5CB3"/>
    <w:rsid w:val="655C0B7F"/>
    <w:rsid w:val="65792D5F"/>
    <w:rsid w:val="6587477F"/>
    <w:rsid w:val="658E5E30"/>
    <w:rsid w:val="65962C14"/>
    <w:rsid w:val="659B1F8D"/>
    <w:rsid w:val="659B2AFD"/>
    <w:rsid w:val="65A131CF"/>
    <w:rsid w:val="65A73073"/>
    <w:rsid w:val="65AB6FD8"/>
    <w:rsid w:val="65B57667"/>
    <w:rsid w:val="65C07C91"/>
    <w:rsid w:val="65F04A1A"/>
    <w:rsid w:val="66124991"/>
    <w:rsid w:val="66325812"/>
    <w:rsid w:val="66326DE1"/>
    <w:rsid w:val="664D6276"/>
    <w:rsid w:val="66503769"/>
    <w:rsid w:val="665C1EBB"/>
    <w:rsid w:val="667072D2"/>
    <w:rsid w:val="66902780"/>
    <w:rsid w:val="66966887"/>
    <w:rsid w:val="66AB0941"/>
    <w:rsid w:val="66BB5E60"/>
    <w:rsid w:val="66C13CC1"/>
    <w:rsid w:val="66C65E52"/>
    <w:rsid w:val="66CC0FE3"/>
    <w:rsid w:val="66CC2D91"/>
    <w:rsid w:val="66D60719"/>
    <w:rsid w:val="66D86229"/>
    <w:rsid w:val="66DF2B09"/>
    <w:rsid w:val="66E83943"/>
    <w:rsid w:val="66F6618A"/>
    <w:rsid w:val="66F916AD"/>
    <w:rsid w:val="67032D6C"/>
    <w:rsid w:val="670D78BE"/>
    <w:rsid w:val="6710221E"/>
    <w:rsid w:val="67174AB4"/>
    <w:rsid w:val="671C07CC"/>
    <w:rsid w:val="671F124A"/>
    <w:rsid w:val="672202C5"/>
    <w:rsid w:val="672A6C8F"/>
    <w:rsid w:val="672B7D05"/>
    <w:rsid w:val="673D5CE0"/>
    <w:rsid w:val="674541D3"/>
    <w:rsid w:val="674F7A65"/>
    <w:rsid w:val="675B18CF"/>
    <w:rsid w:val="675F0763"/>
    <w:rsid w:val="67631FF9"/>
    <w:rsid w:val="677A33C6"/>
    <w:rsid w:val="677A4201"/>
    <w:rsid w:val="677A75D3"/>
    <w:rsid w:val="677D37B0"/>
    <w:rsid w:val="677E6144"/>
    <w:rsid w:val="679C681A"/>
    <w:rsid w:val="67A21D44"/>
    <w:rsid w:val="67A85C05"/>
    <w:rsid w:val="67B32224"/>
    <w:rsid w:val="67B81568"/>
    <w:rsid w:val="67D14899"/>
    <w:rsid w:val="67D4122C"/>
    <w:rsid w:val="67D465A6"/>
    <w:rsid w:val="67DD4DDC"/>
    <w:rsid w:val="67E81E4D"/>
    <w:rsid w:val="67EE4F89"/>
    <w:rsid w:val="67FC36C1"/>
    <w:rsid w:val="67FC60FE"/>
    <w:rsid w:val="67FF387D"/>
    <w:rsid w:val="680613B6"/>
    <w:rsid w:val="68177B39"/>
    <w:rsid w:val="68181355"/>
    <w:rsid w:val="681C26D9"/>
    <w:rsid w:val="681F6961"/>
    <w:rsid w:val="68456A72"/>
    <w:rsid w:val="684828EC"/>
    <w:rsid w:val="6858661B"/>
    <w:rsid w:val="68610A2F"/>
    <w:rsid w:val="687358B8"/>
    <w:rsid w:val="687E6A22"/>
    <w:rsid w:val="68805514"/>
    <w:rsid w:val="6882103B"/>
    <w:rsid w:val="689F6631"/>
    <w:rsid w:val="68A544C1"/>
    <w:rsid w:val="68AF4719"/>
    <w:rsid w:val="68B173A4"/>
    <w:rsid w:val="68BC5088"/>
    <w:rsid w:val="68C350F4"/>
    <w:rsid w:val="68D36EDC"/>
    <w:rsid w:val="68E63EB3"/>
    <w:rsid w:val="68E87C2B"/>
    <w:rsid w:val="68EA39A3"/>
    <w:rsid w:val="68F95994"/>
    <w:rsid w:val="68FB222E"/>
    <w:rsid w:val="68FD6ED1"/>
    <w:rsid w:val="69026F3E"/>
    <w:rsid w:val="691353CB"/>
    <w:rsid w:val="6926428A"/>
    <w:rsid w:val="69304D01"/>
    <w:rsid w:val="69316E2F"/>
    <w:rsid w:val="693469CC"/>
    <w:rsid w:val="693B68D7"/>
    <w:rsid w:val="69490748"/>
    <w:rsid w:val="694E11F9"/>
    <w:rsid w:val="694E2071"/>
    <w:rsid w:val="694F281B"/>
    <w:rsid w:val="69594684"/>
    <w:rsid w:val="695B664F"/>
    <w:rsid w:val="69690F4E"/>
    <w:rsid w:val="696A0640"/>
    <w:rsid w:val="69766163"/>
    <w:rsid w:val="697A3B33"/>
    <w:rsid w:val="697F5A99"/>
    <w:rsid w:val="69857CE7"/>
    <w:rsid w:val="69871FCA"/>
    <w:rsid w:val="698B4046"/>
    <w:rsid w:val="699D285A"/>
    <w:rsid w:val="69A450B7"/>
    <w:rsid w:val="69B144C0"/>
    <w:rsid w:val="69B47B0D"/>
    <w:rsid w:val="69BF47F8"/>
    <w:rsid w:val="69C75A92"/>
    <w:rsid w:val="69CF1CA6"/>
    <w:rsid w:val="69D44760"/>
    <w:rsid w:val="69D46AD9"/>
    <w:rsid w:val="69D86C5E"/>
    <w:rsid w:val="69E623BC"/>
    <w:rsid w:val="69E70E8E"/>
    <w:rsid w:val="69E817EE"/>
    <w:rsid w:val="69F61ED3"/>
    <w:rsid w:val="69FD4C17"/>
    <w:rsid w:val="6A17342E"/>
    <w:rsid w:val="6A1D3904"/>
    <w:rsid w:val="6A252107"/>
    <w:rsid w:val="6A2B7DCF"/>
    <w:rsid w:val="6A2E6888"/>
    <w:rsid w:val="6A356151"/>
    <w:rsid w:val="6A3950D7"/>
    <w:rsid w:val="6A520EC7"/>
    <w:rsid w:val="6A537326"/>
    <w:rsid w:val="6A5A4C82"/>
    <w:rsid w:val="6A723C50"/>
    <w:rsid w:val="6A773014"/>
    <w:rsid w:val="6A836242"/>
    <w:rsid w:val="6A8D0A8A"/>
    <w:rsid w:val="6A975464"/>
    <w:rsid w:val="6A9F437A"/>
    <w:rsid w:val="6AA638F9"/>
    <w:rsid w:val="6AB25389"/>
    <w:rsid w:val="6ABA453F"/>
    <w:rsid w:val="6AC442C3"/>
    <w:rsid w:val="6AC81272"/>
    <w:rsid w:val="6AEF2734"/>
    <w:rsid w:val="6AF16EBB"/>
    <w:rsid w:val="6AF44F46"/>
    <w:rsid w:val="6AF87E20"/>
    <w:rsid w:val="6AFC5751"/>
    <w:rsid w:val="6B0F5943"/>
    <w:rsid w:val="6B146AB5"/>
    <w:rsid w:val="6B15282D"/>
    <w:rsid w:val="6B1E7298"/>
    <w:rsid w:val="6B322639"/>
    <w:rsid w:val="6B36540D"/>
    <w:rsid w:val="6B366033"/>
    <w:rsid w:val="6B3E7FD6"/>
    <w:rsid w:val="6B43383E"/>
    <w:rsid w:val="6B4A697B"/>
    <w:rsid w:val="6B724E0D"/>
    <w:rsid w:val="6B760409"/>
    <w:rsid w:val="6B8D4DD4"/>
    <w:rsid w:val="6B8E2D0B"/>
    <w:rsid w:val="6B955810"/>
    <w:rsid w:val="6BAD5E74"/>
    <w:rsid w:val="6BBD3C8C"/>
    <w:rsid w:val="6BCE4706"/>
    <w:rsid w:val="6BE748E1"/>
    <w:rsid w:val="6BFB320E"/>
    <w:rsid w:val="6BFB7A4E"/>
    <w:rsid w:val="6BFF15D6"/>
    <w:rsid w:val="6C04033A"/>
    <w:rsid w:val="6C0B576B"/>
    <w:rsid w:val="6C153260"/>
    <w:rsid w:val="6C1B47F6"/>
    <w:rsid w:val="6C20707B"/>
    <w:rsid w:val="6C271167"/>
    <w:rsid w:val="6C296590"/>
    <w:rsid w:val="6C2A4787"/>
    <w:rsid w:val="6C2C27EF"/>
    <w:rsid w:val="6C2C3934"/>
    <w:rsid w:val="6C3A254B"/>
    <w:rsid w:val="6C535128"/>
    <w:rsid w:val="6C5D26DE"/>
    <w:rsid w:val="6C5D623A"/>
    <w:rsid w:val="6C636C38"/>
    <w:rsid w:val="6C64734B"/>
    <w:rsid w:val="6C663340"/>
    <w:rsid w:val="6C6B432A"/>
    <w:rsid w:val="6C6B7D14"/>
    <w:rsid w:val="6C72045F"/>
    <w:rsid w:val="6C7564ED"/>
    <w:rsid w:val="6C7F4402"/>
    <w:rsid w:val="6C813A3E"/>
    <w:rsid w:val="6C9003BD"/>
    <w:rsid w:val="6CAE0473"/>
    <w:rsid w:val="6CB17718"/>
    <w:rsid w:val="6CB202DC"/>
    <w:rsid w:val="6CBF074C"/>
    <w:rsid w:val="6CCC06BE"/>
    <w:rsid w:val="6CD244F0"/>
    <w:rsid w:val="6CD32EAF"/>
    <w:rsid w:val="6CD71CAE"/>
    <w:rsid w:val="6CD74BD3"/>
    <w:rsid w:val="6CDE3A47"/>
    <w:rsid w:val="6CE05964"/>
    <w:rsid w:val="6CE25A38"/>
    <w:rsid w:val="6CF070AE"/>
    <w:rsid w:val="6D025A40"/>
    <w:rsid w:val="6D133540"/>
    <w:rsid w:val="6D18386D"/>
    <w:rsid w:val="6D232410"/>
    <w:rsid w:val="6D246E1A"/>
    <w:rsid w:val="6D26066D"/>
    <w:rsid w:val="6D482781"/>
    <w:rsid w:val="6D4D0F95"/>
    <w:rsid w:val="6D5149BA"/>
    <w:rsid w:val="6D6337E7"/>
    <w:rsid w:val="6D646AB4"/>
    <w:rsid w:val="6D695AA1"/>
    <w:rsid w:val="6D7422E4"/>
    <w:rsid w:val="6D816BF6"/>
    <w:rsid w:val="6D832954"/>
    <w:rsid w:val="6D881B5B"/>
    <w:rsid w:val="6D8961BB"/>
    <w:rsid w:val="6D8A7007"/>
    <w:rsid w:val="6D943EDD"/>
    <w:rsid w:val="6DA73C10"/>
    <w:rsid w:val="6DB225B5"/>
    <w:rsid w:val="6DB27434"/>
    <w:rsid w:val="6DB34098"/>
    <w:rsid w:val="6DB545B6"/>
    <w:rsid w:val="6DBE71AC"/>
    <w:rsid w:val="6DC35989"/>
    <w:rsid w:val="6DC41C0E"/>
    <w:rsid w:val="6DCA3D55"/>
    <w:rsid w:val="6DE02FB4"/>
    <w:rsid w:val="6DF05B66"/>
    <w:rsid w:val="6DF350A8"/>
    <w:rsid w:val="6DF565E2"/>
    <w:rsid w:val="6DF579EA"/>
    <w:rsid w:val="6DF901E4"/>
    <w:rsid w:val="6E0B0643"/>
    <w:rsid w:val="6E0C0F5A"/>
    <w:rsid w:val="6E10219F"/>
    <w:rsid w:val="6E2D6C04"/>
    <w:rsid w:val="6E34121C"/>
    <w:rsid w:val="6E492F1A"/>
    <w:rsid w:val="6E514CED"/>
    <w:rsid w:val="6E5A2184"/>
    <w:rsid w:val="6E625214"/>
    <w:rsid w:val="6E697118"/>
    <w:rsid w:val="6E72639A"/>
    <w:rsid w:val="6E770C20"/>
    <w:rsid w:val="6E7B46EA"/>
    <w:rsid w:val="6E884ADB"/>
    <w:rsid w:val="6E991F77"/>
    <w:rsid w:val="6EA97E5C"/>
    <w:rsid w:val="6EB47AAC"/>
    <w:rsid w:val="6EB563D5"/>
    <w:rsid w:val="6ECB4F66"/>
    <w:rsid w:val="6ECE341F"/>
    <w:rsid w:val="6ED92677"/>
    <w:rsid w:val="6EE42C42"/>
    <w:rsid w:val="6EF112A8"/>
    <w:rsid w:val="6EF4225D"/>
    <w:rsid w:val="6EF6156E"/>
    <w:rsid w:val="6F03756C"/>
    <w:rsid w:val="6F096016"/>
    <w:rsid w:val="6F225983"/>
    <w:rsid w:val="6F2963C6"/>
    <w:rsid w:val="6F2971FB"/>
    <w:rsid w:val="6F4E3140"/>
    <w:rsid w:val="6F502086"/>
    <w:rsid w:val="6F5751D6"/>
    <w:rsid w:val="6F613780"/>
    <w:rsid w:val="6F6447F2"/>
    <w:rsid w:val="6F675D4D"/>
    <w:rsid w:val="6F6873CF"/>
    <w:rsid w:val="6F71329B"/>
    <w:rsid w:val="6F8166E3"/>
    <w:rsid w:val="6F832FF0"/>
    <w:rsid w:val="6F8E581F"/>
    <w:rsid w:val="6F981540"/>
    <w:rsid w:val="6FB0277E"/>
    <w:rsid w:val="6FB72105"/>
    <w:rsid w:val="6FBE16E5"/>
    <w:rsid w:val="6FC66C6A"/>
    <w:rsid w:val="6FC752F1"/>
    <w:rsid w:val="6FCE10FE"/>
    <w:rsid w:val="6FD44A65"/>
    <w:rsid w:val="6FED3D79"/>
    <w:rsid w:val="6FF2427E"/>
    <w:rsid w:val="6FFC5590"/>
    <w:rsid w:val="70007ECC"/>
    <w:rsid w:val="70025A76"/>
    <w:rsid w:val="70141305"/>
    <w:rsid w:val="701B0935"/>
    <w:rsid w:val="70295FB9"/>
    <w:rsid w:val="703424E8"/>
    <w:rsid w:val="704B6920"/>
    <w:rsid w:val="70601EC1"/>
    <w:rsid w:val="70680966"/>
    <w:rsid w:val="706D1DD0"/>
    <w:rsid w:val="7073070E"/>
    <w:rsid w:val="707354CE"/>
    <w:rsid w:val="70856B87"/>
    <w:rsid w:val="70874D6B"/>
    <w:rsid w:val="70981F36"/>
    <w:rsid w:val="709F7D73"/>
    <w:rsid w:val="70A055DD"/>
    <w:rsid w:val="70A44806"/>
    <w:rsid w:val="70A94143"/>
    <w:rsid w:val="70AA7742"/>
    <w:rsid w:val="70B53755"/>
    <w:rsid w:val="70B94999"/>
    <w:rsid w:val="70BB0D44"/>
    <w:rsid w:val="70C64CF5"/>
    <w:rsid w:val="70D527EE"/>
    <w:rsid w:val="70D967B3"/>
    <w:rsid w:val="70EE1B56"/>
    <w:rsid w:val="710475CC"/>
    <w:rsid w:val="710A2872"/>
    <w:rsid w:val="712F289B"/>
    <w:rsid w:val="713D524E"/>
    <w:rsid w:val="7146293A"/>
    <w:rsid w:val="7157594D"/>
    <w:rsid w:val="715B5300"/>
    <w:rsid w:val="715C2AFE"/>
    <w:rsid w:val="71683119"/>
    <w:rsid w:val="71881333"/>
    <w:rsid w:val="718B3849"/>
    <w:rsid w:val="718D5813"/>
    <w:rsid w:val="718E38A0"/>
    <w:rsid w:val="719426FE"/>
    <w:rsid w:val="719C0FDC"/>
    <w:rsid w:val="719D70AB"/>
    <w:rsid w:val="719F6A56"/>
    <w:rsid w:val="71BB412E"/>
    <w:rsid w:val="71D27F8A"/>
    <w:rsid w:val="71D44CCB"/>
    <w:rsid w:val="71D60F68"/>
    <w:rsid w:val="71DE1BCB"/>
    <w:rsid w:val="720A53DB"/>
    <w:rsid w:val="7214629A"/>
    <w:rsid w:val="72223C96"/>
    <w:rsid w:val="7233025A"/>
    <w:rsid w:val="72426C93"/>
    <w:rsid w:val="724C122A"/>
    <w:rsid w:val="72553024"/>
    <w:rsid w:val="725E4ABA"/>
    <w:rsid w:val="72702713"/>
    <w:rsid w:val="72777D43"/>
    <w:rsid w:val="728B1BB0"/>
    <w:rsid w:val="728E539F"/>
    <w:rsid w:val="729D7E84"/>
    <w:rsid w:val="72A61A0A"/>
    <w:rsid w:val="72AB1575"/>
    <w:rsid w:val="72C8748F"/>
    <w:rsid w:val="72D25B0C"/>
    <w:rsid w:val="72D30DB9"/>
    <w:rsid w:val="72DA05E4"/>
    <w:rsid w:val="72F84F0E"/>
    <w:rsid w:val="72F96DBB"/>
    <w:rsid w:val="72FC49FE"/>
    <w:rsid w:val="72FD4567"/>
    <w:rsid w:val="72FD5204"/>
    <w:rsid w:val="72FF492E"/>
    <w:rsid w:val="73122968"/>
    <w:rsid w:val="731F5D5E"/>
    <w:rsid w:val="73267CCD"/>
    <w:rsid w:val="7329797D"/>
    <w:rsid w:val="732A01CB"/>
    <w:rsid w:val="7338355D"/>
    <w:rsid w:val="733F0D8F"/>
    <w:rsid w:val="735760D9"/>
    <w:rsid w:val="73720E33"/>
    <w:rsid w:val="73722F12"/>
    <w:rsid w:val="73A26502"/>
    <w:rsid w:val="73A3438C"/>
    <w:rsid w:val="73A67625"/>
    <w:rsid w:val="73A8396B"/>
    <w:rsid w:val="73AF7CC3"/>
    <w:rsid w:val="73B14018"/>
    <w:rsid w:val="73BC4CA6"/>
    <w:rsid w:val="73C51AD5"/>
    <w:rsid w:val="73C85B3E"/>
    <w:rsid w:val="73D56FFD"/>
    <w:rsid w:val="73D67473"/>
    <w:rsid w:val="73DB102F"/>
    <w:rsid w:val="73DD7DF4"/>
    <w:rsid w:val="73DF5951"/>
    <w:rsid w:val="73EA0CFB"/>
    <w:rsid w:val="73F76D60"/>
    <w:rsid w:val="73F847C2"/>
    <w:rsid w:val="73FD4C14"/>
    <w:rsid w:val="7400428C"/>
    <w:rsid w:val="74031DBD"/>
    <w:rsid w:val="741018E1"/>
    <w:rsid w:val="74104710"/>
    <w:rsid w:val="7419513C"/>
    <w:rsid w:val="741E793C"/>
    <w:rsid w:val="741F19FC"/>
    <w:rsid w:val="742520A4"/>
    <w:rsid w:val="744246C9"/>
    <w:rsid w:val="7443372D"/>
    <w:rsid w:val="745919DD"/>
    <w:rsid w:val="745E3944"/>
    <w:rsid w:val="74626B5F"/>
    <w:rsid w:val="747C6C7B"/>
    <w:rsid w:val="74956EB9"/>
    <w:rsid w:val="74982505"/>
    <w:rsid w:val="749869A9"/>
    <w:rsid w:val="749A65CD"/>
    <w:rsid w:val="74A25132"/>
    <w:rsid w:val="74CA6436"/>
    <w:rsid w:val="74D6574B"/>
    <w:rsid w:val="74DF6386"/>
    <w:rsid w:val="74E76FE8"/>
    <w:rsid w:val="74E92A6C"/>
    <w:rsid w:val="74F06E36"/>
    <w:rsid w:val="74F27299"/>
    <w:rsid w:val="753A6949"/>
    <w:rsid w:val="753A70C0"/>
    <w:rsid w:val="754549F6"/>
    <w:rsid w:val="75466405"/>
    <w:rsid w:val="7548217D"/>
    <w:rsid w:val="75483F2B"/>
    <w:rsid w:val="755F63FA"/>
    <w:rsid w:val="75605585"/>
    <w:rsid w:val="75697428"/>
    <w:rsid w:val="756B3FF8"/>
    <w:rsid w:val="75861720"/>
    <w:rsid w:val="75866441"/>
    <w:rsid w:val="75883F4E"/>
    <w:rsid w:val="75B82733"/>
    <w:rsid w:val="75BC0475"/>
    <w:rsid w:val="75BF14ED"/>
    <w:rsid w:val="75C4617D"/>
    <w:rsid w:val="75C46B5C"/>
    <w:rsid w:val="75C51CEE"/>
    <w:rsid w:val="75D4756D"/>
    <w:rsid w:val="75D9729A"/>
    <w:rsid w:val="75DA6B4D"/>
    <w:rsid w:val="75E31EA6"/>
    <w:rsid w:val="75FC6AC3"/>
    <w:rsid w:val="7600544D"/>
    <w:rsid w:val="760A45BF"/>
    <w:rsid w:val="7625601A"/>
    <w:rsid w:val="7635099D"/>
    <w:rsid w:val="76375D4D"/>
    <w:rsid w:val="76432944"/>
    <w:rsid w:val="764671FB"/>
    <w:rsid w:val="766655A3"/>
    <w:rsid w:val="768220A7"/>
    <w:rsid w:val="7685527A"/>
    <w:rsid w:val="76A01B45"/>
    <w:rsid w:val="76AA7967"/>
    <w:rsid w:val="76AE53A6"/>
    <w:rsid w:val="76B37F77"/>
    <w:rsid w:val="76BF4DF9"/>
    <w:rsid w:val="76C543E8"/>
    <w:rsid w:val="76C70365"/>
    <w:rsid w:val="76C92BFA"/>
    <w:rsid w:val="76DE7A48"/>
    <w:rsid w:val="76F87D58"/>
    <w:rsid w:val="77086DD5"/>
    <w:rsid w:val="77112A42"/>
    <w:rsid w:val="77131FD2"/>
    <w:rsid w:val="77191E2A"/>
    <w:rsid w:val="77253DF8"/>
    <w:rsid w:val="772A798F"/>
    <w:rsid w:val="7735228D"/>
    <w:rsid w:val="77383819"/>
    <w:rsid w:val="773A1080"/>
    <w:rsid w:val="773E1154"/>
    <w:rsid w:val="775935B3"/>
    <w:rsid w:val="7769462C"/>
    <w:rsid w:val="776C16FD"/>
    <w:rsid w:val="77702FB8"/>
    <w:rsid w:val="77727D83"/>
    <w:rsid w:val="77735721"/>
    <w:rsid w:val="77762421"/>
    <w:rsid w:val="77766C9F"/>
    <w:rsid w:val="777F7E0A"/>
    <w:rsid w:val="77876861"/>
    <w:rsid w:val="778E42BC"/>
    <w:rsid w:val="779A2A38"/>
    <w:rsid w:val="77B04009"/>
    <w:rsid w:val="77B56B1F"/>
    <w:rsid w:val="77B84C6C"/>
    <w:rsid w:val="77B9694A"/>
    <w:rsid w:val="77C35F3B"/>
    <w:rsid w:val="77C5514E"/>
    <w:rsid w:val="77CF6D1F"/>
    <w:rsid w:val="77E66DF3"/>
    <w:rsid w:val="77E93077"/>
    <w:rsid w:val="77EB3293"/>
    <w:rsid w:val="77F454CE"/>
    <w:rsid w:val="78062DD6"/>
    <w:rsid w:val="780F09F4"/>
    <w:rsid w:val="7826619A"/>
    <w:rsid w:val="782B7152"/>
    <w:rsid w:val="783C1400"/>
    <w:rsid w:val="783C3009"/>
    <w:rsid w:val="785265B0"/>
    <w:rsid w:val="785B5148"/>
    <w:rsid w:val="78661E71"/>
    <w:rsid w:val="786A240A"/>
    <w:rsid w:val="786B5D04"/>
    <w:rsid w:val="787E041B"/>
    <w:rsid w:val="78875735"/>
    <w:rsid w:val="78943FA1"/>
    <w:rsid w:val="78A90480"/>
    <w:rsid w:val="78B12A65"/>
    <w:rsid w:val="78B81351"/>
    <w:rsid w:val="78C126F7"/>
    <w:rsid w:val="78C338C8"/>
    <w:rsid w:val="78C37D6C"/>
    <w:rsid w:val="78C54253"/>
    <w:rsid w:val="78E16CCA"/>
    <w:rsid w:val="78F072FB"/>
    <w:rsid w:val="78F57793"/>
    <w:rsid w:val="790B1CC0"/>
    <w:rsid w:val="79323320"/>
    <w:rsid w:val="793547C6"/>
    <w:rsid w:val="794B0094"/>
    <w:rsid w:val="794E359A"/>
    <w:rsid w:val="795053C0"/>
    <w:rsid w:val="79621333"/>
    <w:rsid w:val="79687F19"/>
    <w:rsid w:val="79786733"/>
    <w:rsid w:val="799262B1"/>
    <w:rsid w:val="79B03B55"/>
    <w:rsid w:val="79C53E9A"/>
    <w:rsid w:val="79CA5E4E"/>
    <w:rsid w:val="79DE2C82"/>
    <w:rsid w:val="79E104AA"/>
    <w:rsid w:val="79FC1788"/>
    <w:rsid w:val="7A034BC7"/>
    <w:rsid w:val="7A214D4A"/>
    <w:rsid w:val="7A216E1A"/>
    <w:rsid w:val="7A222FBB"/>
    <w:rsid w:val="7A287E87"/>
    <w:rsid w:val="7A2B7977"/>
    <w:rsid w:val="7A2F7467"/>
    <w:rsid w:val="7A364017"/>
    <w:rsid w:val="7A461828"/>
    <w:rsid w:val="7A6D1D3E"/>
    <w:rsid w:val="7A7430CC"/>
    <w:rsid w:val="7A7B2586"/>
    <w:rsid w:val="7A7E3190"/>
    <w:rsid w:val="7A8265E1"/>
    <w:rsid w:val="7A865436"/>
    <w:rsid w:val="7A8A7A1D"/>
    <w:rsid w:val="7A9419C0"/>
    <w:rsid w:val="7AA83975"/>
    <w:rsid w:val="7AB72819"/>
    <w:rsid w:val="7ABA2A86"/>
    <w:rsid w:val="7ABC4A73"/>
    <w:rsid w:val="7ACC1C40"/>
    <w:rsid w:val="7ACE47E3"/>
    <w:rsid w:val="7AED2226"/>
    <w:rsid w:val="7AF171EF"/>
    <w:rsid w:val="7AFE6E3A"/>
    <w:rsid w:val="7B030D99"/>
    <w:rsid w:val="7B0A57DF"/>
    <w:rsid w:val="7B0B3FFD"/>
    <w:rsid w:val="7B0F1047"/>
    <w:rsid w:val="7B1228E5"/>
    <w:rsid w:val="7B1565A1"/>
    <w:rsid w:val="7B185648"/>
    <w:rsid w:val="7B193A1A"/>
    <w:rsid w:val="7B2B2589"/>
    <w:rsid w:val="7B2C1BF9"/>
    <w:rsid w:val="7B3373D5"/>
    <w:rsid w:val="7B387929"/>
    <w:rsid w:val="7B3E36DA"/>
    <w:rsid w:val="7B50064B"/>
    <w:rsid w:val="7B58033C"/>
    <w:rsid w:val="7B5B428C"/>
    <w:rsid w:val="7B671F02"/>
    <w:rsid w:val="7B686D42"/>
    <w:rsid w:val="7B7B048A"/>
    <w:rsid w:val="7B7D5EC1"/>
    <w:rsid w:val="7B825B6E"/>
    <w:rsid w:val="7B841746"/>
    <w:rsid w:val="7B89756D"/>
    <w:rsid w:val="7BA14632"/>
    <w:rsid w:val="7BD160D7"/>
    <w:rsid w:val="7BDD2EF3"/>
    <w:rsid w:val="7BE16244"/>
    <w:rsid w:val="7BF9056E"/>
    <w:rsid w:val="7C083F58"/>
    <w:rsid w:val="7C0B6E30"/>
    <w:rsid w:val="7C1728A9"/>
    <w:rsid w:val="7C183F2B"/>
    <w:rsid w:val="7C1930D0"/>
    <w:rsid w:val="7C394F76"/>
    <w:rsid w:val="7C52568F"/>
    <w:rsid w:val="7C5D3133"/>
    <w:rsid w:val="7C6955E8"/>
    <w:rsid w:val="7C6C5AC7"/>
    <w:rsid w:val="7C803F3E"/>
    <w:rsid w:val="7C8105AE"/>
    <w:rsid w:val="7C841EEC"/>
    <w:rsid w:val="7C8B5BCF"/>
    <w:rsid w:val="7C980B6A"/>
    <w:rsid w:val="7C987B60"/>
    <w:rsid w:val="7C9F63FA"/>
    <w:rsid w:val="7CA15CD8"/>
    <w:rsid w:val="7CA70377"/>
    <w:rsid w:val="7CAB485D"/>
    <w:rsid w:val="7CAB7E05"/>
    <w:rsid w:val="7CB1153C"/>
    <w:rsid w:val="7CB579CC"/>
    <w:rsid w:val="7CB77BE8"/>
    <w:rsid w:val="7CC54A08"/>
    <w:rsid w:val="7CC6544B"/>
    <w:rsid w:val="7CCC3693"/>
    <w:rsid w:val="7CCF0A8E"/>
    <w:rsid w:val="7CD13EFF"/>
    <w:rsid w:val="7CD169B7"/>
    <w:rsid w:val="7CD27481"/>
    <w:rsid w:val="7CF93D5D"/>
    <w:rsid w:val="7CFD384D"/>
    <w:rsid w:val="7D0239FF"/>
    <w:rsid w:val="7D047245"/>
    <w:rsid w:val="7D0B7ECF"/>
    <w:rsid w:val="7D1D0CDE"/>
    <w:rsid w:val="7D4D3C89"/>
    <w:rsid w:val="7D5E40CD"/>
    <w:rsid w:val="7D6C09D3"/>
    <w:rsid w:val="7D774F80"/>
    <w:rsid w:val="7D780418"/>
    <w:rsid w:val="7D796C4C"/>
    <w:rsid w:val="7D8E7F71"/>
    <w:rsid w:val="7D930266"/>
    <w:rsid w:val="7DA374D2"/>
    <w:rsid w:val="7DB83CAA"/>
    <w:rsid w:val="7DB96A26"/>
    <w:rsid w:val="7DC2237A"/>
    <w:rsid w:val="7DCD56F2"/>
    <w:rsid w:val="7DCF2FCE"/>
    <w:rsid w:val="7DD64409"/>
    <w:rsid w:val="7DE07113"/>
    <w:rsid w:val="7DE247F1"/>
    <w:rsid w:val="7DF44EDB"/>
    <w:rsid w:val="7DF64E2A"/>
    <w:rsid w:val="7E087572"/>
    <w:rsid w:val="7E0B4983"/>
    <w:rsid w:val="7E1A3F8B"/>
    <w:rsid w:val="7E374B3D"/>
    <w:rsid w:val="7E391796"/>
    <w:rsid w:val="7E4A6C8B"/>
    <w:rsid w:val="7E50377C"/>
    <w:rsid w:val="7E5356EF"/>
    <w:rsid w:val="7E550EF2"/>
    <w:rsid w:val="7E5B13C1"/>
    <w:rsid w:val="7E675C22"/>
    <w:rsid w:val="7E6E35A5"/>
    <w:rsid w:val="7E79061C"/>
    <w:rsid w:val="7E7F0292"/>
    <w:rsid w:val="7E8460B7"/>
    <w:rsid w:val="7E881458"/>
    <w:rsid w:val="7E935E3A"/>
    <w:rsid w:val="7EAD4826"/>
    <w:rsid w:val="7EC92D21"/>
    <w:rsid w:val="7ED93E46"/>
    <w:rsid w:val="7EE62351"/>
    <w:rsid w:val="7EF20216"/>
    <w:rsid w:val="7F001CE7"/>
    <w:rsid w:val="7F060CEF"/>
    <w:rsid w:val="7F0A731B"/>
    <w:rsid w:val="7F2A644F"/>
    <w:rsid w:val="7F2D5F40"/>
    <w:rsid w:val="7F5B0CFF"/>
    <w:rsid w:val="7F6F6558"/>
    <w:rsid w:val="7F89761A"/>
    <w:rsid w:val="7F910669"/>
    <w:rsid w:val="7F937A0C"/>
    <w:rsid w:val="7F945543"/>
    <w:rsid w:val="7FB4040F"/>
    <w:rsid w:val="7FB573FB"/>
    <w:rsid w:val="7FB65F35"/>
    <w:rsid w:val="7FBB094C"/>
    <w:rsid w:val="7FCE412C"/>
    <w:rsid w:val="7FE42AA2"/>
    <w:rsid w:val="7FE47E50"/>
    <w:rsid w:val="7FEA4C12"/>
    <w:rsid w:val="7FF627D5"/>
    <w:rsid w:val="7FF72D92"/>
    <w:rsid w:val="7FFD4CE5"/>
    <w:rsid w:val="7FFF55B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99" w:semiHidden="0" w:name="Body Text Indent 2"/>
    <w:lsdException w:qFormat="1" w:unhideWhenUsed="0" w:uiPriority="99"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qFormat="1" w:uiPriority="99"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uiPriority w:val="0"/>
    <w:pPr>
      <w:keepNext/>
      <w:keepLines/>
      <w:spacing w:before="260" w:after="260"/>
      <w:textAlignment w:val="baseline"/>
      <w:outlineLvl w:val="1"/>
    </w:pPr>
    <w:rPr>
      <w:rFonts w:ascii="宋体"/>
      <w:b/>
      <w:kern w:val="0"/>
    </w:rPr>
  </w:style>
  <w:style w:type="paragraph" w:styleId="4">
    <w:name w:val="heading 3"/>
    <w:basedOn w:val="1"/>
    <w:next w:val="1"/>
    <w:qFormat/>
    <w:uiPriority w:val="99"/>
    <w:pPr>
      <w:keepLines/>
      <w:widowControl/>
      <w:adjustRightInd w:val="0"/>
      <w:spacing w:before="120" w:after="60" w:line="397" w:lineRule="atLeast"/>
      <w:textAlignment w:val="baseline"/>
      <w:outlineLvl w:val="2"/>
    </w:pPr>
    <w:rPr>
      <w:rFonts w:cs="Times New Roman"/>
      <w:b/>
      <w:color w:val="000000"/>
      <w:spacing w:val="10"/>
      <w:kern w:val="18"/>
      <w:sz w:val="28"/>
      <w:szCs w:val="28"/>
    </w:rPr>
  </w:style>
  <w:style w:type="character" w:default="1" w:styleId="34">
    <w:name w:val="Default Paragraph Font"/>
    <w:semiHidden/>
    <w:qFormat/>
    <w:uiPriority w:val="0"/>
  </w:style>
  <w:style w:type="table" w:default="1" w:styleId="32">
    <w:name w:val="Normal Table"/>
    <w:semiHidden/>
    <w:qFormat/>
    <w:uiPriority w:val="0"/>
    <w:tblPr>
      <w:tblCellMar>
        <w:top w:w="0" w:type="dxa"/>
        <w:left w:w="108" w:type="dxa"/>
        <w:bottom w:w="0" w:type="dxa"/>
        <w:right w:w="108" w:type="dxa"/>
      </w:tblCellMar>
    </w:tblPr>
  </w:style>
  <w:style w:type="paragraph" w:styleId="5">
    <w:name w:val="List 3"/>
    <w:basedOn w:val="1"/>
    <w:next w:val="1"/>
    <w:qFormat/>
    <w:uiPriority w:val="0"/>
    <w:pPr>
      <w:ind w:left="100" w:leftChars="400" w:hanging="200" w:hangingChars="200"/>
    </w:pPr>
  </w:style>
  <w:style w:type="paragraph" w:styleId="6">
    <w:name w:val="E-mail Signature"/>
    <w:basedOn w:val="1"/>
    <w:next w:val="7"/>
    <w:unhideWhenUsed/>
    <w:qFormat/>
    <w:uiPriority w:val="99"/>
    <w:pPr>
      <w:spacing w:line="460" w:lineRule="exact"/>
      <w:ind w:firstLine="200"/>
    </w:pPr>
    <w:rPr>
      <w:rFonts w:ascii="Times New Roman" w:hAnsi="Times New Roman" w:cs="Times New Roman"/>
    </w:rPr>
  </w:style>
  <w:style w:type="paragraph" w:customStyle="1" w:styleId="7">
    <w:name w:val="文章"/>
    <w:next w:val="8"/>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8">
    <w:name w:val="List"/>
    <w:basedOn w:val="1"/>
    <w:next w:val="1"/>
    <w:qFormat/>
    <w:uiPriority w:val="99"/>
    <w:pPr>
      <w:ind w:left="200" w:hanging="200" w:hangingChars="200"/>
      <w:contextualSpacing/>
    </w:pPr>
  </w:style>
  <w:style w:type="paragraph" w:styleId="9">
    <w:name w:val="Normal Indent"/>
    <w:basedOn w:val="1"/>
    <w:next w:val="1"/>
    <w:qFormat/>
    <w:uiPriority w:val="99"/>
    <w:pPr>
      <w:ind w:firstLine="420"/>
    </w:pPr>
    <w:rPr>
      <w:rFonts w:ascii="仿宋体" w:hAnsi="Times New Roman" w:eastAsia="仿宋体" w:cs="Times New Roman"/>
      <w:szCs w:val="20"/>
    </w:rPr>
  </w:style>
  <w:style w:type="paragraph" w:styleId="10">
    <w:name w:val="annotation text"/>
    <w:basedOn w:val="1"/>
    <w:next w:val="11"/>
    <w:link w:val="38"/>
    <w:semiHidden/>
    <w:qFormat/>
    <w:uiPriority w:val="0"/>
    <w:pPr>
      <w:jc w:val="left"/>
    </w:pPr>
    <w:rPr>
      <w:kern w:val="0"/>
      <w:sz w:val="24"/>
      <w:szCs w:val="20"/>
    </w:rPr>
  </w:style>
  <w:style w:type="paragraph" w:styleId="11">
    <w:name w:val="toc 5"/>
    <w:basedOn w:val="1"/>
    <w:next w:val="1"/>
    <w:qFormat/>
    <w:uiPriority w:val="0"/>
    <w:pPr>
      <w:ind w:left="1680" w:leftChars="800"/>
    </w:pPr>
  </w:style>
  <w:style w:type="paragraph" w:styleId="12">
    <w:name w:val="Body Text"/>
    <w:basedOn w:val="1"/>
    <w:next w:val="1"/>
    <w:link w:val="39"/>
    <w:qFormat/>
    <w:uiPriority w:val="0"/>
    <w:pPr>
      <w:widowControl/>
      <w:snapToGrid w:val="0"/>
      <w:spacing w:before="60" w:after="160" w:line="259" w:lineRule="auto"/>
      <w:ind w:right="113"/>
    </w:pPr>
    <w:rPr>
      <w:kern w:val="0"/>
      <w:sz w:val="18"/>
      <w:szCs w:val="20"/>
    </w:rPr>
  </w:style>
  <w:style w:type="paragraph" w:styleId="13">
    <w:name w:val="Body Text Indent"/>
    <w:basedOn w:val="1"/>
    <w:link w:val="40"/>
    <w:uiPriority w:val="0"/>
    <w:pPr>
      <w:spacing w:after="120"/>
      <w:ind w:left="420" w:leftChars="200"/>
    </w:pPr>
    <w:rPr>
      <w:kern w:val="0"/>
      <w:sz w:val="24"/>
      <w:szCs w:val="20"/>
    </w:rPr>
  </w:style>
  <w:style w:type="paragraph" w:styleId="14">
    <w:name w:val="List Bullet 2"/>
    <w:basedOn w:val="1"/>
    <w:next w:val="15"/>
    <w:uiPriority w:val="0"/>
    <w:pPr>
      <w:numPr>
        <w:ilvl w:val="0"/>
        <w:numId w:val="1"/>
      </w:numPr>
    </w:pPr>
  </w:style>
  <w:style w:type="paragraph" w:customStyle="1" w:styleId="15">
    <w:name w:val="xl70"/>
    <w:basedOn w:val="1"/>
    <w:next w:val="16"/>
    <w:qFormat/>
    <w:uiPriority w:val="0"/>
    <w:pPr>
      <w:widowControl/>
      <w:spacing w:before="280" w:after="280"/>
    </w:pPr>
  </w:style>
  <w:style w:type="paragraph" w:customStyle="1" w:styleId="16">
    <w:name w:val="正文缩进1"/>
    <w:basedOn w:val="1"/>
    <w:next w:val="17"/>
    <w:qFormat/>
    <w:uiPriority w:val="0"/>
    <w:pPr>
      <w:ind w:firstLine="420"/>
    </w:pPr>
    <w:rPr>
      <w:sz w:val="28"/>
    </w:rPr>
  </w:style>
  <w:style w:type="paragraph" w:customStyle="1" w:styleId="17">
    <w:name w:val="td1"/>
    <w:basedOn w:val="1"/>
    <w:next w:val="1"/>
    <w:qFormat/>
    <w:uiPriority w:val="0"/>
    <w:pPr>
      <w:widowControl/>
      <w:spacing w:before="280" w:after="280" w:line="300" w:lineRule="atLeast"/>
      <w:ind w:firstLine="200"/>
    </w:pPr>
    <w:rPr>
      <w:color w:val="000000"/>
      <w:sz w:val="18"/>
    </w:rPr>
  </w:style>
  <w:style w:type="paragraph" w:styleId="18">
    <w:name w:val="Plain Text"/>
    <w:basedOn w:val="1"/>
    <w:next w:val="1"/>
    <w:qFormat/>
    <w:uiPriority w:val="99"/>
    <w:rPr>
      <w:rFonts w:hAnsi="Courier New" w:cs="Courier New"/>
      <w:sz w:val="28"/>
    </w:rPr>
  </w:style>
  <w:style w:type="paragraph" w:styleId="19">
    <w:name w:val="Date"/>
    <w:basedOn w:val="1"/>
    <w:next w:val="1"/>
    <w:link w:val="41"/>
    <w:qFormat/>
    <w:uiPriority w:val="0"/>
    <w:pPr>
      <w:ind w:left="100" w:leftChars="2500"/>
    </w:pPr>
    <w:rPr>
      <w:kern w:val="0"/>
      <w:sz w:val="24"/>
      <w:szCs w:val="20"/>
    </w:rPr>
  </w:style>
  <w:style w:type="paragraph" w:styleId="20">
    <w:name w:val="Body Text Indent 2"/>
    <w:basedOn w:val="1"/>
    <w:qFormat/>
    <w:uiPriority w:val="99"/>
    <w:pPr>
      <w:snapToGrid w:val="0"/>
      <w:spacing w:line="360" w:lineRule="auto"/>
      <w:ind w:firstLine="510"/>
    </w:pPr>
    <w:rPr>
      <w:sz w:val="24"/>
    </w:rPr>
  </w:style>
  <w:style w:type="paragraph" w:styleId="21">
    <w:name w:val="Balloon Text"/>
    <w:basedOn w:val="1"/>
    <w:link w:val="42"/>
    <w:semiHidden/>
    <w:qFormat/>
    <w:uiPriority w:val="0"/>
    <w:rPr>
      <w:kern w:val="0"/>
      <w:sz w:val="18"/>
      <w:szCs w:val="20"/>
    </w:rPr>
  </w:style>
  <w:style w:type="paragraph" w:styleId="22">
    <w:name w:val="footer"/>
    <w:basedOn w:val="1"/>
    <w:next w:val="1"/>
    <w:link w:val="43"/>
    <w:qFormat/>
    <w:uiPriority w:val="99"/>
    <w:pPr>
      <w:tabs>
        <w:tab w:val="center" w:pos="4153"/>
        <w:tab w:val="right" w:pos="8306"/>
      </w:tabs>
      <w:snapToGrid w:val="0"/>
      <w:jc w:val="left"/>
    </w:pPr>
    <w:rPr>
      <w:kern w:val="0"/>
      <w:sz w:val="18"/>
      <w:szCs w:val="20"/>
    </w:rPr>
  </w:style>
  <w:style w:type="paragraph" w:styleId="23">
    <w:name w:val="header"/>
    <w:basedOn w:val="1"/>
    <w:link w:val="44"/>
    <w:qFormat/>
    <w:uiPriority w:val="0"/>
    <w:pPr>
      <w:pBdr>
        <w:bottom w:val="single" w:color="auto" w:sz="6" w:space="1"/>
      </w:pBdr>
      <w:tabs>
        <w:tab w:val="center" w:pos="4153"/>
        <w:tab w:val="right" w:pos="8306"/>
      </w:tabs>
      <w:snapToGrid w:val="0"/>
      <w:jc w:val="center"/>
    </w:pPr>
    <w:rPr>
      <w:kern w:val="0"/>
      <w:sz w:val="18"/>
      <w:szCs w:val="20"/>
    </w:rPr>
  </w:style>
  <w:style w:type="paragraph" w:styleId="24">
    <w:name w:val="toc 1"/>
    <w:basedOn w:val="1"/>
    <w:next w:val="1"/>
    <w:qFormat/>
    <w:uiPriority w:val="0"/>
  </w:style>
  <w:style w:type="paragraph" w:styleId="25">
    <w:name w:val="Body Text Indent 3"/>
    <w:basedOn w:val="1"/>
    <w:qFormat/>
    <w:uiPriority w:val="99"/>
    <w:pPr>
      <w:spacing w:line="360" w:lineRule="auto"/>
      <w:ind w:firstLine="567"/>
    </w:pPr>
    <w:rPr>
      <w:sz w:val="24"/>
      <w:szCs w:val="20"/>
    </w:rPr>
  </w:style>
  <w:style w:type="paragraph" w:styleId="26">
    <w:name w:val="toc 2"/>
    <w:basedOn w:val="1"/>
    <w:next w:val="6"/>
    <w:qFormat/>
    <w:uiPriority w:val="0"/>
    <w:pPr>
      <w:ind w:left="420" w:leftChars="200"/>
    </w:pPr>
  </w:style>
  <w:style w:type="paragraph" w:styleId="27">
    <w:name w:val="Normal (Web)"/>
    <w:basedOn w:val="1"/>
    <w:link w:val="45"/>
    <w:qFormat/>
    <w:uiPriority w:val="0"/>
    <w:pPr>
      <w:widowControl/>
      <w:spacing w:before="100" w:beforeAutospacing="1" w:after="100" w:afterAutospacing="1"/>
      <w:jc w:val="left"/>
    </w:pPr>
    <w:rPr>
      <w:rFonts w:ascii="宋体" w:hAnsi="宋体"/>
      <w:kern w:val="0"/>
      <w:sz w:val="24"/>
      <w:szCs w:val="20"/>
    </w:rPr>
  </w:style>
  <w:style w:type="paragraph" w:styleId="28">
    <w:name w:val="Title"/>
    <w:basedOn w:val="1"/>
    <w:qFormat/>
    <w:uiPriority w:val="10"/>
    <w:pPr>
      <w:tabs>
        <w:tab w:val="left" w:pos="961"/>
      </w:tabs>
      <w:spacing w:before="240" w:after="60"/>
      <w:ind w:left="961" w:hanging="720"/>
      <w:jc w:val="center"/>
      <w:outlineLvl w:val="0"/>
    </w:pPr>
    <w:rPr>
      <w:rFonts w:ascii="Arial" w:hAnsi="Arial" w:eastAsia="仿宋_GB2312" w:cs="Arial"/>
      <w:b/>
      <w:bCs/>
      <w:sz w:val="44"/>
      <w:szCs w:val="32"/>
    </w:rPr>
  </w:style>
  <w:style w:type="paragraph" w:styleId="29">
    <w:name w:val="annotation subject"/>
    <w:basedOn w:val="10"/>
    <w:next w:val="10"/>
    <w:link w:val="46"/>
    <w:semiHidden/>
    <w:qFormat/>
    <w:uiPriority w:val="0"/>
    <w:rPr>
      <w:b/>
      <w:kern w:val="2"/>
    </w:rPr>
  </w:style>
  <w:style w:type="paragraph" w:styleId="30">
    <w:name w:val="Body Text First Indent"/>
    <w:basedOn w:val="12"/>
    <w:qFormat/>
    <w:uiPriority w:val="0"/>
    <w:pPr>
      <w:widowControl w:val="0"/>
      <w:snapToGrid/>
      <w:spacing w:before="0" w:after="120" w:line="240" w:lineRule="auto"/>
      <w:ind w:right="0" w:firstLine="420" w:firstLineChars="100"/>
    </w:pPr>
    <w:rPr>
      <w:kern w:val="2"/>
      <w:sz w:val="21"/>
      <w:szCs w:val="24"/>
    </w:rPr>
  </w:style>
  <w:style w:type="paragraph" w:styleId="31">
    <w:name w:val="Body Text First Indent 2"/>
    <w:basedOn w:val="13"/>
    <w:next w:val="30"/>
    <w:qFormat/>
    <w:uiPriority w:val="99"/>
    <w:pPr>
      <w:ind w:firstLine="420" w:firstLineChars="200"/>
    </w:pPr>
  </w:style>
  <w:style w:type="table" w:styleId="33">
    <w:name w:val="Table Grid"/>
    <w:basedOn w:val="32"/>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Hyperlink"/>
    <w:basedOn w:val="34"/>
    <w:qFormat/>
    <w:uiPriority w:val="0"/>
    <w:rPr>
      <w:color w:val="0000FF"/>
      <w:u w:val="single"/>
    </w:rPr>
  </w:style>
  <w:style w:type="character" w:styleId="37">
    <w:name w:val="annotation reference"/>
    <w:basedOn w:val="34"/>
    <w:semiHidden/>
    <w:qFormat/>
    <w:uiPriority w:val="0"/>
    <w:rPr>
      <w:sz w:val="21"/>
    </w:rPr>
  </w:style>
  <w:style w:type="character" w:customStyle="1" w:styleId="38">
    <w:name w:val="批注文字 Char"/>
    <w:link w:val="10"/>
    <w:qFormat/>
    <w:uiPriority w:val="0"/>
    <w:rPr>
      <w:rFonts w:ascii="Times New Roman" w:hAnsi="Times New Roman" w:eastAsia="宋体"/>
      <w:sz w:val="24"/>
    </w:rPr>
  </w:style>
  <w:style w:type="character" w:customStyle="1" w:styleId="39">
    <w:name w:val="正文文本 Char"/>
    <w:link w:val="12"/>
    <w:qFormat/>
    <w:uiPriority w:val="0"/>
    <w:rPr>
      <w:sz w:val="18"/>
    </w:rPr>
  </w:style>
  <w:style w:type="character" w:customStyle="1" w:styleId="40">
    <w:name w:val="正文文本缩进 Char"/>
    <w:link w:val="13"/>
    <w:semiHidden/>
    <w:qFormat/>
    <w:uiPriority w:val="0"/>
    <w:rPr>
      <w:rFonts w:ascii="Times New Roman" w:hAnsi="Times New Roman" w:eastAsia="宋体"/>
      <w:sz w:val="24"/>
    </w:rPr>
  </w:style>
  <w:style w:type="character" w:customStyle="1" w:styleId="41">
    <w:name w:val="日期 Char"/>
    <w:link w:val="19"/>
    <w:qFormat/>
    <w:uiPriority w:val="0"/>
    <w:rPr>
      <w:rFonts w:ascii="Times New Roman" w:hAnsi="Times New Roman" w:eastAsia="宋体"/>
      <w:sz w:val="24"/>
    </w:rPr>
  </w:style>
  <w:style w:type="character" w:customStyle="1" w:styleId="42">
    <w:name w:val="批注框文本 Char"/>
    <w:link w:val="21"/>
    <w:semiHidden/>
    <w:qFormat/>
    <w:uiPriority w:val="0"/>
    <w:rPr>
      <w:rFonts w:ascii="Times New Roman" w:hAnsi="Times New Roman" w:eastAsia="宋体"/>
      <w:sz w:val="18"/>
    </w:rPr>
  </w:style>
  <w:style w:type="character" w:customStyle="1" w:styleId="43">
    <w:name w:val="页脚 Char"/>
    <w:link w:val="22"/>
    <w:qFormat/>
    <w:uiPriority w:val="99"/>
    <w:rPr>
      <w:sz w:val="18"/>
    </w:rPr>
  </w:style>
  <w:style w:type="character" w:customStyle="1" w:styleId="44">
    <w:name w:val="页眉 Char"/>
    <w:link w:val="23"/>
    <w:qFormat/>
    <w:uiPriority w:val="0"/>
    <w:rPr>
      <w:sz w:val="18"/>
    </w:rPr>
  </w:style>
  <w:style w:type="character" w:customStyle="1" w:styleId="45">
    <w:name w:val="普通(网站) Char"/>
    <w:link w:val="27"/>
    <w:qFormat/>
    <w:uiPriority w:val="0"/>
    <w:rPr>
      <w:rFonts w:ascii="宋体" w:hAnsi="宋体" w:eastAsia="宋体"/>
      <w:sz w:val="24"/>
    </w:rPr>
  </w:style>
  <w:style w:type="character" w:customStyle="1" w:styleId="46">
    <w:name w:val="批注主题 Char"/>
    <w:link w:val="29"/>
    <w:semiHidden/>
    <w:qFormat/>
    <w:uiPriority w:val="0"/>
    <w:rPr>
      <w:rFonts w:ascii="Times New Roman" w:hAnsi="Times New Roman" w:eastAsia="宋体"/>
      <w:b/>
      <w:kern w:val="2"/>
      <w:sz w:val="24"/>
    </w:rPr>
  </w:style>
  <w:style w:type="paragraph" w:customStyle="1" w:styleId="47">
    <w:name w:val="表格文字"/>
    <w:basedOn w:val="18"/>
    <w:next w:val="1"/>
    <w:qFormat/>
    <w:uiPriority w:val="99"/>
    <w:pPr>
      <w:adjustRightInd w:val="0"/>
      <w:snapToGrid w:val="0"/>
      <w:jc w:val="center"/>
    </w:pPr>
    <w:rPr>
      <w:sz w:val="24"/>
      <w:szCs w:val="20"/>
    </w:rPr>
  </w:style>
  <w:style w:type="paragraph" w:customStyle="1" w:styleId="48">
    <w:name w:val="表标题"/>
    <w:basedOn w:val="1"/>
    <w:qFormat/>
    <w:uiPriority w:val="0"/>
    <w:pPr>
      <w:adjustRightInd w:val="0"/>
      <w:spacing w:line="394" w:lineRule="atLeast"/>
      <w:ind w:firstLine="510"/>
      <w:jc w:val="center"/>
      <w:textAlignment w:val="baseline"/>
    </w:pPr>
    <w:rPr>
      <w:rFonts w:ascii="宋体"/>
      <w:b/>
      <w:kern w:val="0"/>
      <w:sz w:val="28"/>
      <w:szCs w:val="20"/>
    </w:rPr>
  </w:style>
  <w:style w:type="paragraph" w:customStyle="1" w:styleId="49">
    <w:name w:val="Default"/>
    <w:basedOn w:val="50"/>
    <w:next w:val="51"/>
    <w:qFormat/>
    <w:uiPriority w:val="99"/>
    <w:pPr>
      <w:autoSpaceDE w:val="0"/>
      <w:autoSpaceDN w:val="0"/>
      <w:adjustRightInd w:val="0"/>
      <w:jc w:val="left"/>
    </w:pPr>
    <w:rPr>
      <w:color w:val="000000"/>
      <w:kern w:val="0"/>
      <w:sz w:val="24"/>
      <w:szCs w:val="24"/>
    </w:rPr>
  </w:style>
  <w:style w:type="paragraph" w:customStyle="1" w:styleId="50">
    <w:name w:val="纯文本1"/>
    <w:basedOn w:val="1"/>
    <w:next w:val="18"/>
    <w:qFormat/>
    <w:uiPriority w:val="0"/>
    <w:pPr>
      <w:adjustRightInd w:val="0"/>
    </w:pPr>
    <w:rPr>
      <w:rFonts w:ascii="宋体" w:hAnsi="Courier New"/>
      <w:szCs w:val="20"/>
    </w:rPr>
  </w:style>
  <w:style w:type="paragraph" w:customStyle="1" w:styleId="51">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customStyle="1" w:styleId="52">
    <w:name w:val="样式35"/>
    <w:basedOn w:val="53"/>
    <w:next w:val="54"/>
    <w:qFormat/>
    <w:uiPriority w:val="0"/>
    <w:pPr>
      <w:widowControl w:val="0"/>
      <w:spacing w:line="312" w:lineRule="auto"/>
      <w:ind w:firstLine="567"/>
      <w:jc w:val="both"/>
    </w:pPr>
    <w:rPr>
      <w:rFonts w:ascii="宋体"/>
      <w:kern w:val="2"/>
      <w:sz w:val="21"/>
      <w:szCs w:val="22"/>
      <w:lang w:val="en-US" w:eastAsia="zh-CN" w:bidi="ar-SA"/>
    </w:rPr>
  </w:style>
  <w:style w:type="paragraph" w:customStyle="1" w:styleId="53">
    <w:name w:val="表 内容"/>
    <w:basedOn w:val="1"/>
    <w:qFormat/>
    <w:uiPriority w:val="0"/>
    <w:pPr>
      <w:adjustRightInd w:val="0"/>
      <w:snapToGrid w:val="0"/>
      <w:spacing w:before="46" w:beforeLines="15"/>
      <w:ind w:firstLine="480" w:firstLineChars="200"/>
      <w:jc w:val="center"/>
    </w:pPr>
    <w:rPr>
      <w:rFonts w:ascii="Times New Roman" w:hAnsi="Times New Roman" w:cs="Times New Roman"/>
      <w:sz w:val="20"/>
      <w:szCs w:val="21"/>
    </w:rPr>
  </w:style>
  <w:style w:type="paragraph" w:customStyle="1" w:styleId="54">
    <w:name w:val="font6"/>
    <w:next w:val="26"/>
    <w:qFormat/>
    <w:uiPriority w:val="0"/>
    <w:pPr>
      <w:spacing w:before="280" w:after="280"/>
      <w:jc w:val="both"/>
    </w:pPr>
    <w:rPr>
      <w:rFonts w:ascii="Times New Roman" w:hAnsi="Times New Roman" w:eastAsia="宋体" w:cs="Times New Roman"/>
      <w:kern w:val="2"/>
      <w:sz w:val="21"/>
      <w:szCs w:val="22"/>
      <w:lang w:val="en-US" w:eastAsia="zh-CN" w:bidi="ar-SA"/>
    </w:rPr>
  </w:style>
  <w:style w:type="character" w:customStyle="1" w:styleId="55">
    <w:name w:val="表格 Char"/>
    <w:link w:val="56"/>
    <w:qFormat/>
    <w:uiPriority w:val="0"/>
    <w:rPr>
      <w:rFonts w:ascii="宋体"/>
      <w:sz w:val="21"/>
    </w:rPr>
  </w:style>
  <w:style w:type="paragraph" w:customStyle="1" w:styleId="56">
    <w:name w:val="表格"/>
    <w:basedOn w:val="1"/>
    <w:next w:val="1"/>
    <w:link w:val="55"/>
    <w:qFormat/>
    <w:uiPriority w:val="0"/>
    <w:pPr>
      <w:adjustRightInd w:val="0"/>
      <w:snapToGrid w:val="0"/>
      <w:spacing w:beforeLines="10" w:afterLines="10" w:line="259" w:lineRule="auto"/>
      <w:jc w:val="center"/>
    </w:pPr>
    <w:rPr>
      <w:rFonts w:ascii="宋体"/>
      <w:kern w:val="0"/>
      <w:szCs w:val="20"/>
    </w:rPr>
  </w:style>
  <w:style w:type="character" w:customStyle="1" w:styleId="57">
    <w:name w:val="正文文本 字符1"/>
    <w:semiHidden/>
    <w:qFormat/>
    <w:uiPriority w:val="0"/>
    <w:rPr>
      <w:rFonts w:ascii="Times New Roman" w:hAnsi="Times New Roman" w:eastAsia="宋体"/>
      <w:sz w:val="24"/>
    </w:rPr>
  </w:style>
  <w:style w:type="character" w:customStyle="1" w:styleId="58">
    <w:name w:val="日期 字符"/>
    <w:semiHidden/>
    <w:qFormat/>
    <w:uiPriority w:val="0"/>
    <w:rPr>
      <w:rFonts w:ascii="Times New Roman" w:hAnsi="Times New Roman" w:eastAsia="宋体"/>
      <w:sz w:val="24"/>
    </w:rPr>
  </w:style>
  <w:style w:type="character" w:customStyle="1" w:styleId="59">
    <w:name w:val="页脚 字符"/>
    <w:basedOn w:val="34"/>
    <w:qFormat/>
    <w:uiPriority w:val="99"/>
  </w:style>
  <w:style w:type="character" w:customStyle="1" w:styleId="60">
    <w:name w:val="批注文字 字符1"/>
    <w:semiHidden/>
    <w:qFormat/>
    <w:uiPriority w:val="0"/>
    <w:rPr>
      <w:rFonts w:ascii="Times New Roman" w:hAnsi="Times New Roman" w:eastAsia="宋体"/>
      <w:sz w:val="24"/>
    </w:rPr>
  </w:style>
  <w:style w:type="paragraph" w:customStyle="1" w:styleId="61">
    <w:name w:val="p0"/>
    <w:basedOn w:val="1"/>
    <w:qFormat/>
    <w:uiPriority w:val="0"/>
    <w:pPr>
      <w:widowControl/>
    </w:pPr>
    <w:rPr>
      <w:kern w:val="0"/>
      <w:szCs w:val="28"/>
    </w:rPr>
  </w:style>
  <w:style w:type="paragraph" w:customStyle="1" w:styleId="62">
    <w:name w:val="1表格字体"/>
    <w:basedOn w:val="1"/>
    <w:qFormat/>
    <w:uiPriority w:val="0"/>
    <w:pPr>
      <w:adjustRightInd w:val="0"/>
      <w:spacing w:line="264" w:lineRule="auto"/>
      <w:jc w:val="center"/>
    </w:pPr>
  </w:style>
  <w:style w:type="paragraph" w:customStyle="1" w:styleId="63">
    <w:name w:val="样式1"/>
    <w:qFormat/>
    <w:uiPriority w:val="99"/>
    <w:pPr>
      <w:widowControl w:val="0"/>
      <w:autoSpaceDE w:val="0"/>
      <w:autoSpaceDN w:val="0"/>
      <w:adjustRightInd w:val="0"/>
    </w:pPr>
    <w:rPr>
      <w:rFonts w:ascii="Times New Roman" w:hAnsi="Roman" w:eastAsia="宋体" w:cs="Times New Roman"/>
      <w:color w:val="000000"/>
      <w:spacing w:val="-1"/>
      <w:kern w:val="30"/>
      <w:position w:val="-1"/>
      <w:sz w:val="30"/>
      <w:lang w:val="en-US" w:eastAsia="zh-CN" w:bidi="ar-SA"/>
    </w:rPr>
  </w:style>
  <w:style w:type="paragraph" w:customStyle="1" w:styleId="64">
    <w:name w:val="表格内容-中间对齐"/>
    <w:basedOn w:val="1"/>
    <w:qFormat/>
    <w:uiPriority w:val="99"/>
    <w:pPr>
      <w:jc w:val="center"/>
    </w:pPr>
    <w:rPr>
      <w:rFonts w:ascii="等线" w:hAnsi="等线" w:cs="Times New Roman"/>
      <w:bCs/>
      <w:kern w:val="0"/>
      <w:szCs w:val="20"/>
    </w:rPr>
  </w:style>
  <w:style w:type="paragraph" w:customStyle="1" w:styleId="65">
    <w:name w:val="表格标题"/>
    <w:basedOn w:val="66"/>
    <w:qFormat/>
    <w:uiPriority w:val="99"/>
    <w:rPr>
      <w:rFonts w:eastAsia="仿宋_GB2312"/>
      <w:b/>
      <w:sz w:val="24"/>
    </w:rPr>
  </w:style>
  <w:style w:type="paragraph" w:customStyle="1" w:styleId="66">
    <w:name w:val="表格000"/>
    <w:basedOn w:val="1"/>
    <w:qFormat/>
    <w:uiPriority w:val="0"/>
    <w:pPr>
      <w:jc w:val="center"/>
    </w:pPr>
    <w:rPr>
      <w:kern w:val="11"/>
      <w:szCs w:val="21"/>
    </w:rPr>
  </w:style>
  <w:style w:type="paragraph" w:customStyle="1" w:styleId="67">
    <w:name w:val="表格内容"/>
    <w:basedOn w:val="1"/>
    <w:qFormat/>
    <w:uiPriority w:val="99"/>
    <w:pPr>
      <w:keepNext/>
      <w:tabs>
        <w:tab w:val="left" w:pos="3480"/>
      </w:tabs>
      <w:jc w:val="center"/>
    </w:pPr>
    <w:rPr>
      <w:rFonts w:ascii="Times New Roman" w:hAnsi="Times New Roman" w:cs="Times New Roman"/>
      <w:kern w:val="0"/>
      <w:szCs w:val="20"/>
    </w:rPr>
  </w:style>
  <w:style w:type="paragraph" w:customStyle="1" w:styleId="68">
    <w:name w:val="表格1"/>
    <w:basedOn w:val="1"/>
    <w:next w:val="1"/>
    <w:qFormat/>
    <w:uiPriority w:val="0"/>
    <w:pPr>
      <w:topLinePunct/>
      <w:autoSpaceDE w:val="0"/>
      <w:autoSpaceDN w:val="0"/>
      <w:adjustRightInd w:val="0"/>
      <w:jc w:val="center"/>
      <w:textAlignment w:val="baseline"/>
    </w:pPr>
    <w:rPr>
      <w:rFonts w:ascii="宋体" w:hAnsi="Impact"/>
      <w:kern w:val="24"/>
      <w:sz w:val="28"/>
    </w:rPr>
  </w:style>
  <w:style w:type="paragraph" w:customStyle="1" w:styleId="6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0">
    <w:name w:val="p15"/>
    <w:basedOn w:val="1"/>
    <w:qFormat/>
    <w:uiPriority w:val="99"/>
    <w:pPr>
      <w:widowControl/>
      <w:spacing w:line="360" w:lineRule="auto"/>
      <w:ind w:firstLine="1440" w:firstLineChars="200"/>
    </w:pPr>
    <w:rPr>
      <w:rFonts w:ascii="Calibri" w:hAnsi="Calibri" w:cs="Times New Roman"/>
      <w:kern w:val="0"/>
      <w:sz w:val="24"/>
    </w:rPr>
  </w:style>
  <w:style w:type="paragraph" w:customStyle="1" w:styleId="71">
    <w:name w:val="正文首行缩进 2 + Times New Roman"/>
    <w:basedOn w:val="1"/>
    <w:qFormat/>
    <w:uiPriority w:val="0"/>
    <w:pPr>
      <w:tabs>
        <w:tab w:val="left" w:pos="0"/>
        <w:tab w:val="left" w:pos="870"/>
      </w:tabs>
      <w:autoSpaceDE w:val="0"/>
      <w:autoSpaceDN w:val="0"/>
      <w:spacing w:line="360" w:lineRule="auto"/>
      <w:ind w:firstLine="482" w:firstLineChars="200"/>
      <w:jc w:val="center"/>
    </w:pPr>
    <w:rPr>
      <w:kern w:val="0"/>
      <w:sz w:val="24"/>
      <w:lang w:val="zh-CN"/>
    </w:rPr>
  </w:style>
  <w:style w:type="paragraph" w:customStyle="1" w:styleId="72">
    <w:name w:val="表格内容jophy"/>
    <w:basedOn w:val="1"/>
    <w:qFormat/>
    <w:uiPriority w:val="0"/>
    <w:pPr>
      <w:snapToGrid w:val="0"/>
      <w:spacing w:line="240" w:lineRule="auto"/>
      <w:ind w:firstLine="0" w:firstLineChars="0"/>
      <w:jc w:val="center"/>
    </w:pPr>
    <w:rPr>
      <w:sz w:val="21"/>
      <w:szCs w:val="18"/>
    </w:rPr>
  </w:style>
  <w:style w:type="paragraph" w:customStyle="1" w:styleId="73">
    <w:name w:val="表格内容1"/>
    <w:basedOn w:val="1"/>
    <w:qFormat/>
    <w:uiPriority w:val="0"/>
    <w:pPr>
      <w:snapToGrid w:val="0"/>
    </w:pPr>
    <w:rPr>
      <w:rFonts w:hAnsi="Arial" w:cs="宋体"/>
      <w:b/>
      <w:bCs/>
      <w:sz w:val="28"/>
      <w:szCs w:val="20"/>
    </w:rPr>
  </w:style>
  <w:style w:type="paragraph" w:customStyle="1" w:styleId="74">
    <w:name w:val="表格正文"/>
    <w:qFormat/>
    <w:uiPriority w:val="0"/>
    <w:pPr>
      <w:widowControl w:val="0"/>
      <w:adjustRightInd w:val="0"/>
      <w:snapToGrid w:val="0"/>
      <w:jc w:val="center"/>
    </w:pPr>
    <w:rPr>
      <w:rFonts w:ascii="Times New Roman" w:hAnsi="Times New Roman" w:eastAsia="宋体" w:cs="Times New Roman"/>
      <w:kern w:val="2"/>
      <w:sz w:val="21"/>
      <w:szCs w:val="21"/>
      <w:lang w:val="en-US" w:eastAsia="zh-CN" w:bidi="ar-SA"/>
    </w:rPr>
  </w:style>
  <w:style w:type="paragraph" w:customStyle="1" w:styleId="75">
    <w:name w:val="报告表  段"/>
    <w:basedOn w:val="1"/>
    <w:qFormat/>
    <w:uiPriority w:val="99"/>
    <w:pPr>
      <w:adjustRightInd w:val="0"/>
      <w:spacing w:line="360" w:lineRule="auto"/>
      <w:ind w:firstLine="505"/>
      <w:textAlignment w:val="baseline"/>
    </w:pPr>
    <w:rPr>
      <w:rFonts w:hAnsi="Times New Roman" w:cs="Times New Roman"/>
      <w:kern w:val="0"/>
      <w:sz w:val="24"/>
      <w:szCs w:val="20"/>
    </w:rPr>
  </w:style>
  <w:style w:type="paragraph" w:customStyle="1" w:styleId="76">
    <w:name w:val="报告表小段"/>
    <w:basedOn w:val="1"/>
    <w:qFormat/>
    <w:uiPriority w:val="99"/>
    <w:pPr>
      <w:spacing w:before="120" w:line="360" w:lineRule="auto"/>
      <w:ind w:firstLine="470" w:firstLineChars="196"/>
    </w:pPr>
    <w:rPr>
      <w:rFonts w:ascii="Calibri" w:hAnsi="Calibri" w:cs="Times New Roman"/>
      <w:bCs/>
      <w:sz w:val="20"/>
      <w:szCs w:val="24"/>
    </w:rPr>
  </w:style>
  <w:style w:type="paragraph" w:customStyle="1" w:styleId="77">
    <w:name w:val="Table Paragraph"/>
    <w:basedOn w:val="1"/>
    <w:qFormat/>
    <w:uiPriority w:val="99"/>
    <w:pPr>
      <w:jc w:val="left"/>
    </w:pPr>
    <w:rPr>
      <w:rFonts w:ascii="Calibri" w:hAnsi="Calibri" w:cs="Times New Roman"/>
      <w:spacing w:val="-2"/>
      <w:kern w:val="0"/>
      <w:sz w:val="22"/>
      <w:szCs w:val="22"/>
    </w:rPr>
  </w:style>
  <w:style w:type="paragraph" w:customStyle="1" w:styleId="78">
    <w:name w:val="表格格式"/>
    <w:basedOn w:val="65"/>
    <w:next w:val="1"/>
    <w:qFormat/>
    <w:uiPriority w:val="0"/>
    <w:pPr>
      <w:jc w:val="center"/>
    </w:pPr>
    <w:rPr>
      <w:rFonts w:ascii="宋体" w:hAnsi="宋体" w:cs="Calibri"/>
      <w:szCs w:val="22"/>
    </w:rPr>
  </w:style>
  <w:style w:type="paragraph" w:customStyle="1" w:styleId="79">
    <w:name w:val="报告"/>
    <w:basedOn w:val="1"/>
    <w:qFormat/>
    <w:uiPriority w:val="0"/>
    <w:pPr>
      <w:spacing w:beforeLines="30" w:afterLines="30" w:line="400" w:lineRule="atLeast"/>
      <w:ind w:firstLine="200" w:firstLineChars="200"/>
    </w:pPr>
    <w:rPr>
      <w:rFonts w:ascii="Verdana" w:hAnsi="Verdana"/>
      <w:sz w:val="24"/>
      <w:szCs w:val="24"/>
    </w:rPr>
  </w:style>
  <w:style w:type="paragraph" w:customStyle="1" w:styleId="80">
    <w:name w:val="正文2"/>
    <w:qFormat/>
    <w:uiPriority w:val="99"/>
    <w:pPr>
      <w:jc w:val="both"/>
    </w:pPr>
    <w:rPr>
      <w:rFonts w:ascii="Times New Roman" w:hAnsi="Times New Roman" w:eastAsia="宋体" w:cs="Times New Roman"/>
      <w:kern w:val="2"/>
      <w:sz w:val="21"/>
      <w:szCs w:val="21"/>
      <w:lang w:val="en-US" w:eastAsia="zh-CN" w:bidi="ar-SA"/>
    </w:rPr>
  </w:style>
  <w:style w:type="paragraph" w:customStyle="1" w:styleId="81">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82">
    <w:name w:val="段落1 Char"/>
    <w:basedOn w:val="1"/>
    <w:qFormat/>
    <w:uiPriority w:val="0"/>
    <w:pPr>
      <w:spacing w:line="440" w:lineRule="exact"/>
      <w:ind w:firstLine="480"/>
    </w:pPr>
    <w:rPr>
      <w:spacing w:val="8"/>
    </w:rPr>
  </w:style>
  <w:style w:type="paragraph" w:customStyle="1" w:styleId="83">
    <w:name w:val="表格表头"/>
    <w:basedOn w:val="1"/>
    <w:qFormat/>
    <w:uiPriority w:val="0"/>
    <w:pPr>
      <w:jc w:val="center"/>
    </w:pPr>
    <w:rPr>
      <w:b/>
    </w:rPr>
  </w:style>
  <w:style w:type="paragraph" w:customStyle="1" w:styleId="84">
    <w:name w:val="表名"/>
    <w:basedOn w:val="1"/>
    <w:qFormat/>
    <w:uiPriority w:val="0"/>
    <w:pPr>
      <w:adjustRightInd w:val="0"/>
      <w:spacing w:before="120" w:after="120" w:line="400" w:lineRule="atLeast"/>
      <w:jc w:val="center"/>
      <w:textAlignment w:val="baseline"/>
    </w:pPr>
    <w:rPr>
      <w:b/>
      <w:bCs/>
      <w:kern w:val="0"/>
    </w:rPr>
  </w:style>
  <w:style w:type="paragraph" w:customStyle="1" w:styleId="85">
    <w:name w:val="Char"/>
    <w:basedOn w:val="1"/>
    <w:qFormat/>
    <w:uiPriority w:val="99"/>
  </w:style>
  <w:style w:type="paragraph" w:customStyle="1" w:styleId="86">
    <w:name w:val="报告表大标题"/>
    <w:basedOn w:val="1"/>
    <w:qFormat/>
    <w:uiPriority w:val="0"/>
    <w:pPr>
      <w:spacing w:line="360" w:lineRule="auto"/>
      <w:ind w:left="11" w:right="11"/>
    </w:pPr>
    <w:rPr>
      <w:rFonts w:eastAsia="黑体"/>
      <w:b/>
      <w:bCs/>
      <w:color w:val="000000"/>
      <w:sz w:val="28"/>
      <w:szCs w:val="28"/>
    </w:rPr>
  </w:style>
  <w:style w:type="paragraph" w:styleId="87">
    <w:name w:val="No Spacing"/>
    <w:qFormat/>
    <w:uiPriority w:val="99"/>
    <w:pPr>
      <w:widowControl w:val="0"/>
      <w:spacing w:line="312" w:lineRule="auto"/>
      <w:jc w:val="center"/>
    </w:pPr>
    <w:rPr>
      <w:rFonts w:ascii="Times New Roman" w:hAnsi="Times New Roman" w:eastAsia="宋体" w:cs="Times New Roman"/>
      <w:color w:val="000000"/>
      <w:kern w:val="2"/>
      <w:sz w:val="21"/>
      <w:szCs w:val="24"/>
      <w:lang w:val="en-US" w:eastAsia="zh-CN" w:bidi="ar-SA"/>
    </w:rPr>
  </w:style>
  <w:style w:type="paragraph" w:customStyle="1" w:styleId="88">
    <w:name w:val="DL段落"/>
    <w:basedOn w:val="1"/>
    <w:qFormat/>
    <w:uiPriority w:val="99"/>
    <w:pPr>
      <w:adjustRightInd w:val="0"/>
      <w:snapToGrid w:val="0"/>
      <w:spacing w:line="360" w:lineRule="auto"/>
      <w:ind w:firstLine="200" w:firstLineChars="200"/>
    </w:pPr>
    <w:rPr>
      <w:rFonts w:ascii="Calibri" w:hAnsi="Calibri" w:cs="Times New Roman"/>
      <w:sz w:val="24"/>
      <w:szCs w:val="24"/>
    </w:rPr>
  </w:style>
  <w:style w:type="paragraph" w:customStyle="1" w:styleId="89">
    <w:name w:val="正文文本缩进1"/>
    <w:basedOn w:val="1"/>
    <w:qFormat/>
    <w:uiPriority w:val="0"/>
    <w:pPr>
      <w:adjustRightInd/>
      <w:spacing w:line="300" w:lineRule="auto"/>
      <w:ind w:firstLine="454" w:firstLineChars="0"/>
    </w:pPr>
    <w:rPr>
      <w:szCs w:val="24"/>
    </w:rPr>
  </w:style>
  <w:style w:type="paragraph" w:customStyle="1" w:styleId="90">
    <w:name w:val="正 文"/>
    <w:basedOn w:val="1"/>
    <w:qFormat/>
    <w:uiPriority w:val="99"/>
    <w:pPr>
      <w:spacing w:line="480" w:lineRule="exact"/>
      <w:ind w:firstLine="471"/>
    </w:pPr>
    <w:rPr>
      <w:rFonts w:ascii="Arial" w:hAnsi="Arial" w:cs="Arial"/>
      <w:sz w:val="24"/>
      <w:szCs w:val="24"/>
    </w:rPr>
  </w:style>
  <w:style w:type="paragraph" w:customStyle="1" w:styleId="91">
    <w:name w:val="列出段落2"/>
    <w:basedOn w:val="1"/>
    <w:qFormat/>
    <w:uiPriority w:val="99"/>
    <w:pPr>
      <w:ind w:firstLine="420" w:firstLineChars="200"/>
    </w:pPr>
  </w:style>
  <w:style w:type="paragraph" w:customStyle="1" w:styleId="92">
    <w:name w:val="列出段落1"/>
    <w:basedOn w:val="1"/>
    <w:qFormat/>
    <w:uiPriority w:val="99"/>
    <w:pPr>
      <w:ind w:firstLine="420" w:firstLineChars="200"/>
    </w:pPr>
    <w:rPr>
      <w:rFonts w:ascii="Calibri" w:hAnsi="Calibri"/>
      <w:szCs w:val="22"/>
    </w:rPr>
  </w:style>
  <w:style w:type="paragraph" w:customStyle="1" w:styleId="93">
    <w:name w:val="CC表格正文"/>
    <w:basedOn w:val="1"/>
    <w:qFormat/>
    <w:uiPriority w:val="99"/>
    <w:pPr>
      <w:widowControl w:val="0"/>
      <w:tabs>
        <w:tab w:val="left" w:pos="1081"/>
      </w:tabs>
      <w:adjustRightInd w:val="0"/>
      <w:spacing w:line="320" w:lineRule="exact"/>
      <w:jc w:val="center"/>
      <w:textAlignment w:val="baseline"/>
    </w:pPr>
    <w:rPr>
      <w:sz w:val="21"/>
      <w:szCs w:val="21"/>
    </w:rPr>
  </w:style>
  <w:style w:type="paragraph" w:customStyle="1" w:styleId="94">
    <w:name w:val="表内容"/>
    <w:next w:val="1"/>
    <w:qFormat/>
    <w:uiPriority w:val="0"/>
    <w:pPr>
      <w:widowControl w:val="0"/>
      <w:jc w:val="center"/>
    </w:pPr>
    <w:rPr>
      <w:rFonts w:ascii="Times New Roman" w:hAnsi="Times New Roman" w:eastAsia="宋体" w:cs="Times New Roman"/>
      <w:kern w:val="2"/>
      <w:sz w:val="21"/>
      <w:szCs w:val="21"/>
      <w:lang w:val="en-US" w:eastAsia="zh-CN" w:bidi="ar-SA"/>
    </w:rPr>
  </w:style>
  <w:style w:type="paragraph" w:customStyle="1" w:styleId="95">
    <w:name w:val="列表(L)"/>
    <w:basedOn w:val="8"/>
    <w:qFormat/>
    <w:uiPriority w:val="99"/>
    <w:pPr>
      <w:adjustRightInd w:val="0"/>
      <w:snapToGrid w:val="0"/>
      <w:spacing w:line="360" w:lineRule="auto"/>
      <w:ind w:left="0" w:firstLine="0" w:firstLineChars="0"/>
      <w:textAlignment w:val="baseline"/>
    </w:pPr>
    <w:rPr>
      <w:rFonts w:ascii="Times New Roman" w:hAnsi="Times New Roman"/>
      <w:kern w:val="0"/>
      <w:sz w:val="24"/>
      <w:szCs w:val="20"/>
    </w:rPr>
  </w:style>
  <w:style w:type="paragraph" w:customStyle="1" w:styleId="96">
    <w:name w:val="_Style 22"/>
    <w:qFormat/>
    <w:uiPriority w:val="99"/>
    <w:pPr>
      <w:widowControl w:val="0"/>
      <w:jc w:val="both"/>
    </w:pPr>
    <w:rPr>
      <w:rFonts w:ascii="Times New Roman" w:hAnsi="Times New Roman" w:eastAsia="宋体" w:cs="Times New Roman"/>
      <w:kern w:val="2"/>
      <w:sz w:val="21"/>
      <w:szCs w:val="24"/>
      <w:lang w:val="en-US" w:eastAsia="zh-CN" w:bidi="ar-SA"/>
    </w:rPr>
  </w:style>
  <w:style w:type="table" w:customStyle="1" w:styleId="97">
    <w:name w:val="s"/>
    <w:basedOn w:val="32"/>
    <w:qFormat/>
    <w:uiPriority w:val="0"/>
    <w:pPr>
      <w:jc w:val="both"/>
    </w:pPr>
    <w:tblPr>
      <w:tblBorders>
        <w:top w:val="single" w:color="auto" w:sz="12" w:space="0"/>
        <w:bottom w:val="single" w:color="auto" w:sz="12" w:space="0"/>
        <w:insideH w:val="single" w:color="auto" w:sz="4" w:space="0"/>
        <w:insideV w:val="single" w:color="auto" w:sz="4" w:space="0"/>
      </w:tblBorders>
    </w:tblPr>
    <w:tcPr>
      <w:vAlign w:val="center"/>
    </w:tcPr>
    <w:tblStylePr w:type="firstRow">
      <w:rPr>
        <w:b/>
      </w:rPr>
    </w:tblStylePr>
  </w:style>
  <w:style w:type="table" w:customStyle="1" w:styleId="98">
    <w:name w:val="Table Normal"/>
    <w:unhideWhenUsed/>
    <w:qFormat/>
    <w:uiPriority w:val="0"/>
    <w:tblPr>
      <w:tblCellMar>
        <w:top w:w="0" w:type="dxa"/>
        <w:left w:w="0" w:type="dxa"/>
        <w:bottom w:w="0" w:type="dxa"/>
        <w:right w:w="0" w:type="dxa"/>
      </w:tblCellMar>
    </w:tblPr>
  </w:style>
  <w:style w:type="paragraph" w:customStyle="1" w:styleId="99">
    <w:name w:val="表格 32"/>
    <w:basedOn w:val="1"/>
    <w:qFormat/>
    <w:uiPriority w:val="0"/>
    <w:pPr>
      <w:autoSpaceDE w:val="0"/>
      <w:autoSpaceDN w:val="0"/>
      <w:adjustRightInd w:val="0"/>
      <w:jc w:val="center"/>
      <w:textAlignment w:val="baseline"/>
    </w:pPr>
    <w:rPr>
      <w:rFonts w:ascii="Impact" w:hAnsi="Wingdings" w:eastAsia="Impact" w:cs="仿宋体"/>
      <w:kern w:val="24"/>
      <w:sz w:val="24"/>
      <w:szCs w:val="20"/>
    </w:rPr>
  </w:style>
  <w:style w:type="paragraph" w:customStyle="1" w:styleId="100">
    <w:name w:val="无间隔1"/>
    <w:basedOn w:val="1"/>
    <w:next w:val="12"/>
    <w:qFormat/>
    <w:uiPriority w:val="0"/>
    <w:pPr>
      <w:wordWrap w:val="0"/>
      <w:jc w:val="center"/>
    </w:pPr>
    <w:rPr>
      <w:color w:val="000000"/>
      <w:szCs w:val="24"/>
    </w:rPr>
  </w:style>
  <w:style w:type="paragraph" w:customStyle="1" w:styleId="101">
    <w:name w:val="正文（小四）"/>
    <w:qFormat/>
    <w:uiPriority w:val="99"/>
    <w:pPr>
      <w:spacing w:line="360" w:lineRule="auto"/>
      <w:ind w:firstLine="200" w:firstLineChars="200"/>
      <w:jc w:val="both"/>
    </w:pPr>
    <w:rPr>
      <w:rFonts w:ascii="Times New Roman" w:hAnsi="Times New Roman" w:eastAsia="宋体" w:cs="宋体"/>
      <w:bCs/>
      <w:kern w:val="2"/>
      <w:sz w:val="24"/>
      <w:szCs w:val="32"/>
      <w:lang w:val="en-US" w:eastAsia="zh-CN" w:bidi="ar-SA"/>
    </w:rPr>
  </w:style>
  <w:style w:type="paragraph" w:customStyle="1" w:styleId="102">
    <w:name w:val="@正文"/>
    <w:basedOn w:val="1"/>
    <w:qFormat/>
    <w:uiPriority w:val="0"/>
    <w:pPr>
      <w:adjustRightInd w:val="0"/>
      <w:snapToGrid w:val="0"/>
      <w:spacing w:line="360" w:lineRule="auto"/>
      <w:ind w:firstLine="200" w:firstLineChars="200"/>
    </w:pPr>
    <w:rPr>
      <w:sz w:val="28"/>
      <w:szCs w:val="20"/>
    </w:rPr>
  </w:style>
  <w:style w:type="paragraph" w:customStyle="1" w:styleId="103">
    <w:name w:val="Other|1"/>
    <w:basedOn w:val="1"/>
    <w:qFormat/>
    <w:uiPriority w:val="0"/>
    <w:pPr>
      <w:widowControl w:val="0"/>
      <w:shd w:val="clear" w:color="auto" w:fill="auto"/>
      <w:spacing w:after="120" w:line="362" w:lineRule="auto"/>
      <w:ind w:firstLine="220"/>
    </w:pPr>
    <w:rPr>
      <w:rFonts w:ascii="宋体" w:hAnsi="宋体" w:eastAsia="宋体" w:cs="宋体"/>
      <w:sz w:val="19"/>
      <w:szCs w:val="19"/>
      <w:u w:val="none"/>
      <w:shd w:val="clear" w:color="auto" w:fill="auto"/>
      <w:lang w:val="zh-TW" w:eastAsia="zh-TW" w:bidi="zh-TW"/>
    </w:rPr>
  </w:style>
  <w:style w:type="character" w:customStyle="1" w:styleId="104">
    <w:name w:val="font21"/>
    <w:basedOn w:val="34"/>
    <w:qFormat/>
    <w:uiPriority w:val="0"/>
    <w:rPr>
      <w:rFonts w:hint="eastAsia" w:ascii="宋体" w:hAnsi="宋体" w:eastAsia="宋体" w:cs="宋体"/>
      <w:color w:val="000000"/>
      <w:sz w:val="18"/>
      <w:szCs w:val="18"/>
      <w:u w:val="none"/>
    </w:rPr>
  </w:style>
  <w:style w:type="character" w:customStyle="1" w:styleId="105">
    <w:name w:val="font51"/>
    <w:basedOn w:val="34"/>
    <w:qFormat/>
    <w:uiPriority w:val="0"/>
    <w:rPr>
      <w:rFonts w:hint="default" w:ascii="Times New Roman" w:hAnsi="Times New Roman" w:cs="Times New Roman"/>
      <w:color w:val="000000"/>
      <w:sz w:val="18"/>
      <w:szCs w:val="18"/>
      <w:u w:val="none"/>
    </w:rPr>
  </w:style>
  <w:style w:type="character" w:customStyle="1" w:styleId="106">
    <w:name w:val="font31"/>
    <w:basedOn w:val="34"/>
    <w:qFormat/>
    <w:uiPriority w:val="0"/>
    <w:rPr>
      <w:rFonts w:hint="default" w:ascii="Times New Roman" w:hAnsi="Times New Roman" w:cs="Times New Roman"/>
      <w:color w:val="000000"/>
      <w:sz w:val="11"/>
      <w:szCs w:val="11"/>
      <w:u w:val="none"/>
    </w:rPr>
  </w:style>
  <w:style w:type="paragraph" w:customStyle="1" w:styleId="107">
    <w:name w:val="报告正文"/>
    <w:basedOn w:val="1"/>
    <w:qFormat/>
    <w:uiPriority w:val="1"/>
    <w:pPr>
      <w:spacing w:line="360" w:lineRule="auto"/>
      <w:jc w:val="left"/>
    </w:pPr>
    <w:rPr>
      <w:rFonts w:ascii="宋体" w:hAnsi="宋体" w:cs="Arial"/>
      <w:bCs/>
      <w:color w:val="000000"/>
      <w:kern w:val="0"/>
      <w:sz w:val="24"/>
      <w:szCs w:val="20"/>
    </w:rPr>
  </w:style>
  <w:style w:type="paragraph" w:customStyle="1" w:styleId="108">
    <w:name w:val="标题-表/图"/>
    <w:basedOn w:val="1"/>
    <w:qFormat/>
    <w:uiPriority w:val="0"/>
    <w:pPr>
      <w:widowControl/>
      <w:jc w:val="center"/>
    </w:pPr>
    <w:rPr>
      <w:rFonts w:eastAsia="黑体"/>
      <w:b/>
      <w:kern w:val="0"/>
      <w:szCs w:val="22"/>
    </w:rPr>
  </w:style>
  <w:style w:type="paragraph" w:customStyle="1" w:styleId="109">
    <w:name w:val="表格内"/>
    <w:qFormat/>
    <w:uiPriority w:val="0"/>
    <w:pPr>
      <w:jc w:val="center"/>
    </w:pPr>
    <w:rPr>
      <w:rFonts w:ascii="Times New Roman" w:hAnsi="Times New Roman" w:eastAsia="宋体" w:cs="Times New Roman"/>
      <w:sz w:val="21"/>
      <w:lang w:val="en-US" w:eastAsia="zh-CN" w:bidi="ar-SA"/>
    </w:rPr>
  </w:style>
  <w:style w:type="character" w:customStyle="1" w:styleId="110">
    <w:name w:val="fontstyle31"/>
    <w:basedOn w:val="34"/>
    <w:qFormat/>
    <w:uiPriority w:val="0"/>
    <w:rPr>
      <w:rFonts w:ascii="TimesNewRomanPSMT" w:hAnsi="TimesNewRomanPSMT" w:eastAsia="TimesNewRomanPSMT" w:cs="TimesNewRomanPSMT"/>
      <w:color w:val="000000"/>
      <w:sz w:val="22"/>
      <w:szCs w:val="22"/>
    </w:rPr>
  </w:style>
  <w:style w:type="paragraph" w:customStyle="1" w:styleId="111">
    <w:name w:val="表内文字"/>
    <w:basedOn w:val="1"/>
    <w:next w:val="1"/>
    <w:qFormat/>
    <w:uiPriority w:val="0"/>
    <w:pPr>
      <w:tabs>
        <w:tab w:val="left" w:pos="0"/>
        <w:tab w:val="left" w:pos="1200"/>
        <w:tab w:val="left" w:pos="1620"/>
      </w:tabs>
      <w:ind w:left="-96" w:leftChars="-40" w:right="-96" w:rightChars="-40" w:hanging="200" w:hangingChars="200"/>
      <w:jc w:val="center"/>
    </w:pPr>
    <w:rPr>
      <w:b/>
      <w:bCs/>
      <w:szCs w:val="21"/>
    </w:rPr>
  </w:style>
  <w:style w:type="paragraph" w:styleId="112">
    <w:name w:val="List Paragraph"/>
    <w:basedOn w:val="1"/>
    <w:qFormat/>
    <w:uiPriority w:val="0"/>
    <w:pPr>
      <w:ind w:firstLine="420" w:firstLineChars="200"/>
    </w:pPr>
  </w:style>
  <w:style w:type="paragraph" w:customStyle="1" w:styleId="113">
    <w:name w:val="C正文"/>
    <w:basedOn w:val="1"/>
    <w:qFormat/>
    <w:uiPriority w:val="0"/>
    <w:pPr>
      <w:spacing w:line="520" w:lineRule="exact"/>
      <w:ind w:firstLine="480" w:firstLineChars="200"/>
    </w:pPr>
    <w:rPr>
      <w:sz w:val="24"/>
    </w:rPr>
  </w:style>
  <w:style w:type="character" w:customStyle="1" w:styleId="114">
    <w:name w:val="font101"/>
    <w:basedOn w:val="34"/>
    <w:qFormat/>
    <w:uiPriority w:val="0"/>
    <w:rPr>
      <w:rFonts w:hint="eastAsia" w:ascii="宋体" w:hAnsi="宋体" w:eastAsia="宋体" w:cs="宋体"/>
      <w:color w:val="000000"/>
      <w:sz w:val="21"/>
      <w:szCs w:val="21"/>
      <w:u w:val="none"/>
    </w:rPr>
  </w:style>
  <w:style w:type="character" w:customStyle="1" w:styleId="115">
    <w:name w:val="font111"/>
    <w:basedOn w:val="34"/>
    <w:qFormat/>
    <w:uiPriority w:val="0"/>
    <w:rPr>
      <w:rFonts w:hint="default" w:ascii="Times New Roman" w:hAnsi="Times New Roman" w:cs="Times New Roman"/>
      <w:color w:val="000000"/>
      <w:sz w:val="21"/>
      <w:szCs w:val="21"/>
      <w:u w:val="none"/>
    </w:rPr>
  </w:style>
  <w:style w:type="character" w:customStyle="1" w:styleId="116">
    <w:name w:val="font121"/>
    <w:basedOn w:val="34"/>
    <w:qFormat/>
    <w:uiPriority w:val="0"/>
    <w:rPr>
      <w:rFonts w:hint="default" w:ascii="Times New Roman" w:hAnsi="Times New Roman" w:cs="Times New Roman"/>
      <w:b/>
      <w:color w:val="000000"/>
      <w:sz w:val="21"/>
      <w:szCs w:val="21"/>
      <w:u w:val="none"/>
    </w:rPr>
  </w:style>
  <w:style w:type="character" w:customStyle="1" w:styleId="117">
    <w:name w:val="font61"/>
    <w:basedOn w:val="34"/>
    <w:qFormat/>
    <w:uiPriority w:val="0"/>
    <w:rPr>
      <w:rFonts w:hint="default" w:ascii="Times New Roman" w:hAnsi="Times New Roman" w:cs="Times New Roman"/>
      <w:b/>
      <w:color w:val="000000"/>
      <w:sz w:val="21"/>
      <w:szCs w:val="21"/>
      <w:u w:val="none"/>
    </w:rPr>
  </w:style>
  <w:style w:type="paragraph" w:customStyle="1" w:styleId="118">
    <w:name w:val="！正文"/>
    <w:basedOn w:val="1"/>
    <w:qFormat/>
    <w:uiPriority w:val="0"/>
    <w:pPr>
      <w:spacing w:line="360" w:lineRule="auto"/>
      <w:ind w:firstLine="200" w:firstLineChars="200"/>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3" Type="http://schemas.openxmlformats.org/officeDocument/2006/relationships/fontTable" Target="fontTable.xml"/><Relationship Id="rId42" Type="http://schemas.openxmlformats.org/officeDocument/2006/relationships/numbering" Target="numbering.xml"/><Relationship Id="rId41" Type="http://schemas.openxmlformats.org/officeDocument/2006/relationships/customXml" Target="../customXml/item1.xml"/><Relationship Id="rId40" Type="http://schemas.openxmlformats.org/officeDocument/2006/relationships/image" Target="media/image21.wmf"/><Relationship Id="rId4" Type="http://schemas.openxmlformats.org/officeDocument/2006/relationships/footer" Target="footer2.xml"/><Relationship Id="rId39" Type="http://schemas.openxmlformats.org/officeDocument/2006/relationships/oleObject" Target="embeddings/oleObject12.bin"/><Relationship Id="rId38" Type="http://schemas.openxmlformats.org/officeDocument/2006/relationships/image" Target="media/image20.wmf"/><Relationship Id="rId37" Type="http://schemas.openxmlformats.org/officeDocument/2006/relationships/oleObject" Target="embeddings/oleObject11.bin"/><Relationship Id="rId36" Type="http://schemas.openxmlformats.org/officeDocument/2006/relationships/image" Target="media/image19.wmf"/><Relationship Id="rId35" Type="http://schemas.openxmlformats.org/officeDocument/2006/relationships/oleObject" Target="embeddings/oleObject10.bin"/><Relationship Id="rId34" Type="http://schemas.openxmlformats.org/officeDocument/2006/relationships/image" Target="media/image18.wmf"/><Relationship Id="rId33" Type="http://schemas.openxmlformats.org/officeDocument/2006/relationships/oleObject" Target="embeddings/oleObject9.bin"/><Relationship Id="rId32" Type="http://schemas.openxmlformats.org/officeDocument/2006/relationships/image" Target="media/image17.wmf"/><Relationship Id="rId31" Type="http://schemas.openxmlformats.org/officeDocument/2006/relationships/oleObject" Target="embeddings/oleObject8.bin"/><Relationship Id="rId30" Type="http://schemas.openxmlformats.org/officeDocument/2006/relationships/image" Target="media/image16.wmf"/><Relationship Id="rId3" Type="http://schemas.openxmlformats.org/officeDocument/2006/relationships/footer" Target="footer1.xml"/><Relationship Id="rId29" Type="http://schemas.openxmlformats.org/officeDocument/2006/relationships/oleObject" Target="embeddings/oleObject7.bin"/><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emf"/><Relationship Id="rId23" Type="http://schemas.openxmlformats.org/officeDocument/2006/relationships/oleObject" Target="embeddings/oleObject6.bin"/><Relationship Id="rId22" Type="http://schemas.openxmlformats.org/officeDocument/2006/relationships/image" Target="media/image10.png"/><Relationship Id="rId21" Type="http://schemas.openxmlformats.org/officeDocument/2006/relationships/image" Target="media/image9.e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oleObject" Target="embeddings/oleObject4.bin"/><Relationship Id="rId17" Type="http://schemas.openxmlformats.org/officeDocument/2006/relationships/image" Target="media/image7.emf"/><Relationship Id="rId16" Type="http://schemas.openxmlformats.org/officeDocument/2006/relationships/oleObject" Target="embeddings/oleObject3.bin"/><Relationship Id="rId15" Type="http://schemas.openxmlformats.org/officeDocument/2006/relationships/image" Target="media/image6.png"/><Relationship Id="rId14" Type="http://schemas.openxmlformats.org/officeDocument/2006/relationships/image" Target="media/image5.emf"/><Relationship Id="rId13" Type="http://schemas.openxmlformats.org/officeDocument/2006/relationships/oleObject" Target="embeddings/oleObject2.bin"/><Relationship Id="rId12" Type="http://schemas.openxmlformats.org/officeDocument/2006/relationships/image" Target="media/image4.png"/><Relationship Id="rId11" Type="http://schemas.openxmlformats.org/officeDocument/2006/relationships/image" Target="media/image3.emf"/><Relationship Id="rId10" Type="http://schemas.openxmlformats.org/officeDocument/2006/relationships/oleObject" Target="embeddings/oleObject1.bin"/><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273</Pages>
  <Words>78571</Words>
  <Characters>104749</Characters>
  <Lines>303</Lines>
  <Paragraphs>85</Paragraphs>
  <TotalTime>23</TotalTime>
  <ScaleCrop>false</ScaleCrop>
  <LinksUpToDate>false</LinksUpToDate>
  <CharactersWithSpaces>105006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2021-09-17T11:06:00Z</dcterms:created>
  <dc:creator>lhj</dc:creator>
  <cp:lastModifiedBy>Dxx</cp:lastModifiedBy>
  <cp:lastPrinted>2020-12-29T02:43:00Z</cp:lastPrinted>
  <dcterms:modified xsi:type="dcterms:W3CDTF">2023-11-23T07:02:20Z</dcterms:modified>
  <dc:title>附件2</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9633D5BECF3640148D146907EF05E93C_13</vt:lpwstr>
  </property>
</Properties>
</file>