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6"/>
        <w:rPr>
          <w:rFonts w:hint="default" w:ascii="Times New Roman" w:hAnsi="Times New Roman" w:cs="Times New Roman"/>
          <w:color w:val="FF0000"/>
          <w:sz w:val="36"/>
          <w:szCs w:val="36"/>
        </w:rPr>
      </w:pPr>
      <w:r>
        <w:drawing>
          <wp:inline distT="0" distB="0" distL="114300" distR="114300">
            <wp:extent cx="5505450" cy="7839075"/>
            <wp:effectExtent l="0" t="0" r="0" b="9525"/>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8"/>
                    <a:stretch>
                      <a:fillRect/>
                    </a:stretch>
                  </pic:blipFill>
                  <pic:spPr>
                    <a:xfrm>
                      <a:off x="0" y="0"/>
                      <a:ext cx="5505450" cy="7839075"/>
                    </a:xfrm>
                    <a:prstGeom prst="rect">
                      <a:avLst/>
                    </a:prstGeom>
                    <a:noFill/>
                    <a:ln>
                      <a:noFill/>
                    </a:ln>
                  </pic:spPr>
                </pic:pic>
              </a:graphicData>
            </a:graphic>
          </wp:inline>
        </w:drawing>
      </w:r>
    </w:p>
    <w:p>
      <w:pPr>
        <w:pStyle w:val="66"/>
        <w:rPr>
          <w:rFonts w:hint="default" w:ascii="Times New Roman" w:hAnsi="Times New Roman" w:cs="Times New Roman"/>
          <w:color w:val="FF0000"/>
          <w:sz w:val="36"/>
          <w:szCs w:val="36"/>
        </w:rPr>
      </w:pPr>
    </w:p>
    <w:p>
      <w:pPr>
        <w:rPr>
          <w:rFonts w:hint="default" w:ascii="Times New Roman" w:hAnsi="Times New Roman" w:eastAsia="楷体_GB2312" w:cs="Times New Roman"/>
          <w:color w:val="auto"/>
          <w:sz w:val="36"/>
          <w:szCs w:val="36"/>
          <w:highlight w:val="none"/>
        </w:rPr>
      </w:pPr>
      <w:r>
        <w:rPr>
          <w:rFonts w:hint="default" w:ascii="Times New Roman" w:hAnsi="Times New Roman" w:eastAsia="楷体_GB2312" w:cs="Times New Roman"/>
          <w:color w:val="auto"/>
          <w:sz w:val="36"/>
          <w:szCs w:val="36"/>
          <w:highlight w:val="none"/>
        </w:rPr>
        <w:br w:type="page"/>
      </w:r>
    </w:p>
    <w:p>
      <w:pPr>
        <w:pStyle w:val="66"/>
        <w:rPr>
          <w:rFonts w:hint="default" w:ascii="Times New Roman" w:hAnsi="Times New Roman" w:eastAsia="楷体_GB2312" w:cs="Times New Roman"/>
          <w:color w:val="auto"/>
          <w:sz w:val="36"/>
          <w:szCs w:val="36"/>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701" w:right="1531" w:bottom="1701" w:left="1531" w:header="851" w:footer="1077" w:gutter="0"/>
          <w:pgNumType w:start="3"/>
          <w:cols w:space="720" w:num="1"/>
          <w:docGrid w:linePitch="312" w:charSpace="0"/>
        </w:sectPr>
      </w:pPr>
    </w:p>
    <w:p>
      <w:pPr>
        <w:pStyle w:val="67"/>
        <w:outlineLvl w:val="0"/>
        <w:rPr>
          <w:rFonts w:ascii="Times New Roman" w:hAnsi="Times New Roman"/>
          <w:color w:val="auto"/>
          <w:highlight w:val="none"/>
        </w:rPr>
      </w:pPr>
      <w:r>
        <w:rPr>
          <w:rFonts w:ascii="Times New Roman" w:hAnsi="Times New Roman"/>
          <w:color w:val="auto"/>
          <w:highlight w:val="none"/>
        </w:rPr>
        <w:t>建设项目基本情况</w:t>
      </w:r>
    </w:p>
    <w:tbl>
      <w:tblPr>
        <w:tblStyle w:val="35"/>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679"/>
        <w:gridCol w:w="1019"/>
        <w:gridCol w:w="2471"/>
        <w:gridCol w:w="1929"/>
        <w:gridCol w:w="3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建设项目名称</w:t>
            </w:r>
          </w:p>
        </w:tc>
        <w:tc>
          <w:tcPr>
            <w:tcW w:w="7590" w:type="dxa"/>
            <w:gridSpan w:val="3"/>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惠州市铜鑫新材料科技有限公司年产裸铜线500吨、镀锡铜线1500吨建设项目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项目代码</w:t>
            </w:r>
          </w:p>
        </w:tc>
        <w:tc>
          <w:tcPr>
            <w:tcW w:w="7590" w:type="dxa"/>
            <w:gridSpan w:val="3"/>
            <w:vAlign w:val="center"/>
          </w:tcPr>
          <w:p>
            <w:pPr>
              <w:pStyle w:val="50"/>
              <w:keepNext w:val="0"/>
              <w:keepLines w:val="0"/>
              <w:suppressLineNumbers w:val="0"/>
              <w:spacing w:before="0" w:beforeAutospacing="0" w:after="0" w:afterAutospacing="0"/>
              <w:ind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2308-441322-04-01-</w:t>
            </w:r>
            <w:r>
              <w:rPr>
                <w:rFonts w:hint="eastAsia" w:ascii="Times New Roman" w:hAnsi="Times New Roman" w:cs="Times New Roman"/>
                <w:color w:val="auto"/>
                <w:sz w:val="21"/>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建设单位联系人</w:t>
            </w:r>
          </w:p>
        </w:tc>
        <w:tc>
          <w:tcPr>
            <w:tcW w:w="2471"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郑</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珍</w:t>
            </w:r>
          </w:p>
        </w:tc>
        <w:tc>
          <w:tcPr>
            <w:tcW w:w="192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联系方式</w:t>
            </w:r>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136</w:t>
            </w:r>
            <w:r>
              <w:rPr>
                <w:rFonts w:hint="eastAsia" w:ascii="Times New Roman" w:hAnsi="Times New Roman" w:cs="Times New Roman"/>
                <w:color w:val="auto"/>
                <w:sz w:val="21"/>
                <w:szCs w:val="21"/>
                <w:highlight w:val="none"/>
                <w:lang w:val="en-US" w:eastAsia="zh-CN"/>
              </w:rPr>
              <w:t>****</w:t>
            </w:r>
            <w:bookmarkStart w:id="6" w:name="_GoBack"/>
            <w:bookmarkEnd w:id="6"/>
            <w:r>
              <w:rPr>
                <w:rFonts w:hint="default" w:ascii="Times New Roman" w:hAnsi="Times New Roman" w:cs="Times New Roman"/>
                <w:color w:val="auto"/>
                <w:sz w:val="21"/>
                <w:szCs w:val="21"/>
                <w:highlight w:val="none"/>
              </w:rPr>
              <w:t>1658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建设地点</w:t>
            </w:r>
          </w:p>
        </w:tc>
        <w:tc>
          <w:tcPr>
            <w:tcW w:w="7590" w:type="dxa"/>
            <w:gridSpan w:val="3"/>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广东省惠州市博罗县万洋众创城A12栋1楼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地理坐标</w:t>
            </w:r>
          </w:p>
        </w:tc>
        <w:tc>
          <w:tcPr>
            <w:tcW w:w="7590" w:type="dxa"/>
            <w:gridSpan w:val="3"/>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u w:val="single"/>
              </w:rPr>
              <w:t>114</w:t>
            </w:r>
            <w:r>
              <w:rPr>
                <w:rFonts w:hint="default" w:ascii="Times New Roman" w:hAnsi="Times New Roman" w:cs="Times New Roman"/>
                <w:color w:val="auto"/>
                <w:sz w:val="21"/>
                <w:szCs w:val="21"/>
                <w:highlight w:val="none"/>
              </w:rPr>
              <w:t>度</w:t>
            </w:r>
            <w:r>
              <w:rPr>
                <w:rFonts w:hint="default" w:ascii="Times New Roman" w:hAnsi="Times New Roman" w:cs="Times New Roman"/>
                <w:color w:val="auto"/>
                <w:sz w:val="21"/>
                <w:szCs w:val="21"/>
                <w:highlight w:val="none"/>
                <w:u w:val="single"/>
              </w:rPr>
              <w:t>29</w:t>
            </w:r>
            <w:r>
              <w:rPr>
                <w:rFonts w:hint="default" w:ascii="Times New Roman" w:hAnsi="Times New Roman" w:cs="Times New Roman"/>
                <w:color w:val="auto"/>
                <w:sz w:val="21"/>
                <w:szCs w:val="21"/>
                <w:highlight w:val="none"/>
              </w:rPr>
              <w:t>分</w:t>
            </w:r>
            <w:r>
              <w:rPr>
                <w:rFonts w:hint="default" w:ascii="Times New Roman" w:hAnsi="Times New Roman" w:cs="Times New Roman"/>
                <w:color w:val="auto"/>
                <w:sz w:val="21"/>
                <w:szCs w:val="21"/>
                <w:highlight w:val="none"/>
                <w:u w:val="single"/>
              </w:rPr>
              <w:t>52.</w:t>
            </w:r>
            <w:r>
              <w:rPr>
                <w:rFonts w:hint="eastAsia" w:ascii="Times New Roman" w:hAnsi="Times New Roman" w:cs="Times New Roman"/>
                <w:color w:val="auto"/>
                <w:sz w:val="21"/>
                <w:szCs w:val="21"/>
                <w:highlight w:val="none"/>
                <w:u w:val="single"/>
              </w:rPr>
              <w:t>140</w:t>
            </w:r>
            <w:r>
              <w:rPr>
                <w:rFonts w:hint="default" w:ascii="Times New Roman" w:hAnsi="Times New Roman" w:cs="Times New Roman"/>
                <w:color w:val="auto"/>
                <w:sz w:val="21"/>
                <w:szCs w:val="21"/>
                <w:highlight w:val="none"/>
              </w:rPr>
              <w:t>秒，</w:t>
            </w:r>
            <w:r>
              <w:rPr>
                <w:rFonts w:hint="default" w:ascii="Times New Roman" w:hAnsi="Times New Roman" w:cs="Times New Roman"/>
                <w:color w:val="auto"/>
                <w:sz w:val="21"/>
                <w:szCs w:val="21"/>
                <w:highlight w:val="none"/>
                <w:u w:val="single"/>
              </w:rPr>
              <w:t>23</w:t>
            </w:r>
            <w:r>
              <w:rPr>
                <w:rFonts w:hint="default" w:ascii="Times New Roman" w:hAnsi="Times New Roman" w:cs="Times New Roman"/>
                <w:color w:val="auto"/>
                <w:sz w:val="21"/>
                <w:szCs w:val="21"/>
                <w:highlight w:val="none"/>
              </w:rPr>
              <w:t xml:space="preserve">度 </w:t>
            </w:r>
            <w:r>
              <w:rPr>
                <w:rFonts w:hint="default" w:ascii="Times New Roman" w:hAnsi="Times New Roman" w:cs="Times New Roman"/>
                <w:color w:val="auto"/>
                <w:sz w:val="21"/>
                <w:szCs w:val="21"/>
                <w:highlight w:val="none"/>
                <w:u w:val="single"/>
              </w:rPr>
              <w:t>27</w:t>
            </w:r>
            <w:r>
              <w:rPr>
                <w:rFonts w:hint="default" w:ascii="Times New Roman" w:hAnsi="Times New Roman" w:cs="Times New Roman"/>
                <w:color w:val="auto"/>
                <w:sz w:val="21"/>
                <w:szCs w:val="21"/>
                <w:highlight w:val="none"/>
              </w:rPr>
              <w:t>分</w:t>
            </w:r>
            <w:r>
              <w:rPr>
                <w:rFonts w:hint="eastAsia" w:ascii="Times New Roman" w:hAnsi="Times New Roman" w:cs="Times New Roman"/>
                <w:color w:val="auto"/>
                <w:sz w:val="21"/>
                <w:szCs w:val="21"/>
                <w:highlight w:val="none"/>
                <w:u w:val="single"/>
              </w:rPr>
              <w:t>57.483</w:t>
            </w:r>
            <w:r>
              <w:rPr>
                <w:rFonts w:hint="default" w:ascii="Times New Roman" w:hAnsi="Times New Roman" w:cs="Times New Roman"/>
                <w:color w:val="auto"/>
                <w:sz w:val="21"/>
                <w:szCs w:val="21"/>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国民经济</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行业类别</w:t>
            </w:r>
          </w:p>
        </w:tc>
        <w:tc>
          <w:tcPr>
            <w:tcW w:w="2471"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C3340金属丝绳及其制品制造</w:t>
            </w:r>
          </w:p>
        </w:tc>
        <w:tc>
          <w:tcPr>
            <w:tcW w:w="192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bookmarkStart w:id="0" w:name="_Hlk49843745"/>
            <w:r>
              <w:rPr>
                <w:rFonts w:hint="default" w:ascii="Times New Roman" w:hAnsi="Times New Roman" w:cs="Times New Roman"/>
                <w:color w:val="auto"/>
                <w:sz w:val="21"/>
                <w:szCs w:val="21"/>
                <w:highlight w:val="none"/>
              </w:rPr>
              <w:t>建设项目</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行业类别</w:t>
            </w:r>
            <w:bookmarkEnd w:id="0"/>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66.金属丝绳及其制品制造334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建设性质</w:t>
            </w:r>
          </w:p>
        </w:tc>
        <w:tc>
          <w:tcPr>
            <w:tcW w:w="2471" w:type="dxa"/>
            <w:vAlign w:val="center"/>
          </w:tcPr>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sym w:font="Wingdings 2" w:char="0052"/>
            </w:r>
            <w:r>
              <w:rPr>
                <w:rFonts w:hint="default" w:ascii="Times New Roman" w:hAnsi="Times New Roman" w:cs="Times New Roman"/>
                <w:color w:val="auto"/>
                <w:sz w:val="21"/>
                <w:szCs w:val="21"/>
                <w:highlight w:val="none"/>
              </w:rPr>
              <w:t xml:space="preserve"> 新建（迁建）</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改建</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扩建</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技术改造</w:t>
            </w:r>
          </w:p>
        </w:tc>
        <w:tc>
          <w:tcPr>
            <w:tcW w:w="192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建设项目</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申报情形</w:t>
            </w:r>
          </w:p>
        </w:tc>
        <w:tc>
          <w:tcPr>
            <w:tcW w:w="3190" w:type="dxa"/>
            <w:vAlign w:val="center"/>
          </w:tcPr>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sym w:font="Wingdings 2" w:char="0052"/>
            </w:r>
            <w:r>
              <w:rPr>
                <w:rFonts w:hint="default" w:ascii="Times New Roman" w:hAnsi="Times New Roman" w:cs="Times New Roman"/>
                <w:color w:val="auto"/>
                <w:sz w:val="21"/>
                <w:szCs w:val="21"/>
                <w:highlight w:val="none"/>
              </w:rPr>
              <w:t xml:space="preserve"> 首次申报项目</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不予批准后再次申报项目</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超五年重新审核项目</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43"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项目审批（核准/</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备案）部门（选填）</w:t>
            </w:r>
          </w:p>
        </w:tc>
        <w:tc>
          <w:tcPr>
            <w:tcW w:w="2471"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92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项目审批（核准/</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备案）文号（选填）</w:t>
            </w:r>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总投资（万元）</w:t>
            </w:r>
          </w:p>
        </w:tc>
        <w:tc>
          <w:tcPr>
            <w:tcW w:w="2471"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500</w:t>
            </w:r>
          </w:p>
        </w:tc>
        <w:tc>
          <w:tcPr>
            <w:tcW w:w="1929" w:type="dxa"/>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环保投资（万元）</w:t>
            </w:r>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环保投资占比（%）</w:t>
            </w:r>
          </w:p>
        </w:tc>
        <w:tc>
          <w:tcPr>
            <w:tcW w:w="2471"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1929" w:type="dxa"/>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施工工期</w:t>
            </w:r>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lang w:val="en-US"/>
              </w:rPr>
            </w:pPr>
            <w:r>
              <w:rPr>
                <w:rFonts w:hint="eastAsia" w:ascii="Times New Roman" w:hAnsi="Times New Roman" w:eastAsia="仿宋" w:cs="Times New Roman"/>
                <w:color w:val="auto"/>
                <w:sz w:val="21"/>
                <w:szCs w:val="21"/>
                <w:highlight w:val="none"/>
                <w:lang w:val="en-US" w:eastAsia="zh-CN"/>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7" w:hRule="atLeast"/>
          <w:jc w:val="center"/>
        </w:trPr>
        <w:tc>
          <w:tcPr>
            <w:tcW w:w="1698" w:type="dxa"/>
            <w:gridSpan w:val="2"/>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是否开工建设</w:t>
            </w:r>
          </w:p>
        </w:tc>
        <w:tc>
          <w:tcPr>
            <w:tcW w:w="2471" w:type="dxa"/>
            <w:vAlign w:val="center"/>
          </w:tcPr>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sym w:font="Wingdings 2" w:char="0052"/>
            </w:r>
            <w:r>
              <w:rPr>
                <w:rFonts w:hint="default" w:ascii="Times New Roman" w:hAnsi="Times New Roman" w:cs="Times New Roman"/>
                <w:color w:val="auto"/>
                <w:sz w:val="21"/>
                <w:szCs w:val="21"/>
                <w:highlight w:val="none"/>
              </w:rPr>
              <w:t xml:space="preserve"> 否</w:t>
            </w:r>
          </w:p>
          <w:p>
            <w:pPr>
              <w:pStyle w:val="50"/>
              <w:keepNext w:val="0"/>
              <w:keepLines w:val="0"/>
              <w:suppressLineNumbers w:val="0"/>
              <w:spacing w:before="0" w:beforeAutospacing="0" w:after="0" w:afterAutospacing="0"/>
              <w:ind w:right="0"/>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是：---</w:t>
            </w:r>
            <w:r>
              <w:rPr>
                <w:rFonts w:hint="default" w:ascii="Times New Roman" w:hAnsi="Times New Roman" w:cs="Times New Roman"/>
                <w:snapToGrid w:val="0"/>
                <w:color w:val="auto"/>
                <w:position w:val="12"/>
                <w:sz w:val="21"/>
                <w:szCs w:val="21"/>
                <w:highlight w:val="none"/>
              </w:rPr>
              <w:t xml:space="preserve"> </w:t>
            </w:r>
          </w:p>
        </w:tc>
        <w:tc>
          <w:tcPr>
            <w:tcW w:w="1929" w:type="dxa"/>
            <w:tcMar>
              <w:top w:w="16" w:type="dxa"/>
              <w:left w:w="16" w:type="dxa"/>
              <w:right w:w="16" w:type="dxa"/>
            </w:tcMar>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pacing w:val="-6"/>
                <w:sz w:val="21"/>
                <w:szCs w:val="21"/>
                <w:highlight w:val="none"/>
              </w:rPr>
              <w:t>用地面积（m</w:t>
            </w:r>
            <w:r>
              <w:rPr>
                <w:rFonts w:hint="default" w:ascii="Times New Roman" w:hAnsi="Times New Roman" w:cs="Times New Roman"/>
                <w:color w:val="auto"/>
                <w:spacing w:val="-6"/>
                <w:sz w:val="21"/>
                <w:szCs w:val="21"/>
                <w:highlight w:val="none"/>
                <w:vertAlign w:val="superscript"/>
              </w:rPr>
              <w:t>2</w:t>
            </w:r>
            <w:r>
              <w:rPr>
                <w:rFonts w:hint="default" w:ascii="Times New Roman" w:hAnsi="Times New Roman" w:cs="Times New Roman"/>
                <w:color w:val="auto"/>
                <w:spacing w:val="-6"/>
                <w:sz w:val="21"/>
                <w:szCs w:val="21"/>
                <w:highlight w:val="none"/>
              </w:rPr>
              <w:t>）</w:t>
            </w:r>
          </w:p>
        </w:tc>
        <w:tc>
          <w:tcPr>
            <w:tcW w:w="319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1973.64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1698" w:type="dxa"/>
            <w:gridSpan w:val="2"/>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专项评价设置</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情况</w:t>
            </w:r>
          </w:p>
        </w:tc>
        <w:tc>
          <w:tcPr>
            <w:tcW w:w="7590" w:type="dxa"/>
            <w:gridSpan w:val="3"/>
            <w:vAlign w:val="center"/>
          </w:tcPr>
          <w:p>
            <w:pPr>
              <w:pStyle w:val="49"/>
              <w:keepNext w:val="0"/>
              <w:keepLines w:val="0"/>
              <w:suppressLineNumbers w:val="0"/>
              <w:spacing w:before="0" w:beforeAutospacing="0" w:after="0" w:afterAutospacing="0" w:line="360" w:lineRule="auto"/>
              <w:ind w:right="0"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1698" w:type="dxa"/>
            <w:gridSpan w:val="2"/>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规划</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情况</w:t>
            </w:r>
          </w:p>
        </w:tc>
        <w:tc>
          <w:tcPr>
            <w:tcW w:w="7590" w:type="dxa"/>
            <w:gridSpan w:val="3"/>
            <w:vAlign w:val="center"/>
          </w:tcPr>
          <w:p>
            <w:pPr>
              <w:pStyle w:val="49"/>
              <w:keepNext w:val="0"/>
              <w:keepLines w:val="0"/>
              <w:suppressLineNumbers w:val="0"/>
              <w:spacing w:before="0" w:beforeAutospacing="0" w:after="0" w:afterAutospacing="0" w:line="360" w:lineRule="auto"/>
              <w:ind w:right="0"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1698" w:type="dxa"/>
            <w:gridSpan w:val="2"/>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规划环境影响</w:t>
            </w:r>
          </w:p>
          <w:p>
            <w:pPr>
              <w:pStyle w:val="50"/>
              <w:keepNext w:val="0"/>
              <w:keepLines w:val="0"/>
              <w:suppressLineNumbers w:val="0"/>
              <w:spacing w:before="0" w:beforeAutospacing="0" w:after="0" w:afterAutospacing="0"/>
              <w:ind w:right="0"/>
              <w:rPr>
                <w:rFonts w:hint="default" w:ascii="Times New Roman" w:hAnsi="Times New Roman" w:cs="Times New Roman"/>
                <w:color w:val="auto"/>
                <w:sz w:val="24"/>
                <w:szCs w:val="24"/>
                <w:highlight w:val="none"/>
              </w:rPr>
            </w:pPr>
            <w:r>
              <w:rPr>
                <w:rFonts w:hint="default" w:ascii="Times New Roman" w:hAnsi="Times New Roman" w:cs="Times New Roman"/>
                <w:color w:val="auto"/>
                <w:sz w:val="21"/>
                <w:szCs w:val="21"/>
                <w:highlight w:val="none"/>
              </w:rPr>
              <w:t>评价情况</w:t>
            </w:r>
          </w:p>
        </w:tc>
        <w:tc>
          <w:tcPr>
            <w:tcW w:w="7590" w:type="dxa"/>
            <w:gridSpan w:val="3"/>
            <w:vAlign w:val="center"/>
          </w:tcPr>
          <w:p>
            <w:pPr>
              <w:pStyle w:val="49"/>
              <w:keepNext w:val="0"/>
              <w:keepLines w:val="0"/>
              <w:suppressLineNumbers w:val="0"/>
              <w:spacing w:before="0" w:beforeAutospacing="0" w:after="0" w:afterAutospacing="0" w:line="360" w:lineRule="auto"/>
              <w:ind w:right="0" w:firstLine="0"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1698" w:type="dxa"/>
            <w:gridSpan w:val="2"/>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规划及规划环境影响评价符合性分析</w:t>
            </w:r>
          </w:p>
        </w:tc>
        <w:tc>
          <w:tcPr>
            <w:tcW w:w="7590" w:type="dxa"/>
            <w:gridSpan w:val="3"/>
            <w:vAlign w:val="center"/>
          </w:tcPr>
          <w:p>
            <w:pPr>
              <w:pStyle w:val="49"/>
              <w:keepNext w:val="0"/>
              <w:keepLines w:val="0"/>
              <w:suppressLineNumbers w:val="0"/>
              <w:spacing w:before="0" w:beforeAutospacing="0" w:after="0" w:afterAutospacing="0"/>
              <w:ind w:right="0"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7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其他符合性分析</w:t>
            </w:r>
          </w:p>
        </w:tc>
        <w:tc>
          <w:tcPr>
            <w:tcW w:w="8609" w:type="dxa"/>
            <w:gridSpan w:val="4"/>
            <w:vAlign w:val="center"/>
          </w:tcPr>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1、与《博罗县分类环境管控单元及环境准入负面清单》的相符性分析</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（1）生态保护红线和一般生态空间</w:t>
            </w:r>
          </w:p>
          <w:p>
            <w:pPr>
              <w:keepNext w:val="0"/>
              <w:keepLines w:val="0"/>
              <w:widowControl/>
              <w:suppressLineNumbers w:val="0"/>
              <w:snapToGrid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本项目位于惠州市博罗县杨侨镇双杨路万洋众创城</w:t>
            </w:r>
            <w:r>
              <w:rPr>
                <w:rFonts w:hint="eastAsia"/>
                <w:color w:val="auto"/>
                <w:sz w:val="24"/>
                <w:highlight w:val="none"/>
              </w:rPr>
              <w:t>A12栋一楼</w:t>
            </w:r>
            <w:r>
              <w:rPr>
                <w:rFonts w:hint="default"/>
                <w:color w:val="auto"/>
                <w:sz w:val="24"/>
                <w:highlight w:val="none"/>
              </w:rPr>
              <w:t>，所在地属于工业用地。根据《博罗县生态保护红线、环境质量底线、资源利用上线和环境准入清单研究报告》的表3.3-2和《博罗县“三线一单”生态环境分区管控图集》-图7博罗县生态空间最终划定情况，</w:t>
            </w:r>
            <w:r>
              <w:rPr>
                <w:rFonts w:hint="eastAsia"/>
                <w:color w:val="auto"/>
                <w:sz w:val="24"/>
                <w:highlight w:val="none"/>
              </w:rPr>
              <w:t>项目属于生态空间一般管控区，项目</w:t>
            </w:r>
            <w:r>
              <w:rPr>
                <w:rFonts w:hint="default"/>
                <w:color w:val="auto"/>
                <w:sz w:val="24"/>
                <w:highlight w:val="none"/>
              </w:rPr>
              <w:t>不在生态保护红线和一般生态空间内</w:t>
            </w:r>
            <w:r>
              <w:rPr>
                <w:rFonts w:hint="eastAsia"/>
                <w:color w:val="auto"/>
                <w:sz w:val="24"/>
                <w:highlight w:val="none"/>
              </w:rPr>
              <w:t>（</w:t>
            </w:r>
            <w:r>
              <w:rPr>
                <w:rFonts w:hint="eastAsia" w:ascii="Times New Roman" w:hAnsi="Times New Roman" w:eastAsia="宋体" w:cs="Times New Roman"/>
                <w:color w:val="auto"/>
                <w:sz w:val="24"/>
                <w:szCs w:val="24"/>
                <w:highlight w:val="none"/>
                <w:lang w:val="en-US" w:eastAsia="zh-CN" w:bidi="ar-SA"/>
              </w:rPr>
              <w:t>见附图11</w:t>
            </w:r>
            <w:r>
              <w:rPr>
                <w:rFonts w:hint="eastAsia"/>
                <w:color w:val="auto"/>
                <w:sz w:val="24"/>
                <w:highlight w:val="none"/>
              </w:rPr>
              <w:t>）</w:t>
            </w:r>
            <w:r>
              <w:rPr>
                <w:rFonts w:hint="default"/>
                <w:color w:val="auto"/>
                <w:sz w:val="24"/>
                <w:highlight w:val="none"/>
              </w:rPr>
              <w:t>。</w:t>
            </w:r>
          </w:p>
          <w:p>
            <w:pPr>
              <w:keepNext w:val="0"/>
              <w:keepLines w:val="0"/>
              <w:widowControl/>
              <w:numPr>
                <w:ilvl w:val="0"/>
                <w:numId w:val="0"/>
              </w:numPr>
              <w:suppressLineNumbers w:val="0"/>
              <w:snapToGrid w:val="0"/>
              <w:spacing w:before="0" w:beforeAutospacing="0" w:after="0" w:afterAutospacing="0" w:line="360" w:lineRule="auto"/>
              <w:ind w:left="0" w:leftChars="0" w:right="0" w:rightChars="0" w:firstLine="482" w:firstLineChars="200"/>
              <w:jc w:val="both"/>
              <w:rPr>
                <w:rFonts w:hint="default"/>
                <w:color w:val="auto"/>
                <w:highlight w:val="none"/>
              </w:rPr>
            </w:pPr>
            <w:r>
              <w:rPr>
                <w:rFonts w:hint="default"/>
                <w:b/>
                <w:bCs/>
                <w:color w:val="auto"/>
                <w:sz w:val="24"/>
                <w:highlight w:val="none"/>
                <w:lang w:val="en-US" w:eastAsia="zh-CN"/>
              </w:rPr>
              <w:t>（2）</w:t>
            </w:r>
            <w:r>
              <w:rPr>
                <w:rFonts w:hint="default"/>
                <w:b/>
                <w:bCs/>
                <w:color w:val="auto"/>
                <w:sz w:val="24"/>
                <w:highlight w:val="none"/>
              </w:rPr>
              <w:t>环境质量底线</w:t>
            </w:r>
          </w:p>
          <w:p>
            <w:pPr>
              <w:keepNext w:val="0"/>
              <w:keepLines w:val="0"/>
              <w:suppressLineNumbers w:val="0"/>
              <w:adjustRightInd w:val="0"/>
              <w:snapToGrid w:val="0"/>
              <w:spacing w:before="0" w:beforeAutospacing="0" w:after="0" w:afterAutospacing="0" w:line="360" w:lineRule="auto"/>
              <w:ind w:left="0" w:right="0" w:firstLine="482"/>
              <w:jc w:val="center"/>
              <w:rPr>
                <w:rFonts w:hint="default"/>
                <w:color w:val="auto"/>
                <w:highlight w:val="none"/>
              </w:rPr>
            </w:pPr>
            <w:r>
              <w:rPr>
                <w:rFonts w:hint="default"/>
                <w:b/>
                <w:color w:val="auto"/>
                <w:sz w:val="24"/>
                <w:szCs w:val="24"/>
                <w:highlight w:val="none"/>
              </w:rPr>
              <w:t>表</w:t>
            </w:r>
            <w:r>
              <w:rPr>
                <w:rFonts w:hint="default"/>
                <w:b/>
                <w:color w:val="auto"/>
                <w:sz w:val="24"/>
                <w:szCs w:val="24"/>
                <w:highlight w:val="none"/>
              </w:rPr>
              <w:fldChar w:fldCharType="begin"/>
            </w:r>
            <w:r>
              <w:rPr>
                <w:rFonts w:hint="default"/>
                <w:b/>
                <w:color w:val="auto"/>
                <w:sz w:val="24"/>
                <w:szCs w:val="24"/>
                <w:highlight w:val="none"/>
              </w:rPr>
              <w:instrText xml:space="preserve"> SEQ 表格 \* ARABIC </w:instrText>
            </w:r>
            <w:r>
              <w:rPr>
                <w:rFonts w:hint="default"/>
                <w:b/>
                <w:color w:val="auto"/>
                <w:sz w:val="24"/>
                <w:szCs w:val="24"/>
                <w:highlight w:val="none"/>
              </w:rPr>
              <w:fldChar w:fldCharType="separate"/>
            </w:r>
            <w:r>
              <w:rPr>
                <w:rFonts w:hint="default"/>
                <w:b/>
                <w:color w:val="auto"/>
                <w:sz w:val="24"/>
                <w:szCs w:val="24"/>
                <w:highlight w:val="none"/>
              </w:rPr>
              <w:t>1</w:t>
            </w:r>
            <w:r>
              <w:rPr>
                <w:rFonts w:hint="default"/>
                <w:b/>
                <w:color w:val="auto"/>
                <w:sz w:val="24"/>
                <w:szCs w:val="24"/>
                <w:highlight w:val="none"/>
              </w:rPr>
              <w:fldChar w:fldCharType="end"/>
            </w:r>
            <w:r>
              <w:rPr>
                <w:rFonts w:hint="default"/>
                <w:b/>
                <w:color w:val="auto"/>
                <w:sz w:val="24"/>
                <w:szCs w:val="24"/>
                <w:highlight w:val="none"/>
              </w:rPr>
              <w:t>-1  项目与博罗</w:t>
            </w:r>
            <w:r>
              <w:rPr>
                <w:rFonts w:hint="eastAsia"/>
                <w:b/>
                <w:color w:val="auto"/>
                <w:sz w:val="24"/>
                <w:szCs w:val="24"/>
                <w:highlight w:val="none"/>
                <w:lang w:val="en-US" w:eastAsia="zh-CN"/>
              </w:rPr>
              <w:t>三线一单-环境质量底线</w:t>
            </w:r>
            <w:r>
              <w:rPr>
                <w:rFonts w:hint="default"/>
                <w:b/>
                <w:color w:val="auto"/>
                <w:sz w:val="24"/>
                <w:szCs w:val="24"/>
                <w:highlight w:val="none"/>
              </w:rPr>
              <w:t>分析一览表</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630"/>
              <w:gridCol w:w="3420"/>
              <w:gridCol w:w="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4447" w:type="dxa"/>
                  <w:gridSpan w:val="2"/>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bCs/>
                      <w:color w:val="auto"/>
                      <w:sz w:val="21"/>
                      <w:szCs w:val="21"/>
                      <w:highlight w:val="none"/>
                      <w:vertAlign w:val="baseline"/>
                      <w:lang w:val="en-US" w:eastAsia="zh-CN" w:bidi="ar-SA"/>
                    </w:rPr>
                  </w:pPr>
                  <w:r>
                    <w:rPr>
                      <w:rFonts w:hint="eastAsia" w:eastAsia="宋体" w:cs="Times New Roman"/>
                      <w:b/>
                      <w:bCs/>
                      <w:color w:val="auto"/>
                      <w:sz w:val="21"/>
                      <w:szCs w:val="21"/>
                      <w:highlight w:val="none"/>
                      <w:vertAlign w:val="baseline"/>
                      <w:lang w:val="en-US" w:eastAsia="zh-CN" w:bidi="ar-SA"/>
                    </w:rPr>
                    <w:t>管控要求</w:t>
                  </w:r>
                </w:p>
              </w:tc>
              <w:tc>
                <w:tcPr>
                  <w:tcW w:w="3420"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default"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本项目对照分析</w:t>
                  </w:r>
                </w:p>
              </w:tc>
              <w:tc>
                <w:tcPr>
                  <w:tcW w:w="676"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auto"/>
                    <w:rPr>
                      <w:rFonts w:hint="eastAsia" w:eastAsia="宋体"/>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1" w:hRule="atLeast"/>
              </w:trPr>
              <w:tc>
                <w:tcPr>
                  <w:tcW w:w="81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default" w:eastAsia="宋体"/>
                      <w:color w:val="auto"/>
                      <w:sz w:val="21"/>
                      <w:szCs w:val="21"/>
                      <w:highlight w:val="none"/>
                      <w:vertAlign w:val="baseline"/>
                      <w:lang w:val="en-US" w:eastAsia="zh-CN"/>
                    </w:rPr>
                  </w:pPr>
                  <w:r>
                    <w:rPr>
                      <w:rFonts w:hint="eastAsia"/>
                      <w:color w:val="auto"/>
                      <w:sz w:val="21"/>
                      <w:szCs w:val="21"/>
                      <w:highlight w:val="none"/>
                      <w:vertAlign w:val="baseline"/>
                      <w:lang w:val="en-US" w:eastAsia="zh-CN"/>
                    </w:rPr>
                    <w:t>水环境管控分区管控要求</w:t>
                  </w:r>
                </w:p>
              </w:tc>
              <w:tc>
                <w:tcPr>
                  <w:tcW w:w="3630"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A、</w:t>
                  </w:r>
                  <w:r>
                    <w:rPr>
                      <w:rFonts w:hint="default"/>
                      <w:b/>
                      <w:bCs/>
                      <w:color w:val="auto"/>
                      <w:sz w:val="21"/>
                      <w:szCs w:val="21"/>
                      <w:highlight w:val="none"/>
                    </w:rPr>
                    <w:t>区域布局管控要求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B、</w:t>
                  </w:r>
                  <w:r>
                    <w:rPr>
                      <w:rFonts w:hint="default"/>
                      <w:b/>
                      <w:bCs/>
                      <w:color w:val="auto"/>
                      <w:sz w:val="21"/>
                      <w:szCs w:val="21"/>
                      <w:highlight w:val="none"/>
                    </w:rPr>
                    <w:t>能源资源利用要求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强化水资源节约集约利用。推动农业节水增效；推进工业节水减排；开展城镇节水降损；保障江河湖库生态流量。</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C、</w:t>
                  </w:r>
                  <w:r>
                    <w:rPr>
                      <w:rFonts w:hint="default"/>
                      <w:b/>
                      <w:bCs/>
                      <w:color w:val="auto"/>
                      <w:sz w:val="21"/>
                      <w:szCs w:val="21"/>
                      <w:highlight w:val="none"/>
                    </w:rPr>
                    <w:t>污染物排放管控要求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加大水污染物防治力度。重点水污染物未达到环境质量改善目标的区域内，新建、改建、扩建项目实施减量替代。大力整治“散乱污”企业，全面整治入河排污口，系统治理河涌和黑臭水体。加快推进生活污水处理设施建设和提质增效，率先消除城中村、老旧城区和城乡结合部生活污水收集处理设施空白区。</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D、</w:t>
                  </w:r>
                  <w:r>
                    <w:rPr>
                      <w:rFonts w:hint="default"/>
                      <w:b/>
                      <w:bCs/>
                      <w:color w:val="auto"/>
                      <w:sz w:val="21"/>
                      <w:szCs w:val="21"/>
                      <w:highlight w:val="none"/>
                    </w:rPr>
                    <w:t>环境风险防控要求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eastAsia="宋体"/>
                      <w:color w:val="auto"/>
                      <w:sz w:val="21"/>
                      <w:szCs w:val="21"/>
                      <w:highlight w:val="none"/>
                      <w:vertAlign w:val="baseline"/>
                      <w:lang w:val="en-US" w:eastAsia="zh-CN"/>
                    </w:rPr>
                  </w:pPr>
                  <w:r>
                    <w:rPr>
                      <w:rFonts w:hint="default"/>
                      <w:color w:val="auto"/>
                      <w:sz w:val="21"/>
                      <w:szCs w:val="21"/>
                      <w:highlight w:val="none"/>
                    </w:rPr>
                    <w:t>加大水环境风险防范力度。强化饮用水水源地风险管控，加强东江等供水通道干流沿岸及饮用水水源、备用水源环境风险防控，建立完善突发环境事件应急管理体系。强化地表水、地下水和土壤污染风险协同防控，建立完善突发环境事件应急管理体系。强化涉重金属行业、工业园区和尾矿库等重点环境风险源的环境风险评估和防控。</w:t>
                  </w:r>
                </w:p>
              </w:tc>
              <w:tc>
                <w:tcPr>
                  <w:tcW w:w="3420" w:type="dxa"/>
                  <w:vAlign w:val="center"/>
                </w:tcPr>
                <w:p>
                  <w:pPr>
                    <w:keepNext w:val="0"/>
                    <w:keepLines w:val="0"/>
                    <w:pageBreakBefore w:val="0"/>
                    <w:widowControl w:val="0"/>
                    <w:suppressLineNumbers w:val="0"/>
                    <w:tabs>
                      <w:tab w:val="left" w:pos="1088"/>
                    </w:tabs>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eastAsia" w:eastAsia="宋体"/>
                      <w:color w:val="auto"/>
                      <w:sz w:val="21"/>
                      <w:szCs w:val="21"/>
                      <w:highlight w:val="none"/>
                      <w:lang w:eastAsia="zh-CN"/>
                    </w:rPr>
                  </w:pPr>
                  <w:r>
                    <w:rPr>
                      <w:rFonts w:hint="default"/>
                      <w:color w:val="auto"/>
                      <w:sz w:val="21"/>
                      <w:szCs w:val="21"/>
                      <w:highlight w:val="none"/>
                    </w:rPr>
                    <w:t>根据《博罗县生态保护红线、环境质量底线、资源利用上线和环境准入清单研究报告》的表4.8-2和《博罗县“三线一单”生态环境分区管控图集》-图10博罗县水环境质量底线管控分区划定情况，本项目位于水环境一般管控区（见附图12）</w:t>
                  </w:r>
                  <w:r>
                    <w:rPr>
                      <w:rFonts w:hint="eastAsia"/>
                      <w:color w:val="auto"/>
                      <w:sz w:val="21"/>
                      <w:szCs w:val="21"/>
                      <w:highlight w:val="none"/>
                      <w:lang w:eastAsia="zh-CN"/>
                    </w:rPr>
                    <w:t>。</w:t>
                  </w:r>
                </w:p>
                <w:p>
                  <w:pPr>
                    <w:keepNext w:val="0"/>
                    <w:keepLines w:val="0"/>
                    <w:pageBreakBefore w:val="0"/>
                    <w:suppressLineNumbers w:val="0"/>
                    <w:tabs>
                      <w:tab w:val="left" w:pos="9210"/>
                    </w:tabs>
                    <w:kinsoku/>
                    <w:wordWrap/>
                    <w:overflowPunct/>
                    <w:topLinePunct w:val="0"/>
                    <w:autoSpaceDE/>
                    <w:autoSpaceDN/>
                    <w:bidi w:val="0"/>
                    <w:adjustRightInd/>
                    <w:snapToGrid/>
                    <w:spacing w:before="0" w:beforeAutospacing="0" w:after="0" w:afterAutospacing="0" w:line="240" w:lineRule="auto"/>
                    <w:ind w:left="0" w:leftChars="0" w:right="0" w:firstLine="420" w:firstLineChars="200"/>
                    <w:textAlignment w:val="auto"/>
                    <w:rPr>
                      <w:rFonts w:hint="default"/>
                      <w:color w:val="auto"/>
                      <w:sz w:val="21"/>
                      <w:szCs w:val="21"/>
                      <w:highlight w:val="none"/>
                    </w:rPr>
                  </w:pPr>
                  <w:r>
                    <w:rPr>
                      <w:rFonts w:hint="default"/>
                      <w:color w:val="auto"/>
                      <w:sz w:val="21"/>
                      <w:szCs w:val="21"/>
                      <w:highlight w:val="none"/>
                    </w:rPr>
                    <w:t>项目属于C3340金属丝绳及其制品制造，不属于明文规定的</w:t>
                  </w:r>
                  <w:r>
                    <w:rPr>
                      <w:rFonts w:hint="eastAsia"/>
                      <w:color w:val="auto"/>
                      <w:sz w:val="21"/>
                      <w:szCs w:val="21"/>
                      <w:highlight w:val="none"/>
                    </w:rPr>
                    <w:t>鼓励类、</w:t>
                  </w:r>
                  <w:r>
                    <w:rPr>
                      <w:rFonts w:hint="default"/>
                      <w:color w:val="auto"/>
                      <w:sz w:val="21"/>
                      <w:szCs w:val="21"/>
                      <w:highlight w:val="none"/>
                    </w:rPr>
                    <w:t>限制类或淘汰类项目，且本项目不位于饮用水源保护区内。本项目</w:t>
                  </w:r>
                  <w:r>
                    <w:rPr>
                      <w:rFonts w:hint="default"/>
                      <w:color w:val="auto"/>
                      <w:kern w:val="2"/>
                      <w:sz w:val="21"/>
                      <w:szCs w:val="21"/>
                      <w:highlight w:val="none"/>
                    </w:rPr>
                    <w:t>退火机冷却水经一体化处理设施</w:t>
                  </w:r>
                  <w:r>
                    <w:rPr>
                      <w:rFonts w:hint="eastAsia"/>
                      <w:color w:val="auto"/>
                      <w:kern w:val="2"/>
                      <w:sz w:val="21"/>
                      <w:szCs w:val="21"/>
                      <w:highlight w:val="none"/>
                      <w:lang w:eastAsia="zh-CN"/>
                    </w:rPr>
                    <w:t>（</w:t>
                  </w:r>
                  <w:r>
                    <w:rPr>
                      <w:rFonts w:hint="eastAsia"/>
                      <w:color w:val="auto"/>
                      <w:kern w:val="2"/>
                      <w:sz w:val="21"/>
                      <w:szCs w:val="21"/>
                      <w:highlight w:val="none"/>
                      <w:lang w:val="en-US" w:eastAsia="zh-CN"/>
                    </w:rPr>
                    <w:t>日处理规模为1t</w:t>
                  </w:r>
                  <w:r>
                    <w:rPr>
                      <w:rFonts w:hint="eastAsia"/>
                      <w:color w:val="auto"/>
                      <w:kern w:val="2"/>
                      <w:sz w:val="21"/>
                      <w:szCs w:val="21"/>
                      <w:highlight w:val="none"/>
                      <w:lang w:eastAsia="zh-CN"/>
                    </w:rPr>
                    <w:t>）</w:t>
                  </w:r>
                  <w:r>
                    <w:rPr>
                      <w:rFonts w:hint="default"/>
                      <w:color w:val="auto"/>
                      <w:kern w:val="2"/>
                      <w:sz w:val="21"/>
                      <w:szCs w:val="21"/>
                      <w:highlight w:val="none"/>
                    </w:rPr>
                    <w:t>处理后回用退火机冷却水槽</w:t>
                  </w:r>
                  <w:r>
                    <w:rPr>
                      <w:rFonts w:hint="eastAsia"/>
                      <w:color w:val="auto"/>
                      <w:kern w:val="2"/>
                      <w:sz w:val="21"/>
                      <w:szCs w:val="21"/>
                      <w:highlight w:val="none"/>
                      <w:lang w:eastAsia="zh-CN"/>
                    </w:rPr>
                    <w:t>，</w:t>
                  </w:r>
                  <w:r>
                    <w:rPr>
                      <w:rFonts w:hint="eastAsia"/>
                      <w:color w:val="auto"/>
                      <w:kern w:val="2"/>
                      <w:sz w:val="21"/>
                      <w:szCs w:val="21"/>
                      <w:highlight w:val="none"/>
                      <w:lang w:val="en-US" w:eastAsia="zh-CN"/>
                    </w:rPr>
                    <w:t>不外排；</w:t>
                  </w:r>
                  <w:r>
                    <w:rPr>
                      <w:rFonts w:hint="eastAsia"/>
                      <w:color w:val="auto"/>
                      <w:sz w:val="21"/>
                      <w:szCs w:val="21"/>
                      <w:highlight w:val="none"/>
                      <w:lang w:val="en-US" w:eastAsia="zh-CN"/>
                    </w:rPr>
                    <w:t>项目</w:t>
                  </w:r>
                  <w:r>
                    <w:rPr>
                      <w:rFonts w:hint="eastAsia"/>
                      <w:color w:val="auto"/>
                      <w:sz w:val="21"/>
                      <w:szCs w:val="21"/>
                      <w:highlight w:val="none"/>
                      <w:lang w:eastAsia="zh-CN"/>
                    </w:rPr>
                    <w:t>5%的助焊剂溶液（0.9t/a）被毛毡吸附，废毛毡在厂区危险废物暂存间暂存，定期交由有资质的单位处置，不外排；95%的助焊剂溶液（17.1t/a）粘附在铜线上，进入锡炉后全部</w:t>
                  </w:r>
                  <w:r>
                    <w:rPr>
                      <w:rFonts w:hint="eastAsia"/>
                      <w:color w:val="auto"/>
                      <w:sz w:val="21"/>
                      <w:szCs w:val="21"/>
                      <w:highlight w:val="none"/>
                      <w:lang w:val="en-US" w:eastAsia="zh-CN"/>
                    </w:rPr>
                    <w:t>蒸发</w:t>
                  </w:r>
                  <w:r>
                    <w:rPr>
                      <w:rFonts w:hint="eastAsia"/>
                      <w:color w:val="auto"/>
                      <w:sz w:val="21"/>
                      <w:szCs w:val="21"/>
                      <w:highlight w:val="none"/>
                      <w:lang w:eastAsia="zh-CN"/>
                    </w:rPr>
                    <w:t>，不外排。</w:t>
                  </w:r>
                  <w:r>
                    <w:rPr>
                      <w:rFonts w:hint="eastAsia" w:ascii="Times New Roman" w:hAnsi="Times New Roman" w:eastAsia="宋体" w:cs="Times New Roman"/>
                      <w:color w:val="auto"/>
                      <w:sz w:val="21"/>
                      <w:szCs w:val="21"/>
                      <w:highlight w:val="none"/>
                      <w:lang w:val="en-US" w:eastAsia="zh-CN" w:bidi="ar-SA"/>
                    </w:rPr>
                    <w:t>调配后的拉丝液循环使用，产生的废拉丝油定期交由有资质单位处置，拉丝油废液产生量为</w:t>
                  </w:r>
                  <w:r>
                    <w:rPr>
                      <w:rFonts w:hint="eastAsia" w:cs="Times New Roman"/>
                      <w:color w:val="auto"/>
                      <w:sz w:val="21"/>
                      <w:szCs w:val="21"/>
                      <w:highlight w:val="none"/>
                      <w:lang w:val="en-US" w:eastAsia="zh-CN" w:bidi="ar-SA"/>
                    </w:rPr>
                    <w:t>3.8</w:t>
                  </w:r>
                  <w:r>
                    <w:rPr>
                      <w:rFonts w:hint="eastAsia" w:ascii="Times New Roman" w:hAnsi="Times New Roman" w:eastAsia="宋体" w:cs="Times New Roman"/>
                      <w:color w:val="auto"/>
                      <w:sz w:val="21"/>
                      <w:szCs w:val="21"/>
                      <w:highlight w:val="none"/>
                      <w:lang w:val="en-US" w:eastAsia="zh-CN" w:bidi="ar-SA"/>
                    </w:rPr>
                    <w:t>t/a，</w:t>
                  </w:r>
                  <w:r>
                    <w:rPr>
                      <w:rFonts w:hint="default" w:ascii="Times New Roman" w:hAnsi="Times New Roman" w:eastAsia="宋体" w:cs="Times New Roman"/>
                      <w:color w:val="auto"/>
                      <w:sz w:val="21"/>
                      <w:szCs w:val="21"/>
                      <w:highlight w:val="none"/>
                      <w:lang w:val="en-US" w:eastAsia="zh-CN" w:bidi="ar-SA"/>
                    </w:rPr>
                    <w:t>不外排</w:t>
                  </w:r>
                  <w:r>
                    <w:rPr>
                      <w:rFonts w:hint="eastAsia" w:cs="Times New Roman"/>
                      <w:color w:val="auto"/>
                      <w:sz w:val="21"/>
                      <w:szCs w:val="21"/>
                      <w:highlight w:val="none"/>
                      <w:lang w:val="en-US" w:eastAsia="zh-CN" w:bidi="ar-SA"/>
                    </w:rPr>
                    <w:t>；</w:t>
                  </w:r>
                  <w:r>
                    <w:rPr>
                      <w:rFonts w:hint="default" w:ascii="Times New Roman" w:hAnsi="Times New Roman" w:eastAsia="宋体" w:cs="Times New Roman"/>
                      <w:color w:val="auto"/>
                      <w:sz w:val="21"/>
                      <w:szCs w:val="21"/>
                      <w:highlight w:val="none"/>
                      <w:lang w:val="en-US" w:eastAsia="zh-CN" w:bidi="ar-SA"/>
                    </w:rPr>
                    <w:t>喷淋塔用水循环使用，更换废水量为3m³/a，定</w:t>
                  </w:r>
                  <w:r>
                    <w:rPr>
                      <w:rFonts w:hint="eastAsia" w:ascii="Times New Roman" w:hAnsi="Times New Roman" w:eastAsia="宋体" w:cs="Times New Roman"/>
                      <w:color w:val="auto"/>
                      <w:sz w:val="21"/>
                      <w:szCs w:val="21"/>
                      <w:highlight w:val="none"/>
                      <w:lang w:val="en-US" w:eastAsia="zh-CN" w:bidi="ar-SA"/>
                    </w:rPr>
                    <w:t>期交由有资质单位</w:t>
                  </w:r>
                  <w:r>
                    <w:rPr>
                      <w:rFonts w:hint="eastAsia" w:cs="Times New Roman"/>
                      <w:color w:val="auto"/>
                      <w:sz w:val="21"/>
                      <w:szCs w:val="21"/>
                      <w:highlight w:val="none"/>
                      <w:lang w:val="en-US" w:eastAsia="zh-CN" w:bidi="ar-SA"/>
                    </w:rPr>
                    <w:t>处置</w:t>
                  </w:r>
                  <w:r>
                    <w:rPr>
                      <w:rFonts w:hint="eastAsia" w:ascii="Times New Roman" w:hAnsi="Times New Roman" w:eastAsia="宋体" w:cs="Times New Roman"/>
                      <w:color w:val="auto"/>
                      <w:sz w:val="21"/>
                      <w:szCs w:val="21"/>
                      <w:highlight w:val="none"/>
                      <w:lang w:val="en-US" w:eastAsia="zh-CN" w:bidi="ar-SA"/>
                    </w:rPr>
                    <w:t>，不外排</w:t>
                  </w:r>
                  <w:r>
                    <w:rPr>
                      <w:rFonts w:hint="eastAsia" w:cs="Times New Roman"/>
                      <w:color w:val="auto"/>
                      <w:sz w:val="21"/>
                      <w:szCs w:val="21"/>
                      <w:highlight w:val="none"/>
                      <w:lang w:val="en-US" w:eastAsia="zh-CN" w:bidi="ar-SA"/>
                    </w:rPr>
                    <w:t>；</w:t>
                  </w:r>
                  <w:r>
                    <w:rPr>
                      <w:rFonts w:hint="eastAsia" w:ascii="Times New Roman" w:hAnsi="Times New Roman" w:eastAsia="宋体" w:cs="Times New Roman"/>
                      <w:color w:val="auto"/>
                      <w:sz w:val="21"/>
                      <w:szCs w:val="21"/>
                      <w:highlight w:val="none"/>
                      <w:lang w:val="en-US" w:eastAsia="zh-CN" w:bidi="ar-SA"/>
                    </w:rPr>
                    <w:t>冷却塔间接冷却水循环使用，不外排。</w:t>
                  </w:r>
                  <w:r>
                    <w:rPr>
                      <w:rFonts w:hint="default"/>
                      <w:color w:val="auto"/>
                      <w:sz w:val="21"/>
                      <w:szCs w:val="21"/>
                      <w:highlight w:val="none"/>
                    </w:rPr>
                    <w:t>生活污水经园区三级化粪池处理后经市政管网的排至杨侨镇生活污水处理厂集中处理达标排放。项目不涉及重金属、工业园区、尾矿库等重点环境风险源。</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eastAsia"/>
                      <w:color w:val="auto"/>
                      <w:sz w:val="21"/>
                      <w:szCs w:val="21"/>
                      <w:highlight w:val="none"/>
                      <w:vertAlign w:val="baseline"/>
                    </w:rPr>
                  </w:pPr>
                </w:p>
              </w:tc>
              <w:tc>
                <w:tcPr>
                  <w:tcW w:w="676"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default" w:eastAsia="宋体"/>
                      <w:color w:val="auto"/>
                      <w:sz w:val="21"/>
                      <w:szCs w:val="21"/>
                      <w:highlight w:val="none"/>
                      <w:vertAlign w:val="baseline"/>
                      <w:lang w:val="en-US" w:eastAsia="zh-CN"/>
                    </w:rPr>
                  </w:pPr>
                  <w:r>
                    <w:rPr>
                      <w:rFonts w:hint="eastAsia"/>
                      <w:color w:val="auto"/>
                      <w:sz w:val="21"/>
                      <w:szCs w:val="21"/>
                      <w:highlight w:val="none"/>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eastAsia"/>
                      <w:color w:val="auto"/>
                      <w:sz w:val="21"/>
                      <w:szCs w:val="21"/>
                      <w:highlight w:val="none"/>
                      <w:vertAlign w:val="baseline"/>
                    </w:rPr>
                  </w:pPr>
                  <w:r>
                    <w:rPr>
                      <w:rFonts w:hint="eastAsia"/>
                      <w:color w:val="auto"/>
                      <w:sz w:val="21"/>
                      <w:szCs w:val="21"/>
                      <w:highlight w:val="none"/>
                    </w:rPr>
                    <w:t>大气环境管控要求</w:t>
                  </w:r>
                </w:p>
              </w:tc>
              <w:tc>
                <w:tcPr>
                  <w:tcW w:w="3630"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A、区域布局管控要求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eastAsia"/>
                      <w:color w:val="auto"/>
                      <w:sz w:val="21"/>
                      <w:szCs w:val="21"/>
                      <w:highlight w:val="none"/>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B、能源资源利用要求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eastAsia"/>
                      <w:color w:val="auto"/>
                      <w:sz w:val="21"/>
                      <w:szCs w:val="21"/>
                      <w:highlight w:val="none"/>
                    </w:rPr>
                    <w:t>优化调整能源结构。推进现有服役期满及落后老旧的燃煤火电机组有序退出，鼓励服役时间达30年左右燃煤机组及配套锅炉提前退役。大力压减非发电散煤消费，加大力度推进重点地区、重点行业燃煤自备电厂和燃煤自备锅炉“煤改气”工程。落实天然气大用户直供政策，拓宽供气来源，提高供气能力，降低工业用气价格，加快推动天然气管网省级园区通、重点企业通。</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eastAsia"/>
                      <w:color w:val="auto"/>
                      <w:sz w:val="21"/>
                      <w:szCs w:val="21"/>
                      <w:highlight w:val="none"/>
                    </w:rPr>
                    <w:t>完善能源消费总量和强度“双控”制度。科学实施能源消费总量和强度“双控”，新建高能耗项目单位产品（产值）能耗达到国际国内先进水平，探索建立二氧化碳总量管理制度。</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eastAsia"/>
                      <w:color w:val="auto"/>
                      <w:sz w:val="21"/>
                      <w:szCs w:val="21"/>
                      <w:highlight w:val="none"/>
                    </w:rPr>
                    <w:t>推动交通领域能源结构优化调整。依法依规科学合理优化调整储油库、加油站布局，加快充电桩、加气站、加氢站以及综合性能源补给站建设。大力推广使用新能源汽车。大力推进绿色港口和公用码头建设，提升岸电使用率；有序推动船舶、港业机械等“油改气”、“油改电”，降低港口柴油使用比例。</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 xml:space="preserve">C、污染物排放管控要求 </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eastAsia"/>
                      <w:color w:val="auto"/>
                      <w:sz w:val="21"/>
                      <w:szCs w:val="21"/>
                      <w:highlight w:val="none"/>
                    </w:rPr>
                    <w:t>严控大气污染物排放。在可核查、可监管的基础上，新建项目原则上实施氮氧化物等量替代，挥发性有机物倍量替代。深入开展工业炉窑和锅炉污染综合治理，火电及钢铁行业企业大气污染物达到可核查、可监管的超低排放标准；水泥、石化、化工及有色金属冶炼等行业企业大气污染物达到特别排放限值要求；深入推进石化、溶剂使用及挥发性有机液体储运销的挥发性有机物减排，通过源头替代、过程控制和末端治理实施反应活性物质、有毒有害物质、恶臭物质的协同控制。以臭氧生成潜势较大行业企业为重点，全面加强无组织排放控制，深入实施精细化治理。</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b/>
                      <w:bCs/>
                      <w:color w:val="auto"/>
                      <w:sz w:val="21"/>
                      <w:szCs w:val="21"/>
                      <w:highlight w:val="none"/>
                    </w:rPr>
                  </w:pPr>
                  <w:r>
                    <w:rPr>
                      <w:rFonts w:hint="eastAsia"/>
                      <w:b/>
                      <w:bCs/>
                      <w:color w:val="auto"/>
                      <w:sz w:val="21"/>
                      <w:szCs w:val="21"/>
                      <w:highlight w:val="none"/>
                    </w:rPr>
                    <w:t>D、环境风险防控要求</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eastAsia"/>
                      <w:color w:val="auto"/>
                      <w:sz w:val="21"/>
                      <w:szCs w:val="21"/>
                      <w:highlight w:val="none"/>
                      <w:vertAlign w:val="baseline"/>
                    </w:rPr>
                  </w:pPr>
                  <w:r>
                    <w:rPr>
                      <w:rFonts w:hint="eastAsia"/>
                      <w:color w:val="auto"/>
                      <w:sz w:val="21"/>
                      <w:szCs w:val="21"/>
                      <w:highlight w:val="none"/>
                    </w:rPr>
                    <w:t>加强重点园区环境风险防范。加强龙溪电镀基地、桦阳印染工业园、博罗产业转移工业园等园区的环境风险防控，建立完善污染源在线监控系统，开展有毒有害气体监测，落实环境风险应急预案。</w:t>
                  </w:r>
                </w:p>
              </w:tc>
              <w:tc>
                <w:tcPr>
                  <w:tcW w:w="3420"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根据《博罗县生态保护红线、环境质量底线、资源利用上线和环境准入清单研究报告》的表5.4-2和《博罗县“三线一单”生态环境分区管控图集》-图14博罗县大气环境质量底线管控分区划定情况，本项目位于大气环境一般管控区（见附图13）。本项目不涉及燃煤燃油的火电机组、锅炉使用。</w:t>
                  </w:r>
                  <w:r>
                    <w:rPr>
                      <w:rFonts w:hint="eastAsia"/>
                      <w:color w:val="auto"/>
                      <w:sz w:val="21"/>
                      <w:szCs w:val="21"/>
                      <w:highlight w:val="none"/>
                      <w:lang w:val="en-US" w:eastAsia="zh-CN"/>
                    </w:rPr>
                    <w:t>项目</w:t>
                  </w:r>
                  <w:r>
                    <w:rPr>
                      <w:rFonts w:hint="default"/>
                      <w:color w:val="auto"/>
                      <w:sz w:val="21"/>
                      <w:szCs w:val="21"/>
                      <w:highlight w:val="none"/>
                    </w:rPr>
                    <w:t>属于C3340金属丝绳及其制品制造，不属于规定的</w:t>
                  </w:r>
                  <w:r>
                    <w:rPr>
                      <w:rFonts w:hint="eastAsia"/>
                      <w:color w:val="auto"/>
                      <w:sz w:val="21"/>
                      <w:szCs w:val="21"/>
                      <w:highlight w:val="none"/>
                    </w:rPr>
                    <w:t>鼓励类、</w:t>
                  </w:r>
                  <w:r>
                    <w:rPr>
                      <w:rFonts w:hint="default"/>
                      <w:color w:val="auto"/>
                      <w:sz w:val="21"/>
                      <w:szCs w:val="21"/>
                      <w:highlight w:val="none"/>
                    </w:rPr>
                    <w:t>禁止类和限制类项目。</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本项目使用的能源仅为电能，不涉及天然气等使用。</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本项目不涉及高VOC</w:t>
                  </w:r>
                  <w:r>
                    <w:rPr>
                      <w:rFonts w:hint="eastAsia"/>
                      <w:color w:val="auto"/>
                      <w:sz w:val="21"/>
                      <w:szCs w:val="21"/>
                      <w:highlight w:val="none"/>
                    </w:rPr>
                    <w:t>s</w:t>
                  </w:r>
                  <w:r>
                    <w:rPr>
                      <w:rFonts w:hint="default"/>
                      <w:color w:val="auto"/>
                      <w:sz w:val="21"/>
                      <w:szCs w:val="21"/>
                      <w:highlight w:val="none"/>
                    </w:rPr>
                    <w:t>原辅料的使用，</w:t>
                  </w:r>
                  <w:r>
                    <w:rPr>
                      <w:rFonts w:hint="eastAsia"/>
                      <w:color w:val="auto"/>
                      <w:sz w:val="21"/>
                      <w:szCs w:val="21"/>
                      <w:highlight w:val="none"/>
                      <w:lang w:val="en-US" w:eastAsia="zh-CN"/>
                    </w:rPr>
                    <w:t>退火工序产生的非甲烷总烃</w:t>
                  </w:r>
                  <w:r>
                    <w:rPr>
                      <w:rFonts w:hint="default"/>
                      <w:color w:val="auto"/>
                      <w:sz w:val="21"/>
                      <w:szCs w:val="21"/>
                      <w:highlight w:val="none"/>
                    </w:rPr>
                    <w:t>、</w:t>
                  </w:r>
                  <w:r>
                    <w:rPr>
                      <w:rFonts w:hint="eastAsia"/>
                      <w:color w:val="auto"/>
                      <w:sz w:val="21"/>
                      <w:szCs w:val="21"/>
                      <w:highlight w:val="none"/>
                      <w:lang w:val="en-US" w:eastAsia="zh-CN"/>
                    </w:rPr>
                    <w:t>热浸锡</w:t>
                  </w:r>
                  <w:r>
                    <w:rPr>
                      <w:rFonts w:hint="default"/>
                      <w:color w:val="auto"/>
                      <w:sz w:val="21"/>
                      <w:szCs w:val="21"/>
                      <w:highlight w:val="none"/>
                    </w:rPr>
                    <w:t>工序产生的</w:t>
                  </w:r>
                  <w:r>
                    <w:rPr>
                      <w:rFonts w:hint="eastAsia"/>
                      <w:color w:val="auto"/>
                      <w:sz w:val="21"/>
                      <w:szCs w:val="21"/>
                      <w:highlight w:val="none"/>
                      <w:lang w:val="en-US" w:eastAsia="zh-CN"/>
                    </w:rPr>
                    <w:t>非甲烷总烃、锡及其化合物</w:t>
                  </w:r>
                  <w:r>
                    <w:rPr>
                      <w:rFonts w:hint="default"/>
                      <w:color w:val="auto"/>
                      <w:sz w:val="21"/>
                      <w:szCs w:val="21"/>
                      <w:highlight w:val="none"/>
                    </w:rPr>
                    <w:t>收集经</w:t>
                  </w:r>
                  <w:r>
                    <w:rPr>
                      <w:rFonts w:hint="eastAsia"/>
                      <w:color w:val="auto"/>
                      <w:sz w:val="21"/>
                      <w:szCs w:val="21"/>
                      <w:highlight w:val="none"/>
                    </w:rPr>
                    <w:t>“</w:t>
                  </w:r>
                  <w:r>
                    <w:rPr>
                      <w:rFonts w:hint="default"/>
                      <w:color w:val="auto"/>
                      <w:sz w:val="21"/>
                      <w:szCs w:val="21"/>
                      <w:highlight w:val="none"/>
                    </w:rPr>
                    <w:t>水喷淋+干式过滤器+</w:t>
                  </w:r>
                  <w:r>
                    <w:rPr>
                      <w:rFonts w:hint="eastAsia"/>
                      <w:color w:val="auto"/>
                      <w:sz w:val="21"/>
                      <w:szCs w:val="21"/>
                      <w:highlight w:val="none"/>
                    </w:rPr>
                    <w:t>二</w:t>
                  </w:r>
                  <w:r>
                    <w:rPr>
                      <w:rFonts w:hint="default"/>
                      <w:color w:val="auto"/>
                      <w:sz w:val="21"/>
                      <w:szCs w:val="21"/>
                      <w:highlight w:val="none"/>
                    </w:rPr>
                    <w:t>级活性炭吸附装置</w:t>
                  </w:r>
                  <w:r>
                    <w:rPr>
                      <w:rFonts w:hint="eastAsia"/>
                      <w:color w:val="auto"/>
                      <w:sz w:val="21"/>
                      <w:szCs w:val="21"/>
                      <w:highlight w:val="none"/>
                    </w:rPr>
                    <w:t>”</w:t>
                  </w:r>
                  <w:r>
                    <w:rPr>
                      <w:rFonts w:hint="default"/>
                      <w:color w:val="auto"/>
                      <w:sz w:val="21"/>
                      <w:szCs w:val="21"/>
                      <w:highlight w:val="none"/>
                    </w:rPr>
                    <w:t>处理</w:t>
                  </w:r>
                  <w:r>
                    <w:rPr>
                      <w:rFonts w:hint="eastAsia"/>
                      <w:color w:val="auto"/>
                      <w:sz w:val="21"/>
                      <w:szCs w:val="21"/>
                      <w:highlight w:val="none"/>
                    </w:rPr>
                    <w:t>后</w:t>
                  </w:r>
                  <w:r>
                    <w:rPr>
                      <w:rFonts w:hint="eastAsia"/>
                      <w:color w:val="auto"/>
                      <w:sz w:val="21"/>
                      <w:szCs w:val="21"/>
                      <w:highlight w:val="none"/>
                      <w:lang w:val="en-US" w:eastAsia="zh-CN"/>
                    </w:rPr>
                    <w:t>通过1</w:t>
                  </w:r>
                  <w:r>
                    <w:rPr>
                      <w:rFonts w:hint="eastAsia"/>
                      <w:color w:val="auto"/>
                      <w:sz w:val="21"/>
                      <w:szCs w:val="21"/>
                      <w:highlight w:val="none"/>
                    </w:rPr>
                    <w:t>根25m排气筒（DA001）</w:t>
                  </w:r>
                  <w:r>
                    <w:rPr>
                      <w:rFonts w:hint="default"/>
                      <w:color w:val="auto"/>
                      <w:sz w:val="21"/>
                      <w:szCs w:val="21"/>
                      <w:highlight w:val="none"/>
                    </w:rPr>
                    <w:t>高空排放，挥发性有机物实行倍量替代，</w:t>
                  </w:r>
                  <w:r>
                    <w:rPr>
                      <w:rFonts w:hint="eastAsia"/>
                      <w:color w:val="auto"/>
                      <w:sz w:val="21"/>
                      <w:szCs w:val="21"/>
                      <w:highlight w:val="none"/>
                    </w:rPr>
                    <w:t>VOCs</w:t>
                  </w:r>
                  <w:r>
                    <w:rPr>
                      <w:rFonts w:hint="default"/>
                      <w:color w:val="auto"/>
                      <w:sz w:val="21"/>
                      <w:szCs w:val="21"/>
                      <w:highlight w:val="none"/>
                    </w:rPr>
                    <w:t>总量来源由惠州市生态环保局博罗分局进行调配。</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0"/>
                    <w:jc w:val="both"/>
                    <w:textAlignment w:val="auto"/>
                    <w:rPr>
                      <w:rFonts w:hint="default"/>
                      <w:color w:val="auto"/>
                      <w:sz w:val="21"/>
                      <w:szCs w:val="21"/>
                      <w:highlight w:val="none"/>
                    </w:rPr>
                  </w:pPr>
                  <w:r>
                    <w:rPr>
                      <w:rFonts w:hint="default"/>
                      <w:color w:val="auto"/>
                      <w:sz w:val="21"/>
                      <w:szCs w:val="21"/>
                      <w:highlight w:val="none"/>
                    </w:rPr>
                    <w:t>项目不位于龙溪电镀基地、桦阳印染工业园、博罗产业转移工业园等园区内。</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eastAsia"/>
                      <w:color w:val="auto"/>
                      <w:sz w:val="21"/>
                      <w:szCs w:val="21"/>
                      <w:highlight w:val="none"/>
                      <w:vertAlign w:val="baseline"/>
                    </w:rPr>
                  </w:pPr>
                </w:p>
              </w:tc>
              <w:tc>
                <w:tcPr>
                  <w:tcW w:w="676"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eastAsia"/>
                      <w:color w:val="auto"/>
                      <w:sz w:val="21"/>
                      <w:szCs w:val="21"/>
                      <w:highlight w:val="none"/>
                      <w:vertAlign w:val="baseline"/>
                    </w:rPr>
                  </w:pPr>
                  <w:r>
                    <w:rPr>
                      <w:rFonts w:hint="eastAsia"/>
                      <w:color w:val="auto"/>
                      <w:sz w:val="21"/>
                      <w:szCs w:val="21"/>
                      <w:highlight w:val="none"/>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eastAsia"/>
                      <w:color w:val="auto"/>
                      <w:sz w:val="21"/>
                      <w:szCs w:val="21"/>
                      <w:highlight w:val="none"/>
                      <w:vertAlign w:val="baseline"/>
                    </w:rPr>
                  </w:pPr>
                  <w:r>
                    <w:rPr>
                      <w:rFonts w:hint="eastAsia"/>
                      <w:b w:val="0"/>
                      <w:bCs w:val="0"/>
                      <w:color w:val="auto"/>
                      <w:sz w:val="21"/>
                      <w:szCs w:val="21"/>
                      <w:highlight w:val="none"/>
                    </w:rPr>
                    <w:t>土壤环境安全利用底线</w:t>
                  </w:r>
                </w:p>
              </w:tc>
              <w:tc>
                <w:tcPr>
                  <w:tcW w:w="3630"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2"/>
                    <w:jc w:val="both"/>
                    <w:textAlignment w:val="auto"/>
                    <w:rPr>
                      <w:rFonts w:hint="default"/>
                      <w:color w:val="auto"/>
                      <w:sz w:val="21"/>
                      <w:szCs w:val="21"/>
                      <w:highlight w:val="none"/>
                    </w:rPr>
                  </w:pPr>
                  <w:r>
                    <w:rPr>
                      <w:rFonts w:hint="default"/>
                      <w:b/>
                      <w:bCs/>
                      <w:color w:val="auto"/>
                      <w:sz w:val="21"/>
                      <w:szCs w:val="21"/>
                      <w:highlight w:val="none"/>
                    </w:rPr>
                    <w:t>严格控制新增重金属污染物排放。</w:t>
                  </w:r>
                  <w:r>
                    <w:rPr>
                      <w:rFonts w:hint="default"/>
                      <w:color w:val="auto"/>
                      <w:sz w:val="21"/>
                      <w:szCs w:val="21"/>
                      <w:highlight w:val="none"/>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2"/>
                    <w:jc w:val="both"/>
                    <w:textAlignment w:val="auto"/>
                    <w:rPr>
                      <w:rFonts w:hint="default"/>
                      <w:color w:val="auto"/>
                      <w:sz w:val="21"/>
                      <w:szCs w:val="21"/>
                      <w:highlight w:val="none"/>
                    </w:rPr>
                  </w:pPr>
                  <w:r>
                    <w:rPr>
                      <w:rFonts w:hint="default"/>
                      <w:b/>
                      <w:bCs/>
                      <w:color w:val="auto"/>
                      <w:sz w:val="21"/>
                      <w:szCs w:val="21"/>
                      <w:highlight w:val="none"/>
                    </w:rPr>
                    <w:t>强化土壤环境风险管控。</w:t>
                  </w:r>
                  <w:r>
                    <w:rPr>
                      <w:rFonts w:hint="default"/>
                      <w:color w:val="auto"/>
                      <w:sz w:val="21"/>
                      <w:szCs w:val="21"/>
                      <w:highlight w:val="none"/>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82"/>
                    <w:jc w:val="both"/>
                    <w:textAlignment w:val="auto"/>
                    <w:rPr>
                      <w:rFonts w:hint="eastAsia"/>
                      <w:color w:val="auto"/>
                      <w:sz w:val="21"/>
                      <w:szCs w:val="21"/>
                      <w:highlight w:val="none"/>
                      <w:vertAlign w:val="baseline"/>
                    </w:rPr>
                  </w:pPr>
                  <w:r>
                    <w:rPr>
                      <w:rFonts w:hint="default"/>
                      <w:b/>
                      <w:bCs/>
                      <w:color w:val="auto"/>
                      <w:sz w:val="21"/>
                      <w:szCs w:val="21"/>
                      <w:highlight w:val="none"/>
                    </w:rPr>
                    <w:t>强化重金属风险管控。</w:t>
                  </w:r>
                  <w:r>
                    <w:rPr>
                      <w:rFonts w:hint="default"/>
                      <w:color w:val="auto"/>
                      <w:sz w:val="21"/>
                      <w:szCs w:val="21"/>
                      <w:highlight w:val="none"/>
                    </w:rPr>
                    <w:t>加强涉重金属污染源环境风险管控。强化涉重危险废物安全处理处置。加强污染地块风险管控，建立污染地块清单，实施污染地块分类管理，强化污染场地开发利用环境管理。</w:t>
                  </w:r>
                </w:p>
              </w:tc>
              <w:tc>
                <w:tcPr>
                  <w:tcW w:w="3420" w:type="dxa"/>
                  <w:vAlign w:val="center"/>
                </w:tcPr>
                <w:p>
                  <w:pPr>
                    <w:pStyle w:val="19"/>
                    <w:keepNext w:val="0"/>
                    <w:keepLines w:val="0"/>
                    <w:suppressLineNumbers w:val="0"/>
                    <w:spacing w:before="0" w:beforeAutospacing="0" w:after="0" w:afterAutospacing="0"/>
                    <w:ind w:left="0" w:right="0"/>
                    <w:rPr>
                      <w:rFonts w:hint="eastAsia"/>
                      <w:color w:val="auto"/>
                      <w:sz w:val="21"/>
                      <w:szCs w:val="21"/>
                      <w:highlight w:val="none"/>
                      <w:vertAlign w:val="baseline"/>
                    </w:rPr>
                  </w:pPr>
                  <w:r>
                    <w:rPr>
                      <w:rFonts w:hint="default"/>
                      <w:color w:val="auto"/>
                      <w:sz w:val="21"/>
                      <w:szCs w:val="21"/>
                      <w:highlight w:val="none"/>
                    </w:rPr>
                    <w:t>根据《博罗县生态保护红线、环境质量底线、资源利用上线和环境准入清单研究报告》的6.1.2、6.1.3章节和《博罗县“三线一单”生态环境分区管控图集》-图15博罗县建设用地土壤管控分区划定情况，本项目位于</w:t>
                  </w:r>
                  <w:r>
                    <w:rPr>
                      <w:rFonts w:hint="eastAsia"/>
                      <w:color w:val="auto"/>
                      <w:sz w:val="21"/>
                      <w:szCs w:val="21"/>
                      <w:highlight w:val="none"/>
                      <w:lang w:val="en-US" w:eastAsia="zh-CN"/>
                    </w:rPr>
                    <w:t>博罗县</w:t>
                  </w:r>
                  <w:r>
                    <w:rPr>
                      <w:rFonts w:hint="default"/>
                      <w:color w:val="auto"/>
                      <w:sz w:val="21"/>
                      <w:szCs w:val="21"/>
                      <w:highlight w:val="none"/>
                    </w:rPr>
                    <w:t>土壤环境一般管控区</w:t>
                  </w:r>
                  <w:r>
                    <w:rPr>
                      <w:rFonts w:hint="eastAsia"/>
                      <w:color w:val="auto"/>
                      <w:sz w:val="21"/>
                      <w:szCs w:val="21"/>
                      <w:highlight w:val="none"/>
                    </w:rPr>
                    <w:t>_不含农用地</w:t>
                  </w:r>
                  <w:r>
                    <w:rPr>
                      <w:rFonts w:hint="default"/>
                      <w:color w:val="auto"/>
                      <w:sz w:val="21"/>
                      <w:szCs w:val="21"/>
                      <w:highlight w:val="none"/>
                    </w:rPr>
                    <w:t>（见附图14），项目不位于建设用地污染风险重点管控区内，属于土壤环境一般管控区</w:t>
                  </w:r>
                  <w:r>
                    <w:rPr>
                      <w:rFonts w:hint="eastAsia"/>
                      <w:color w:val="auto"/>
                      <w:sz w:val="21"/>
                      <w:szCs w:val="21"/>
                      <w:highlight w:val="none"/>
                    </w:rPr>
                    <w:t>_不含农用地</w:t>
                  </w:r>
                  <w:r>
                    <w:rPr>
                      <w:rFonts w:hint="default"/>
                      <w:color w:val="auto"/>
                      <w:sz w:val="21"/>
                      <w:szCs w:val="21"/>
                      <w:highlight w:val="none"/>
                    </w:rPr>
                    <w:t>。项目不涉及重金属，不位于优先保护类耕地集中区域。</w:t>
                  </w:r>
                </w:p>
              </w:tc>
              <w:tc>
                <w:tcPr>
                  <w:tcW w:w="676" w:type="dxa"/>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both"/>
                    <w:textAlignment w:val="auto"/>
                    <w:rPr>
                      <w:rFonts w:hint="eastAsia"/>
                      <w:color w:val="auto"/>
                      <w:sz w:val="21"/>
                      <w:szCs w:val="21"/>
                      <w:highlight w:val="none"/>
                      <w:vertAlign w:val="baseline"/>
                    </w:rPr>
                  </w:pPr>
                  <w:r>
                    <w:rPr>
                      <w:rFonts w:hint="eastAsia"/>
                      <w:color w:val="auto"/>
                      <w:sz w:val="21"/>
                      <w:szCs w:val="21"/>
                      <w:highlight w:val="none"/>
                      <w:vertAlign w:val="baseline"/>
                      <w:lang w:val="en-US" w:eastAsia="zh-CN"/>
                    </w:rPr>
                    <w:t>符合</w:t>
                  </w:r>
                </w:p>
              </w:tc>
            </w:tr>
          </w:tbl>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（3）资源利用上线</w:t>
            </w:r>
          </w:p>
          <w:p>
            <w:pPr>
              <w:keepNext w:val="0"/>
              <w:keepLines w:val="0"/>
              <w:widowControl/>
              <w:suppressLineNumbers w:val="0"/>
              <w:snapToGrid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根据《博罗县分类环境管控单元及环境准入负面清单》7.1.1-7.1.3，项目不在土地资源优先保护区（见附图15）、高污染燃料禁燃区（见附图16）、矿产资源开发敏感区范围内（见附图17）。项目运营期消耗一定量的水、电资源，由当地市政供水供电，区域水电资源较充足，项目消耗量没有超出资源负荷，没有超出资源利用上线。</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（4）生态环境准入清单</w:t>
            </w:r>
          </w:p>
          <w:p>
            <w:pPr>
              <w:keepNext w:val="0"/>
              <w:keepLines w:val="0"/>
              <w:widowControl/>
              <w:suppressLineNumbers w:val="0"/>
              <w:snapToGrid w:val="0"/>
              <w:spacing w:before="0" w:beforeAutospacing="0" w:after="0" w:afterAutospacing="0" w:line="360" w:lineRule="auto"/>
              <w:ind w:left="0" w:right="0" w:firstLine="480"/>
              <w:jc w:val="both"/>
              <w:rPr>
                <w:rFonts w:hint="default"/>
                <w:b/>
                <w:color w:val="auto"/>
                <w:sz w:val="24"/>
                <w:szCs w:val="24"/>
                <w:highlight w:val="none"/>
              </w:rPr>
            </w:pPr>
            <w:r>
              <w:rPr>
                <w:rFonts w:hint="default"/>
                <w:color w:val="auto"/>
                <w:sz w:val="24"/>
                <w:highlight w:val="none"/>
              </w:rPr>
              <w:t>根据《博罗县生态保护红线、环境质量底线、资源利用上线和环境准入清单研究报告》，项目所在地属于一般管控单元，环境管控单元编码ZH44132230001，环境管控单元名称为博罗一般管控单元（</w:t>
            </w:r>
            <w:r>
              <w:rPr>
                <w:rFonts w:hint="default" w:ascii="Calibri" w:hAnsi="Times New Roman" w:eastAsia="宋体" w:cs="Times New Roman"/>
                <w:color w:val="auto"/>
                <w:sz w:val="24"/>
                <w:szCs w:val="24"/>
                <w:highlight w:val="none"/>
                <w:lang w:val="en-US" w:eastAsia="zh-CN" w:bidi="ar-SA"/>
              </w:rPr>
              <w:t>见附图1</w:t>
            </w:r>
            <w:r>
              <w:rPr>
                <w:rFonts w:hint="eastAsia" w:ascii="Calibri" w:hAnsi="Times New Roman" w:eastAsia="宋体" w:cs="Times New Roman"/>
                <w:color w:val="auto"/>
                <w:sz w:val="24"/>
                <w:szCs w:val="24"/>
                <w:highlight w:val="none"/>
                <w:lang w:val="en-US" w:eastAsia="zh-CN" w:bidi="ar-SA"/>
              </w:rPr>
              <w:t>8</w:t>
            </w:r>
            <w:r>
              <w:rPr>
                <w:rFonts w:hint="default"/>
                <w:color w:val="auto"/>
                <w:sz w:val="24"/>
                <w:highlight w:val="none"/>
              </w:rPr>
              <w:t>），项目与相应的管控要求相符性分析见表1-</w:t>
            </w:r>
            <w:r>
              <w:rPr>
                <w:rFonts w:hint="eastAsia"/>
                <w:color w:val="auto"/>
                <w:sz w:val="24"/>
                <w:highlight w:val="none"/>
                <w:lang w:val="en-US" w:eastAsia="zh-CN"/>
              </w:rPr>
              <w:t>2</w:t>
            </w:r>
            <w:r>
              <w:rPr>
                <w:rFonts w:hint="default"/>
                <w:color w:val="auto"/>
                <w:sz w:val="24"/>
                <w:highlight w:val="none"/>
              </w:rPr>
              <w:t>。</w:t>
            </w:r>
          </w:p>
          <w:p>
            <w:pPr>
              <w:keepNext w:val="0"/>
              <w:keepLines w:val="0"/>
              <w:suppressLineNumbers w:val="0"/>
              <w:adjustRightInd w:val="0"/>
              <w:snapToGrid w:val="0"/>
              <w:spacing w:before="0" w:beforeAutospacing="0" w:after="0" w:afterAutospacing="0" w:line="360" w:lineRule="auto"/>
              <w:ind w:left="0" w:right="0" w:firstLine="482"/>
              <w:jc w:val="center"/>
              <w:rPr>
                <w:rFonts w:hint="default"/>
                <w:b/>
                <w:color w:val="auto"/>
                <w:sz w:val="24"/>
                <w:szCs w:val="24"/>
                <w:highlight w:val="none"/>
              </w:rPr>
            </w:pPr>
            <w:r>
              <w:rPr>
                <w:rFonts w:hint="default"/>
                <w:b/>
                <w:color w:val="auto"/>
                <w:sz w:val="24"/>
                <w:szCs w:val="24"/>
                <w:highlight w:val="none"/>
              </w:rPr>
              <w:t>表</w:t>
            </w:r>
            <w:r>
              <w:rPr>
                <w:rFonts w:hint="default"/>
                <w:b/>
                <w:color w:val="auto"/>
                <w:sz w:val="24"/>
                <w:szCs w:val="24"/>
                <w:highlight w:val="none"/>
              </w:rPr>
              <w:fldChar w:fldCharType="begin"/>
            </w:r>
            <w:r>
              <w:rPr>
                <w:rFonts w:hint="default"/>
                <w:b/>
                <w:color w:val="auto"/>
                <w:sz w:val="24"/>
                <w:szCs w:val="24"/>
                <w:highlight w:val="none"/>
              </w:rPr>
              <w:instrText xml:space="preserve"> SEQ 表格 \* ARABIC </w:instrText>
            </w:r>
            <w:r>
              <w:rPr>
                <w:rFonts w:hint="default"/>
                <w:b/>
                <w:color w:val="auto"/>
                <w:sz w:val="24"/>
                <w:szCs w:val="24"/>
                <w:highlight w:val="none"/>
              </w:rPr>
              <w:fldChar w:fldCharType="separate"/>
            </w:r>
            <w:r>
              <w:rPr>
                <w:rFonts w:hint="default"/>
                <w:b/>
                <w:color w:val="auto"/>
                <w:sz w:val="24"/>
                <w:szCs w:val="24"/>
                <w:highlight w:val="none"/>
              </w:rPr>
              <w:t>1</w:t>
            </w:r>
            <w:r>
              <w:rPr>
                <w:rFonts w:hint="default"/>
                <w:b/>
                <w:color w:val="auto"/>
                <w:sz w:val="24"/>
                <w:szCs w:val="24"/>
                <w:highlight w:val="none"/>
              </w:rPr>
              <w:fldChar w:fldCharType="end"/>
            </w:r>
            <w:r>
              <w:rPr>
                <w:rFonts w:hint="default"/>
                <w:b/>
                <w:color w:val="auto"/>
                <w:sz w:val="24"/>
                <w:szCs w:val="24"/>
                <w:highlight w:val="none"/>
              </w:rPr>
              <w:t>-</w:t>
            </w:r>
            <w:r>
              <w:rPr>
                <w:rFonts w:hint="eastAsia"/>
                <w:b/>
                <w:color w:val="auto"/>
                <w:sz w:val="24"/>
                <w:szCs w:val="24"/>
                <w:highlight w:val="none"/>
                <w:lang w:val="en-US" w:eastAsia="zh-CN"/>
              </w:rPr>
              <w:t>2</w:t>
            </w:r>
            <w:r>
              <w:rPr>
                <w:rFonts w:hint="default"/>
                <w:b/>
                <w:color w:val="auto"/>
                <w:sz w:val="24"/>
                <w:szCs w:val="24"/>
                <w:highlight w:val="none"/>
              </w:rPr>
              <w:t xml:space="preserve">  项目与博罗一般管控单元</w:t>
            </w:r>
            <w:r>
              <w:rPr>
                <w:rFonts w:hint="default"/>
                <w:b/>
                <w:bCs/>
                <w:color w:val="auto"/>
                <w:sz w:val="24"/>
                <w:szCs w:val="24"/>
                <w:highlight w:val="none"/>
              </w:rPr>
              <w:t>生态环境准入清单</w:t>
            </w:r>
            <w:r>
              <w:rPr>
                <w:rFonts w:hint="default"/>
                <w:b/>
                <w:color w:val="auto"/>
                <w:sz w:val="24"/>
                <w:szCs w:val="24"/>
                <w:highlight w:val="none"/>
              </w:rPr>
              <w:t>相符性分析一览表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6"/>
              <w:gridCol w:w="817"/>
              <w:gridCol w:w="3238"/>
              <w:gridCol w:w="2810"/>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要素</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细类</w:t>
                  </w:r>
                </w:p>
              </w:tc>
              <w:tc>
                <w:tcPr>
                  <w:tcW w:w="2416" w:type="pct"/>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管控要求</w:t>
                  </w:r>
                </w:p>
              </w:tc>
              <w:tc>
                <w:tcPr>
                  <w:tcW w:w="1666"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本项目情况</w:t>
                  </w:r>
                </w:p>
              </w:tc>
              <w:tc>
                <w:tcPr>
                  <w:tcW w:w="427"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lang w:bidi="ar"/>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8" w:type="pct"/>
                  <w:vMerge w:val="restart"/>
                  <w:vAlign w:val="center"/>
                </w:tcPr>
                <w:p>
                  <w:pPr>
                    <w:keepNext w:val="0"/>
                    <w:keepLines w:val="0"/>
                    <w:suppressLineNumbers w:val="0"/>
                    <w:spacing w:before="0" w:beforeAutospacing="0" w:after="0" w:afterAutospacing="0" w:line="240" w:lineRule="auto"/>
                    <w:ind w:left="0" w:right="0" w:firstLine="420"/>
                    <w:jc w:val="center"/>
                    <w:rPr>
                      <w:rFonts w:hint="default"/>
                      <w:color w:val="auto"/>
                      <w:sz w:val="21"/>
                      <w:highlight w:val="none"/>
                    </w:rPr>
                  </w:pPr>
                  <w:r>
                    <w:rPr>
                      <w:rFonts w:hint="default"/>
                      <w:color w:val="auto"/>
                      <w:sz w:val="21"/>
                      <w:highlight w:val="none"/>
                    </w:rPr>
                    <w:t>一般生态空间、水环境优先保护区、大气环境高排放重点管控区、大气环境布局敏感区重点管控单元、建设用地污染风险重点管控区、江河湖库重点管控岸线、江河湖库一般管控岸线</w:t>
                  </w:r>
                </w:p>
              </w:tc>
              <w:tc>
                <w:tcPr>
                  <w:tcW w:w="500"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区域布局管控</w:t>
                  </w:r>
                </w:p>
              </w:tc>
              <w:tc>
                <w:tcPr>
                  <w:tcW w:w="191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1-1.【产业/鼓励引导类】生态保护红线及饮用水水源保护区外的区域，重点发展生态农业、生态养殖业、生态旅游业。</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1-3.【产业/限制类】严格限制石化、化工、包装印刷、工业涂装等高VOCs排放建设项目。</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-5.【生态/限制类】一般生态空间内可开展生态保护红线内允许的活动，在不影响主导生态功能的前提下，还可开展国家和省规定不纳入环评管理的项目建设，以及生态旅游、基础设施建设、村庄建设等人为活动。</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-6.【水/禁止类】饮用水水源保护区涉及芦洲-博罗东部六镇东江饮用水水源保护区、东江观音阁伍塘村饮用水水源保护区、东江芦岚片区饮用水水源保护区、东江盘沱饮用水水源保护区、东江岭下饮用水水源保护区、罗坑径饮用水水源保护区、下宝溪水库饮用水水源保护区、梅树下水库饮用水水源保护区、湖镇响水河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建设项目；已建成的排放污染物的建设项目责令拆除或者关闭；不排放污染物的建设项目，除与供水设施和保护水源有关的外，应当尽量避让饮用水水源二级保护区；经组织论证确实无法避让的，应当依法严格审批。</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1-7.【水/禁止类】禁止在公庄河干流两岸最高水位线外延五百米范围内新建废弃物堆放场和处理场。已有的堆放场和处理场需采取有效的防治污染措施，危及水体水质安全的，由县级以上人民政府责令限期搬迁。</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1-8.【水/禁止类】严禁在划定的禁养区内新、改、扩建各类畜禽养殖场，禁养区内已有的畜禽养殖场、点（散养户除外：牛5头以下，猪20头以下，家禽600只以下），须全部清理。</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1-9.【水/综合类】公庄河流域内，对养殖牛5头（含）、猪20头（含），家禽600只（含）以下的畜禽养殖散养户，流域内各镇可依据辖区实情，积极引导散养户自觉维护生态环境，规范养殖或主动退出畜禽养殖。</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-10.【土壤/限制类】重金属污染防控非重点区新建、改扩建重金属排放项目，应严格落实重金属总量替代与削减要求，严格控制重点行业发展规模。强化重金属污染行业建设项目环评审批管理，严格执行环保“三同时”制度。</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1-11.【岸线/综合类】严格水域岸线用途管制，土地开发利用应按照有关法律法规和技术标准要求，留足河道和湖库的管理和保护范围，非法挤占的应限期退出。</w:t>
                  </w:r>
                </w:p>
              </w:tc>
              <w:tc>
                <w:tcPr>
                  <w:tcW w:w="166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1-1.本项目不在生态保护红线及饮用水水源保护区，项目属于C3340金属丝绳及其制品制造，</w:t>
                  </w:r>
                  <w:r>
                    <w:rPr>
                      <w:rFonts w:hint="eastAsia"/>
                      <w:color w:val="auto"/>
                      <w:sz w:val="21"/>
                      <w:highlight w:val="none"/>
                    </w:rPr>
                    <w:t>不属于</w:t>
                  </w:r>
                  <w:r>
                    <w:rPr>
                      <w:rFonts w:hint="default"/>
                      <w:color w:val="auto"/>
                      <w:sz w:val="21"/>
                      <w:highlight w:val="none"/>
                    </w:rPr>
                    <w:t>【产业/鼓励引导类】</w:t>
                  </w:r>
                  <w:r>
                    <w:rPr>
                      <w:rFonts w:hint="eastAsia"/>
                      <w:color w:val="auto"/>
                      <w:sz w:val="21"/>
                      <w:highlight w:val="none"/>
                    </w:rPr>
                    <w:t>，</w:t>
                  </w:r>
                  <w:r>
                    <w:rPr>
                      <w:rFonts w:hint="default"/>
                      <w:color w:val="auto"/>
                      <w:sz w:val="21"/>
                      <w:highlight w:val="none"/>
                    </w:rPr>
                    <w:t>不属于禁止产业。</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-2.本项目属于C3340金属丝绳及其制品制造，不属于《产业结构调整指导目录（2019年本）》中鼓励类、限制类、淘汰类项目，属于允许类项目，也不属于《市场准入负面清单（2022年版）》（发改体改规〔2022〕397号）禁止准入类，不属于上述禁止、严格控制产业，不属于拆船项目。</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1-3.本项目属C3340金属丝绳及其制品制造，</w:t>
                  </w:r>
                  <w:r>
                    <w:rPr>
                      <w:rFonts w:hint="default"/>
                      <w:color w:val="auto"/>
                      <w:kern w:val="2"/>
                      <w:sz w:val="21"/>
                      <w:highlight w:val="none"/>
                    </w:rPr>
                    <w:t>项目</w:t>
                  </w:r>
                  <w:r>
                    <w:rPr>
                      <w:rFonts w:hint="eastAsia"/>
                      <w:color w:val="auto"/>
                      <w:kern w:val="2"/>
                      <w:sz w:val="21"/>
                      <w:highlight w:val="none"/>
                      <w:lang w:val="en-US" w:eastAsia="zh-CN"/>
                    </w:rPr>
                    <w:t>退火工序、热浸锡</w:t>
                  </w:r>
                  <w:r>
                    <w:rPr>
                      <w:rFonts w:hint="default"/>
                      <w:color w:val="auto"/>
                      <w:kern w:val="2"/>
                      <w:sz w:val="21"/>
                      <w:highlight w:val="none"/>
                    </w:rPr>
                    <w:t>工序产生的废气经集气罩收集，经“水喷淋+干式过滤器+二级活性炭吸附装置”处理后通过排气筒（DA001）达标排放，</w:t>
                  </w:r>
                  <w:r>
                    <w:rPr>
                      <w:rFonts w:hint="default"/>
                      <w:color w:val="auto"/>
                      <w:sz w:val="21"/>
                      <w:highlight w:val="none"/>
                    </w:rPr>
                    <w:t>不属于以上严格限制项目。</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1-4.本项目不在生态保护红线范围内。</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1-5.本项目不在一般生态空间范围内。</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1-6.本项目不涉及饮用水源保护区。</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1-7.本项目不新建废弃物堆放场和处理场。</w:t>
                  </w:r>
                  <w:r>
                    <w:rPr>
                      <w:rFonts w:hint="eastAsia"/>
                      <w:color w:val="auto"/>
                      <w:sz w:val="21"/>
                      <w:highlight w:val="none"/>
                    </w:rPr>
                    <w:t>项目与公庄河干流两岸最高水位线的距离为5050m。</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1-8.本项目不属于畜禽养殖场。</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1-9.本项目不属于畜禽养殖项目。</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1-10.本项目无重金属排放。</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1-11.本项目不占用水域岸线。</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p>
              </w:tc>
              <w:tc>
                <w:tcPr>
                  <w:tcW w:w="427"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8" w:type="pct"/>
                  <w:vMerge w:val="continue"/>
                  <w:vAlign w:val="center"/>
                </w:tcPr>
                <w:p>
                  <w:pPr>
                    <w:keepNext w:val="0"/>
                    <w:keepLines w:val="0"/>
                    <w:suppressLineNumbers w:val="0"/>
                    <w:spacing w:before="0" w:beforeAutospacing="0" w:after="0" w:afterAutospacing="0" w:line="240" w:lineRule="auto"/>
                    <w:ind w:left="0" w:right="0" w:firstLine="420"/>
                    <w:jc w:val="center"/>
                    <w:rPr>
                      <w:rFonts w:hint="default"/>
                      <w:color w:val="auto"/>
                      <w:sz w:val="21"/>
                      <w:highlight w:val="none"/>
                    </w:rPr>
                  </w:pPr>
                </w:p>
              </w:tc>
              <w:tc>
                <w:tcPr>
                  <w:tcW w:w="500"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能源资源利用</w:t>
                  </w:r>
                </w:p>
              </w:tc>
              <w:tc>
                <w:tcPr>
                  <w:tcW w:w="191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2-1.【能源/鼓励引导类】鼓励降低煤炭消耗、能源消耗，引导光伏等多种形式的新能源利用。</w:t>
                  </w:r>
                </w:p>
              </w:tc>
              <w:tc>
                <w:tcPr>
                  <w:tcW w:w="166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2-1.本项目</w:t>
                  </w:r>
                  <w:r>
                    <w:rPr>
                      <w:rFonts w:hint="default"/>
                      <w:bCs/>
                      <w:iCs/>
                      <w:color w:val="auto"/>
                      <w:sz w:val="21"/>
                      <w:highlight w:val="none"/>
                    </w:rPr>
                    <w:t>不使用煤炭，项目所用能源为电能，项目能达到清洁生产要求</w:t>
                  </w:r>
                  <w:r>
                    <w:rPr>
                      <w:rFonts w:hint="default"/>
                      <w:color w:val="auto"/>
                      <w:sz w:val="21"/>
                      <w:highlight w:val="none"/>
                    </w:rPr>
                    <w:t>。</w:t>
                  </w:r>
                </w:p>
              </w:tc>
              <w:tc>
                <w:tcPr>
                  <w:tcW w:w="427"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8" w:type="pct"/>
                  <w:vMerge w:val="continue"/>
                  <w:vAlign w:val="center"/>
                </w:tcPr>
                <w:p>
                  <w:pPr>
                    <w:keepNext w:val="0"/>
                    <w:keepLines w:val="0"/>
                    <w:suppressLineNumbers w:val="0"/>
                    <w:spacing w:before="0" w:beforeAutospacing="0" w:after="0" w:afterAutospacing="0" w:line="240" w:lineRule="auto"/>
                    <w:ind w:left="0" w:right="0" w:firstLine="420"/>
                    <w:jc w:val="center"/>
                    <w:rPr>
                      <w:rFonts w:hint="default"/>
                      <w:color w:val="auto"/>
                      <w:sz w:val="21"/>
                      <w:highlight w:val="none"/>
                    </w:rPr>
                  </w:pPr>
                </w:p>
              </w:tc>
              <w:tc>
                <w:tcPr>
                  <w:tcW w:w="500"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污染物排放管控</w:t>
                  </w:r>
                </w:p>
              </w:tc>
              <w:tc>
                <w:tcPr>
                  <w:tcW w:w="1916" w:type="pct"/>
                  <w:vAlign w:val="center"/>
                </w:tcPr>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-1.【水/综合类】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3-2.【水/综合类】畜禽养殖场、养殖小区应当依法对畜禽养殖废弃物实施综合利用和无害化处理。养殖专业户、畜禽散养户应当采取有效措施，防止畜禽粪便、污水渗漏、溢流、散落。</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3-3.【水/综合类】强化农业面源污染治理，控制农药化肥使用量。</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-4.【大气/限制类】环境空气质量一类控制区内不得新建、扩建有大气污染物排放的项目，已有及改建工业企业大气污染物排放执行相关排放标准的一级排放限值，且改建时不得增加污染物排放总量；《惠州市环境空气质量功能区划（2021年修订）》实施前已设采矿权、已核发采矿许可证且不在自然保护区等其它法定保护地的项目，按已有项目处理，执行一级排放限值。</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3-5.【大气/限制类】重点行业新建涉VOCs排放的工业企业原则上应入园进区。新建项目VOCs实施倍量替代。</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kern w:val="0"/>
                      <w:sz w:val="21"/>
                      <w:highlight w:val="none"/>
                      <w:lang w:eastAsia="zh-CN"/>
                    </w:rPr>
                  </w:pPr>
                  <w:r>
                    <w:rPr>
                      <w:rFonts w:hint="default" w:cs="Times New Roman"/>
                      <w:color w:val="auto"/>
                      <w:kern w:val="0"/>
                      <w:sz w:val="21"/>
                      <w:highlight w:val="none"/>
                      <w:lang w:eastAsia="zh-CN"/>
                    </w:rPr>
                    <w:t>3-6.【土壤/禁止类】禁止向农用地排放重金属或者其他有毒有害物质含量超标的污水、污泥，以及可能造成土壤污染的清淤底泥、尾矿、矿渣等。</w:t>
                  </w:r>
                </w:p>
                <w:p>
                  <w:pPr>
                    <w:pStyle w:val="116"/>
                    <w:keepNext w:val="0"/>
                    <w:keepLines w:val="0"/>
                    <w:suppressLineNumbers w:val="0"/>
                    <w:spacing w:before="0" w:beforeAutospacing="0" w:after="0" w:afterAutospacing="0" w:line="240" w:lineRule="auto"/>
                    <w:ind w:left="0" w:right="0" w:firstLine="0" w:firstLineChars="0"/>
                    <w:rPr>
                      <w:rFonts w:hint="default" w:cs="Times New Roman"/>
                      <w:color w:val="auto"/>
                      <w:sz w:val="21"/>
                      <w:highlight w:val="none"/>
                      <w:lang w:eastAsia="zh-CN"/>
                    </w:rPr>
                  </w:pPr>
                  <w:r>
                    <w:rPr>
                      <w:rFonts w:hint="default" w:cs="Times New Roman"/>
                      <w:color w:val="auto"/>
                      <w:kern w:val="0"/>
                      <w:sz w:val="21"/>
                      <w:highlight w:val="none"/>
                      <w:lang w:eastAsia="zh-CN"/>
                    </w:rPr>
                    <w:t>3-7.【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66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3-1.本项目无生产废水排放，员工生活污水经三级化粪池预处理后纳入博罗县杨侨镇生活污水处理厂处理。</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3-2.本项目不属于畜禽养殖场、养殖小区。</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3-3.本项目不使用农药化肥。</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3-4.本项目为环境空气质量二类控制区内。</w:t>
                  </w:r>
                </w:p>
                <w:p>
                  <w:pPr>
                    <w:pStyle w:val="19"/>
                    <w:keepNext w:val="0"/>
                    <w:keepLines w:val="0"/>
                    <w:suppressLineNumbers w:val="0"/>
                    <w:spacing w:before="0" w:beforeAutospacing="0" w:after="0" w:afterAutospacing="0"/>
                    <w:ind w:left="0" w:right="0"/>
                    <w:rPr>
                      <w:rFonts w:hint="default"/>
                      <w:color w:val="auto"/>
                      <w:sz w:val="21"/>
                      <w:highlight w:val="none"/>
                    </w:rPr>
                  </w:pPr>
                  <w:r>
                    <w:rPr>
                      <w:rFonts w:hint="default"/>
                      <w:color w:val="auto"/>
                      <w:sz w:val="21"/>
                      <w:highlight w:val="none"/>
                    </w:rPr>
                    <w:t>3-5.</w:t>
                  </w:r>
                  <w:r>
                    <w:rPr>
                      <w:rFonts w:hint="default"/>
                      <w:color w:val="auto"/>
                      <w:kern w:val="2"/>
                      <w:sz w:val="21"/>
                      <w:highlight w:val="none"/>
                    </w:rPr>
                    <w:t>项目</w:t>
                  </w:r>
                  <w:r>
                    <w:rPr>
                      <w:rFonts w:hint="eastAsia"/>
                      <w:color w:val="auto"/>
                      <w:kern w:val="2"/>
                      <w:sz w:val="21"/>
                      <w:highlight w:val="none"/>
                      <w:lang w:val="en-US" w:eastAsia="zh-CN"/>
                    </w:rPr>
                    <w:t>退火工序、热浸锡</w:t>
                  </w:r>
                  <w:r>
                    <w:rPr>
                      <w:rFonts w:hint="default"/>
                      <w:color w:val="auto"/>
                      <w:kern w:val="2"/>
                      <w:sz w:val="21"/>
                      <w:highlight w:val="none"/>
                    </w:rPr>
                    <w:t>工序产生的废气经集气罩收集，经“水喷淋+干式过滤器+二级活性炭吸附装置”处理后通过</w:t>
                  </w:r>
                  <w:r>
                    <w:rPr>
                      <w:rFonts w:hint="eastAsia"/>
                      <w:color w:val="auto"/>
                      <w:kern w:val="2"/>
                      <w:sz w:val="21"/>
                      <w:highlight w:val="none"/>
                    </w:rPr>
                    <w:t>25m高</w:t>
                  </w:r>
                  <w:r>
                    <w:rPr>
                      <w:rFonts w:hint="default"/>
                      <w:color w:val="auto"/>
                      <w:kern w:val="2"/>
                      <w:sz w:val="21"/>
                      <w:highlight w:val="none"/>
                    </w:rPr>
                    <w:t>排气筒（DA001）达标排放。</w:t>
                  </w:r>
                  <w:r>
                    <w:rPr>
                      <w:rFonts w:hint="eastAsia"/>
                      <w:color w:val="auto"/>
                      <w:sz w:val="21"/>
                      <w:highlight w:val="none"/>
                    </w:rPr>
                    <w:t>项目</w:t>
                  </w:r>
                  <w:r>
                    <w:rPr>
                      <w:rFonts w:hint="eastAsia"/>
                      <w:color w:val="auto"/>
                      <w:sz w:val="21"/>
                      <w:highlight w:val="none"/>
                      <w:lang w:val="en-US" w:eastAsia="zh-CN"/>
                    </w:rPr>
                    <w:t>不属于重点行业，但</w:t>
                  </w:r>
                  <w:r>
                    <w:rPr>
                      <w:rFonts w:hint="eastAsia"/>
                      <w:color w:val="auto"/>
                      <w:sz w:val="21"/>
                      <w:highlight w:val="none"/>
                    </w:rPr>
                    <w:t>属于新建项目，</w:t>
                  </w:r>
                  <w:r>
                    <w:rPr>
                      <w:rFonts w:hint="eastAsia"/>
                      <w:bCs/>
                      <w:color w:val="auto"/>
                      <w:sz w:val="21"/>
                      <w:highlight w:val="none"/>
                    </w:rPr>
                    <w:t>VOCs总量由惠州市生态环境局博罗分局调配</w:t>
                  </w:r>
                  <w:r>
                    <w:rPr>
                      <w:rFonts w:hint="eastAsia"/>
                      <w:bCs/>
                      <w:color w:val="auto"/>
                      <w:sz w:val="21"/>
                      <w:highlight w:val="none"/>
                      <w:lang w:eastAsia="zh-CN"/>
                    </w:rPr>
                    <w:t>，</w:t>
                  </w:r>
                  <w:r>
                    <w:rPr>
                      <w:rFonts w:hint="default" w:cs="Times New Roman"/>
                      <w:color w:val="auto"/>
                      <w:kern w:val="0"/>
                      <w:sz w:val="21"/>
                      <w:highlight w:val="none"/>
                      <w:lang w:eastAsia="zh-CN"/>
                    </w:rPr>
                    <w:t>VOCs实施倍量替代。</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3-6.本项目不排放重金属或者其他有毒有害物质含量超标的污水、污泥，以及可能造成土壤污染的清淤底泥、尾矿、矿渣等。</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3-7.此项由政府统筹规划。</w:t>
                  </w:r>
                </w:p>
              </w:tc>
              <w:tc>
                <w:tcPr>
                  <w:tcW w:w="427"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8" w:type="pct"/>
                  <w:vMerge w:val="continue"/>
                  <w:vAlign w:val="center"/>
                </w:tcPr>
                <w:p>
                  <w:pPr>
                    <w:keepNext w:val="0"/>
                    <w:keepLines w:val="0"/>
                    <w:suppressLineNumbers w:val="0"/>
                    <w:spacing w:before="0" w:beforeAutospacing="0" w:after="0" w:afterAutospacing="0" w:line="240" w:lineRule="auto"/>
                    <w:ind w:left="0" w:right="0" w:firstLine="420"/>
                    <w:jc w:val="center"/>
                    <w:rPr>
                      <w:rFonts w:hint="default"/>
                      <w:color w:val="auto"/>
                      <w:sz w:val="21"/>
                      <w:highlight w:val="none"/>
                    </w:rPr>
                  </w:pPr>
                </w:p>
              </w:tc>
              <w:tc>
                <w:tcPr>
                  <w:tcW w:w="500"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环境风险防控</w:t>
                  </w:r>
                </w:p>
              </w:tc>
              <w:tc>
                <w:tcPr>
                  <w:tcW w:w="191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4-1.【水/综合类】单元内规模化养殖场需编制环境应急预案，强化环境风险防控，防止养殖废水污染水体。</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4-2.【水/综合类】区域内污水处理厂应采取有效措施，防止事故废水、废液直接排入水体。</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4-3.【水/综合类】加强饮用水水源保护区内环境风险排查，开展风险评估及水环境预警监测。</w:t>
                  </w:r>
                </w:p>
              </w:tc>
              <w:tc>
                <w:tcPr>
                  <w:tcW w:w="1666" w:type="pct"/>
                  <w:vAlign w:val="center"/>
                </w:tcPr>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4-1.本项目不属于养殖场。</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4-2.本项目无生产废水排放。员工生活污水经三级化粪池预处理后纳入博罗县杨侨镇生活污水处理厂处理。</w:t>
                  </w:r>
                </w:p>
                <w:p>
                  <w:pPr>
                    <w:keepNext w:val="0"/>
                    <w:keepLines w:val="0"/>
                    <w:suppressLineNumbers w:val="0"/>
                    <w:spacing w:before="0" w:beforeAutospacing="0" w:after="0" w:afterAutospacing="0" w:line="240" w:lineRule="auto"/>
                    <w:ind w:left="0" w:right="0" w:firstLine="420"/>
                    <w:rPr>
                      <w:rFonts w:hint="default"/>
                      <w:color w:val="auto"/>
                      <w:sz w:val="21"/>
                      <w:highlight w:val="none"/>
                    </w:rPr>
                  </w:pPr>
                  <w:r>
                    <w:rPr>
                      <w:rFonts w:hint="default"/>
                      <w:color w:val="auto"/>
                      <w:sz w:val="21"/>
                      <w:highlight w:val="none"/>
                    </w:rPr>
                    <w:t>4-3.根据《惠州市饮用水源保护区划调整方案》（经广东省人民政府批准，粤府函〔2014〕188号）、《广东省人民政府关于调整惠州市部分饮用水水源保护区的批复》粤府函〔2019〕270号和</w:t>
                  </w:r>
                  <w:r>
                    <w:rPr>
                      <w:rFonts w:hint="eastAsia"/>
                      <w:color w:val="auto"/>
                      <w:sz w:val="21"/>
                      <w:highlight w:val="none"/>
                    </w:rPr>
                    <w:t>《惠州市人民政府关于&lt;惠州市乡镇级及以下集中式饮用水水源保护区划定（调整）方案&gt;的批复》</w:t>
                  </w:r>
                  <w:r>
                    <w:rPr>
                      <w:rFonts w:hint="default"/>
                      <w:color w:val="auto"/>
                      <w:sz w:val="21"/>
                      <w:highlight w:val="none"/>
                    </w:rPr>
                    <w:t>（惠府函[2020]317号），项目所在地不属于惠州市饮用水源保护区。</w:t>
                  </w:r>
                </w:p>
              </w:tc>
              <w:tc>
                <w:tcPr>
                  <w:tcW w:w="427"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相符</w:t>
                  </w:r>
                </w:p>
              </w:tc>
            </w:tr>
          </w:tbl>
          <w:p>
            <w:pPr>
              <w:keepNext w:val="0"/>
              <w:keepLines w:val="0"/>
              <w:widowControl/>
              <w:suppressLineNumbers w:val="0"/>
              <w:snapToGrid w:val="0"/>
              <w:spacing w:before="156" w:beforeLines="50" w:beforeAutospacing="0" w:after="0" w:afterAutospacing="0" w:line="360" w:lineRule="auto"/>
              <w:ind w:left="0" w:right="0" w:firstLine="480"/>
              <w:jc w:val="both"/>
              <w:rPr>
                <w:rFonts w:hint="default"/>
                <w:color w:val="auto"/>
                <w:highlight w:val="none"/>
              </w:rPr>
            </w:pPr>
            <w:r>
              <w:rPr>
                <w:rFonts w:hint="default"/>
                <w:color w:val="auto"/>
                <w:sz w:val="24"/>
                <w:highlight w:val="none"/>
              </w:rPr>
              <w:t>综上所述，本项目符合《博罗县生态保护红线、环境质量底线、资源利用上线和环境准入清单研究报告》文件要求。</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2、产业政策合理性分析</w:t>
            </w:r>
          </w:p>
          <w:p>
            <w:pPr>
              <w:keepNext w:val="0"/>
              <w:keepLines w:val="0"/>
              <w:widowControl/>
              <w:suppressLineNumbers w:val="0"/>
              <w:snapToGrid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根据《国民经济行业分类》（GB/T4754-2017）及其国家标准第1号修改单，项目属于C3340金属丝绳及其制品制造。</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项目使用的粗铜线为新料，根据《产业结构调整指导目录》（2019年本）（2021年12月30日修订版）</w:t>
            </w:r>
            <w:r>
              <w:rPr>
                <w:rFonts w:hint="eastAsia"/>
                <w:color w:val="auto"/>
                <w:sz w:val="24"/>
                <w:highlight w:val="none"/>
              </w:rPr>
              <w:t>以及《国家发展改革委关于修改&lt;产业结构调整指导目录（2019年本）&gt;的决定》（中华人民共和国国家发展和改革委员会令 第49号，2021年12月27日）</w:t>
            </w:r>
            <w:r>
              <w:rPr>
                <w:rFonts w:hint="default"/>
                <w:color w:val="auto"/>
                <w:kern w:val="2"/>
                <w:sz w:val="24"/>
                <w:highlight w:val="none"/>
                <w:lang w:bidi="ar"/>
              </w:rPr>
              <w:t>，项目不属于产业结构调整指导目录中</w:t>
            </w:r>
            <w:r>
              <w:rPr>
                <w:rFonts w:hint="eastAsia"/>
                <w:color w:val="auto"/>
                <w:kern w:val="2"/>
                <w:sz w:val="24"/>
                <w:highlight w:val="none"/>
                <w:lang w:bidi="ar"/>
              </w:rPr>
              <w:t>鼓励类、</w:t>
            </w:r>
            <w:r>
              <w:rPr>
                <w:rFonts w:hint="default"/>
                <w:color w:val="auto"/>
                <w:kern w:val="2"/>
                <w:sz w:val="24"/>
                <w:highlight w:val="none"/>
                <w:lang w:bidi="ar"/>
              </w:rPr>
              <w:t>限制类或淘汰类项目。项目产品、生产工艺和生产设备均不属于国家规定的</w:t>
            </w:r>
            <w:r>
              <w:rPr>
                <w:rFonts w:hint="eastAsia"/>
                <w:color w:val="auto"/>
                <w:kern w:val="2"/>
                <w:sz w:val="24"/>
                <w:highlight w:val="none"/>
                <w:lang w:bidi="ar"/>
              </w:rPr>
              <w:t>鼓励、</w:t>
            </w:r>
            <w:r>
              <w:rPr>
                <w:rFonts w:hint="default"/>
                <w:color w:val="auto"/>
                <w:kern w:val="2"/>
                <w:sz w:val="24"/>
                <w:highlight w:val="none"/>
                <w:lang w:bidi="ar"/>
              </w:rPr>
              <w:t>限制或淘汰类。</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highlight w:val="none"/>
              </w:rPr>
            </w:pPr>
            <w:r>
              <w:rPr>
                <w:rFonts w:hint="default"/>
                <w:color w:val="auto"/>
                <w:kern w:val="2"/>
                <w:sz w:val="24"/>
                <w:highlight w:val="none"/>
                <w:lang w:bidi="ar"/>
              </w:rPr>
              <w:t>因此，项目符合相关的产业政策要求。</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3、市场准入负面清单相符性分析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根据《市场准入负面清单》（2022年版</w:t>
            </w:r>
            <w:r>
              <w:rPr>
                <w:rFonts w:hint="eastAsia"/>
                <w:color w:val="auto"/>
                <w:kern w:val="2"/>
                <w:sz w:val="24"/>
                <w:highlight w:val="none"/>
                <w:lang w:eastAsia="zh-CN" w:bidi="ar"/>
              </w:rPr>
              <w:t>）（</w:t>
            </w:r>
            <w:r>
              <w:rPr>
                <w:rFonts w:hint="default"/>
                <w:color w:val="auto"/>
                <w:sz w:val="24"/>
                <w:highlight w:val="none"/>
              </w:rPr>
              <w:t>发改体改规〔2022〕397号）</w:t>
            </w:r>
            <w:r>
              <w:rPr>
                <w:rFonts w:hint="default"/>
                <w:color w:val="auto"/>
                <w:kern w:val="2"/>
                <w:sz w:val="24"/>
                <w:highlight w:val="none"/>
                <w:lang w:bidi="ar"/>
              </w:rPr>
              <w:t>内容：对禁止准入事项，市场主体不得进入，行政机关不予审批、核准，不得办理有关手续；对许可准入事项，包括有关资格的要求和程序、技术标准和许可要求等，由市场主体提出申请，行政机关依法依规作出是否予以准入的决定；对市场准入负面清单以外的行业、领域、业务等，各类市场主体皆可依法平等进入。</w:t>
            </w:r>
          </w:p>
          <w:p>
            <w:pPr>
              <w:keepNext w:val="0"/>
              <w:keepLines w:val="0"/>
              <w:widowControl/>
              <w:suppressLineNumbers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项目主要从事</w:t>
            </w:r>
            <w:r>
              <w:rPr>
                <w:rFonts w:hint="default"/>
                <w:color w:val="auto"/>
                <w:sz w:val="24"/>
                <w:highlight w:val="none"/>
              </w:rPr>
              <w:t>金属丝绳及其制品</w:t>
            </w:r>
            <w:r>
              <w:rPr>
                <w:rFonts w:hint="default"/>
                <w:color w:val="auto"/>
                <w:kern w:val="2"/>
                <w:sz w:val="24"/>
                <w:highlight w:val="none"/>
                <w:lang w:bidi="ar"/>
              </w:rPr>
              <w:t>的生产，不属于《市场准入负面清单》（2022年版）禁止或需要许可的类别，项目建设符合《市场准入负面清单（2022年版）》</w:t>
            </w:r>
            <w:r>
              <w:rPr>
                <w:rFonts w:hint="default"/>
                <w:color w:val="auto"/>
                <w:sz w:val="24"/>
                <w:highlight w:val="none"/>
              </w:rPr>
              <w:t>（发改体改规〔2022〕397号）</w:t>
            </w:r>
            <w:r>
              <w:rPr>
                <w:rFonts w:hint="default"/>
                <w:color w:val="auto"/>
                <w:kern w:val="2"/>
                <w:sz w:val="24"/>
                <w:highlight w:val="none"/>
                <w:lang w:bidi="ar"/>
              </w:rPr>
              <w:t>。</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4、用地性质相符性分析</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default"/>
                <w:color w:val="auto"/>
                <w:kern w:val="2"/>
                <w:sz w:val="24"/>
                <w:highlight w:val="none"/>
                <w:lang w:bidi="ar"/>
              </w:rPr>
            </w:pPr>
            <w:r>
              <w:rPr>
                <w:rFonts w:hint="default"/>
                <w:color w:val="auto"/>
                <w:kern w:val="2"/>
                <w:sz w:val="24"/>
                <w:highlight w:val="none"/>
                <w:lang w:bidi="ar"/>
              </w:rPr>
              <w:t>项目位于博罗县杨侨镇双杨路万洋众创城，根据</w:t>
            </w:r>
            <w:r>
              <w:rPr>
                <w:rFonts w:hint="default"/>
                <w:color w:val="auto"/>
                <w:sz w:val="24"/>
                <w:szCs w:val="24"/>
                <w:highlight w:val="none"/>
              </w:rPr>
              <w:t>《杨侨镇土地利用总体规划图</w:t>
            </w:r>
            <w:r>
              <w:rPr>
                <w:rFonts w:hint="eastAsia"/>
                <w:color w:val="auto"/>
                <w:sz w:val="24"/>
                <w:szCs w:val="24"/>
                <w:highlight w:val="none"/>
              </w:rPr>
              <w:t>（2010-2020）调整完善</w:t>
            </w:r>
            <w:r>
              <w:rPr>
                <w:rFonts w:hint="default"/>
                <w:color w:val="auto"/>
                <w:sz w:val="24"/>
                <w:szCs w:val="24"/>
                <w:highlight w:val="none"/>
              </w:rPr>
              <w:t>》（附图</w:t>
            </w:r>
            <w:r>
              <w:rPr>
                <w:rFonts w:hint="eastAsia"/>
                <w:color w:val="auto"/>
                <w:sz w:val="24"/>
                <w:szCs w:val="24"/>
                <w:highlight w:val="none"/>
                <w:lang w:val="en-US" w:eastAsia="zh-CN"/>
              </w:rPr>
              <w:t>19</w:t>
            </w:r>
            <w:r>
              <w:rPr>
                <w:rFonts w:hint="default"/>
                <w:color w:val="auto"/>
                <w:sz w:val="24"/>
                <w:szCs w:val="24"/>
                <w:highlight w:val="none"/>
              </w:rPr>
              <w:t>），</w:t>
            </w:r>
            <w:r>
              <w:rPr>
                <w:rFonts w:hint="default"/>
                <w:color w:val="auto"/>
                <w:sz w:val="24"/>
                <w:highlight w:val="none"/>
              </w:rPr>
              <w:t>项目</w:t>
            </w:r>
            <w:r>
              <w:rPr>
                <w:rFonts w:hint="eastAsia"/>
                <w:color w:val="auto"/>
                <w:sz w:val="24"/>
                <w:highlight w:val="none"/>
              </w:rPr>
              <w:t>位于允许建设区</w:t>
            </w:r>
            <w:r>
              <w:rPr>
                <w:rFonts w:hint="default"/>
                <w:color w:val="auto"/>
                <w:sz w:val="24"/>
                <w:highlight w:val="none"/>
              </w:rPr>
              <w:t>。</w:t>
            </w:r>
            <w:r>
              <w:rPr>
                <w:rFonts w:hint="default"/>
                <w:color w:val="auto"/>
                <w:kern w:val="2"/>
                <w:sz w:val="24"/>
                <w:highlight w:val="none"/>
                <w:lang w:bidi="ar"/>
              </w:rPr>
              <w:t>根据建设单位提供的</w:t>
            </w:r>
            <w:r>
              <w:rPr>
                <w:rFonts w:hint="eastAsia"/>
                <w:color w:val="auto"/>
                <w:highlight w:val="none"/>
              </w:rPr>
              <w:t>《</w:t>
            </w:r>
            <w:r>
              <w:rPr>
                <w:rFonts w:hint="eastAsia"/>
                <w:color w:val="auto"/>
                <w:kern w:val="2"/>
                <w:sz w:val="24"/>
                <w:highlight w:val="none"/>
                <w:lang w:bidi="ar"/>
              </w:rPr>
              <w:t>不动产权证</w:t>
            </w:r>
            <w:r>
              <w:rPr>
                <w:rFonts w:hint="eastAsia"/>
                <w:color w:val="auto"/>
                <w:highlight w:val="none"/>
              </w:rPr>
              <w:t>》</w:t>
            </w:r>
            <w:r>
              <w:rPr>
                <w:rFonts w:hint="eastAsia"/>
                <w:color w:val="auto"/>
                <w:kern w:val="2"/>
                <w:sz w:val="24"/>
                <w:highlight w:val="none"/>
                <w:lang w:bidi="ar"/>
              </w:rPr>
              <w:t>（粤（2020）博罗县不动产权第0082308号）</w:t>
            </w:r>
            <w:r>
              <w:rPr>
                <w:rFonts w:hint="default"/>
                <w:color w:val="auto"/>
                <w:kern w:val="2"/>
                <w:sz w:val="24"/>
                <w:highlight w:val="none"/>
                <w:lang w:bidi="ar"/>
              </w:rPr>
              <w:t>（附件3），项目用地类型为工业用地。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default"/>
                <w:color w:val="auto"/>
                <w:kern w:val="2"/>
                <w:sz w:val="24"/>
                <w:highlight w:val="none"/>
                <w:lang w:bidi="ar"/>
              </w:rPr>
            </w:pPr>
            <w:r>
              <w:rPr>
                <w:rFonts w:hint="default"/>
                <w:color w:val="auto"/>
                <w:kern w:val="2"/>
                <w:sz w:val="24"/>
                <w:highlight w:val="none"/>
                <w:lang w:bidi="ar"/>
              </w:rPr>
              <w:t>因此，项目用地符合相关土地利用规划。</w:t>
            </w:r>
          </w:p>
          <w:p>
            <w:pPr>
              <w:keepNext w:val="0"/>
              <w:keepLines w:val="0"/>
              <w:widowControl/>
              <w:suppressLineNumbers w:val="0"/>
              <w:snapToGrid w:val="0"/>
              <w:spacing w:before="0" w:beforeAutospacing="0" w:after="0" w:afterAutospacing="0" w:line="360" w:lineRule="auto"/>
              <w:ind w:left="0" w:right="0" w:firstLine="482"/>
              <w:jc w:val="both"/>
              <w:rPr>
                <w:rFonts w:hint="default"/>
                <w:b/>
                <w:bCs/>
                <w:color w:val="auto"/>
                <w:sz w:val="24"/>
                <w:highlight w:val="none"/>
              </w:rPr>
            </w:pPr>
            <w:r>
              <w:rPr>
                <w:rFonts w:hint="default"/>
                <w:b/>
                <w:bCs/>
                <w:color w:val="auto"/>
                <w:sz w:val="24"/>
                <w:highlight w:val="none"/>
              </w:rPr>
              <w:t>5、区域环境功能区划相符性分析</w:t>
            </w:r>
          </w:p>
          <w:p>
            <w:pPr>
              <w:keepNext w:val="0"/>
              <w:keepLines w:val="0"/>
              <w:suppressLineNumbers w:val="0"/>
              <w:adjustRightInd w:val="0"/>
              <w:snapToGrid w:val="0"/>
              <w:spacing w:before="0" w:beforeAutospacing="0" w:after="0" w:afterAutospacing="0" w:line="360" w:lineRule="auto"/>
              <w:ind w:left="0" w:right="0" w:firstLine="482"/>
              <w:jc w:val="both"/>
              <w:rPr>
                <w:rFonts w:hint="default"/>
                <w:b/>
                <w:bCs/>
                <w:color w:val="auto"/>
                <w:kern w:val="2"/>
                <w:sz w:val="24"/>
                <w:highlight w:val="none"/>
                <w:lang w:bidi="ar"/>
              </w:rPr>
            </w:pPr>
            <w:r>
              <w:rPr>
                <w:rFonts w:hint="default"/>
                <w:b/>
                <w:bCs/>
                <w:color w:val="auto"/>
                <w:kern w:val="2"/>
                <w:sz w:val="24"/>
                <w:highlight w:val="none"/>
                <w:lang w:bidi="ar"/>
              </w:rPr>
              <w:t>（1）饮用水源保护区划相符性</w:t>
            </w:r>
          </w:p>
          <w:p>
            <w:pPr>
              <w:keepNext w:val="0"/>
              <w:keepLines w:val="0"/>
              <w:suppressLineNumbers w:val="0"/>
              <w:adjustRightInd w:val="0"/>
              <w:snapToGrid w:val="0"/>
              <w:spacing w:before="0" w:beforeAutospacing="0" w:after="0" w:afterAutospacing="0" w:line="360" w:lineRule="auto"/>
              <w:ind w:left="0" w:right="0" w:firstLine="480"/>
              <w:jc w:val="both"/>
              <w:rPr>
                <w:rFonts w:hint="default" w:ascii="Times New Roman" w:hAnsi="Times New Roman" w:eastAsia="宋体" w:cs="Times New Roman"/>
                <w:color w:val="auto"/>
                <w:kern w:val="2"/>
                <w:sz w:val="24"/>
                <w:highlight w:val="none"/>
                <w:lang w:bidi="ar"/>
              </w:rPr>
            </w:pPr>
            <w:r>
              <w:rPr>
                <w:rFonts w:hint="default"/>
                <w:color w:val="auto"/>
                <w:kern w:val="2"/>
                <w:sz w:val="24"/>
                <w:highlight w:val="none"/>
                <w:lang w:bidi="ar"/>
              </w:rPr>
              <w:t>根据《广东省人民政府关于调整惠州市饮用水源保护区的批复》（粤府函[2014]188号文）、《广东省人民政府关于调整惠州市部分饮用水源保护区的批复》（粤府函[2019]270号文）以及《惠州市人民政府关于&lt;惠州市乡镇级及以下集中式饮用水水源保护区划定调整方案&gt;的批复》（惠府函[2020]317号），本项目所在区域不属于</w:t>
            </w:r>
            <w:r>
              <w:rPr>
                <w:rFonts w:hint="default" w:ascii="Times New Roman" w:hAnsi="Times New Roman" w:eastAsia="宋体" w:cs="Times New Roman"/>
                <w:color w:val="auto"/>
                <w:kern w:val="2"/>
                <w:sz w:val="24"/>
                <w:highlight w:val="none"/>
                <w:lang w:bidi="ar"/>
              </w:rPr>
              <w:t>水源保护区。</w:t>
            </w:r>
          </w:p>
          <w:p>
            <w:pPr>
              <w:keepNext w:val="0"/>
              <w:keepLines w:val="0"/>
              <w:suppressLineNumbers w:val="0"/>
              <w:adjustRightInd w:val="0"/>
              <w:snapToGrid w:val="0"/>
              <w:spacing w:before="0" w:beforeAutospacing="0" w:after="0" w:afterAutospacing="0" w:line="360" w:lineRule="auto"/>
              <w:ind w:left="0" w:right="0" w:firstLine="480"/>
              <w:jc w:val="both"/>
              <w:rPr>
                <w:rFonts w:hint="eastAsia" w:ascii="Times New Roman" w:hAnsi="Times New Roman" w:eastAsia="宋体" w:cs="Times New Roman"/>
                <w:color w:val="auto"/>
                <w:kern w:val="2"/>
                <w:sz w:val="24"/>
                <w:highlight w:val="none"/>
                <w:lang w:bidi="ar"/>
              </w:rPr>
            </w:pPr>
            <w:r>
              <w:rPr>
                <w:rFonts w:hint="default" w:ascii="Times New Roman" w:hAnsi="Times New Roman" w:eastAsia="宋体" w:cs="Times New Roman"/>
                <w:color w:val="auto"/>
                <w:kern w:val="2"/>
                <w:sz w:val="24"/>
                <w:highlight w:val="none"/>
                <w:lang w:bidi="ar"/>
              </w:rPr>
              <w:t>本项目退火机冷却水经一体化处理设施</w:t>
            </w:r>
            <w:r>
              <w:rPr>
                <w:rFonts w:hint="eastAsia" w:ascii="Times New Roman" w:hAnsi="Times New Roman" w:eastAsia="宋体" w:cs="Times New Roman"/>
                <w:color w:val="auto"/>
                <w:kern w:val="2"/>
                <w:sz w:val="24"/>
                <w:highlight w:val="none"/>
                <w:lang w:eastAsia="zh-CN" w:bidi="ar"/>
              </w:rPr>
              <w:t>（</w:t>
            </w:r>
            <w:r>
              <w:rPr>
                <w:rFonts w:hint="eastAsia" w:ascii="Times New Roman" w:hAnsi="Times New Roman" w:eastAsia="宋体" w:cs="Times New Roman"/>
                <w:color w:val="auto"/>
                <w:kern w:val="2"/>
                <w:sz w:val="24"/>
                <w:highlight w:val="none"/>
                <w:lang w:val="en-US" w:eastAsia="zh-CN" w:bidi="ar"/>
              </w:rPr>
              <w:t>日处理规模为1t</w:t>
            </w:r>
            <w:r>
              <w:rPr>
                <w:rFonts w:hint="eastAsia" w:ascii="Times New Roman" w:hAnsi="Times New Roman" w:eastAsia="宋体" w:cs="Times New Roman"/>
                <w:color w:val="auto"/>
                <w:kern w:val="2"/>
                <w:sz w:val="24"/>
                <w:highlight w:val="none"/>
                <w:lang w:eastAsia="zh-CN" w:bidi="ar"/>
              </w:rPr>
              <w:t>）</w:t>
            </w:r>
            <w:r>
              <w:rPr>
                <w:rFonts w:hint="default" w:ascii="Times New Roman" w:hAnsi="Times New Roman" w:eastAsia="宋体" w:cs="Times New Roman"/>
                <w:color w:val="auto"/>
                <w:kern w:val="2"/>
                <w:sz w:val="24"/>
                <w:highlight w:val="none"/>
                <w:lang w:bidi="ar"/>
              </w:rPr>
              <w:t>处理后回用退火机冷却水槽</w:t>
            </w:r>
            <w:r>
              <w:rPr>
                <w:rFonts w:hint="eastAsia" w:ascii="Times New Roman" w:hAnsi="Times New Roman" w:eastAsia="宋体" w:cs="Times New Roman"/>
                <w:color w:val="auto"/>
                <w:kern w:val="2"/>
                <w:sz w:val="24"/>
                <w:highlight w:val="none"/>
                <w:lang w:eastAsia="zh-CN" w:bidi="ar"/>
              </w:rPr>
              <w:t>，</w:t>
            </w:r>
            <w:r>
              <w:rPr>
                <w:rFonts w:hint="eastAsia" w:ascii="Times New Roman" w:hAnsi="Times New Roman" w:eastAsia="宋体" w:cs="Times New Roman"/>
                <w:color w:val="auto"/>
                <w:kern w:val="2"/>
                <w:sz w:val="24"/>
                <w:highlight w:val="none"/>
                <w:lang w:val="en-US" w:eastAsia="zh-CN" w:bidi="ar"/>
              </w:rPr>
              <w:t>不外排；项目</w:t>
            </w:r>
            <w:r>
              <w:rPr>
                <w:rFonts w:hint="eastAsia" w:ascii="Times New Roman" w:hAnsi="Times New Roman" w:eastAsia="宋体" w:cs="Times New Roman"/>
                <w:color w:val="auto"/>
                <w:kern w:val="2"/>
                <w:sz w:val="24"/>
                <w:highlight w:val="none"/>
                <w:lang w:eastAsia="zh-CN" w:bidi="ar"/>
              </w:rPr>
              <w:t>5%的助焊剂溶液（0.9t/a）被毛毡吸附，废毛毡在厂区危险废物暂存间暂存，定期交由有资质的单位处置，不外排；95%的助焊剂溶液（17.1t/a）粘附在铜线上，进入锡炉后全部</w:t>
            </w:r>
            <w:r>
              <w:rPr>
                <w:rFonts w:hint="eastAsia" w:cs="Times New Roman"/>
                <w:color w:val="auto"/>
                <w:kern w:val="2"/>
                <w:sz w:val="24"/>
                <w:highlight w:val="none"/>
                <w:lang w:val="en-US" w:eastAsia="zh-CN" w:bidi="ar"/>
              </w:rPr>
              <w:t>蒸发</w:t>
            </w:r>
            <w:r>
              <w:rPr>
                <w:rFonts w:hint="eastAsia" w:ascii="Times New Roman" w:hAnsi="Times New Roman" w:eastAsia="宋体" w:cs="Times New Roman"/>
                <w:color w:val="auto"/>
                <w:kern w:val="2"/>
                <w:sz w:val="24"/>
                <w:highlight w:val="none"/>
                <w:lang w:eastAsia="zh-CN" w:bidi="ar"/>
              </w:rPr>
              <w:t>，不外排。</w:t>
            </w:r>
          </w:p>
          <w:p>
            <w:pPr>
              <w:keepNext w:val="0"/>
              <w:keepLines w:val="0"/>
              <w:suppressLineNumbers w:val="0"/>
              <w:adjustRightInd w:val="0"/>
              <w:snapToGrid w:val="0"/>
              <w:spacing w:before="0" w:beforeAutospacing="0" w:after="0" w:afterAutospacing="0" w:line="360" w:lineRule="auto"/>
              <w:ind w:left="0" w:right="0"/>
              <w:jc w:val="both"/>
              <w:rPr>
                <w:rFonts w:hint="default"/>
                <w:color w:val="auto"/>
                <w:kern w:val="2"/>
                <w:sz w:val="24"/>
                <w:highlight w:val="none"/>
                <w:lang w:bidi="ar"/>
              </w:rPr>
            </w:pPr>
            <w:r>
              <w:rPr>
                <w:rFonts w:hint="eastAsia" w:ascii="Times New Roman" w:hAnsi="Times New Roman" w:eastAsia="宋体" w:cs="Times New Roman"/>
                <w:color w:val="auto"/>
                <w:kern w:val="2"/>
                <w:sz w:val="24"/>
                <w:highlight w:val="none"/>
                <w:lang w:val="en-US" w:eastAsia="zh-CN" w:bidi="ar"/>
              </w:rPr>
              <w:t>调</w:t>
            </w:r>
            <w:r>
              <w:rPr>
                <w:rFonts w:hint="eastAsia" w:ascii="Times New Roman" w:hAnsi="Times New Roman" w:eastAsia="宋体" w:cs="Times New Roman"/>
                <w:color w:val="auto"/>
                <w:sz w:val="24"/>
                <w:szCs w:val="24"/>
                <w:highlight w:val="none"/>
                <w:lang w:val="en-US" w:eastAsia="zh-CN" w:bidi="ar-SA"/>
              </w:rPr>
              <w:t>配后的拉丝液循环使用，产生的废拉丝油定期交由有资质单位处置，拉丝油废液产生量为</w:t>
            </w:r>
            <w:r>
              <w:rPr>
                <w:rFonts w:hint="eastAsia" w:cs="Times New Roman"/>
                <w:color w:val="auto"/>
                <w:sz w:val="24"/>
                <w:szCs w:val="24"/>
                <w:highlight w:val="none"/>
                <w:lang w:val="en-US" w:eastAsia="zh-CN" w:bidi="ar-SA"/>
              </w:rPr>
              <w:t>3.8</w:t>
            </w:r>
            <w:r>
              <w:rPr>
                <w:rFonts w:hint="eastAsia" w:ascii="Times New Roman" w:hAnsi="Times New Roman" w:eastAsia="宋体" w:cs="Times New Roman"/>
                <w:color w:val="auto"/>
                <w:sz w:val="24"/>
                <w:szCs w:val="24"/>
                <w:highlight w:val="none"/>
                <w:lang w:val="en-US" w:eastAsia="zh-CN" w:bidi="ar-SA"/>
              </w:rPr>
              <w:t>t/a，</w:t>
            </w:r>
            <w:r>
              <w:rPr>
                <w:rFonts w:hint="default" w:ascii="Times New Roman" w:hAnsi="Times New Roman" w:eastAsia="宋体" w:cs="Times New Roman"/>
                <w:color w:val="auto"/>
                <w:sz w:val="24"/>
                <w:szCs w:val="24"/>
                <w:highlight w:val="none"/>
                <w:lang w:val="en-US" w:eastAsia="zh-CN" w:bidi="ar-SA"/>
              </w:rPr>
              <w:t>不外排</w:t>
            </w:r>
            <w:r>
              <w:rPr>
                <w:rFonts w:hint="eastAsia" w:cs="Times New Roman"/>
                <w:color w:val="auto"/>
                <w:sz w:val="24"/>
                <w:szCs w:val="24"/>
                <w:highlight w:val="none"/>
                <w:lang w:val="en-US" w:eastAsia="zh-CN" w:bidi="ar-SA"/>
              </w:rPr>
              <w:t>；</w:t>
            </w:r>
            <w:r>
              <w:rPr>
                <w:rFonts w:hint="default" w:ascii="Times New Roman" w:hAnsi="Times New Roman" w:eastAsia="宋体" w:cs="Times New Roman"/>
                <w:color w:val="auto"/>
                <w:sz w:val="24"/>
                <w:szCs w:val="24"/>
                <w:highlight w:val="none"/>
                <w:lang w:val="en-US" w:eastAsia="zh-CN" w:bidi="ar-SA"/>
              </w:rPr>
              <w:t>喷淋塔用水循环使用，更换废水量为3m³/a，定</w:t>
            </w:r>
            <w:r>
              <w:rPr>
                <w:rFonts w:hint="eastAsia" w:ascii="Times New Roman" w:hAnsi="Times New Roman" w:eastAsia="宋体" w:cs="Times New Roman"/>
                <w:color w:val="auto"/>
                <w:sz w:val="24"/>
                <w:szCs w:val="24"/>
                <w:highlight w:val="none"/>
                <w:lang w:val="en-US" w:eastAsia="zh-CN" w:bidi="ar-SA"/>
              </w:rPr>
              <w:t>期交由有资质单位</w:t>
            </w:r>
            <w:r>
              <w:rPr>
                <w:rFonts w:hint="eastAsia" w:cs="Times New Roman"/>
                <w:color w:val="auto"/>
                <w:sz w:val="24"/>
                <w:szCs w:val="24"/>
                <w:highlight w:val="none"/>
                <w:lang w:val="en-US" w:eastAsia="zh-CN" w:bidi="ar-SA"/>
              </w:rPr>
              <w:t>处置</w:t>
            </w:r>
            <w:r>
              <w:rPr>
                <w:rFonts w:hint="eastAsia" w:ascii="Times New Roman" w:hAnsi="Times New Roman" w:eastAsia="宋体" w:cs="Times New Roman"/>
                <w:color w:val="auto"/>
                <w:sz w:val="24"/>
                <w:szCs w:val="24"/>
                <w:highlight w:val="none"/>
                <w:lang w:val="en-US" w:eastAsia="zh-CN" w:bidi="ar-SA"/>
              </w:rPr>
              <w:t>，不外排</w:t>
            </w:r>
            <w:r>
              <w:rPr>
                <w:rFonts w:hint="eastAsia" w:cs="Times New Roman"/>
                <w:color w:val="auto"/>
                <w:sz w:val="24"/>
                <w:szCs w:val="24"/>
                <w:highlight w:val="none"/>
                <w:lang w:val="en-US" w:eastAsia="zh-CN" w:bidi="ar-SA"/>
              </w:rPr>
              <w:t>；</w:t>
            </w:r>
            <w:r>
              <w:rPr>
                <w:rFonts w:hint="eastAsia" w:ascii="Times New Roman" w:hAnsi="Times New Roman" w:eastAsia="宋体" w:cs="Times New Roman"/>
                <w:color w:val="auto"/>
                <w:sz w:val="24"/>
                <w:szCs w:val="24"/>
                <w:highlight w:val="none"/>
                <w:lang w:val="en-US" w:eastAsia="zh-CN" w:bidi="ar-SA"/>
              </w:rPr>
              <w:t>冷却塔间接冷却水循环使用，不外排。</w:t>
            </w:r>
            <w:r>
              <w:rPr>
                <w:rFonts w:hint="default" w:ascii="Times New Roman" w:hAnsi="Times New Roman" w:eastAsia="宋体" w:cs="Times New Roman"/>
                <w:color w:val="auto"/>
                <w:kern w:val="2"/>
                <w:sz w:val="24"/>
                <w:szCs w:val="21"/>
                <w:highlight w:val="none"/>
                <w:lang w:val="en-US" w:eastAsia="zh-CN" w:bidi="ar"/>
              </w:rPr>
              <w:t>外排废水为员工生活污水，生活污水经园区三级化粪池预处理后纳入杨侨镇生活污水处理厂处理，处理达标后排入南蛇沥，然后</w:t>
            </w:r>
            <w:r>
              <w:rPr>
                <w:rFonts w:hint="eastAsia" w:ascii="Times New Roman" w:hAnsi="Times New Roman" w:eastAsia="宋体" w:cs="Times New Roman"/>
                <w:color w:val="auto"/>
                <w:kern w:val="2"/>
                <w:sz w:val="24"/>
                <w:szCs w:val="21"/>
                <w:highlight w:val="none"/>
                <w:lang w:val="en-US" w:eastAsia="zh-CN" w:bidi="ar"/>
              </w:rPr>
              <w:t>流经</w:t>
            </w:r>
            <w:r>
              <w:rPr>
                <w:rFonts w:hint="default" w:ascii="Times New Roman" w:hAnsi="Times New Roman" w:eastAsia="宋体" w:cs="Times New Roman"/>
                <w:color w:val="auto"/>
                <w:kern w:val="2"/>
                <w:sz w:val="24"/>
                <w:szCs w:val="21"/>
                <w:highlight w:val="none"/>
                <w:lang w:val="en-US" w:eastAsia="zh-CN" w:bidi="ar"/>
              </w:rPr>
              <w:t>公庄河</w:t>
            </w:r>
            <w:r>
              <w:rPr>
                <w:rFonts w:hint="eastAsia" w:ascii="Times New Roman" w:hAnsi="Times New Roman" w:eastAsia="宋体" w:cs="Times New Roman"/>
                <w:color w:val="auto"/>
                <w:kern w:val="2"/>
                <w:sz w:val="24"/>
                <w:szCs w:val="21"/>
                <w:highlight w:val="none"/>
                <w:lang w:val="en-US" w:eastAsia="zh-CN" w:bidi="ar"/>
              </w:rPr>
              <w:t>，最后汇入东江</w:t>
            </w:r>
            <w:r>
              <w:rPr>
                <w:rFonts w:hint="default" w:ascii="Times New Roman" w:hAnsi="Times New Roman" w:eastAsia="宋体" w:cs="Times New Roman"/>
                <w:color w:val="auto"/>
                <w:kern w:val="2"/>
                <w:sz w:val="24"/>
                <w:szCs w:val="21"/>
                <w:highlight w:val="none"/>
                <w:lang w:val="en-US" w:eastAsia="zh-CN" w:bidi="ar"/>
              </w:rPr>
              <w:t>。根据《关于印发&lt;广东省地表水环境功能区划&gt;》的通知》（粤环[2011]14号），公庄河（自博罗桂山糯米柏至博罗泰美段）水域功能为农用，水质保护目标为《地表水环境质量标准》（GB3838-2002）Ⅲ类标准；根据《博罗县2023年水污染防治攻坚战工作方案》（博环攻坚办（2023）67号文），南蛇沥执行《地表水环境质量标准》（GB3838-2002）V类标准。</w:t>
            </w:r>
          </w:p>
          <w:p>
            <w:pPr>
              <w:keepNext w:val="0"/>
              <w:keepLines w:val="0"/>
              <w:suppressLineNumbers w:val="0"/>
              <w:adjustRightInd w:val="0"/>
              <w:snapToGrid w:val="0"/>
              <w:spacing w:before="0" w:beforeAutospacing="0" w:after="0" w:afterAutospacing="0" w:line="360" w:lineRule="auto"/>
              <w:ind w:left="0" w:right="0" w:firstLine="482"/>
              <w:jc w:val="both"/>
              <w:rPr>
                <w:rFonts w:hint="default"/>
                <w:b/>
                <w:bCs/>
                <w:color w:val="auto"/>
                <w:kern w:val="2"/>
                <w:sz w:val="24"/>
                <w:highlight w:val="none"/>
                <w:lang w:bidi="ar"/>
              </w:rPr>
            </w:pPr>
            <w:r>
              <w:rPr>
                <w:rFonts w:hint="default"/>
                <w:b/>
                <w:bCs/>
                <w:color w:val="auto"/>
                <w:kern w:val="2"/>
                <w:sz w:val="24"/>
                <w:highlight w:val="none"/>
                <w:lang w:bidi="ar"/>
              </w:rPr>
              <w:t>（2）环境空气功能区划相符性</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根据《惠州市环境空气质量功能区划（2021年修订）》（惠市环[2021]1号），本项目所在区域环境空气质量功能区划为二类区域，周边无国家、省、市、区重点保护的文物、古迹、无名胜风景区、自然保护区等。</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因此，项目符合大气环境功能区划要求。</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kern w:val="2"/>
                <w:sz w:val="24"/>
                <w:highlight w:val="none"/>
                <w:lang w:bidi="ar"/>
              </w:rPr>
            </w:pPr>
            <w:r>
              <w:rPr>
                <w:rFonts w:hint="default"/>
                <w:color w:val="auto"/>
                <w:kern w:val="2"/>
                <w:sz w:val="24"/>
                <w:highlight w:val="none"/>
                <w:lang w:bidi="ar"/>
              </w:rPr>
              <w:t>（</w:t>
            </w:r>
            <w:r>
              <w:rPr>
                <w:rFonts w:hint="default"/>
                <w:b/>
                <w:bCs/>
                <w:color w:val="auto"/>
                <w:kern w:val="2"/>
                <w:sz w:val="24"/>
                <w:highlight w:val="none"/>
                <w:lang w:bidi="ar"/>
              </w:rPr>
              <w:t>3）声环境功能区划相符性</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cs="Times New Roman"/>
                <w:color w:val="auto"/>
                <w:kern w:val="2"/>
                <w:sz w:val="24"/>
                <w:highlight w:val="none"/>
                <w:lang w:val="en-US" w:eastAsia="zh-CN" w:bidi="ar"/>
              </w:rPr>
            </w:pPr>
            <w:r>
              <w:rPr>
                <w:rFonts w:hint="eastAsia" w:ascii="Times New Roman" w:cs="Times New Roman"/>
                <w:color w:val="auto"/>
                <w:kern w:val="2"/>
                <w:sz w:val="24"/>
                <w:highlight w:val="none"/>
                <w:lang w:val="en-US" w:eastAsia="zh-CN" w:bidi="ar"/>
              </w:rPr>
              <w:t>根据惠州市生态环境局关于印发</w:t>
            </w:r>
            <w:r>
              <w:rPr>
                <w:rFonts w:hint="eastAsia"/>
                <w:color w:val="auto"/>
                <w:highlight w:val="none"/>
                <w:lang w:eastAsia="zh-CN"/>
              </w:rPr>
              <w:t>《</w:t>
            </w:r>
            <w:r>
              <w:rPr>
                <w:rFonts w:hint="default"/>
                <w:color w:val="auto"/>
                <w:kern w:val="2"/>
                <w:sz w:val="24"/>
                <w:highlight w:val="none"/>
                <w:lang w:bidi="ar"/>
              </w:rPr>
              <w:t>惠州市生态环境局关于印发</w:t>
            </w:r>
            <w:r>
              <w:rPr>
                <w:rFonts w:hint="eastAsia"/>
                <w:color w:val="auto"/>
                <w:kern w:val="2"/>
                <w:sz w:val="24"/>
                <w:highlight w:val="none"/>
                <w:lang w:val="en-US" w:eastAsia="zh-CN" w:bidi="ar"/>
              </w:rPr>
              <w:t>&lt;</w:t>
            </w:r>
            <w:r>
              <w:rPr>
                <w:rFonts w:hint="default"/>
                <w:color w:val="auto"/>
                <w:kern w:val="2"/>
                <w:sz w:val="24"/>
                <w:highlight w:val="none"/>
                <w:lang w:bidi="ar"/>
              </w:rPr>
              <w:t>惠州市声环境功能区划分方案（2022年）</w:t>
            </w:r>
            <w:r>
              <w:rPr>
                <w:rFonts w:hint="eastAsia"/>
                <w:color w:val="auto"/>
                <w:kern w:val="2"/>
                <w:sz w:val="24"/>
                <w:highlight w:val="none"/>
                <w:lang w:val="en-US" w:eastAsia="zh-CN" w:bidi="ar"/>
              </w:rPr>
              <w:t>&gt;</w:t>
            </w:r>
            <w:r>
              <w:rPr>
                <w:rFonts w:hint="default"/>
                <w:color w:val="auto"/>
                <w:kern w:val="2"/>
                <w:sz w:val="24"/>
                <w:highlight w:val="none"/>
                <w:lang w:bidi="ar"/>
              </w:rPr>
              <w:t>的通知</w:t>
            </w:r>
            <w:r>
              <w:rPr>
                <w:rFonts w:hint="eastAsia"/>
                <w:color w:val="auto"/>
                <w:highlight w:val="none"/>
                <w:lang w:eastAsia="zh-CN"/>
              </w:rPr>
              <w:t>》</w:t>
            </w:r>
            <w:r>
              <w:rPr>
                <w:rFonts w:hint="eastAsia" w:ascii="Times New Roman" w:cs="Times New Roman"/>
                <w:color w:val="auto"/>
                <w:kern w:val="2"/>
                <w:sz w:val="24"/>
                <w:highlight w:val="none"/>
                <w:lang w:val="en-US" w:eastAsia="zh-CN" w:bidi="ar"/>
              </w:rPr>
              <w:t>（惠市环〔2022〕33号），未对博罗县声环境功能区进行划分，参考（惠市环〔2022〕33号）中</w:t>
            </w:r>
            <w:r>
              <w:rPr>
                <w:rFonts w:hint="default" w:ascii="Times New Roman" w:hAnsi="Times New Roman" w:eastAsia="宋体" w:cs="Times New Roman"/>
                <w:color w:val="auto"/>
                <w:kern w:val="2"/>
                <w:sz w:val="24"/>
                <w:szCs w:val="21"/>
                <w:highlight w:val="none"/>
                <w:lang w:val="en-US" w:eastAsia="zh-CN" w:bidi="ar"/>
              </w:rPr>
              <w:t>的其他规定及说明（二）：</w:t>
            </w:r>
            <w:r>
              <w:rPr>
                <w:rFonts w:hint="eastAsia" w:ascii="Times New Roman" w:hAnsi="Times New Roman" w:eastAsia="宋体" w:cs="Times New Roman"/>
                <w:color w:val="auto"/>
                <w:kern w:val="2"/>
                <w:sz w:val="24"/>
                <w:szCs w:val="21"/>
                <w:highlight w:val="none"/>
                <w:lang w:val="en-US" w:eastAsia="zh-CN" w:bidi="ar"/>
              </w:rPr>
              <w:t>“</w:t>
            </w:r>
            <w:r>
              <w:rPr>
                <w:rFonts w:hint="default" w:ascii="Times New Roman" w:hAnsi="Times New Roman" w:eastAsia="宋体" w:cs="Times New Roman"/>
                <w:color w:val="auto"/>
                <w:kern w:val="2"/>
                <w:sz w:val="24"/>
                <w:szCs w:val="21"/>
                <w:highlight w:val="none"/>
                <w:lang w:val="en-US" w:eastAsia="zh-CN" w:bidi="ar"/>
              </w:rPr>
              <w:t>村庄原则上执行1类声环境功能区要求，工业活动较多的村庄以及有交通干线经过的村庄（指执行4类声环境功能区要求以外的地区）可局部或全部执行2类声环境功能区要求</w:t>
            </w:r>
            <w:r>
              <w:rPr>
                <w:rFonts w:hint="eastAsia" w:ascii="Times New Roman" w:hAnsi="Times New Roman" w:eastAsia="宋体" w:cs="Times New Roman"/>
                <w:color w:val="auto"/>
                <w:kern w:val="2"/>
                <w:sz w:val="24"/>
                <w:szCs w:val="21"/>
                <w:highlight w:val="none"/>
                <w:lang w:val="en-US" w:eastAsia="zh-CN" w:bidi="ar"/>
              </w:rPr>
              <w:t>”，</w:t>
            </w:r>
            <w:r>
              <w:rPr>
                <w:rFonts w:hint="default" w:ascii="Times New Roman" w:hAnsi="Times New Roman" w:eastAsia="宋体" w:cs="Times New Roman"/>
                <w:color w:val="auto"/>
                <w:kern w:val="2"/>
                <w:sz w:val="24"/>
                <w:szCs w:val="21"/>
                <w:highlight w:val="none"/>
                <w:lang w:val="en-US" w:eastAsia="zh-CN" w:bidi="ar"/>
              </w:rPr>
              <w:t>则项目所在区域为2类声环境功能区。</w:t>
            </w:r>
          </w:p>
          <w:p>
            <w:pPr>
              <w:pStyle w:val="2"/>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2"/>
              <w:textAlignment w:val="auto"/>
              <w:rPr>
                <w:rFonts w:hint="default" w:ascii="Times New Roman" w:cs="Times New Roman"/>
                <w:b/>
                <w:bCs/>
                <w:color w:val="auto"/>
                <w:kern w:val="2"/>
                <w:szCs w:val="21"/>
                <w:highlight w:val="none"/>
                <w:lang w:bidi="ar"/>
              </w:rPr>
            </w:pPr>
            <w:r>
              <w:rPr>
                <w:rFonts w:hint="default" w:ascii="Times New Roman" w:cs="Times New Roman"/>
                <w:b/>
                <w:bCs/>
                <w:color w:val="auto"/>
                <w:kern w:val="2"/>
                <w:szCs w:val="21"/>
                <w:highlight w:val="none"/>
                <w:lang w:bidi="ar"/>
              </w:rPr>
              <w:t>6、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的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eastAsia"/>
                <w:color w:val="auto"/>
                <w:sz w:val="24"/>
                <w:szCs w:val="24"/>
                <w:highlight w:val="none"/>
              </w:rPr>
              <w:t>《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相关规定如下：</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2、强化涉重金属污染项目管理：东江流域内停止审批向河流排放汞、砷、镉、铬、铅等重金属污染物和持久性有机污染物的项目。</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3、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keepNext w:val="0"/>
              <w:keepLines w:val="0"/>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《广东省人民政府关于严格限制东江流域水污染项目建设进一步做好东江水质保护工作的补充通知》（粤府函〔2013〕231号）有关规定原文如下：</w:t>
            </w:r>
          </w:p>
          <w:p>
            <w:pPr>
              <w:keepNext w:val="0"/>
              <w:keepLines w:val="0"/>
              <w:numPr>
                <w:ilvl w:val="0"/>
                <w:numId w:val="8"/>
              </w:numPr>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增加东江一级支流沙河为流域严格控制污染项目建设的支流。</w:t>
            </w:r>
          </w:p>
          <w:p>
            <w:pPr>
              <w:keepNext w:val="0"/>
              <w:keepLines w:val="0"/>
              <w:numPr>
                <w:ilvl w:val="0"/>
                <w:numId w:val="8"/>
              </w:numPr>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符合下列条件之一的建设项目，不列入禁止建设和暂停审批范围：</w:t>
            </w:r>
          </w:p>
          <w:p>
            <w:pPr>
              <w:keepNext w:val="0"/>
              <w:keepLines w:val="0"/>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①建设地点位于东江流域，但不排放废水或废水不排入东江及其支流，不会对东江水质和水环境安全构成影响的项目；</w:t>
            </w:r>
          </w:p>
          <w:p>
            <w:pPr>
              <w:keepNext w:val="0"/>
              <w:keepLines w:val="0"/>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②通过提高清洁生产和污染防治水平，能够做到增产不增污、增产减污、技改减污的改（扩）建项目及同流域内迁建减污项目；</w:t>
            </w:r>
          </w:p>
          <w:p>
            <w:pPr>
              <w:keepNext w:val="0"/>
              <w:keepLines w:val="0"/>
              <w:suppressLineNumbers w:val="0"/>
              <w:autoSpaceDE w:val="0"/>
              <w:autoSpaceDN w:val="0"/>
              <w:adjustRightInd w:val="0"/>
              <w:snapToGrid w:val="0"/>
              <w:spacing w:before="0" w:beforeAutospacing="0" w:after="0" w:afterAutospacing="0" w:line="360" w:lineRule="auto"/>
              <w:ind w:left="0" w:right="0" w:firstLine="480"/>
              <w:rPr>
                <w:rFonts w:hint="default"/>
                <w:color w:val="auto"/>
                <w:kern w:val="21"/>
                <w:sz w:val="24"/>
                <w:highlight w:val="none"/>
              </w:rPr>
            </w:pPr>
            <w:r>
              <w:rPr>
                <w:rFonts w:hint="default"/>
                <w:color w:val="auto"/>
                <w:kern w:val="21"/>
                <w:sz w:val="24"/>
                <w:highlight w:val="none"/>
              </w:rPr>
              <w:t>③流域内拟迁入重污染行业统一规划、统一定点基地，且符合基地规划环评审查意见的建设项目。</w:t>
            </w:r>
          </w:p>
          <w:p>
            <w:pPr>
              <w:keepNext w:val="0"/>
              <w:keepLines w:val="0"/>
              <w:pageBreakBefore w:val="0"/>
              <w:widowControl w:val="0"/>
              <w:suppressLineNumbers w:val="0"/>
              <w:tabs>
                <w:tab w:val="left" w:pos="1088"/>
              </w:tabs>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Times New Roman" w:hAnsi="Times New Roman" w:eastAsia="宋体" w:cs="Times New Roman"/>
                <w:color w:val="auto"/>
                <w:sz w:val="24"/>
                <w:szCs w:val="24"/>
                <w:highlight w:val="none"/>
                <w:lang w:val="en-US" w:eastAsia="zh-CN" w:bidi="ar-SA"/>
              </w:rPr>
            </w:pPr>
            <w:r>
              <w:rPr>
                <w:rFonts w:hint="default"/>
                <w:b/>
                <w:bCs/>
                <w:color w:val="auto"/>
                <w:kern w:val="21"/>
                <w:sz w:val="24"/>
                <w:highlight w:val="none"/>
              </w:rPr>
              <w:t>相符性分析：</w:t>
            </w:r>
            <w:r>
              <w:rPr>
                <w:rFonts w:hint="default"/>
                <w:color w:val="auto"/>
                <w:kern w:val="21"/>
                <w:sz w:val="24"/>
                <w:highlight w:val="none"/>
              </w:rPr>
              <w:t>本项目位于博罗县杨侨镇双杨路万洋众创城</w:t>
            </w:r>
            <w:r>
              <w:rPr>
                <w:rFonts w:hint="eastAsia"/>
                <w:color w:val="auto"/>
                <w:sz w:val="24"/>
                <w:highlight w:val="none"/>
              </w:rPr>
              <w:t>A12栋一楼</w:t>
            </w:r>
            <w:r>
              <w:rPr>
                <w:rFonts w:hint="default"/>
                <w:color w:val="auto"/>
                <w:kern w:val="21"/>
                <w:sz w:val="24"/>
                <w:highlight w:val="none"/>
              </w:rPr>
              <w:t>，属于C3340金属丝绳及其制品制造。</w:t>
            </w:r>
            <w:r>
              <w:rPr>
                <w:rFonts w:hint="eastAsia" w:ascii="Times New Roman" w:hAnsi="Times New Roman" w:eastAsia="宋体" w:cs="Times New Roman"/>
                <w:color w:val="auto"/>
                <w:kern w:val="2"/>
                <w:sz w:val="24"/>
                <w:szCs w:val="24"/>
                <w:highlight w:val="none"/>
                <w:lang w:val="en-US" w:eastAsia="zh-CN"/>
              </w:rPr>
              <w:t>项目</w:t>
            </w:r>
            <w:r>
              <w:rPr>
                <w:rFonts w:hint="default"/>
                <w:color w:val="auto"/>
                <w:kern w:val="2"/>
                <w:sz w:val="24"/>
                <w:szCs w:val="24"/>
                <w:highlight w:val="none"/>
              </w:rPr>
              <w:t>退火机冷却水经一体化处理设施</w:t>
            </w:r>
            <w:r>
              <w:rPr>
                <w:rFonts w:hint="eastAsia"/>
                <w:color w:val="auto"/>
                <w:kern w:val="2"/>
                <w:sz w:val="24"/>
                <w:szCs w:val="24"/>
                <w:highlight w:val="none"/>
                <w:lang w:eastAsia="zh-CN"/>
              </w:rPr>
              <w:t>（</w:t>
            </w:r>
            <w:r>
              <w:rPr>
                <w:rFonts w:hint="eastAsia"/>
                <w:color w:val="auto"/>
                <w:kern w:val="2"/>
                <w:sz w:val="24"/>
                <w:szCs w:val="24"/>
                <w:highlight w:val="none"/>
                <w:lang w:val="en-US" w:eastAsia="zh-CN"/>
              </w:rPr>
              <w:t>日处理规模为1t</w:t>
            </w:r>
            <w:r>
              <w:rPr>
                <w:rFonts w:hint="eastAsia"/>
                <w:color w:val="auto"/>
                <w:kern w:val="2"/>
                <w:sz w:val="24"/>
                <w:szCs w:val="24"/>
                <w:highlight w:val="none"/>
                <w:lang w:eastAsia="zh-CN"/>
              </w:rPr>
              <w:t>）</w:t>
            </w:r>
            <w:r>
              <w:rPr>
                <w:rFonts w:hint="default"/>
                <w:color w:val="auto"/>
                <w:kern w:val="2"/>
                <w:sz w:val="24"/>
                <w:szCs w:val="24"/>
                <w:highlight w:val="none"/>
              </w:rPr>
              <w:t>处理后回用退火机冷却水槽</w:t>
            </w:r>
            <w:r>
              <w:rPr>
                <w:rFonts w:hint="eastAsia"/>
                <w:color w:val="auto"/>
                <w:kern w:val="2"/>
                <w:sz w:val="24"/>
                <w:szCs w:val="24"/>
                <w:highlight w:val="none"/>
                <w:lang w:eastAsia="zh-CN"/>
              </w:rPr>
              <w:t>，</w:t>
            </w:r>
            <w:r>
              <w:rPr>
                <w:rFonts w:hint="eastAsia"/>
                <w:color w:val="auto"/>
                <w:kern w:val="2"/>
                <w:sz w:val="24"/>
                <w:szCs w:val="24"/>
                <w:highlight w:val="none"/>
                <w:lang w:val="en-US" w:eastAsia="zh-CN"/>
              </w:rPr>
              <w:t>不外排；</w:t>
            </w:r>
            <w:r>
              <w:rPr>
                <w:rFonts w:hint="eastAsia" w:ascii="Times New Roman" w:hAnsi="Times New Roman" w:eastAsia="宋体" w:cs="Times New Roman"/>
                <w:color w:val="auto"/>
                <w:kern w:val="2"/>
                <w:sz w:val="24"/>
                <w:highlight w:val="none"/>
                <w:lang w:val="en-US" w:eastAsia="zh-CN" w:bidi="ar"/>
              </w:rPr>
              <w:t>项目</w:t>
            </w:r>
            <w:r>
              <w:rPr>
                <w:rFonts w:hint="eastAsia" w:ascii="Times New Roman" w:hAnsi="Times New Roman" w:eastAsia="宋体" w:cs="Times New Roman"/>
                <w:color w:val="auto"/>
                <w:kern w:val="2"/>
                <w:sz w:val="24"/>
                <w:highlight w:val="none"/>
                <w:lang w:eastAsia="zh-CN" w:bidi="ar"/>
              </w:rPr>
              <w:t>5%的助焊剂溶液（0.9t/a）被毛毡吸附，废毛毡在厂区危险废物暂存间暂存，定期交由有资质的单位处置，不外排；95%的助焊剂溶液（17.1t/a）粘附在铜线上，进入锡炉后全部</w:t>
            </w:r>
            <w:r>
              <w:rPr>
                <w:rFonts w:hint="eastAsia" w:cs="Times New Roman"/>
                <w:color w:val="auto"/>
                <w:kern w:val="2"/>
                <w:sz w:val="24"/>
                <w:highlight w:val="none"/>
                <w:lang w:val="en-US" w:eastAsia="zh-CN" w:bidi="ar"/>
              </w:rPr>
              <w:t>蒸发</w:t>
            </w:r>
            <w:r>
              <w:rPr>
                <w:rFonts w:hint="eastAsia" w:ascii="Times New Roman" w:hAnsi="Times New Roman" w:eastAsia="宋体" w:cs="Times New Roman"/>
                <w:color w:val="auto"/>
                <w:kern w:val="2"/>
                <w:sz w:val="24"/>
                <w:highlight w:val="none"/>
                <w:lang w:eastAsia="zh-CN" w:bidi="ar"/>
              </w:rPr>
              <w:t>，不外排。</w:t>
            </w:r>
            <w:r>
              <w:rPr>
                <w:rFonts w:hint="eastAsia" w:ascii="Times New Roman" w:hAnsi="Times New Roman" w:eastAsia="宋体" w:cs="Times New Roman"/>
                <w:color w:val="auto"/>
                <w:sz w:val="24"/>
                <w:szCs w:val="24"/>
                <w:highlight w:val="none"/>
                <w:lang w:val="en-US" w:eastAsia="zh-CN" w:bidi="ar-SA"/>
              </w:rPr>
              <w:t>调配后的拉丝液循环使用，每年产生的废拉丝油定期交由有资质单位处置，拉丝油废液产生量为</w:t>
            </w:r>
            <w:r>
              <w:rPr>
                <w:rFonts w:hint="eastAsia" w:cs="Times New Roman"/>
                <w:color w:val="auto"/>
                <w:sz w:val="24"/>
                <w:szCs w:val="24"/>
                <w:highlight w:val="none"/>
                <w:lang w:val="en-US" w:eastAsia="zh-CN" w:bidi="ar-SA"/>
              </w:rPr>
              <w:t>3.8</w:t>
            </w:r>
            <w:r>
              <w:rPr>
                <w:rFonts w:hint="eastAsia" w:ascii="Times New Roman" w:hAnsi="Times New Roman" w:eastAsia="宋体" w:cs="Times New Roman"/>
                <w:color w:val="auto"/>
                <w:sz w:val="24"/>
                <w:szCs w:val="24"/>
                <w:highlight w:val="none"/>
                <w:lang w:val="en-US" w:eastAsia="zh-CN" w:bidi="ar-SA"/>
              </w:rPr>
              <w:t>t/a，</w:t>
            </w:r>
            <w:r>
              <w:rPr>
                <w:rFonts w:hint="default" w:ascii="Times New Roman" w:hAnsi="Times New Roman" w:eastAsia="宋体" w:cs="Times New Roman"/>
                <w:color w:val="auto"/>
                <w:sz w:val="24"/>
                <w:szCs w:val="24"/>
                <w:highlight w:val="none"/>
                <w:lang w:val="en-US" w:eastAsia="zh-CN" w:bidi="ar-SA"/>
              </w:rPr>
              <w:t>不外排</w:t>
            </w:r>
            <w:r>
              <w:rPr>
                <w:rFonts w:hint="eastAsia" w:cs="Times New Roman"/>
                <w:color w:val="auto"/>
                <w:sz w:val="24"/>
                <w:szCs w:val="24"/>
                <w:highlight w:val="none"/>
                <w:lang w:val="en-US" w:eastAsia="zh-CN" w:bidi="ar-SA"/>
              </w:rPr>
              <w:t>；</w:t>
            </w:r>
            <w:r>
              <w:rPr>
                <w:rFonts w:hint="default" w:ascii="Times New Roman" w:hAnsi="Times New Roman" w:eastAsia="宋体" w:cs="Times New Roman"/>
                <w:color w:val="auto"/>
                <w:sz w:val="24"/>
                <w:szCs w:val="24"/>
                <w:highlight w:val="none"/>
                <w:lang w:val="en-US" w:eastAsia="zh-CN" w:bidi="ar-SA"/>
              </w:rPr>
              <w:t>喷淋塔用水循环使用，更换废水量为3m³/a，定</w:t>
            </w:r>
            <w:r>
              <w:rPr>
                <w:rFonts w:hint="eastAsia" w:ascii="Times New Roman" w:hAnsi="Times New Roman" w:eastAsia="宋体" w:cs="Times New Roman"/>
                <w:color w:val="auto"/>
                <w:sz w:val="24"/>
                <w:szCs w:val="24"/>
                <w:highlight w:val="none"/>
                <w:lang w:val="en-US" w:eastAsia="zh-CN" w:bidi="ar-SA"/>
              </w:rPr>
              <w:t>期交由有资质单位</w:t>
            </w:r>
            <w:r>
              <w:rPr>
                <w:rFonts w:hint="eastAsia" w:cs="Times New Roman"/>
                <w:color w:val="auto"/>
                <w:sz w:val="24"/>
                <w:szCs w:val="24"/>
                <w:highlight w:val="none"/>
                <w:lang w:val="en-US" w:eastAsia="zh-CN" w:bidi="ar-SA"/>
              </w:rPr>
              <w:t>处置</w:t>
            </w:r>
            <w:r>
              <w:rPr>
                <w:rFonts w:hint="eastAsia" w:ascii="Times New Roman" w:hAnsi="Times New Roman" w:eastAsia="宋体" w:cs="Times New Roman"/>
                <w:color w:val="auto"/>
                <w:sz w:val="24"/>
                <w:szCs w:val="24"/>
                <w:highlight w:val="none"/>
                <w:lang w:val="en-US" w:eastAsia="zh-CN" w:bidi="ar-SA"/>
              </w:rPr>
              <w:t>，不外排</w:t>
            </w:r>
            <w:r>
              <w:rPr>
                <w:rFonts w:hint="eastAsia" w:cs="Times New Roman"/>
                <w:color w:val="auto"/>
                <w:sz w:val="24"/>
                <w:szCs w:val="24"/>
                <w:highlight w:val="none"/>
                <w:lang w:val="en-US" w:eastAsia="zh-CN" w:bidi="ar-SA"/>
              </w:rPr>
              <w:t>；</w:t>
            </w:r>
            <w:r>
              <w:rPr>
                <w:rFonts w:hint="eastAsia" w:ascii="Times New Roman" w:hAnsi="Times New Roman" w:eastAsia="宋体" w:cs="Times New Roman"/>
                <w:color w:val="auto"/>
                <w:sz w:val="24"/>
                <w:szCs w:val="24"/>
                <w:highlight w:val="none"/>
                <w:lang w:val="en-US" w:eastAsia="zh-CN" w:bidi="ar-SA"/>
              </w:rPr>
              <w:t>冷却塔间接冷却水循环使用，不外排。</w:t>
            </w:r>
          </w:p>
          <w:p>
            <w:pPr>
              <w:keepNext w:val="0"/>
              <w:keepLines w:val="0"/>
              <w:suppressLineNumbers w:val="0"/>
              <w:spacing w:before="0" w:beforeAutospacing="0" w:after="0" w:afterAutospacing="0" w:line="360" w:lineRule="auto"/>
              <w:ind w:left="0" w:right="0" w:firstLine="480"/>
              <w:jc w:val="both"/>
              <w:rPr>
                <w:rFonts w:hint="default"/>
                <w:color w:val="auto"/>
                <w:kern w:val="21"/>
                <w:sz w:val="24"/>
                <w:highlight w:val="none"/>
              </w:rPr>
            </w:pPr>
            <w:r>
              <w:rPr>
                <w:rFonts w:hint="default"/>
                <w:color w:val="auto"/>
                <w:sz w:val="24"/>
                <w:szCs w:val="24"/>
                <w:highlight w:val="none"/>
              </w:rPr>
              <w:t>因此，项目</w:t>
            </w:r>
            <w:r>
              <w:rPr>
                <w:rFonts w:hint="default"/>
                <w:color w:val="auto"/>
                <w:kern w:val="21"/>
                <w:sz w:val="24"/>
                <w:szCs w:val="24"/>
                <w:highlight w:val="none"/>
              </w:rPr>
              <w:t>无生产废水排放。外排水为生活污水，生活污水经化粪池预处理后经市政污水管网引至杨侨</w:t>
            </w:r>
            <w:r>
              <w:rPr>
                <w:rFonts w:hint="default"/>
                <w:color w:val="auto"/>
                <w:kern w:val="21"/>
                <w:sz w:val="24"/>
                <w:highlight w:val="none"/>
              </w:rPr>
              <w:t>镇生活污水处理厂深度处理，处理达标后排入南蛇沥</w:t>
            </w:r>
            <w:r>
              <w:rPr>
                <w:rFonts w:hint="default" w:ascii="Times New Roman" w:hAnsi="Times New Roman" w:eastAsia="宋体" w:cs="Times New Roman"/>
                <w:color w:val="auto"/>
                <w:kern w:val="2"/>
                <w:sz w:val="24"/>
                <w:szCs w:val="21"/>
                <w:highlight w:val="none"/>
                <w:lang w:val="en-US" w:eastAsia="zh-CN" w:bidi="ar"/>
              </w:rPr>
              <w:t>，然后</w:t>
            </w:r>
            <w:r>
              <w:rPr>
                <w:rFonts w:hint="eastAsia" w:ascii="Times New Roman" w:hAnsi="Times New Roman" w:eastAsia="宋体" w:cs="Times New Roman"/>
                <w:color w:val="auto"/>
                <w:kern w:val="2"/>
                <w:sz w:val="24"/>
                <w:szCs w:val="21"/>
                <w:highlight w:val="none"/>
                <w:lang w:val="en-US" w:eastAsia="zh-CN" w:bidi="ar"/>
              </w:rPr>
              <w:t>流经</w:t>
            </w:r>
            <w:r>
              <w:rPr>
                <w:rFonts w:hint="default" w:ascii="Times New Roman" w:hAnsi="Times New Roman" w:eastAsia="宋体" w:cs="Times New Roman"/>
                <w:color w:val="auto"/>
                <w:kern w:val="2"/>
                <w:sz w:val="24"/>
                <w:szCs w:val="21"/>
                <w:highlight w:val="none"/>
                <w:lang w:val="en-US" w:eastAsia="zh-CN" w:bidi="ar"/>
              </w:rPr>
              <w:t>公庄河</w:t>
            </w:r>
            <w:r>
              <w:rPr>
                <w:rFonts w:hint="eastAsia" w:ascii="Times New Roman" w:hAnsi="Times New Roman" w:eastAsia="宋体" w:cs="Times New Roman"/>
                <w:color w:val="auto"/>
                <w:kern w:val="2"/>
                <w:sz w:val="24"/>
                <w:szCs w:val="21"/>
                <w:highlight w:val="none"/>
                <w:lang w:val="en-US" w:eastAsia="zh-CN" w:bidi="ar"/>
              </w:rPr>
              <w:t>，最后汇入东江</w:t>
            </w:r>
            <w:r>
              <w:rPr>
                <w:rFonts w:hint="default"/>
                <w:color w:val="auto"/>
                <w:kern w:val="21"/>
                <w:sz w:val="24"/>
                <w:highlight w:val="none"/>
              </w:rPr>
              <w:t>。因此本项目不属于以上禁批或限批行业。</w:t>
            </w:r>
          </w:p>
          <w:p>
            <w:pPr>
              <w:keepNext w:val="0"/>
              <w:keepLines w:val="0"/>
              <w:suppressLineNumbers w:val="0"/>
              <w:autoSpaceDE w:val="0"/>
              <w:autoSpaceDN w:val="0"/>
              <w:spacing w:before="0" w:beforeAutospacing="0" w:after="0" w:afterAutospacing="0" w:line="360" w:lineRule="auto"/>
              <w:ind w:left="0" w:right="0" w:firstLine="480"/>
              <w:jc w:val="both"/>
              <w:rPr>
                <w:rFonts w:hint="default"/>
                <w:color w:val="auto"/>
                <w:kern w:val="21"/>
                <w:sz w:val="24"/>
                <w:highlight w:val="none"/>
              </w:rPr>
            </w:pPr>
            <w:r>
              <w:rPr>
                <w:rFonts w:hint="default"/>
                <w:color w:val="auto"/>
                <w:kern w:val="21"/>
                <w:sz w:val="24"/>
                <w:highlight w:val="none"/>
              </w:rPr>
              <w:t>综上，本项目选址与《关于严格限制东江流域水污染项目建设进一步做好东江水质保护工作的通知》（粤府函〔2011〕339号）及</w:t>
            </w:r>
            <w:r>
              <w:rPr>
                <w:rFonts w:hint="eastAsia"/>
                <w:color w:val="auto"/>
                <w:sz w:val="24"/>
                <w:szCs w:val="24"/>
                <w:highlight w:val="none"/>
              </w:rPr>
              <w:t>《广东省人民政府关于严格限制东江流域水污染项目建设进一步做好东江水质保护工作的补充通知》（粤府函[2013]231号）</w:t>
            </w:r>
            <w:r>
              <w:rPr>
                <w:rFonts w:hint="default"/>
                <w:color w:val="auto"/>
                <w:kern w:val="21"/>
                <w:sz w:val="24"/>
                <w:highlight w:val="none"/>
              </w:rPr>
              <w:t>的规定不冲突。</w:t>
            </w:r>
          </w:p>
          <w:p>
            <w:pPr>
              <w:keepNext w:val="0"/>
              <w:keepLines w:val="0"/>
              <w:suppressLineNumbers w:val="0"/>
              <w:adjustRightInd w:val="0"/>
              <w:snapToGrid w:val="0"/>
              <w:spacing w:before="0" w:beforeAutospacing="0" w:after="0" w:afterAutospacing="0" w:line="360" w:lineRule="auto"/>
              <w:ind w:left="0" w:right="0" w:firstLine="482"/>
              <w:jc w:val="both"/>
              <w:rPr>
                <w:rFonts w:hint="default"/>
                <w:b/>
                <w:bCs/>
                <w:color w:val="auto"/>
                <w:sz w:val="24"/>
                <w:szCs w:val="24"/>
                <w:highlight w:val="none"/>
              </w:rPr>
            </w:pPr>
            <w:r>
              <w:rPr>
                <w:rFonts w:hint="default"/>
                <w:b/>
                <w:bCs/>
                <w:color w:val="auto"/>
                <w:sz w:val="24"/>
                <w:szCs w:val="24"/>
                <w:highlight w:val="none"/>
              </w:rPr>
              <w:t>7、与《广东省水污染防治条例》相符性分析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根据《广东省水污染防治条例》（2021年1月1日施行）相关规定：</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“第四十条 饮用水水源保护区分为一级保护区和二级保护区；必要时，可以在饮用水水源保护区外围划定一定的区域作为准保护区。</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第四十四条 禁止在饮用水水源一级保护区内新建、改建、扩建与供水设施和保护水源无关的建设项目；已建成的与供水设施和保护水源无关的建设项目由县级以上人民政府责令拆除或者关闭。</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禁止在饮用水水源二级保护区内新建、改建、扩建排放污染物的建设项目；已建成的排放污染物的建设项目由县级以上人民政府责令拆除或者关闭；不排放污染物的建设项目，除与供水设施和保护水源有关的外，应当尽量避让饮用水水源二级保护区；经组织论证确实无法避让的，应当依法严格审批。经依法批准的建设项目，应当严格落实工程设计方案，并根据项目类型和环境风险防控需要，提高施工和运营期间的环境风险防控、突发环境事件应急处置等各项措施的等级。有关主管部门应当加强对建设项目施工、运营期间环境风险预警和防控工作的监督和指导。</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第五十条 新建、改建、扩建的项目应当符合国家产业政策规定。</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2" w:firstLineChars="200"/>
              <w:jc w:val="both"/>
              <w:textAlignment w:val="auto"/>
              <w:rPr>
                <w:rFonts w:hint="default" w:ascii="Times New Roman" w:hAnsi="Times New Roman" w:eastAsia="宋体" w:cs="Times New Roman"/>
                <w:b w:val="0"/>
                <w:bCs w:val="0"/>
                <w:i w:val="0"/>
                <w:iCs w:val="0"/>
                <w:color w:val="auto"/>
                <w:kern w:val="0"/>
                <w:sz w:val="24"/>
                <w:szCs w:val="24"/>
                <w:highlight w:val="none"/>
                <w:lang w:val="en-US" w:eastAsia="zh-CN"/>
              </w:rPr>
            </w:pPr>
            <w:r>
              <w:rPr>
                <w:rFonts w:hint="default"/>
                <w:b/>
                <w:bCs/>
                <w:color w:val="auto"/>
                <w:sz w:val="24"/>
                <w:szCs w:val="24"/>
                <w:highlight w:val="none"/>
              </w:rPr>
              <w:t>相符性分析：</w:t>
            </w:r>
            <w:r>
              <w:rPr>
                <w:rFonts w:hint="default"/>
                <w:color w:val="auto"/>
                <w:sz w:val="24"/>
                <w:szCs w:val="24"/>
                <w:highlight w:val="none"/>
              </w:rPr>
              <w:t>本项目位于博罗县杨侨镇双杨路万洋众创城A12栋（1楼），不涉及国家产业政策及《广东省水污染防治条例》规定的禁止项目。项目无生产废水排放</w:t>
            </w:r>
            <w:r>
              <w:rPr>
                <w:rFonts w:hint="eastAsia"/>
                <w:color w:val="auto"/>
                <w:sz w:val="24"/>
                <w:szCs w:val="24"/>
                <w:highlight w:val="none"/>
                <w:lang w:eastAsia="zh-CN"/>
              </w:rPr>
              <w:t>，</w:t>
            </w:r>
            <w:r>
              <w:rPr>
                <w:rFonts w:hint="default"/>
                <w:color w:val="auto"/>
                <w:sz w:val="24"/>
                <w:szCs w:val="24"/>
                <w:highlight w:val="none"/>
              </w:rPr>
              <w:t>生活污水经园区三级化粪池预处理后，经市政污水管网纳入杨侨镇生活污水处理厂集中处理达标后排放。本项目符合生态环境准入清单要求，并依法进行环境影响评价</w:t>
            </w:r>
            <w:r>
              <w:rPr>
                <w:rFonts w:hint="eastAsia"/>
                <w:color w:val="auto"/>
                <w:sz w:val="24"/>
                <w:szCs w:val="24"/>
                <w:highlight w:val="none"/>
                <w:lang w:eastAsia="zh-CN"/>
              </w:rPr>
              <w:t>。</w:t>
            </w:r>
            <w:r>
              <w:rPr>
                <w:rFonts w:hint="eastAsia" w:ascii="Times New Roman" w:hAnsi="Times New Roman" w:eastAsia="宋体" w:cs="Times New Roman"/>
                <w:b w:val="0"/>
                <w:bCs w:val="0"/>
                <w:i w:val="0"/>
                <w:iCs w:val="0"/>
                <w:color w:val="auto"/>
                <w:kern w:val="0"/>
                <w:sz w:val="24"/>
                <w:szCs w:val="24"/>
                <w:highlight w:val="none"/>
                <w:lang w:val="en-US" w:eastAsia="zh-CN"/>
              </w:rPr>
              <w:t>项目</w:t>
            </w:r>
            <w:r>
              <w:rPr>
                <w:rFonts w:hint="eastAsia"/>
                <w:color w:val="auto"/>
                <w:sz w:val="24"/>
                <w:szCs w:val="32"/>
                <w:highlight w:val="none"/>
                <w:lang w:val="en-US" w:eastAsia="zh-CN"/>
              </w:rPr>
              <w:t>水污染防治设施将与主体工程同时设计、同时施工、同时投入使用。项目不排放工业废水</w:t>
            </w:r>
            <w:r>
              <w:rPr>
                <w:rFonts w:hint="eastAsia" w:ascii="Times New Roman" w:hAnsi="Times New Roman" w:eastAsia="宋体" w:cs="Times New Roman"/>
                <w:b w:val="0"/>
                <w:bCs w:val="0"/>
                <w:i w:val="0"/>
                <w:iCs w:val="0"/>
                <w:color w:val="auto"/>
                <w:kern w:val="0"/>
                <w:sz w:val="24"/>
                <w:szCs w:val="24"/>
                <w:highlight w:val="none"/>
                <w:lang w:val="en-US" w:eastAsia="zh-CN"/>
              </w:rPr>
              <w:t>。因此，项目符合《广东省水污染防治条例》的要求。</w:t>
            </w:r>
          </w:p>
          <w:p>
            <w:pPr>
              <w:keepNext w:val="0"/>
              <w:keepLines w:val="0"/>
              <w:suppressLineNumbers w:val="0"/>
              <w:adjustRightInd w:val="0"/>
              <w:snapToGrid w:val="0"/>
              <w:spacing w:before="0" w:beforeAutospacing="0" w:after="0" w:afterAutospacing="0" w:line="360" w:lineRule="auto"/>
              <w:ind w:left="0" w:right="0" w:firstLine="482"/>
              <w:jc w:val="both"/>
              <w:rPr>
                <w:rFonts w:hint="default"/>
                <w:b/>
                <w:bCs/>
                <w:color w:val="auto"/>
                <w:sz w:val="24"/>
                <w:szCs w:val="24"/>
                <w:highlight w:val="none"/>
              </w:rPr>
            </w:pPr>
            <w:r>
              <w:rPr>
                <w:rFonts w:hint="default"/>
                <w:b/>
                <w:bCs/>
                <w:color w:val="auto"/>
                <w:sz w:val="24"/>
                <w:szCs w:val="24"/>
                <w:highlight w:val="none"/>
              </w:rPr>
              <w:t>8、《关于印发&lt;重点行业挥发性有机物综合治理方案&gt;的通知》（环大气〔2019〕53号）的相符性分析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使用的原辅材料VOCs含量（质量比）低于10%的工序，可不要求采取无组织排放收集措施。</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 xml:space="preserve">   （二）推进使用先进生产工艺。通过采用全密闭、连续化、自动化等生产技术，以及高效工艺与设备等，减少工艺过程无组织排放。工业涂装行业重点推进使用紧凑式涂装工艺，推广采用辊涂、静电喷涂、高压无气喷涂、空气辅助无气喷涂、热喷涂等涂装技术，鼓励企业采用自动化、智能化喷涂设备替代人工喷涂，减少使用空气喷涂技术。</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 xml:space="preserve">   （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二级活性炭吸附、减风增浓等浓缩技术，提高VOCs浓度后净化处理；高浓度废气，优先进行溶剂回收，难以回收的，宜采用高温焚烧、催化燃烧等技术。</w:t>
            </w:r>
          </w:p>
          <w:p>
            <w:pPr>
              <w:keepNext w:val="0"/>
              <w:keepLines w:val="0"/>
              <w:suppressLineNumbers w:val="0"/>
              <w:adjustRightInd w:val="0"/>
              <w:snapToGrid w:val="0"/>
              <w:spacing w:before="0" w:beforeAutospacing="0" w:after="0" w:afterAutospacing="0" w:line="360" w:lineRule="auto"/>
              <w:ind w:left="0" w:right="0" w:firstLine="482"/>
              <w:jc w:val="both"/>
              <w:rPr>
                <w:rFonts w:hint="default" w:ascii="Times New Roman" w:hAnsi="Times New Roman" w:cs="Times New Roman"/>
                <w:color w:val="auto"/>
                <w:sz w:val="24"/>
                <w:szCs w:val="24"/>
                <w:highlight w:val="none"/>
              </w:rPr>
            </w:pPr>
            <w:r>
              <w:rPr>
                <w:rFonts w:hint="default"/>
                <w:b/>
                <w:bCs/>
                <w:color w:val="auto"/>
                <w:sz w:val="24"/>
                <w:szCs w:val="24"/>
                <w:highlight w:val="none"/>
              </w:rPr>
              <w:t>相符性分析：</w:t>
            </w:r>
            <w:r>
              <w:rPr>
                <w:rFonts w:hint="default"/>
                <w:color w:val="auto"/>
                <w:sz w:val="24"/>
                <w:szCs w:val="24"/>
                <w:highlight w:val="none"/>
              </w:rPr>
              <w:t>项目生产过程中使用的VOCs物料为助焊剂</w:t>
            </w:r>
            <w:r>
              <w:rPr>
                <w:rFonts w:hint="eastAsia"/>
                <w:color w:val="auto"/>
                <w:sz w:val="24"/>
                <w:szCs w:val="24"/>
                <w:highlight w:val="none"/>
                <w:lang w:eastAsia="zh-CN"/>
              </w:rPr>
              <w:t>、</w:t>
            </w:r>
            <w:r>
              <w:rPr>
                <w:rFonts w:hint="eastAsia"/>
                <w:color w:val="auto"/>
                <w:sz w:val="24"/>
                <w:szCs w:val="24"/>
                <w:highlight w:val="none"/>
                <w:lang w:val="en-US" w:eastAsia="zh-CN"/>
              </w:rPr>
              <w:t>拉丝油和抗氧化剂</w:t>
            </w:r>
            <w:r>
              <w:rPr>
                <w:rFonts w:hint="eastAsia"/>
                <w:color w:val="auto"/>
                <w:sz w:val="24"/>
                <w:szCs w:val="24"/>
                <w:highlight w:val="none"/>
                <w:lang w:eastAsia="zh-CN"/>
              </w:rPr>
              <w:t>。</w:t>
            </w:r>
            <w:r>
              <w:rPr>
                <w:rFonts w:hint="default"/>
                <w:color w:val="auto"/>
                <w:sz w:val="24"/>
                <w:szCs w:val="24"/>
                <w:highlight w:val="none"/>
              </w:rPr>
              <w:t>有机废气经集气罩、管道收集，经“水喷淋+干式过滤器+二级活性炭吸附装置”处理后通过排气筒（DA001）达标排放。挥发性有机物实行倍量替代，VOCs总量控制指标由惠州市</w:t>
            </w:r>
            <w:r>
              <w:rPr>
                <w:rFonts w:hint="eastAsia"/>
                <w:color w:val="auto"/>
                <w:sz w:val="24"/>
                <w:szCs w:val="24"/>
                <w:highlight w:val="none"/>
              </w:rPr>
              <w:t>生态环境局</w:t>
            </w:r>
            <w:r>
              <w:rPr>
                <w:rFonts w:hint="default"/>
                <w:color w:val="auto"/>
                <w:sz w:val="24"/>
                <w:szCs w:val="24"/>
                <w:highlight w:val="none"/>
              </w:rPr>
              <w:t>博罗分局进行调配。因此，项目符合《关于印发</w:t>
            </w:r>
            <w:r>
              <w:rPr>
                <w:rFonts w:hint="eastAsia"/>
                <w:color w:val="auto"/>
                <w:sz w:val="24"/>
                <w:szCs w:val="24"/>
                <w:highlight w:val="none"/>
              </w:rPr>
              <w:t>〈</w:t>
            </w:r>
            <w:r>
              <w:rPr>
                <w:rFonts w:hint="default"/>
                <w:color w:val="auto"/>
                <w:sz w:val="24"/>
                <w:szCs w:val="24"/>
                <w:highlight w:val="none"/>
              </w:rPr>
              <w:t>重点行业挥发性有机物综合治理方案</w:t>
            </w:r>
            <w:r>
              <w:rPr>
                <w:rFonts w:hint="eastAsia"/>
                <w:color w:val="auto"/>
                <w:sz w:val="24"/>
                <w:szCs w:val="24"/>
                <w:highlight w:val="none"/>
              </w:rPr>
              <w:t>〉</w:t>
            </w:r>
            <w:r>
              <w:rPr>
                <w:rFonts w:hint="default"/>
                <w:color w:val="auto"/>
                <w:sz w:val="24"/>
                <w:szCs w:val="24"/>
                <w:highlight w:val="none"/>
              </w:rPr>
              <w:t>的通知》（环大气〔2019〕53号）的要求。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79"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color w:val="auto"/>
                <w:sz w:val="21"/>
                <w:highlight w:val="none"/>
              </w:rPr>
              <w:t>其他符合性分析</w:t>
            </w:r>
          </w:p>
        </w:tc>
        <w:tc>
          <w:tcPr>
            <w:tcW w:w="8609" w:type="dxa"/>
            <w:gridSpan w:val="4"/>
            <w:vAlign w:val="center"/>
          </w:tcPr>
          <w:p>
            <w:pPr>
              <w:keepNext w:val="0"/>
              <w:keepLines w:val="0"/>
              <w:suppressLineNumbers w:val="0"/>
              <w:adjustRightInd w:val="0"/>
              <w:snapToGrid w:val="0"/>
              <w:spacing w:before="0" w:beforeAutospacing="0" w:after="0" w:afterAutospacing="0" w:line="360" w:lineRule="auto"/>
              <w:ind w:left="0" w:right="0" w:firstLine="482"/>
              <w:jc w:val="both"/>
              <w:rPr>
                <w:rFonts w:hint="default"/>
                <w:b/>
                <w:bCs/>
                <w:color w:val="auto"/>
                <w:sz w:val="24"/>
                <w:szCs w:val="24"/>
                <w:highlight w:val="none"/>
              </w:rPr>
            </w:pPr>
            <w:r>
              <w:rPr>
                <w:rFonts w:hint="eastAsia"/>
                <w:b/>
                <w:bCs/>
                <w:color w:val="auto"/>
                <w:sz w:val="24"/>
                <w:szCs w:val="24"/>
                <w:highlight w:val="none"/>
                <w:lang w:val="en-US" w:eastAsia="zh-CN"/>
              </w:rPr>
              <w:t>9</w:t>
            </w:r>
            <w:r>
              <w:rPr>
                <w:rFonts w:hint="default"/>
                <w:b/>
                <w:bCs/>
                <w:color w:val="auto"/>
                <w:sz w:val="24"/>
                <w:szCs w:val="24"/>
                <w:highlight w:val="none"/>
              </w:rPr>
              <w:t>、与《广东省大气污染防治条例》相符性分析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highlight w:val="none"/>
              </w:rPr>
            </w:pPr>
            <w:r>
              <w:rPr>
                <w:rFonts w:hint="default"/>
                <w:color w:val="auto"/>
                <w:sz w:val="24"/>
                <w:szCs w:val="24"/>
                <w:highlight w:val="none"/>
              </w:rPr>
              <w:t>根据《广东省大气污染防治条例》（2018年11月29日广东省第十三届人民代表大会常务委员会第七次会议通过）关于挥发性有机物建设项目的相关规定：</w:t>
            </w:r>
          </w:p>
          <w:p>
            <w:pPr>
              <w:keepNext w:val="0"/>
              <w:keepLines w:val="0"/>
              <w:widowControl/>
              <w:suppressLineNumbers w:val="0"/>
              <w:snapToGrid w:val="0"/>
              <w:spacing w:before="0" w:beforeAutospacing="0" w:after="0" w:afterAutospacing="0" w:line="360" w:lineRule="auto"/>
              <w:ind w:left="0" w:right="0" w:firstLine="480"/>
              <w:rPr>
                <w:rFonts w:hint="default"/>
                <w:color w:val="auto"/>
                <w:highlight w:val="none"/>
              </w:rPr>
            </w:pPr>
            <w:r>
              <w:rPr>
                <w:rFonts w:hint="default"/>
                <w:color w:val="auto"/>
                <w:sz w:val="24"/>
                <w:highlight w:val="none"/>
              </w:rPr>
              <w:t>第十三条 新建、改建、扩建新增排放重点大气污染物的建设项目，建设单位应当在报批环境影响评价文件前按照规定向生态环境主管部门申请取得重点大气污染物排放总量控制指标。</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第二十六条新建、改建、扩建排放挥发性有机物的建设项目，应当使用污染防治先进可行技术。</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（一）石油、化工、煤炭加工与转化等含挥发性有机物原料的生产；</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（二）燃油、溶剂的储存、运输和销售；</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（三）涂料、油墨、胶粘剂、农药等以挥发性有机物为原料的生产；</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（四）涂装、印刷、粘合、工业清洗等使用含挥发性有机物产品的生产活动；</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（五）其他产生挥发性有机物的生产和服务活动。</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第二十七条工业涂装企业应当使用低挥发性有机物含量的涂料，并建立台账，如实记录生产原料、辅料的使用量、废弃量、去向以及挥发性有机物含量并向县级以上人民政府生态环境主管部门申报。台账保存期限不少于三年。</w:t>
            </w:r>
          </w:p>
          <w:p>
            <w:pPr>
              <w:keepNext w:val="0"/>
              <w:keepLines w:val="0"/>
              <w:suppressLineNumbers w:val="0"/>
              <w:adjustRightInd w:val="0"/>
              <w:snapToGrid w:val="0"/>
              <w:spacing w:before="0" w:beforeAutospacing="0" w:after="0" w:afterAutospacing="0" w:line="360" w:lineRule="auto"/>
              <w:ind w:left="0" w:right="0" w:firstLine="482"/>
              <w:jc w:val="both"/>
              <w:rPr>
                <w:rFonts w:hint="default"/>
                <w:color w:val="auto"/>
                <w:sz w:val="24"/>
                <w:szCs w:val="24"/>
                <w:highlight w:val="none"/>
              </w:rPr>
            </w:pPr>
            <w:r>
              <w:rPr>
                <w:rFonts w:hint="default"/>
                <w:b/>
                <w:bCs/>
                <w:color w:val="auto"/>
                <w:sz w:val="24"/>
                <w:szCs w:val="24"/>
                <w:highlight w:val="none"/>
              </w:rPr>
              <w:t>相符性分析：</w:t>
            </w:r>
            <w:r>
              <w:rPr>
                <w:rFonts w:hint="default"/>
                <w:color w:val="auto"/>
                <w:sz w:val="24"/>
                <w:szCs w:val="24"/>
                <w:highlight w:val="none"/>
              </w:rPr>
              <w:t>项目主要从事铜线的生产加工，属于新建项目，行业类别为C3340金属丝绳及其制品制造。项目</w:t>
            </w:r>
            <w:r>
              <w:rPr>
                <w:rFonts w:hint="eastAsia"/>
                <w:color w:val="auto"/>
                <w:sz w:val="24"/>
                <w:szCs w:val="24"/>
                <w:highlight w:val="none"/>
                <w:lang w:val="en-US" w:eastAsia="zh-CN"/>
              </w:rPr>
              <w:t>退火工序、热浸锡</w:t>
            </w:r>
            <w:r>
              <w:rPr>
                <w:rFonts w:hint="default"/>
                <w:color w:val="auto"/>
                <w:sz w:val="24"/>
                <w:szCs w:val="24"/>
                <w:highlight w:val="none"/>
              </w:rPr>
              <w:t>工序产生的废气经集气罩收集，经“水喷淋+干式过滤器+二级活性炭吸附装置”处理后通过</w:t>
            </w:r>
            <w:r>
              <w:rPr>
                <w:rFonts w:hint="eastAsia"/>
                <w:color w:val="auto"/>
                <w:sz w:val="24"/>
                <w:szCs w:val="24"/>
                <w:highlight w:val="none"/>
                <w:lang w:val="en-US" w:eastAsia="zh-CN"/>
              </w:rPr>
              <w:t>1根25m高</w:t>
            </w:r>
            <w:r>
              <w:rPr>
                <w:rFonts w:hint="default"/>
                <w:color w:val="auto"/>
                <w:sz w:val="24"/>
                <w:szCs w:val="24"/>
                <w:highlight w:val="none"/>
              </w:rPr>
              <w:t>排气筒（DA001）达标排放，项目按生产周期做好台账记录工作。</w:t>
            </w:r>
          </w:p>
          <w:p>
            <w:pPr>
              <w:pStyle w:val="19"/>
              <w:keepNext w:val="0"/>
              <w:keepLines w:val="0"/>
              <w:suppressLineNumbers w:val="0"/>
              <w:spacing w:before="0" w:beforeAutospacing="0" w:after="0" w:afterAutospacing="0" w:line="360" w:lineRule="auto"/>
              <w:ind w:left="0" w:right="0" w:firstLine="482"/>
              <w:rPr>
                <w:rFonts w:hint="default"/>
                <w:b/>
                <w:bCs/>
                <w:color w:val="auto"/>
                <w:sz w:val="24"/>
                <w:szCs w:val="24"/>
                <w:highlight w:val="none"/>
              </w:rPr>
            </w:pPr>
            <w:r>
              <w:rPr>
                <w:rFonts w:hint="eastAsia"/>
                <w:b/>
                <w:bCs/>
                <w:color w:val="auto"/>
                <w:sz w:val="24"/>
                <w:szCs w:val="24"/>
                <w:highlight w:val="none"/>
                <w:lang w:val="en-US" w:eastAsia="zh-CN"/>
              </w:rPr>
              <w:t>10</w:t>
            </w:r>
            <w:r>
              <w:rPr>
                <w:rFonts w:hint="default"/>
                <w:b/>
                <w:bCs/>
                <w:color w:val="auto"/>
                <w:sz w:val="24"/>
                <w:szCs w:val="24"/>
                <w:highlight w:val="none"/>
              </w:rPr>
              <w:t>、项目与</w:t>
            </w:r>
            <w:r>
              <w:rPr>
                <w:rFonts w:hint="eastAsia"/>
                <w:b/>
                <w:bCs/>
                <w:color w:val="auto"/>
                <w:sz w:val="24"/>
                <w:szCs w:val="24"/>
                <w:highlight w:val="none"/>
              </w:rPr>
              <w:t>《</w:t>
            </w:r>
            <w:r>
              <w:rPr>
                <w:rFonts w:hint="default"/>
                <w:b/>
                <w:bCs/>
                <w:color w:val="auto"/>
                <w:sz w:val="24"/>
                <w:szCs w:val="24"/>
                <w:highlight w:val="none"/>
              </w:rPr>
              <w:t>关于印发</w:t>
            </w:r>
            <w:r>
              <w:rPr>
                <w:rFonts w:hint="eastAsia"/>
                <w:b/>
                <w:bCs/>
                <w:color w:val="auto"/>
                <w:sz w:val="24"/>
                <w:szCs w:val="24"/>
                <w:highlight w:val="none"/>
              </w:rPr>
              <w:t>＜</w:t>
            </w:r>
            <w:r>
              <w:rPr>
                <w:rFonts w:hint="default"/>
                <w:b/>
                <w:bCs/>
                <w:color w:val="auto"/>
                <w:sz w:val="24"/>
                <w:szCs w:val="24"/>
                <w:highlight w:val="none"/>
              </w:rPr>
              <w:t>广东省涉VOCs重点行业治理指引</w:t>
            </w:r>
            <w:r>
              <w:rPr>
                <w:rFonts w:hint="eastAsia"/>
                <w:b/>
                <w:bCs/>
                <w:color w:val="auto"/>
                <w:sz w:val="24"/>
                <w:szCs w:val="24"/>
                <w:highlight w:val="none"/>
              </w:rPr>
              <w:t>＞</w:t>
            </w:r>
            <w:r>
              <w:rPr>
                <w:rFonts w:hint="default"/>
                <w:b/>
                <w:bCs/>
                <w:color w:val="auto"/>
                <w:sz w:val="24"/>
                <w:szCs w:val="24"/>
                <w:highlight w:val="none"/>
              </w:rPr>
              <w:t>的通知</w:t>
            </w:r>
            <w:r>
              <w:rPr>
                <w:rFonts w:hint="eastAsia"/>
                <w:b/>
                <w:bCs/>
                <w:color w:val="auto"/>
                <w:sz w:val="24"/>
                <w:szCs w:val="24"/>
                <w:highlight w:val="none"/>
              </w:rPr>
              <w:t>》</w:t>
            </w:r>
            <w:r>
              <w:rPr>
                <w:rFonts w:hint="default"/>
                <w:b/>
                <w:bCs/>
                <w:color w:val="auto"/>
                <w:sz w:val="24"/>
                <w:szCs w:val="24"/>
                <w:highlight w:val="none"/>
              </w:rPr>
              <w:t>（粤环办〔2021〕43号）相符性分析：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适用范围：适用于金属结构制造（C3311）、金属门窗制造（C3312）、金属工具制造（C332）、集装箱及金属包装容器制造（C333）、金属丝绳及其制品制造（C3340）、建筑、安全用金属制品制造（C335）、金属表面处理及热处理加工（C3360）、搪瓷制品制造（C337）、金属制日用品制造（C3938）、铸造及其他金属制品制造（C339）、通用设备制造业（C34）、专用设备制造业（C35）、汽车制造业（C36）、铁路、船舶、航空航天和其他运输设备制造业（C37）工业企业或生产设施。</w:t>
            </w:r>
          </w:p>
          <w:p>
            <w:pPr>
              <w:pStyle w:val="19"/>
              <w:keepNext w:val="0"/>
              <w:keepLines w:val="0"/>
              <w:suppressLineNumbers w:val="0"/>
              <w:spacing w:before="0" w:beforeAutospacing="0" w:after="0" w:afterAutospacing="0"/>
              <w:ind w:left="0" w:right="0"/>
              <w:rPr>
                <w:rFonts w:hint="default"/>
                <w:b/>
                <w:bCs/>
                <w:color w:val="auto"/>
                <w:sz w:val="24"/>
                <w:szCs w:val="24"/>
                <w:highlight w:val="none"/>
              </w:rPr>
            </w:pPr>
          </w:p>
          <w:p>
            <w:pPr>
              <w:keepNext w:val="0"/>
              <w:keepLines w:val="0"/>
              <w:suppressLineNumbers w:val="0"/>
              <w:adjustRightInd w:val="0"/>
              <w:snapToGrid w:val="0"/>
              <w:spacing w:before="0" w:beforeAutospacing="0" w:after="0" w:afterAutospacing="0" w:line="360" w:lineRule="auto"/>
              <w:ind w:left="0" w:right="0" w:firstLine="482"/>
              <w:jc w:val="both"/>
              <w:rPr>
                <w:rFonts w:hint="default"/>
                <w:color w:val="auto"/>
                <w:sz w:val="24"/>
                <w:szCs w:val="24"/>
                <w:highlight w:val="none"/>
              </w:rPr>
            </w:pPr>
          </w:p>
          <w:p>
            <w:pPr>
              <w:pStyle w:val="49"/>
              <w:keepNext w:val="0"/>
              <w:keepLines w:val="0"/>
              <w:suppressLineNumbers w:val="0"/>
              <w:spacing w:before="0" w:beforeAutospacing="0" w:after="0" w:afterAutospacing="0"/>
              <w:ind w:right="0" w:firstLine="0" w:firstLineChars="0"/>
              <w:jc w:val="both"/>
              <w:rPr>
                <w:rFonts w:hint="default" w:ascii="Times New Roman" w:hAnsi="Times New Roman" w:cs="Times New Roman"/>
                <w:color w:val="auto"/>
                <w:sz w:val="24"/>
                <w:szCs w:val="24"/>
                <w:highlight w:val="none"/>
              </w:rPr>
            </w:pPr>
          </w:p>
        </w:tc>
      </w:tr>
    </w:tbl>
    <w:p>
      <w:pPr>
        <w:rPr>
          <w:color w:val="auto"/>
          <w:highlight w:val="none"/>
        </w:rPr>
        <w:sectPr>
          <w:footerReference r:id="rId11" w:type="default"/>
          <w:pgSz w:w="11906" w:h="16838"/>
          <w:pgMar w:top="1417" w:right="1417" w:bottom="1417" w:left="1417" w:header="851" w:footer="992" w:gutter="0"/>
          <w:pgNumType w:start="1"/>
          <w:cols w:space="720" w:num="1"/>
          <w:docGrid w:type="lines" w:linePitch="312" w:charSpace="0"/>
        </w:sectPr>
      </w:pP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13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599" w:type="dxa"/>
            <w:vAlign w:val="center"/>
          </w:tcPr>
          <w:p>
            <w:pPr>
              <w:pStyle w:val="2"/>
              <w:keepNext w:val="0"/>
              <w:keepLines w:val="0"/>
              <w:suppressLineNumbers w:val="0"/>
              <w:spacing w:before="0" w:beforeAutospacing="0" w:after="0" w:afterAutospacing="0"/>
              <w:ind w:left="0" w:right="0" w:firstLine="0" w:firstLineChars="0"/>
              <w:rPr>
                <w:rFonts w:hint="default" w:ascii="Times New Roman" w:cs="Times New Roman"/>
                <w:color w:val="auto"/>
                <w:highlight w:val="none"/>
              </w:rPr>
            </w:pPr>
            <w:r>
              <w:rPr>
                <w:rFonts w:hint="default" w:ascii="Times New Roman" w:cs="Times New Roman"/>
                <w:color w:val="auto"/>
                <w:sz w:val="21"/>
                <w:szCs w:val="21"/>
                <w:highlight w:val="none"/>
              </w:rPr>
              <w:t>其他符合性分析</w:t>
            </w:r>
          </w:p>
        </w:tc>
        <w:tc>
          <w:tcPr>
            <w:tcW w:w="13621" w:type="dxa"/>
          </w:tcPr>
          <w:p>
            <w:pPr>
              <w:keepNext w:val="0"/>
              <w:keepLines w:val="0"/>
              <w:suppressLineNumbers w:val="0"/>
              <w:adjustRightInd w:val="0"/>
              <w:snapToGrid w:val="0"/>
              <w:spacing w:before="0" w:beforeAutospacing="0" w:after="0" w:afterAutospacing="0" w:line="240" w:lineRule="auto"/>
              <w:ind w:left="0" w:right="0" w:firstLine="482"/>
              <w:jc w:val="center"/>
              <w:rPr>
                <w:rFonts w:hint="default"/>
                <w:color w:val="auto"/>
                <w:sz w:val="24"/>
                <w:szCs w:val="24"/>
                <w:highlight w:val="none"/>
              </w:rPr>
            </w:pPr>
            <w:r>
              <w:rPr>
                <w:rFonts w:hint="default"/>
                <w:b/>
                <w:bCs/>
                <w:color w:val="auto"/>
                <w:sz w:val="24"/>
                <w:szCs w:val="24"/>
                <w:highlight w:val="none"/>
              </w:rPr>
              <w:t>表1-</w:t>
            </w:r>
            <w:r>
              <w:rPr>
                <w:rFonts w:hint="eastAsia"/>
                <w:b/>
                <w:bCs/>
                <w:color w:val="auto"/>
                <w:sz w:val="24"/>
                <w:szCs w:val="24"/>
                <w:highlight w:val="none"/>
                <w:lang w:val="en-US" w:eastAsia="zh-CN"/>
              </w:rPr>
              <w:t>3</w:t>
            </w:r>
            <w:r>
              <w:rPr>
                <w:rFonts w:hint="default"/>
                <w:b/>
                <w:bCs/>
                <w:color w:val="auto"/>
                <w:sz w:val="24"/>
                <w:szCs w:val="24"/>
                <w:highlight w:val="none"/>
              </w:rPr>
              <w:t xml:space="preserve"> 八、表面涂装行业VOCs治理指引</w:t>
            </w:r>
            <w:r>
              <w:rPr>
                <w:rFonts w:hint="default"/>
                <w:b/>
                <w:color w:val="auto"/>
                <w:sz w:val="24"/>
                <w:szCs w:val="24"/>
                <w:highlight w:val="none"/>
              </w:rPr>
              <w:t>相符性分析表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930"/>
              <w:gridCol w:w="7358"/>
              <w:gridCol w:w="3735"/>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00" w:type="pct"/>
                  <w:gridSpan w:val="2"/>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环节</w:t>
                  </w:r>
                </w:p>
              </w:tc>
              <w:tc>
                <w:tcPr>
                  <w:tcW w:w="2746" w:type="pc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控制要求</w:t>
                  </w:r>
                </w:p>
              </w:tc>
              <w:tc>
                <w:tcPr>
                  <w:tcW w:w="1394" w:type="pc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本项目情况</w:t>
                  </w:r>
                </w:p>
              </w:tc>
              <w:tc>
                <w:tcPr>
                  <w:tcW w:w="259" w:type="pc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Cs/>
                      <w:color w:val="auto"/>
                      <w:sz w:val="21"/>
                      <w:szCs w:val="21"/>
                      <w:highlight w:val="none"/>
                    </w:rPr>
                    <w:t>源头削减</w:t>
                  </w:r>
                </w:p>
              </w:tc>
              <w:tc>
                <w:tcPr>
                  <w:tcW w:w="346" w:type="pct"/>
                  <w:vMerge w:val="restart"/>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b/>
                      <w:color w:val="auto"/>
                      <w:sz w:val="21"/>
                      <w:szCs w:val="21"/>
                      <w:highlight w:val="none"/>
                    </w:rPr>
                  </w:pPr>
                  <w:r>
                    <w:rPr>
                      <w:rFonts w:hint="default" w:ascii="Times New Roman" w:hAnsi="Times New Roman" w:cs="Times New Roman"/>
                      <w:color w:val="auto"/>
                      <w:sz w:val="21"/>
                      <w:szCs w:val="21"/>
                      <w:highlight w:val="none"/>
                    </w:rPr>
                    <w:t>清洗剂</w:t>
                  </w: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rPr>
                    <w:t>水基清洗剂：</w:t>
                  </w:r>
                  <w:r>
                    <w:rPr>
                      <w:rFonts w:hint="default" w:ascii="Times New Roman" w:hAnsi="Times New Roman" w:eastAsia="Times New Roman" w:cs="Times New Roman"/>
                      <w:color w:val="auto"/>
                      <w:sz w:val="21"/>
                      <w:highlight w:val="none"/>
                    </w:rPr>
                    <w:t>VOCs≤50g/L</w:t>
                  </w:r>
                  <w:r>
                    <w:rPr>
                      <w:rFonts w:hint="default" w:ascii="Times New Roman" w:hAnsi="Times New Roman" w:cs="Times New Roman"/>
                      <w:color w:val="auto"/>
                      <w:sz w:val="21"/>
                      <w:highlight w:val="none"/>
                    </w:rPr>
                    <w:t>。</w:t>
                  </w:r>
                </w:p>
              </w:tc>
              <w:tc>
                <w:tcPr>
                  <w:tcW w:w="1394"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Cs/>
                      <w:color w:val="auto"/>
                      <w:sz w:val="21"/>
                      <w:szCs w:val="21"/>
                      <w:highlight w:val="none"/>
                    </w:rPr>
                    <w:t>项目不使用清洗剂</w:t>
                  </w:r>
                </w:p>
              </w:tc>
              <w:tc>
                <w:tcPr>
                  <w:tcW w:w="259"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Cs/>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rPr>
                    <w:t>半水基清洗剂：</w:t>
                  </w:r>
                  <w:r>
                    <w:rPr>
                      <w:rFonts w:hint="default" w:ascii="Times New Roman" w:hAnsi="Times New Roman" w:eastAsia="Times New Roman" w:cs="Times New Roman"/>
                      <w:color w:val="auto"/>
                      <w:sz w:val="21"/>
                      <w:highlight w:val="none"/>
                    </w:rPr>
                    <w:t>VOCs≤300g/L</w:t>
                  </w:r>
                  <w:r>
                    <w:rPr>
                      <w:rFonts w:hint="default" w:ascii="Times New Roman" w:hAnsi="Times New Roman" w:cs="Times New Roman"/>
                      <w:color w:val="auto"/>
                      <w:sz w:val="21"/>
                      <w:highlight w:val="none"/>
                    </w:rPr>
                    <w:t>。</w:t>
                  </w:r>
                </w:p>
              </w:tc>
              <w:tc>
                <w:tcPr>
                  <w:tcW w:w="1394"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259"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rPr>
                    <w:t>有机溶剂清洗剂：</w:t>
                  </w:r>
                  <w:r>
                    <w:rPr>
                      <w:rFonts w:hint="default" w:ascii="Times New Roman" w:hAnsi="Times New Roman" w:eastAsia="Times New Roman" w:cs="Times New Roman"/>
                      <w:color w:val="auto"/>
                      <w:sz w:val="21"/>
                      <w:highlight w:val="none"/>
                    </w:rPr>
                    <w:t>VOCs≤900g/L</w:t>
                  </w:r>
                  <w:r>
                    <w:rPr>
                      <w:rFonts w:hint="default" w:ascii="Times New Roman" w:hAnsi="Times New Roman" w:cs="Times New Roman"/>
                      <w:color w:val="auto"/>
                      <w:sz w:val="21"/>
                      <w:highlight w:val="none"/>
                    </w:rPr>
                    <w:t>。</w:t>
                  </w:r>
                </w:p>
              </w:tc>
              <w:tc>
                <w:tcPr>
                  <w:tcW w:w="1394"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259"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lang w:val="en-US"/>
                    </w:rPr>
                  </w:pPr>
                  <w:r>
                    <w:rPr>
                      <w:rFonts w:hint="default" w:ascii="Times New Roman" w:hAnsi="Times New Roman" w:cs="Times New Roman"/>
                      <w:color w:val="auto"/>
                      <w:sz w:val="21"/>
                      <w:highlight w:val="none"/>
                    </w:rPr>
                    <w:t xml:space="preserve">低 </w:t>
                  </w:r>
                  <w:r>
                    <w:rPr>
                      <w:rFonts w:hint="default" w:ascii="Times New Roman" w:hAnsi="Times New Roman" w:eastAsia="Times New Roman" w:cs="Times New Roman"/>
                      <w:color w:val="auto"/>
                      <w:sz w:val="21"/>
                      <w:highlight w:val="none"/>
                    </w:rPr>
                    <w:t xml:space="preserve">VOCs </w:t>
                  </w:r>
                  <w:r>
                    <w:rPr>
                      <w:rFonts w:hint="default" w:ascii="Times New Roman" w:hAnsi="Times New Roman" w:cs="Times New Roman"/>
                      <w:color w:val="auto"/>
                      <w:sz w:val="21"/>
                      <w:highlight w:val="none"/>
                    </w:rPr>
                    <w:t>含量半水基清洗剂：</w:t>
                  </w:r>
                  <w:r>
                    <w:rPr>
                      <w:rFonts w:hint="default" w:ascii="Times New Roman" w:hAnsi="Times New Roman" w:cs="Times New Roman"/>
                      <w:color w:val="auto"/>
                      <w:spacing w:val="-69"/>
                      <w:sz w:val="21"/>
                      <w:highlight w:val="none"/>
                    </w:rPr>
                    <w:t xml:space="preserve"> </w:t>
                  </w:r>
                  <w:r>
                    <w:rPr>
                      <w:rFonts w:hint="default" w:ascii="Times New Roman" w:hAnsi="Times New Roman" w:eastAsia="Times New Roman" w:cs="Times New Roman"/>
                      <w:color w:val="auto"/>
                      <w:sz w:val="21"/>
                      <w:highlight w:val="none"/>
                    </w:rPr>
                    <w:t>VOCs≤100g/L</w:t>
                  </w:r>
                  <w:r>
                    <w:rPr>
                      <w:rFonts w:hint="default" w:ascii="Times New Roman" w:hAnsi="Times New Roman" w:cs="Times New Roman"/>
                      <w:color w:val="auto"/>
                      <w:sz w:val="21"/>
                      <w:highlight w:val="none"/>
                    </w:rPr>
                    <w:t>。</w:t>
                  </w:r>
                </w:p>
              </w:tc>
              <w:tc>
                <w:tcPr>
                  <w:tcW w:w="1394"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259"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color w:val="auto"/>
                      <w:sz w:val="21"/>
                      <w:szCs w:val="21"/>
                      <w:highlight w:val="none"/>
                    </w:rPr>
                    <w:t>过程控制</w:t>
                  </w:r>
                </w:p>
              </w:tc>
              <w:tc>
                <w:tcPr>
                  <w:tcW w:w="346" w:type="pct"/>
                  <w:vMerge w:val="restart"/>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color w:val="auto"/>
                      <w:sz w:val="21"/>
                      <w:szCs w:val="21"/>
                      <w:highlight w:val="none"/>
                    </w:rPr>
                  </w:pPr>
                  <w:r>
                    <w:rPr>
                      <w:rFonts w:hint="default" w:ascii="Times New Roman" w:hAnsi="Times New Roman" w:eastAsia="Times New Roman" w:cs="Times New Roman"/>
                      <w:color w:val="auto"/>
                      <w:sz w:val="21"/>
                      <w:szCs w:val="21"/>
                      <w:highlight w:val="none"/>
                    </w:rPr>
                    <w:t>VOCs</w:t>
                  </w:r>
                  <w:r>
                    <w:rPr>
                      <w:rFonts w:hint="default" w:ascii="Times New Roman" w:hAnsi="Times New Roman" w:cs="Times New Roman"/>
                      <w:color w:val="auto"/>
                      <w:sz w:val="21"/>
                      <w:szCs w:val="21"/>
                      <w:highlight w:val="none"/>
                    </w:rPr>
                    <w:t>物料储存</w:t>
                  </w:r>
                </w:p>
              </w:tc>
              <w:tc>
                <w:tcPr>
                  <w:tcW w:w="2746" w:type="pct"/>
                  <w:vAlign w:val="center"/>
                </w:tcPr>
                <w:p>
                  <w:pPr>
                    <w:pStyle w:val="79"/>
                    <w:keepNext w:val="0"/>
                    <w:keepLines w:val="0"/>
                    <w:suppressLineNumbers w:val="0"/>
                    <w:spacing w:before="0" w:beforeAutospacing="0" w:after="0" w:afterAutospacing="0" w:line="240" w:lineRule="auto"/>
                    <w:ind w:left="0" w:right="-18" w:firstLine="0" w:firstLineChars="0"/>
                    <w:rPr>
                      <w:rFonts w:hint="default" w:ascii="Times New Roman" w:hAnsi="Times New Roman" w:cs="Times New Roman"/>
                      <w:b/>
                      <w:color w:val="auto"/>
                      <w:sz w:val="21"/>
                      <w:highlight w:val="none"/>
                      <w:lang w:val="en-US"/>
                    </w:rPr>
                  </w:pPr>
                  <w:r>
                    <w:rPr>
                      <w:rFonts w:hint="default" w:ascii="Times New Roman" w:hAnsi="Times New Roman" w:cs="Times New Roman"/>
                      <w:color w:val="auto"/>
                      <w:spacing w:val="-5"/>
                      <w:sz w:val="21"/>
                      <w:highlight w:val="none"/>
                    </w:rPr>
                    <w:t xml:space="preserve">油漆、稀释剂、清洗剂等含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31"/>
                      <w:sz w:val="21"/>
                      <w:highlight w:val="none"/>
                    </w:rPr>
                    <w:t xml:space="preserve"> </w:t>
                  </w:r>
                  <w:r>
                    <w:rPr>
                      <w:rFonts w:hint="default" w:ascii="Times New Roman" w:hAnsi="Times New Roman" w:cs="Times New Roman"/>
                      <w:color w:val="auto"/>
                      <w:spacing w:val="-5"/>
                      <w:sz w:val="21"/>
                      <w:highlight w:val="none"/>
                    </w:rPr>
                    <w:t>物料应储存于密闭的容器、包装袋、储罐、储库、料仓中。</w:t>
                  </w:r>
                </w:p>
              </w:tc>
              <w:tc>
                <w:tcPr>
                  <w:tcW w:w="1394" w:type="pct"/>
                  <w:vMerge w:val="restart"/>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b/>
                      <w:color w:val="auto"/>
                      <w:sz w:val="21"/>
                      <w:szCs w:val="21"/>
                      <w:highlight w:val="none"/>
                    </w:rPr>
                  </w:pPr>
                  <w:r>
                    <w:rPr>
                      <w:rFonts w:hint="default" w:ascii="Times New Roman" w:hAnsi="Times New Roman" w:cs="Times New Roman"/>
                      <w:color w:val="auto"/>
                      <w:sz w:val="21"/>
                      <w:szCs w:val="21"/>
                      <w:highlight w:val="none"/>
                      <w:lang w:bidi="ar"/>
                    </w:rPr>
                    <w:t>含</w:t>
                  </w:r>
                  <w:r>
                    <w:rPr>
                      <w:rFonts w:hint="default" w:ascii="Times New Roman" w:hAnsi="Times New Roman" w:eastAsia="Times New Roman" w:cs="Times New Roman"/>
                      <w:color w:val="auto"/>
                      <w:sz w:val="21"/>
                      <w:szCs w:val="21"/>
                      <w:highlight w:val="none"/>
                    </w:rPr>
                    <w:t>VOCs</w:t>
                  </w:r>
                  <w:r>
                    <w:rPr>
                      <w:rFonts w:hint="default" w:ascii="Times New Roman" w:hAnsi="Times New Roman" w:eastAsia="Times New Roman" w:cs="Times New Roman"/>
                      <w:color w:val="auto"/>
                      <w:spacing w:val="-31"/>
                      <w:sz w:val="21"/>
                      <w:szCs w:val="21"/>
                      <w:highlight w:val="none"/>
                    </w:rPr>
                    <w:t xml:space="preserve"> </w:t>
                  </w:r>
                  <w:r>
                    <w:rPr>
                      <w:rFonts w:hint="default" w:ascii="Times New Roman" w:hAnsi="Times New Roman" w:cs="Times New Roman"/>
                      <w:color w:val="auto"/>
                      <w:sz w:val="21"/>
                      <w:szCs w:val="21"/>
                      <w:highlight w:val="none"/>
                      <w:lang w:bidi="ar"/>
                    </w:rPr>
                    <w:t>的物料为助焊剂，助焊剂储存在密闭包装桶中且存放在室内，仅在取用时开启。</w:t>
                  </w:r>
                </w:p>
              </w:tc>
              <w:tc>
                <w:tcPr>
                  <w:tcW w:w="259"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2746" w:type="pct"/>
                  <w:vAlign w:val="center"/>
                </w:tcPr>
                <w:p>
                  <w:pPr>
                    <w:pStyle w:val="79"/>
                    <w:keepNext w:val="0"/>
                    <w:keepLines w:val="0"/>
                    <w:suppressLineNumbers w:val="0"/>
                    <w:spacing w:before="2" w:beforeAutospacing="0" w:after="0" w:afterAutospacing="0" w:line="240" w:lineRule="auto"/>
                    <w:ind w:left="0" w:right="100" w:firstLine="0" w:firstLineChars="0"/>
                    <w:rPr>
                      <w:rFonts w:hint="default" w:ascii="Times New Roman" w:hAnsi="Times New Roman" w:cs="Times New Roman"/>
                      <w:bCs/>
                      <w:color w:val="auto"/>
                      <w:sz w:val="21"/>
                      <w:highlight w:val="none"/>
                    </w:rPr>
                  </w:pPr>
                  <w:r>
                    <w:rPr>
                      <w:rFonts w:hint="default" w:ascii="Times New Roman" w:hAnsi="Times New Roman" w:cs="Times New Roman"/>
                      <w:color w:val="auto"/>
                      <w:sz w:val="21"/>
                      <w:highlight w:val="none"/>
                    </w:rPr>
                    <w:t>油漆、稀释剂、清洗剂等盛装</w:t>
                  </w:r>
                  <w:r>
                    <w:rPr>
                      <w:rFonts w:hint="default" w:ascii="Times New Roman" w:hAnsi="Times New Roman" w:cs="Times New Roman"/>
                      <w:color w:val="auto"/>
                      <w:spacing w:val="-80"/>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20"/>
                      <w:sz w:val="21"/>
                      <w:highlight w:val="none"/>
                    </w:rPr>
                    <w:t xml:space="preserve"> </w:t>
                  </w:r>
                  <w:r>
                    <w:rPr>
                      <w:rFonts w:hint="default" w:ascii="Times New Roman" w:hAnsi="Times New Roman" w:cs="Times New Roman"/>
                      <w:color w:val="auto"/>
                      <w:sz w:val="21"/>
                      <w:highlight w:val="none"/>
                    </w:rPr>
                    <w:t>物料的容器存放于室内，或存放于设置有雨棚、遮阳和防渗设施的专用场地。盛装</w:t>
                  </w:r>
                  <w:r>
                    <w:rPr>
                      <w:rFonts w:hint="default" w:ascii="Times New Roman" w:hAnsi="Times New Roman" w:cs="Times New Roman"/>
                      <w:color w:val="auto"/>
                      <w:spacing w:val="-62"/>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2"/>
                      <w:sz w:val="21"/>
                      <w:highlight w:val="none"/>
                    </w:rPr>
                    <w:t xml:space="preserve"> </w:t>
                  </w:r>
                  <w:r>
                    <w:rPr>
                      <w:rFonts w:hint="default" w:ascii="Times New Roman" w:hAnsi="Times New Roman" w:cs="Times New Roman"/>
                      <w:color w:val="auto"/>
                      <w:sz w:val="21"/>
                      <w:highlight w:val="none"/>
                    </w:rPr>
                    <w:t>物料的容器在非取用状态时应加盖、封口，保持密闭。</w:t>
                  </w:r>
                </w:p>
              </w:tc>
              <w:tc>
                <w:tcPr>
                  <w:tcW w:w="1394" w:type="pct"/>
                  <w:vMerge w:val="continue"/>
                  <w:vAlign w:val="center"/>
                </w:tcPr>
                <w:p>
                  <w:pPr>
                    <w:pStyle w:val="2"/>
                    <w:keepNext w:val="0"/>
                    <w:keepLines w:val="0"/>
                    <w:suppressLineNumbers w:val="0"/>
                    <w:spacing w:before="0" w:beforeAutospacing="0" w:after="0" w:afterAutospacing="0" w:line="240" w:lineRule="auto"/>
                    <w:ind w:left="0" w:right="0" w:firstLine="0" w:firstLineChars="0"/>
                    <w:rPr>
                      <w:rFonts w:hint="default" w:ascii="Times New Roman" w:cs="Times New Roman"/>
                      <w:bCs/>
                      <w:color w:val="auto"/>
                      <w:sz w:val="21"/>
                      <w:szCs w:val="21"/>
                      <w:highlight w:val="none"/>
                    </w:rPr>
                  </w:pPr>
                </w:p>
              </w:tc>
              <w:tc>
                <w:tcPr>
                  <w:tcW w:w="259"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bCs/>
                      <w:color w:val="auto"/>
                      <w:sz w:val="21"/>
                      <w:szCs w:val="21"/>
                      <w:highlight w:val="none"/>
                    </w:rPr>
                  </w:pPr>
                </w:p>
              </w:tc>
              <w:tc>
                <w:tcPr>
                  <w:tcW w:w="346" w:type="pct"/>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bCs/>
                      <w:color w:val="auto"/>
                      <w:sz w:val="21"/>
                      <w:szCs w:val="21"/>
                      <w:highlight w:val="none"/>
                    </w:rPr>
                  </w:pPr>
                  <w:r>
                    <w:rPr>
                      <w:rFonts w:hint="default" w:ascii="Times New Roman" w:hAnsi="Times New Roman" w:eastAsia="Times New Roman" w:cs="Times New Roman"/>
                      <w:color w:val="auto"/>
                      <w:sz w:val="21"/>
                      <w:szCs w:val="21"/>
                      <w:highlight w:val="none"/>
                    </w:rPr>
                    <w:t>VOCs</w:t>
                  </w:r>
                  <w:r>
                    <w:rPr>
                      <w:rFonts w:hint="default" w:ascii="Times New Roman" w:hAnsi="Times New Roman" w:eastAsia="Times New Roman" w:cs="Times New Roman"/>
                      <w:color w:val="auto"/>
                      <w:spacing w:val="-2"/>
                      <w:sz w:val="21"/>
                      <w:szCs w:val="21"/>
                      <w:highlight w:val="none"/>
                    </w:rPr>
                    <w:t xml:space="preserve"> </w:t>
                  </w:r>
                  <w:r>
                    <w:rPr>
                      <w:rFonts w:hint="default" w:ascii="Times New Roman" w:hAnsi="Times New Roman" w:cs="Times New Roman"/>
                      <w:color w:val="auto"/>
                      <w:sz w:val="21"/>
                      <w:szCs w:val="21"/>
                      <w:highlight w:val="none"/>
                    </w:rPr>
                    <w:t>物料转移和输送</w:t>
                  </w:r>
                </w:p>
              </w:tc>
              <w:tc>
                <w:tcPr>
                  <w:tcW w:w="2746" w:type="pct"/>
                  <w:vAlign w:val="center"/>
                </w:tcPr>
                <w:p>
                  <w:pPr>
                    <w:keepNext w:val="0"/>
                    <w:keepLines w:val="0"/>
                    <w:widowControl/>
                    <w:suppressLineNumbers w:val="0"/>
                    <w:spacing w:before="0" w:beforeAutospacing="0" w:after="0" w:afterAutospacing="0" w:line="240" w:lineRule="auto"/>
                    <w:ind w:left="0" w:right="0" w:firstLine="0" w:firstLineChars="0"/>
                    <w:rPr>
                      <w:rFonts w:hint="default"/>
                      <w:color w:val="auto"/>
                      <w:sz w:val="21"/>
                      <w:highlight w:val="none"/>
                      <w:lang w:bidi="ar"/>
                    </w:rPr>
                  </w:pPr>
                  <w:r>
                    <w:rPr>
                      <w:rFonts w:hint="default"/>
                      <w:color w:val="auto"/>
                      <w:spacing w:val="-3"/>
                      <w:sz w:val="21"/>
                      <w:highlight w:val="none"/>
                    </w:rPr>
                    <w:t>油漆、稀释剂、清洗剂等液体</w:t>
                  </w:r>
                  <w:r>
                    <w:rPr>
                      <w:rFonts w:hint="default"/>
                      <w:color w:val="auto"/>
                      <w:spacing w:val="-63"/>
                      <w:sz w:val="21"/>
                      <w:highlight w:val="none"/>
                    </w:rPr>
                    <w:t xml:space="preserve"> </w:t>
                  </w:r>
                  <w:r>
                    <w:rPr>
                      <w:rFonts w:hint="default" w:eastAsia="Times New Roman"/>
                      <w:color w:val="auto"/>
                      <w:sz w:val="21"/>
                      <w:highlight w:val="none"/>
                    </w:rPr>
                    <w:t>VOCs</w:t>
                  </w:r>
                  <w:r>
                    <w:rPr>
                      <w:rFonts w:hint="default" w:eastAsia="Times New Roman"/>
                      <w:color w:val="auto"/>
                      <w:spacing w:val="-3"/>
                      <w:sz w:val="21"/>
                      <w:highlight w:val="none"/>
                    </w:rPr>
                    <w:t xml:space="preserve"> </w:t>
                  </w:r>
                  <w:r>
                    <w:rPr>
                      <w:rFonts w:hint="default"/>
                      <w:color w:val="auto"/>
                      <w:sz w:val="21"/>
                      <w:highlight w:val="none"/>
                    </w:rPr>
                    <w:t>物料应采用管道密闭输送。采用非管道输送方式转移液态</w:t>
                  </w:r>
                  <w:r>
                    <w:rPr>
                      <w:rFonts w:hint="default"/>
                      <w:color w:val="auto"/>
                      <w:spacing w:val="-62"/>
                      <w:sz w:val="21"/>
                      <w:highlight w:val="none"/>
                    </w:rPr>
                    <w:t xml:space="preserve"> </w:t>
                  </w:r>
                  <w:r>
                    <w:rPr>
                      <w:rFonts w:hint="default" w:eastAsia="Times New Roman"/>
                      <w:color w:val="auto"/>
                      <w:sz w:val="21"/>
                      <w:highlight w:val="none"/>
                    </w:rPr>
                    <w:t>VOCs</w:t>
                  </w:r>
                  <w:r>
                    <w:rPr>
                      <w:rFonts w:hint="default" w:eastAsia="Times New Roman"/>
                      <w:color w:val="auto"/>
                      <w:spacing w:val="-2"/>
                      <w:sz w:val="21"/>
                      <w:highlight w:val="none"/>
                    </w:rPr>
                    <w:t xml:space="preserve"> </w:t>
                  </w:r>
                  <w:r>
                    <w:rPr>
                      <w:rFonts w:hint="default"/>
                      <w:color w:val="auto"/>
                      <w:sz w:val="21"/>
                      <w:highlight w:val="none"/>
                    </w:rPr>
                    <w:t>物料时，应采用密闭容器或罐车。</w:t>
                  </w:r>
                </w:p>
              </w:tc>
              <w:tc>
                <w:tcPr>
                  <w:tcW w:w="1394" w:type="pct"/>
                  <w:vAlign w:val="center"/>
                </w:tcPr>
                <w:p>
                  <w:pPr>
                    <w:keepNext w:val="0"/>
                    <w:keepLines w:val="0"/>
                    <w:widowControl/>
                    <w:suppressLineNumbers w:val="0"/>
                    <w:spacing w:before="0" w:beforeAutospacing="0" w:after="0" w:afterAutospacing="0" w:line="240" w:lineRule="auto"/>
                    <w:ind w:left="0" w:right="0" w:firstLine="0" w:firstLineChars="0"/>
                    <w:jc w:val="both"/>
                    <w:rPr>
                      <w:rFonts w:hint="default"/>
                      <w:b/>
                      <w:bCs/>
                      <w:color w:val="auto"/>
                      <w:sz w:val="21"/>
                      <w:highlight w:val="none"/>
                      <w:lang w:bidi="ar"/>
                    </w:rPr>
                  </w:pPr>
                  <w:r>
                    <w:rPr>
                      <w:rFonts w:hint="default"/>
                      <w:color w:val="auto"/>
                      <w:sz w:val="21"/>
                      <w:highlight w:val="none"/>
                      <w:lang w:bidi="ar"/>
                    </w:rPr>
                    <w:t>含</w:t>
                  </w:r>
                  <w:r>
                    <w:rPr>
                      <w:rFonts w:hint="default" w:eastAsia="Times New Roman"/>
                      <w:color w:val="auto"/>
                      <w:sz w:val="21"/>
                      <w:highlight w:val="none"/>
                    </w:rPr>
                    <w:t>VOCs</w:t>
                  </w:r>
                  <w:r>
                    <w:rPr>
                      <w:rFonts w:hint="default" w:eastAsia="Times New Roman"/>
                      <w:color w:val="auto"/>
                      <w:spacing w:val="-31"/>
                      <w:sz w:val="21"/>
                      <w:highlight w:val="none"/>
                    </w:rPr>
                    <w:t xml:space="preserve"> </w:t>
                  </w:r>
                  <w:r>
                    <w:rPr>
                      <w:rFonts w:hint="default"/>
                      <w:color w:val="auto"/>
                      <w:sz w:val="21"/>
                      <w:highlight w:val="none"/>
                      <w:lang w:bidi="ar"/>
                    </w:rPr>
                    <w:t>的物料</w:t>
                  </w:r>
                  <w:r>
                    <w:rPr>
                      <w:rFonts w:hint="eastAsia"/>
                      <w:color w:val="auto"/>
                      <w:sz w:val="21"/>
                      <w:highlight w:val="none"/>
                    </w:rPr>
                    <w:t>采用密闭的包装袋转移，</w:t>
                  </w:r>
                  <w:r>
                    <w:rPr>
                      <w:rFonts w:hint="eastAsia"/>
                      <w:bCs/>
                      <w:color w:val="auto"/>
                      <w:sz w:val="21"/>
                      <w:highlight w:val="none"/>
                    </w:rPr>
                    <w:t>助焊剂采用密闭的包装桶转移</w:t>
                  </w:r>
                  <w:r>
                    <w:rPr>
                      <w:rFonts w:hint="eastAsia"/>
                      <w:color w:val="auto"/>
                      <w:sz w:val="21"/>
                      <w:highlight w:val="none"/>
                    </w:rPr>
                    <w:t>。</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ascii="Times New Roman" w:hAnsi="Times New Roman" w:cs="Times New Roman"/>
                      <w:bCs/>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restart"/>
                  <w:vAlign w:val="center"/>
                </w:tcPr>
                <w:p>
                  <w:pPr>
                    <w:pStyle w:val="33"/>
                    <w:keepNext w:val="0"/>
                    <w:keepLines w:val="0"/>
                    <w:widowControl w:val="0"/>
                    <w:suppressLineNumbers w:val="0"/>
                    <w:wordWrap w:val="0"/>
                    <w:spacing w:before="0" w:beforeAutospacing="0" w:after="0" w:afterAutospacing="0"/>
                    <w:ind w:left="0" w:right="0"/>
                    <w:jc w:val="both"/>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废气收集</w:t>
                  </w:r>
                </w:p>
              </w:tc>
              <w:tc>
                <w:tcPr>
                  <w:tcW w:w="2746" w:type="pct"/>
                  <w:vAlign w:val="center"/>
                </w:tcPr>
                <w:p>
                  <w:pPr>
                    <w:pStyle w:val="79"/>
                    <w:keepNext w:val="0"/>
                    <w:keepLines w:val="0"/>
                    <w:suppressLineNumbers w:val="0"/>
                    <w:spacing w:before="2" w:beforeAutospacing="0" w:after="0" w:afterAutospacing="0" w:line="240" w:lineRule="auto"/>
                    <w:ind w:left="0" w:right="10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pacing w:val="-2"/>
                      <w:sz w:val="21"/>
                      <w:highlight w:val="none"/>
                    </w:rPr>
                    <w:t>废气收集系统的输送管道应密闭。废气收集系统应在负压下运行，若处于正压状态，应对管</w:t>
                  </w:r>
                  <w:r>
                    <w:rPr>
                      <w:rFonts w:hint="default" w:ascii="Times New Roman" w:hAnsi="Times New Roman" w:cs="Times New Roman"/>
                      <w:color w:val="auto"/>
                      <w:spacing w:val="-83"/>
                      <w:sz w:val="21"/>
                      <w:highlight w:val="none"/>
                    </w:rPr>
                    <w:t xml:space="preserve"> </w:t>
                  </w:r>
                  <w:r>
                    <w:rPr>
                      <w:rFonts w:hint="default" w:ascii="Times New Roman" w:hAnsi="Times New Roman" w:cs="Times New Roman"/>
                      <w:color w:val="auto"/>
                      <w:sz w:val="21"/>
                      <w:highlight w:val="none"/>
                    </w:rPr>
                    <w:t>道组件的密封点进行泄漏检测，泄漏检测值不应超过</w:t>
                  </w:r>
                  <w:r>
                    <w:rPr>
                      <w:rFonts w:hint="default" w:ascii="Times New Roman" w:hAnsi="Times New Roman" w:cs="Times New Roman"/>
                      <w:color w:val="auto"/>
                      <w:spacing w:val="-63"/>
                      <w:sz w:val="21"/>
                      <w:highlight w:val="none"/>
                    </w:rPr>
                    <w:t xml:space="preserve"> </w:t>
                  </w:r>
                  <w:r>
                    <w:rPr>
                      <w:rFonts w:hint="default" w:ascii="Times New Roman" w:hAnsi="Times New Roman" w:eastAsia="Times New Roman" w:cs="Times New Roman"/>
                      <w:color w:val="auto"/>
                      <w:sz w:val="21"/>
                      <w:highlight w:val="none"/>
                    </w:rPr>
                    <w:t>500μmol/mol</w:t>
                  </w:r>
                  <w:r>
                    <w:rPr>
                      <w:rFonts w:hint="default" w:ascii="Times New Roman" w:hAnsi="Times New Roman" w:cs="Times New Roman"/>
                      <w:color w:val="auto"/>
                      <w:sz w:val="21"/>
                      <w:highlight w:val="none"/>
                    </w:rPr>
                    <w:t>，亦不应有感官可察觉泄漏。</w:t>
                  </w:r>
                </w:p>
              </w:tc>
              <w:tc>
                <w:tcPr>
                  <w:tcW w:w="1394"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sz w:val="21"/>
                      <w:highlight w:val="none"/>
                      <w:lang w:bidi="ar"/>
                    </w:rPr>
                  </w:pPr>
                  <w:r>
                    <w:rPr>
                      <w:rFonts w:hint="default"/>
                      <w:color w:val="auto"/>
                      <w:sz w:val="21"/>
                      <w:highlight w:val="none"/>
                      <w:lang w:bidi="ar"/>
                    </w:rPr>
                    <w:t>项目废气收集系统的输送管道为密闭状态</w:t>
                  </w:r>
                  <w:r>
                    <w:rPr>
                      <w:rFonts w:hint="eastAsia"/>
                      <w:bCs/>
                      <w:color w:val="auto"/>
                      <w:sz w:val="21"/>
                      <w:highlight w:val="none"/>
                    </w:rPr>
                    <w:t>，废气收集系统在负压下运行。</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sz w:val="21"/>
                      <w:highlight w:val="none"/>
                      <w:lang w:bidi="ar"/>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采用外部集气罩的，距集气罩开口面最远处的</w:t>
                  </w:r>
                  <w:r>
                    <w:rPr>
                      <w:rFonts w:hint="default" w:ascii="Times New Roman" w:hAnsi="Times New Roman" w:cs="Times New Roman"/>
                      <w:color w:val="auto"/>
                      <w:spacing w:val="-62"/>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2"/>
                      <w:sz w:val="21"/>
                      <w:highlight w:val="none"/>
                    </w:rPr>
                    <w:t xml:space="preserve"> </w:t>
                  </w:r>
                  <w:r>
                    <w:rPr>
                      <w:rFonts w:hint="default" w:ascii="Times New Roman" w:hAnsi="Times New Roman" w:cs="Times New Roman"/>
                      <w:color w:val="auto"/>
                      <w:sz w:val="21"/>
                      <w:highlight w:val="none"/>
                    </w:rPr>
                    <w:t>无组织排放位置，控制风速不低于</w:t>
                  </w:r>
                  <w:r>
                    <w:rPr>
                      <w:rFonts w:hint="default" w:ascii="Times New Roman" w:hAnsi="Times New Roman" w:eastAsia="Times New Roman" w:cs="Times New Roman"/>
                      <w:color w:val="auto"/>
                      <w:sz w:val="21"/>
                      <w:highlight w:val="none"/>
                    </w:rPr>
                    <w:t>0.3m/s</w:t>
                  </w:r>
                  <w:r>
                    <w:rPr>
                      <w:rFonts w:hint="default" w:ascii="Times New Roman" w:hAnsi="Times New Roman" w:cs="Times New Roman"/>
                      <w:color w:val="auto"/>
                      <w:sz w:val="21"/>
                      <w:highlight w:val="none"/>
                    </w:rPr>
                    <w:t>，有行业要求的按相关规定执行。</w:t>
                  </w:r>
                </w:p>
              </w:tc>
              <w:tc>
                <w:tcPr>
                  <w:tcW w:w="1394"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color w:val="auto"/>
                      <w:sz w:val="21"/>
                      <w:highlight w:val="none"/>
                      <w:lang w:bidi="ar"/>
                    </w:rPr>
                    <w:t>项目在</w:t>
                  </w:r>
                  <w:r>
                    <w:rPr>
                      <w:rFonts w:hint="eastAsia"/>
                      <w:color w:val="auto"/>
                      <w:sz w:val="21"/>
                      <w:highlight w:val="none"/>
                      <w:lang w:val="en-US" w:eastAsia="zh-CN" w:bidi="ar"/>
                    </w:rPr>
                    <w:t>退火</w:t>
                  </w:r>
                  <w:r>
                    <w:rPr>
                      <w:rFonts w:hint="default"/>
                      <w:color w:val="auto"/>
                      <w:sz w:val="21"/>
                      <w:highlight w:val="none"/>
                      <w:lang w:bidi="ar"/>
                    </w:rPr>
                    <w:t>工序</w:t>
                  </w:r>
                  <w:r>
                    <w:rPr>
                      <w:rFonts w:hint="eastAsia"/>
                      <w:color w:val="auto"/>
                      <w:sz w:val="21"/>
                      <w:highlight w:val="none"/>
                      <w:lang w:eastAsia="zh-CN" w:bidi="ar"/>
                    </w:rPr>
                    <w:t>、</w:t>
                  </w:r>
                  <w:r>
                    <w:rPr>
                      <w:rFonts w:hint="eastAsia"/>
                      <w:color w:val="auto"/>
                      <w:sz w:val="21"/>
                      <w:highlight w:val="none"/>
                      <w:lang w:val="en-US" w:eastAsia="zh-CN" w:bidi="ar"/>
                    </w:rPr>
                    <w:t>热浸锡工序</w:t>
                  </w:r>
                  <w:r>
                    <w:rPr>
                      <w:rFonts w:hint="default"/>
                      <w:color w:val="auto"/>
                      <w:sz w:val="21"/>
                      <w:highlight w:val="none"/>
                      <w:lang w:bidi="ar"/>
                    </w:rPr>
                    <w:t>采用集气罩</w:t>
                  </w:r>
                  <w:r>
                    <w:rPr>
                      <w:rFonts w:hint="eastAsia"/>
                      <w:color w:val="auto"/>
                      <w:sz w:val="21"/>
                      <w:highlight w:val="none"/>
                      <w:lang w:bidi="ar"/>
                    </w:rPr>
                    <w:t>收集</w:t>
                  </w:r>
                  <w:r>
                    <w:rPr>
                      <w:rFonts w:hint="default"/>
                      <w:color w:val="auto"/>
                      <w:sz w:val="21"/>
                      <w:highlight w:val="none"/>
                      <w:lang w:bidi="ar"/>
                    </w:rPr>
                    <w:t>，控制风速为0.5m/s</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2746" w:type="pct"/>
                  <w:vAlign w:val="center"/>
                </w:tcPr>
                <w:p>
                  <w:pPr>
                    <w:pStyle w:val="79"/>
                    <w:keepNext w:val="0"/>
                    <w:keepLines w:val="0"/>
                    <w:suppressLineNumbers w:val="0"/>
                    <w:spacing w:before="1" w:beforeAutospacing="0" w:after="0" w:afterAutospacing="0" w:line="240" w:lineRule="auto"/>
                    <w:ind w:left="0" w:right="10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pacing w:val="-2"/>
                      <w:sz w:val="21"/>
                      <w:highlight w:val="none"/>
                    </w:rPr>
                    <w:t>废气收集系统应与生产工艺设备同步运行。废气处理系统发生故障或检修时，对应的生产工</w:t>
                  </w:r>
                  <w:r>
                    <w:rPr>
                      <w:rFonts w:hint="default" w:ascii="Times New Roman" w:hAnsi="Times New Roman" w:cs="Times New Roman"/>
                      <w:color w:val="auto"/>
                      <w:spacing w:val="-82"/>
                      <w:sz w:val="21"/>
                      <w:highlight w:val="none"/>
                    </w:rPr>
                    <w:t xml:space="preserve"> </w:t>
                  </w:r>
                  <w:r>
                    <w:rPr>
                      <w:rFonts w:hint="default" w:ascii="Times New Roman" w:hAnsi="Times New Roman" w:cs="Times New Roman"/>
                      <w:color w:val="auto"/>
                      <w:spacing w:val="-2"/>
                      <w:sz w:val="21"/>
                      <w:highlight w:val="none"/>
                    </w:rPr>
                    <w:t>艺设备应停止运行，待检修完毕后同步投入使用；生产工艺设备不能停止运行或不能及时停</w:t>
                  </w:r>
                  <w:r>
                    <w:rPr>
                      <w:rFonts w:hint="default" w:ascii="Times New Roman" w:hAnsi="Times New Roman" w:cs="Times New Roman"/>
                      <w:color w:val="auto"/>
                      <w:spacing w:val="-82"/>
                      <w:sz w:val="21"/>
                      <w:highlight w:val="none"/>
                    </w:rPr>
                    <w:t xml:space="preserve"> </w:t>
                  </w:r>
                  <w:r>
                    <w:rPr>
                      <w:rFonts w:hint="default" w:ascii="Times New Roman" w:hAnsi="Times New Roman" w:cs="Times New Roman"/>
                      <w:color w:val="auto"/>
                      <w:sz w:val="21"/>
                      <w:highlight w:val="none"/>
                    </w:rPr>
                    <w:t>止运行的，应设置废气应急处理设施或采取其他代替措施。</w:t>
                  </w:r>
                </w:p>
              </w:tc>
              <w:tc>
                <w:tcPr>
                  <w:tcW w:w="1394"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color w:val="auto"/>
                      <w:spacing w:val="-2"/>
                      <w:sz w:val="21"/>
                      <w:highlight w:val="none"/>
                    </w:rPr>
                    <w:t>废气收集系统与生产工艺设备同步运行。废气处理系统发生故障或检修时，对应的生产工</w:t>
                  </w:r>
                  <w:r>
                    <w:rPr>
                      <w:rFonts w:hint="default"/>
                      <w:color w:val="auto"/>
                      <w:spacing w:val="-82"/>
                      <w:sz w:val="21"/>
                      <w:highlight w:val="none"/>
                    </w:rPr>
                    <w:t xml:space="preserve"> </w:t>
                  </w:r>
                  <w:r>
                    <w:rPr>
                      <w:rFonts w:hint="default"/>
                      <w:color w:val="auto"/>
                      <w:spacing w:val="-2"/>
                      <w:sz w:val="21"/>
                      <w:highlight w:val="none"/>
                    </w:rPr>
                    <w:t>艺设备停止运行，待检修完毕后同步投入使用</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控制要求</w:t>
                  </w:r>
                </w:p>
              </w:tc>
              <w:tc>
                <w:tcPr>
                  <w:tcW w:w="346" w:type="pct"/>
                  <w:vMerge w:val="restart"/>
                  <w:vAlign w:val="center"/>
                </w:tcPr>
                <w:p>
                  <w:pPr>
                    <w:pStyle w:val="79"/>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治理设施设计与 运行管理</w:t>
                  </w:r>
                </w:p>
              </w:tc>
              <w:tc>
                <w:tcPr>
                  <w:tcW w:w="2746" w:type="pct"/>
                  <w:vAlign w:val="center"/>
                </w:tcPr>
                <w:p>
                  <w:pPr>
                    <w:keepNext w:val="0"/>
                    <w:keepLines w:val="0"/>
                    <w:widowControl/>
                    <w:suppressLineNumbers w:val="0"/>
                    <w:wordWrap w:val="0"/>
                    <w:spacing w:before="0" w:beforeAutospacing="0" w:after="0" w:afterAutospacing="0" w:line="240" w:lineRule="auto"/>
                    <w:ind w:left="0" w:right="0" w:firstLine="0" w:firstLineChars="0"/>
                    <w:rPr>
                      <w:rFonts w:hint="default"/>
                      <w:color w:val="auto"/>
                      <w:sz w:val="21"/>
                      <w:highlight w:val="none"/>
                    </w:rPr>
                  </w:pPr>
                  <w:r>
                    <w:rPr>
                      <w:rFonts w:hint="default"/>
                      <w:color w:val="auto"/>
                      <w:sz w:val="21"/>
                      <w:highlight w:val="none"/>
                      <w:lang w:bidi="ar"/>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394" w:type="pct"/>
                  <w:vAlign w:val="center"/>
                </w:tcPr>
                <w:p>
                  <w:pPr>
                    <w:keepNext w:val="0"/>
                    <w:keepLines w:val="0"/>
                    <w:widowControl/>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bCs/>
                      <w:color w:val="auto"/>
                      <w:sz w:val="21"/>
                      <w:highlight w:val="none"/>
                    </w:rPr>
                    <w:t>项目VOCs治理设施应与生产工艺设备同步运行，VOCs治理设施发生故障或检修时，对应的生产工艺设备应停止运行，待检修完毕后同步投入使用</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346" w:type="pct"/>
                  <w:vMerge w:val="continue"/>
                  <w:vAlign w:val="center"/>
                </w:tcPr>
                <w:p>
                  <w:pPr>
                    <w:pStyle w:val="79"/>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p>
              </w:tc>
              <w:tc>
                <w:tcPr>
                  <w:tcW w:w="2746" w:type="pct"/>
                  <w:vAlign w:val="center"/>
                </w:tcPr>
                <w:p>
                  <w:pPr>
                    <w:keepNext w:val="0"/>
                    <w:keepLines w:val="0"/>
                    <w:widowControl/>
                    <w:suppressLineNumbers w:val="0"/>
                    <w:wordWrap w:val="0"/>
                    <w:spacing w:before="0" w:beforeAutospacing="0" w:after="0" w:afterAutospacing="0" w:line="240" w:lineRule="auto"/>
                    <w:ind w:left="0" w:right="0" w:firstLine="0" w:firstLineChars="0"/>
                    <w:rPr>
                      <w:rFonts w:hint="default"/>
                      <w:color w:val="auto"/>
                      <w:sz w:val="21"/>
                      <w:highlight w:val="none"/>
                    </w:rPr>
                  </w:pPr>
                  <w:r>
                    <w:rPr>
                      <w:rFonts w:hint="default"/>
                      <w:color w:val="auto"/>
                      <w:sz w:val="21"/>
                      <w:highlight w:val="none"/>
                      <w:lang w:bidi="ar"/>
                    </w:rPr>
                    <w:t>废气污染治理设施应依据国家和地方规范进行设计。</w:t>
                  </w:r>
                </w:p>
              </w:tc>
              <w:tc>
                <w:tcPr>
                  <w:tcW w:w="1394" w:type="pct"/>
                  <w:vAlign w:val="center"/>
                </w:tcPr>
                <w:p>
                  <w:pPr>
                    <w:keepNext w:val="0"/>
                    <w:keepLines w:val="0"/>
                    <w:widowControl/>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bCs/>
                      <w:color w:val="auto"/>
                      <w:sz w:val="21"/>
                      <w:highlight w:val="none"/>
                    </w:rPr>
                    <w:t>项目废气污染治理设施按照国家和地方规范进行设计</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restart"/>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环境管理</w:t>
                  </w:r>
                </w:p>
              </w:tc>
              <w:tc>
                <w:tcPr>
                  <w:tcW w:w="346" w:type="pct"/>
                  <w:vMerge w:val="restart"/>
                  <w:vAlign w:val="center"/>
                </w:tcPr>
                <w:p>
                  <w:pPr>
                    <w:pStyle w:val="79"/>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管理台账</w:t>
                  </w:r>
                </w:p>
              </w:tc>
              <w:tc>
                <w:tcPr>
                  <w:tcW w:w="2746" w:type="pct"/>
                  <w:vAlign w:val="center"/>
                </w:tcPr>
                <w:p>
                  <w:pPr>
                    <w:pStyle w:val="79"/>
                    <w:keepNext w:val="0"/>
                    <w:keepLines w:val="0"/>
                    <w:suppressLineNumbers w:val="0"/>
                    <w:spacing w:before="1" w:beforeAutospacing="0" w:after="0" w:afterAutospacing="0" w:line="240" w:lineRule="auto"/>
                    <w:ind w:left="0" w:right="10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建立含</w:t>
                  </w:r>
                  <w:r>
                    <w:rPr>
                      <w:rFonts w:hint="default" w:ascii="Times New Roman" w:hAnsi="Times New Roman" w:cs="Times New Roman"/>
                      <w:color w:val="auto"/>
                      <w:spacing w:val="-64"/>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4"/>
                      <w:sz w:val="21"/>
                      <w:highlight w:val="none"/>
                    </w:rPr>
                    <w:t xml:space="preserve"> </w:t>
                  </w:r>
                  <w:r>
                    <w:rPr>
                      <w:rFonts w:hint="default" w:ascii="Times New Roman" w:hAnsi="Times New Roman" w:cs="Times New Roman"/>
                      <w:color w:val="auto"/>
                      <w:sz w:val="21"/>
                      <w:highlight w:val="none"/>
                    </w:rPr>
                    <w:t>原辅材料台账，记录含</w:t>
                  </w:r>
                  <w:r>
                    <w:rPr>
                      <w:rFonts w:hint="default" w:ascii="Times New Roman" w:hAnsi="Times New Roman" w:cs="Times New Roman"/>
                      <w:color w:val="auto"/>
                      <w:spacing w:val="-64"/>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4"/>
                      <w:sz w:val="21"/>
                      <w:highlight w:val="none"/>
                    </w:rPr>
                    <w:t xml:space="preserve"> </w:t>
                  </w:r>
                  <w:r>
                    <w:rPr>
                      <w:rFonts w:hint="default" w:ascii="Times New Roman" w:hAnsi="Times New Roman" w:cs="Times New Roman"/>
                      <w:color w:val="auto"/>
                      <w:sz w:val="21"/>
                      <w:highlight w:val="none"/>
                    </w:rPr>
                    <w:t>原辅材料的名称及其</w:t>
                  </w:r>
                  <w:r>
                    <w:rPr>
                      <w:rFonts w:hint="default" w:ascii="Times New Roman" w:hAnsi="Times New Roman" w:cs="Times New Roman"/>
                      <w:color w:val="auto"/>
                      <w:spacing w:val="-65"/>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4"/>
                      <w:sz w:val="21"/>
                      <w:highlight w:val="none"/>
                    </w:rPr>
                    <w:t xml:space="preserve"> </w:t>
                  </w:r>
                  <w:r>
                    <w:rPr>
                      <w:rFonts w:hint="default" w:ascii="Times New Roman" w:hAnsi="Times New Roman" w:cs="Times New Roman"/>
                      <w:color w:val="auto"/>
                      <w:spacing w:val="-3"/>
                      <w:sz w:val="21"/>
                      <w:highlight w:val="none"/>
                    </w:rPr>
                    <w:t>含量、采购量、使用</w:t>
                  </w:r>
                  <w:r>
                    <w:rPr>
                      <w:rFonts w:hint="default" w:ascii="Times New Roman" w:hAnsi="Times New Roman" w:cs="Times New Roman"/>
                      <w:color w:val="auto"/>
                      <w:sz w:val="21"/>
                      <w:highlight w:val="none"/>
                    </w:rPr>
                    <w:t xml:space="preserve"> 量、库存量、含</w:t>
                  </w:r>
                  <w:r>
                    <w:rPr>
                      <w:rFonts w:hint="default" w:ascii="Times New Roman" w:hAnsi="Times New Roman" w:cs="Times New Roman"/>
                      <w:color w:val="auto"/>
                      <w:spacing w:val="-62"/>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2"/>
                      <w:sz w:val="21"/>
                      <w:highlight w:val="none"/>
                    </w:rPr>
                    <w:t xml:space="preserve"> </w:t>
                  </w:r>
                  <w:r>
                    <w:rPr>
                      <w:rFonts w:hint="default" w:ascii="Times New Roman" w:hAnsi="Times New Roman" w:cs="Times New Roman"/>
                      <w:color w:val="auto"/>
                      <w:sz w:val="21"/>
                      <w:highlight w:val="none"/>
                    </w:rPr>
                    <w:t>原辅材料回收方式及回收量。</w:t>
                  </w:r>
                </w:p>
              </w:tc>
              <w:tc>
                <w:tcPr>
                  <w:tcW w:w="1394" w:type="pct"/>
                  <w:vMerge w:val="restart"/>
                  <w:vAlign w:val="center"/>
                </w:tcPr>
                <w:p>
                  <w:pPr>
                    <w:keepNext w:val="0"/>
                    <w:keepLines w:val="0"/>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color w:val="auto"/>
                      <w:sz w:val="21"/>
                      <w:highlight w:val="none"/>
                    </w:rPr>
                    <w:t>按相关要求管理台账</w:t>
                  </w:r>
                </w:p>
              </w:tc>
              <w:tc>
                <w:tcPr>
                  <w:tcW w:w="259" w:type="pct"/>
                  <w:vMerge w:val="restar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79"/>
                    <w:keepNext w:val="0"/>
                    <w:keepLines w:val="0"/>
                    <w:suppressLineNumbers w:val="0"/>
                    <w:spacing w:before="0" w:beforeAutospacing="0" w:after="0" w:afterAutospacing="0" w:line="240" w:lineRule="auto"/>
                    <w:ind w:left="0" w:right="0" w:firstLine="420"/>
                    <w:jc w:val="center"/>
                    <w:rPr>
                      <w:rFonts w:hint="default" w:ascii="Times New Roman" w:hAnsi="Times New Roman" w:cs="Times New Roman"/>
                      <w:color w:val="auto"/>
                      <w:sz w:val="21"/>
                      <w:highlight w:val="none"/>
                    </w:rPr>
                  </w:pPr>
                </w:p>
              </w:tc>
              <w:tc>
                <w:tcPr>
                  <w:tcW w:w="2746" w:type="pct"/>
                  <w:vAlign w:val="center"/>
                </w:tcPr>
                <w:p>
                  <w:pPr>
                    <w:pStyle w:val="79"/>
                    <w:keepNext w:val="0"/>
                    <w:keepLines w:val="0"/>
                    <w:suppressLineNumbers w:val="0"/>
                    <w:spacing w:before="1" w:beforeAutospacing="0" w:after="0" w:afterAutospacing="0" w:line="240" w:lineRule="auto"/>
                    <w:ind w:left="0" w:right="59"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 xml:space="preserve">建立废气收集处理设施台账，记录废气处理设施进出口的监测数据（废气量、浓度、温度、 </w:t>
                  </w:r>
                  <w:r>
                    <w:rPr>
                      <w:rFonts w:hint="default" w:ascii="Times New Roman" w:hAnsi="Times New Roman" w:cs="Times New Roman"/>
                      <w:color w:val="auto"/>
                      <w:spacing w:val="-2"/>
                      <w:sz w:val="21"/>
                      <w:highlight w:val="none"/>
                    </w:rPr>
                    <w:t>含氧量等）、废气收集与处理设施关键参数、废气处理设施相关耗材（吸收剂、吸附剂、催</w:t>
                  </w:r>
                  <w:r>
                    <w:rPr>
                      <w:rFonts w:hint="default" w:ascii="Times New Roman" w:hAnsi="Times New Roman" w:cs="Times New Roman"/>
                      <w:color w:val="auto"/>
                      <w:spacing w:val="-85"/>
                      <w:sz w:val="21"/>
                      <w:highlight w:val="none"/>
                    </w:rPr>
                    <w:t xml:space="preserve"> </w:t>
                  </w:r>
                  <w:r>
                    <w:rPr>
                      <w:rFonts w:hint="default" w:ascii="Times New Roman" w:hAnsi="Times New Roman" w:cs="Times New Roman"/>
                      <w:color w:val="auto"/>
                      <w:sz w:val="21"/>
                      <w:highlight w:val="none"/>
                    </w:rPr>
                    <w:t>化剂等）购买和处理记录。</w:t>
                  </w:r>
                </w:p>
              </w:tc>
              <w:tc>
                <w:tcPr>
                  <w:tcW w:w="1394" w:type="pct"/>
                  <w:vMerge w:val="continue"/>
                  <w:vAlign w:val="center"/>
                </w:tcPr>
                <w:p>
                  <w:pPr>
                    <w:keepNext w:val="0"/>
                    <w:keepLines w:val="0"/>
                    <w:suppressLineNumbers w:val="0"/>
                    <w:spacing w:before="0" w:beforeAutospacing="0" w:after="0" w:afterAutospacing="0" w:line="240" w:lineRule="auto"/>
                    <w:ind w:left="0" w:right="0" w:firstLine="422"/>
                    <w:jc w:val="both"/>
                    <w:rPr>
                      <w:rFonts w:hint="default"/>
                      <w:b/>
                      <w:color w:val="auto"/>
                      <w:sz w:val="21"/>
                      <w:highlight w:val="none"/>
                    </w:rPr>
                  </w:pPr>
                </w:p>
              </w:tc>
              <w:tc>
                <w:tcPr>
                  <w:tcW w:w="259" w:type="pct"/>
                  <w:vMerge w:val="continue"/>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79"/>
                    <w:keepNext w:val="0"/>
                    <w:keepLines w:val="0"/>
                    <w:suppressLineNumbers w:val="0"/>
                    <w:spacing w:before="0" w:beforeAutospacing="0" w:after="0" w:afterAutospacing="0" w:line="240" w:lineRule="auto"/>
                    <w:ind w:left="0" w:right="0" w:firstLine="420"/>
                    <w:jc w:val="center"/>
                    <w:rPr>
                      <w:rFonts w:hint="default" w:ascii="Times New Roman" w:hAnsi="Times New Roman" w:cs="Times New Roman"/>
                      <w:color w:val="auto"/>
                      <w:sz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建立危废台账，整理危废处置合同、转移联单及危废处理方资质佐证材料。</w:t>
                  </w:r>
                </w:p>
              </w:tc>
              <w:tc>
                <w:tcPr>
                  <w:tcW w:w="1394" w:type="pct"/>
                  <w:vMerge w:val="continue"/>
                  <w:vAlign w:val="center"/>
                </w:tcPr>
                <w:p>
                  <w:pPr>
                    <w:keepNext w:val="0"/>
                    <w:keepLines w:val="0"/>
                    <w:suppressLineNumbers w:val="0"/>
                    <w:spacing w:before="0" w:beforeAutospacing="0" w:after="0" w:afterAutospacing="0" w:line="240" w:lineRule="auto"/>
                    <w:ind w:left="0" w:right="0" w:firstLine="422"/>
                    <w:jc w:val="both"/>
                    <w:rPr>
                      <w:rFonts w:hint="default"/>
                      <w:b/>
                      <w:color w:val="auto"/>
                      <w:sz w:val="21"/>
                      <w:highlight w:val="none"/>
                    </w:rPr>
                  </w:pPr>
                </w:p>
              </w:tc>
              <w:tc>
                <w:tcPr>
                  <w:tcW w:w="259" w:type="pct"/>
                  <w:vMerge w:val="continue"/>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79"/>
                    <w:keepNext w:val="0"/>
                    <w:keepLines w:val="0"/>
                    <w:suppressLineNumbers w:val="0"/>
                    <w:spacing w:before="0" w:beforeAutospacing="0" w:after="0" w:afterAutospacing="0" w:line="240" w:lineRule="auto"/>
                    <w:ind w:left="0" w:right="0" w:firstLine="420"/>
                    <w:jc w:val="center"/>
                    <w:rPr>
                      <w:rFonts w:hint="default" w:ascii="Times New Roman" w:hAnsi="Times New Roman" w:cs="Times New Roman"/>
                      <w:color w:val="auto"/>
                      <w:sz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台账保存期限不少于</w:t>
                  </w:r>
                  <w:r>
                    <w:rPr>
                      <w:rFonts w:hint="default" w:ascii="Times New Roman" w:hAnsi="Times New Roman" w:cs="Times New Roman"/>
                      <w:color w:val="auto"/>
                      <w:spacing w:val="-60"/>
                      <w:sz w:val="21"/>
                      <w:highlight w:val="none"/>
                    </w:rPr>
                    <w:t xml:space="preserve"> </w:t>
                  </w:r>
                  <w:r>
                    <w:rPr>
                      <w:rFonts w:hint="default" w:ascii="Times New Roman" w:hAnsi="Times New Roman" w:eastAsia="Times New Roman" w:cs="Times New Roman"/>
                      <w:color w:val="auto"/>
                      <w:sz w:val="21"/>
                      <w:highlight w:val="none"/>
                    </w:rPr>
                    <w:t xml:space="preserve">3 </w:t>
                  </w:r>
                  <w:r>
                    <w:rPr>
                      <w:rFonts w:hint="default" w:ascii="Times New Roman" w:hAnsi="Times New Roman" w:cs="Times New Roman"/>
                      <w:color w:val="auto"/>
                      <w:sz w:val="21"/>
                      <w:highlight w:val="none"/>
                    </w:rPr>
                    <w:t>年。</w:t>
                  </w:r>
                </w:p>
              </w:tc>
              <w:tc>
                <w:tcPr>
                  <w:tcW w:w="1394" w:type="pct"/>
                  <w:vMerge w:val="continue"/>
                  <w:vAlign w:val="center"/>
                </w:tcPr>
                <w:p>
                  <w:pPr>
                    <w:keepNext w:val="0"/>
                    <w:keepLines w:val="0"/>
                    <w:suppressLineNumbers w:val="0"/>
                    <w:spacing w:before="0" w:beforeAutospacing="0" w:after="0" w:afterAutospacing="0" w:line="240" w:lineRule="auto"/>
                    <w:ind w:left="0" w:right="0" w:firstLine="422"/>
                    <w:jc w:val="both"/>
                    <w:rPr>
                      <w:rFonts w:hint="default"/>
                      <w:b/>
                      <w:color w:val="auto"/>
                      <w:sz w:val="21"/>
                      <w:highlight w:val="none"/>
                    </w:rPr>
                  </w:pPr>
                </w:p>
              </w:tc>
              <w:tc>
                <w:tcPr>
                  <w:tcW w:w="259" w:type="pct"/>
                  <w:vMerge w:val="continue"/>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Align w:val="center"/>
                </w:tcPr>
                <w:p>
                  <w:pPr>
                    <w:pStyle w:val="79"/>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自行监测</w:t>
                  </w: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厂界无组织废气至少每半年监测一次挥发性有机物。</w:t>
                  </w:r>
                </w:p>
              </w:tc>
              <w:tc>
                <w:tcPr>
                  <w:tcW w:w="1394"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b/>
                      <w:color w:val="auto"/>
                      <w:sz w:val="21"/>
                      <w:highlight w:val="none"/>
                    </w:rPr>
                  </w:pPr>
                  <w:r>
                    <w:rPr>
                      <w:rFonts w:hint="default"/>
                      <w:color w:val="auto"/>
                      <w:sz w:val="21"/>
                      <w:highlight w:val="none"/>
                      <w:lang w:bidi="ar"/>
                    </w:rPr>
                    <w:t>项目属于非重点排污单位，简化管理排污单位废气排放口及无组织排放每年一次。</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Align w:val="center"/>
                </w:tcPr>
                <w:p>
                  <w:pPr>
                    <w:pStyle w:val="79"/>
                    <w:keepNext w:val="0"/>
                    <w:keepLines w:val="0"/>
                    <w:suppressLineNumbers w:val="0"/>
                    <w:spacing w:before="108"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危废管理</w:t>
                  </w:r>
                </w:p>
              </w:tc>
              <w:tc>
                <w:tcPr>
                  <w:tcW w:w="2746" w:type="pct"/>
                  <w:vAlign w:val="center"/>
                </w:tcPr>
                <w:p>
                  <w:pPr>
                    <w:pStyle w:val="79"/>
                    <w:keepNext w:val="0"/>
                    <w:keepLines w:val="0"/>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工艺过程产生的含</w:t>
                  </w:r>
                  <w:r>
                    <w:rPr>
                      <w:rFonts w:hint="default" w:ascii="Times New Roman" w:hAnsi="Times New Roman" w:cs="Times New Roman"/>
                      <w:color w:val="auto"/>
                      <w:spacing w:val="-62"/>
                      <w:sz w:val="21"/>
                      <w:highlight w:val="none"/>
                    </w:rPr>
                    <w:t xml:space="preserve"> </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2"/>
                      <w:sz w:val="21"/>
                      <w:highlight w:val="none"/>
                    </w:rPr>
                    <w:t xml:space="preserve"> </w:t>
                  </w:r>
                  <w:r>
                    <w:rPr>
                      <w:rFonts w:hint="default" w:ascii="Times New Roman" w:hAnsi="Times New Roman" w:cs="Times New Roman"/>
                      <w:color w:val="auto"/>
                      <w:sz w:val="21"/>
                      <w:highlight w:val="none"/>
                    </w:rPr>
                    <w:t>废料（渣、液）应按照相关要求进行储存、转移和输送。盛装过</w:t>
                  </w:r>
                  <w:r>
                    <w:rPr>
                      <w:rFonts w:hint="default" w:ascii="Times New Roman" w:hAnsi="Times New Roman" w:eastAsia="Times New Roman" w:cs="Times New Roman"/>
                      <w:color w:val="auto"/>
                      <w:sz w:val="21"/>
                      <w:highlight w:val="none"/>
                    </w:rPr>
                    <w:t>VOCs</w:t>
                  </w:r>
                  <w:r>
                    <w:rPr>
                      <w:rFonts w:hint="default" w:ascii="Times New Roman" w:hAnsi="Times New Roman" w:eastAsia="Times New Roman" w:cs="Times New Roman"/>
                      <w:color w:val="auto"/>
                      <w:spacing w:val="-3"/>
                      <w:sz w:val="21"/>
                      <w:highlight w:val="none"/>
                    </w:rPr>
                    <w:t xml:space="preserve"> </w:t>
                  </w:r>
                  <w:r>
                    <w:rPr>
                      <w:rFonts w:hint="default" w:ascii="Times New Roman" w:hAnsi="Times New Roman" w:cs="Times New Roman"/>
                      <w:color w:val="auto"/>
                      <w:sz w:val="21"/>
                      <w:highlight w:val="none"/>
                    </w:rPr>
                    <w:t>物料的废包装容器应加盖密闭。</w:t>
                  </w:r>
                </w:p>
              </w:tc>
              <w:tc>
                <w:tcPr>
                  <w:tcW w:w="1394"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b/>
                      <w:color w:val="auto"/>
                      <w:sz w:val="21"/>
                      <w:szCs w:val="21"/>
                      <w:highlight w:val="none"/>
                    </w:rPr>
                  </w:pPr>
                  <w:r>
                    <w:rPr>
                      <w:rFonts w:hint="default"/>
                      <w:color w:val="auto"/>
                      <w:sz w:val="21"/>
                      <w:szCs w:val="21"/>
                      <w:highlight w:val="none"/>
                      <w:lang w:bidi="ar"/>
                    </w:rPr>
                    <w:t>项目生产过程中产生的废活性炭按相关要求进行储存、转移和输送。</w:t>
                  </w:r>
                </w:p>
              </w:tc>
              <w:tc>
                <w:tcPr>
                  <w:tcW w:w="259"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restart"/>
                  <w:vAlign w:val="center"/>
                </w:tcPr>
                <w:p>
                  <w:pPr>
                    <w:pStyle w:val="79"/>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建设项目 VOCs</w:t>
                  </w:r>
                </w:p>
                <w:p>
                  <w:pPr>
                    <w:pStyle w:val="79"/>
                    <w:keepNext w:val="0"/>
                    <w:keepLines w:val="0"/>
                    <w:suppressLineNumbers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cs="Times New Roman"/>
                      <w:color w:val="auto"/>
                      <w:sz w:val="21"/>
                      <w:szCs w:val="21"/>
                      <w:highlight w:val="none"/>
                    </w:rPr>
                    <w:t>总量管理</w:t>
                  </w:r>
                </w:p>
              </w:tc>
              <w:tc>
                <w:tcPr>
                  <w:tcW w:w="2746" w:type="pct"/>
                  <w:vAlign w:val="center"/>
                </w:tcPr>
                <w:p>
                  <w:pPr>
                    <w:pStyle w:val="79"/>
                    <w:keepNext w:val="0"/>
                    <w:keepLines w:val="0"/>
                    <w:suppressLineNumbers w:val="0"/>
                    <w:spacing w:before="0" w:beforeAutospacing="0" w:after="0" w:afterAutospacing="0" w:line="240" w:lineRule="auto"/>
                    <w:ind w:left="0" w:leftChars="0" w:right="0" w:rightChars="0" w:firstLine="0" w:firstLineChars="0"/>
                    <w:jc w:val="left"/>
                    <w:rPr>
                      <w:rFonts w:hint="default" w:ascii="Times New Roman" w:hAnsi="Times New Roman" w:eastAsia="宋体" w:cs="Times New Roman"/>
                      <w:color w:val="auto"/>
                      <w:sz w:val="21"/>
                      <w:szCs w:val="21"/>
                      <w:highlight w:val="none"/>
                      <w:lang w:val="zh-CN" w:eastAsia="zh-CN" w:bidi="zh-CN"/>
                    </w:rPr>
                  </w:pPr>
                  <w:r>
                    <w:rPr>
                      <w:rFonts w:hint="default" w:ascii="宋体" w:hAnsi="宋体" w:eastAsia="宋体" w:cs="宋体"/>
                      <w:color w:val="auto"/>
                      <w:sz w:val="21"/>
                      <w:szCs w:val="21"/>
                      <w:highlight w:val="none"/>
                    </w:rPr>
                    <w:t>新、改、扩建项目应执行总量替代制度，明确</w:t>
                  </w:r>
                  <w:r>
                    <w:rPr>
                      <w:rFonts w:hint="default" w:ascii="宋体" w:hAnsi="宋体" w:eastAsia="宋体" w:cs="宋体"/>
                      <w:color w:val="auto"/>
                      <w:spacing w:val="-62"/>
                      <w:sz w:val="21"/>
                      <w:szCs w:val="21"/>
                      <w:highlight w:val="none"/>
                    </w:rPr>
                    <w:t xml:space="preserve"> </w:t>
                  </w:r>
                  <w:r>
                    <w:rPr>
                      <w:rFonts w:hint="default" w:ascii="Times New Roman" w:hAnsi="Times New Roman" w:eastAsia="Times New Roman" w:cs="Times New Roman"/>
                      <w:color w:val="auto"/>
                      <w:sz w:val="21"/>
                      <w:szCs w:val="21"/>
                      <w:highlight w:val="none"/>
                    </w:rPr>
                    <w:t>VOCs</w:t>
                  </w:r>
                  <w:r>
                    <w:rPr>
                      <w:rFonts w:hint="default" w:ascii="Times New Roman" w:hAnsi="Times New Roman" w:eastAsia="Times New Roman" w:cs="Times New Roman"/>
                      <w:color w:val="auto"/>
                      <w:spacing w:val="-2"/>
                      <w:sz w:val="21"/>
                      <w:szCs w:val="21"/>
                      <w:highlight w:val="none"/>
                    </w:rPr>
                    <w:t xml:space="preserve"> </w:t>
                  </w:r>
                  <w:r>
                    <w:rPr>
                      <w:rFonts w:hint="default" w:ascii="宋体" w:hAnsi="宋体" w:eastAsia="宋体" w:cs="宋体"/>
                      <w:color w:val="auto"/>
                      <w:sz w:val="21"/>
                      <w:szCs w:val="21"/>
                      <w:highlight w:val="none"/>
                    </w:rPr>
                    <w:t>总量指标来源。</w:t>
                  </w:r>
                </w:p>
              </w:tc>
              <w:tc>
                <w:tcPr>
                  <w:tcW w:w="1394" w:type="pct"/>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eastAsia="宋体" w:cs="Times New Roman"/>
                      <w:bCs/>
                      <w:color w:val="auto"/>
                      <w:kern w:val="0"/>
                      <w:sz w:val="21"/>
                      <w:szCs w:val="21"/>
                      <w:highlight w:val="none"/>
                      <w:lang w:val="en-US" w:eastAsia="zh-CN"/>
                    </w:rPr>
                    <w:t>项目为新建项目，VOCs</w:t>
                  </w:r>
                  <w:r>
                    <w:rPr>
                      <w:rFonts w:hint="default" w:ascii="Times New Roman" w:hAnsi="Times New Roman" w:eastAsia="宋体" w:cs="Times New Roman"/>
                      <w:color w:val="auto"/>
                      <w:kern w:val="0"/>
                      <w:sz w:val="21"/>
                      <w:szCs w:val="21"/>
                      <w:highlight w:val="none"/>
                      <w:lang w:val="en-US" w:eastAsia="zh-CN"/>
                    </w:rPr>
                    <w:t>实行倍量替代</w:t>
                  </w:r>
                  <w:r>
                    <w:rPr>
                      <w:rFonts w:hint="eastAsia" w:ascii="Times New Roman" w:hAnsi="Times New Roman" w:eastAsia="宋体" w:cs="Times New Roman"/>
                      <w:color w:val="auto"/>
                      <w:kern w:val="0"/>
                      <w:sz w:val="21"/>
                      <w:szCs w:val="21"/>
                      <w:highlight w:val="none"/>
                      <w:lang w:val="en-US" w:eastAsia="zh-CN"/>
                    </w:rPr>
                    <w:t>，</w:t>
                  </w:r>
                  <w:r>
                    <w:rPr>
                      <w:rFonts w:hint="eastAsia" w:ascii="Times New Roman" w:hAnsi="Times New Roman" w:eastAsia="宋体" w:cs="Times New Roman"/>
                      <w:bCs/>
                      <w:color w:val="auto"/>
                      <w:kern w:val="0"/>
                      <w:sz w:val="21"/>
                      <w:szCs w:val="21"/>
                      <w:highlight w:val="none"/>
                      <w:lang w:val="en-US" w:eastAsia="zh-CN"/>
                    </w:rPr>
                    <w:t>VOCs总量由惠州市生态环境局博罗分局调配。</w:t>
                  </w:r>
                </w:p>
              </w:tc>
              <w:tc>
                <w:tcPr>
                  <w:tcW w:w="259" w:type="pct"/>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 w:type="pct"/>
                  <w:vMerge w:val="continue"/>
                  <w:vAlign w:val="center"/>
                </w:tcPr>
                <w:p>
                  <w:pPr>
                    <w:pStyle w:val="33"/>
                    <w:keepNext w:val="0"/>
                    <w:keepLines w:val="0"/>
                    <w:widowControl w:val="0"/>
                    <w:suppressLineNumbers w:val="0"/>
                    <w:wordWrap w:val="0"/>
                    <w:spacing w:before="0" w:beforeAutospacing="0" w:after="0" w:afterAutospacing="0"/>
                    <w:ind w:left="0" w:right="0"/>
                    <w:jc w:val="center"/>
                    <w:rPr>
                      <w:rFonts w:hint="default" w:ascii="Times New Roman" w:hAnsi="Times New Roman" w:cs="Times New Roman"/>
                      <w:bCs/>
                      <w:color w:val="auto"/>
                      <w:sz w:val="21"/>
                      <w:szCs w:val="21"/>
                      <w:highlight w:val="none"/>
                    </w:rPr>
                  </w:pPr>
                </w:p>
              </w:tc>
              <w:tc>
                <w:tcPr>
                  <w:tcW w:w="346" w:type="pct"/>
                  <w:vMerge w:val="continue"/>
                  <w:vAlign w:val="center"/>
                </w:tcPr>
                <w:p>
                  <w:pPr>
                    <w:pStyle w:val="79"/>
                    <w:keepNext w:val="0"/>
                    <w:keepLines w:val="0"/>
                    <w:suppressLineNumbers w:val="0"/>
                    <w:spacing w:before="108" w:beforeAutospacing="0" w:after="0" w:afterAutospacing="0" w:line="240" w:lineRule="auto"/>
                    <w:ind w:left="0" w:right="0" w:firstLine="0" w:firstLineChars="0"/>
                    <w:jc w:val="both"/>
                    <w:rPr>
                      <w:rFonts w:hint="default" w:ascii="Times New Roman" w:hAnsi="Times New Roman" w:cs="Times New Roman"/>
                      <w:color w:val="auto"/>
                      <w:sz w:val="21"/>
                      <w:highlight w:val="none"/>
                    </w:rPr>
                  </w:pPr>
                </w:p>
              </w:tc>
              <w:tc>
                <w:tcPr>
                  <w:tcW w:w="2746" w:type="pct"/>
                  <w:vAlign w:val="center"/>
                </w:tcPr>
                <w:p>
                  <w:pPr>
                    <w:pStyle w:val="79"/>
                    <w:keepNext w:val="0"/>
                    <w:keepLines w:val="0"/>
                    <w:suppressLineNumbers w:val="0"/>
                    <w:spacing w:before="0" w:beforeAutospacing="0" w:after="0" w:afterAutospacing="0" w:line="240" w:lineRule="auto"/>
                    <w:ind w:left="0" w:leftChars="0" w:right="59" w:rightChars="0" w:firstLine="0" w:firstLineChars="0"/>
                    <w:jc w:val="both"/>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cs="Times New Roman"/>
                      <w:color w:val="auto"/>
                      <w:sz w:val="21"/>
                      <w:szCs w:val="21"/>
                      <w:highlight w:val="none"/>
                    </w:rPr>
                    <w:t>新、改、扩建项目和现有企业 VOCs 基准排放量计算参考《广东省重点行业挥发性有机物排 放量计算方法核算》进行核算，若国家和我省出台适用于该</w:t>
                  </w:r>
                  <w:r>
                    <w:rPr>
                      <w:rFonts w:hint="default" w:ascii="宋体" w:hAnsi="宋体" w:eastAsia="宋体" w:cs="宋体"/>
                      <w:color w:val="auto"/>
                      <w:sz w:val="21"/>
                      <w:szCs w:val="21"/>
                      <w:highlight w:val="none"/>
                    </w:rPr>
                    <w:t>行业的</w:t>
                  </w:r>
                  <w:r>
                    <w:rPr>
                      <w:rFonts w:hint="default" w:ascii="宋体" w:hAnsi="宋体" w:eastAsia="宋体" w:cs="宋体"/>
                      <w:color w:val="auto"/>
                      <w:spacing w:val="-62"/>
                      <w:sz w:val="21"/>
                      <w:szCs w:val="21"/>
                      <w:highlight w:val="none"/>
                    </w:rPr>
                    <w:t xml:space="preserve"> </w:t>
                  </w:r>
                  <w:r>
                    <w:rPr>
                      <w:rFonts w:hint="default" w:ascii="Times New Roman" w:hAnsi="Times New Roman" w:eastAsia="Times New Roman" w:cs="Times New Roman"/>
                      <w:color w:val="auto"/>
                      <w:sz w:val="21"/>
                      <w:szCs w:val="21"/>
                      <w:highlight w:val="none"/>
                    </w:rPr>
                    <w:t>VOCs</w:t>
                  </w:r>
                  <w:r>
                    <w:rPr>
                      <w:rFonts w:hint="default" w:ascii="Times New Roman" w:hAnsi="Times New Roman" w:eastAsia="Times New Roman" w:cs="Times New Roman"/>
                      <w:color w:val="auto"/>
                      <w:spacing w:val="-2"/>
                      <w:sz w:val="21"/>
                      <w:szCs w:val="21"/>
                      <w:highlight w:val="none"/>
                    </w:rPr>
                    <w:t xml:space="preserve"> </w:t>
                  </w:r>
                  <w:r>
                    <w:rPr>
                      <w:rFonts w:hint="default" w:ascii="宋体" w:hAnsi="宋体" w:eastAsia="宋体" w:cs="宋体"/>
                      <w:color w:val="auto"/>
                      <w:sz w:val="21"/>
                      <w:szCs w:val="21"/>
                      <w:highlight w:val="none"/>
                    </w:rPr>
                    <w:t>排放量计算方法， 则参照其相关规定执行。</w:t>
                  </w:r>
                </w:p>
              </w:tc>
              <w:tc>
                <w:tcPr>
                  <w:tcW w:w="1394" w:type="pct"/>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eastAsia="宋体" w:cs="Times New Roman"/>
                      <w:bCs/>
                      <w:color w:val="auto"/>
                      <w:kern w:val="0"/>
                      <w:sz w:val="21"/>
                      <w:szCs w:val="21"/>
                      <w:highlight w:val="none"/>
                      <w:lang w:val="en-US" w:eastAsia="zh-CN"/>
                    </w:rPr>
                    <w:t>项目VOCs基准排放量计算参考《排放源统计调查产排污核算方法和系数手册》（生态环境部公告 2021年第24号）。</w:t>
                  </w:r>
                </w:p>
              </w:tc>
              <w:tc>
                <w:tcPr>
                  <w:tcW w:w="259" w:type="pct"/>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符合</w:t>
                  </w:r>
                </w:p>
              </w:tc>
            </w:tr>
          </w:tbl>
          <w:p>
            <w:pPr>
              <w:pStyle w:val="2"/>
              <w:keepNext w:val="0"/>
              <w:keepLines w:val="0"/>
              <w:suppressLineNumbers w:val="0"/>
              <w:spacing w:before="0" w:beforeAutospacing="0" w:after="0" w:afterAutospacing="0"/>
              <w:ind w:left="0" w:right="0" w:firstLine="480"/>
              <w:rPr>
                <w:rFonts w:hint="default" w:ascii="Times New Roman" w:cs="Times New Roman"/>
                <w:color w:val="auto"/>
                <w:highlight w:val="none"/>
              </w:rPr>
            </w:pPr>
          </w:p>
        </w:tc>
      </w:tr>
    </w:tbl>
    <w:p>
      <w:pPr>
        <w:pStyle w:val="2"/>
        <w:rPr>
          <w:color w:val="auto"/>
          <w:highlight w:val="none"/>
        </w:rPr>
        <w:sectPr>
          <w:footerReference r:id="rId12" w:type="default"/>
          <w:pgSz w:w="16838" w:h="11906" w:orient="landscape"/>
          <w:pgMar w:top="1417" w:right="1417" w:bottom="1417" w:left="1417" w:header="851" w:footer="992" w:gutter="0"/>
          <w:pgNumType w:start="16"/>
          <w:cols w:space="720" w:num="1"/>
          <w:docGrid w:type="lines" w:linePitch="312" w:charSpace="0"/>
        </w:sectPr>
      </w:pPr>
    </w:p>
    <w:p>
      <w:pPr>
        <w:pStyle w:val="67"/>
        <w:outlineLvl w:val="0"/>
        <w:rPr>
          <w:rFonts w:ascii="Times New Roman" w:hAnsi="Times New Roman"/>
          <w:color w:val="auto"/>
          <w:highlight w:val="none"/>
        </w:rPr>
        <w:sectPr>
          <w:footerReference r:id="rId13" w:type="default"/>
          <w:pgSz w:w="11906" w:h="16838"/>
          <w:pgMar w:top="1417" w:right="1531" w:bottom="1417" w:left="1417" w:header="851" w:footer="992" w:gutter="0"/>
          <w:cols w:space="720" w:num="1"/>
          <w:docGrid w:type="lines" w:linePitch="312" w:charSpace="0"/>
        </w:sectPr>
      </w:pPr>
      <w:r>
        <w:rPr>
          <w:rFonts w:ascii="Times New Roman" w:hAnsi="Times New Roman"/>
          <w:color w:val="auto"/>
          <w:highlight w:val="none"/>
        </w:rPr>
        <w:t>建设项目工程分析</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264"/>
        <w:gridCol w:w="8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95"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建设内容</w:t>
            </w:r>
          </w:p>
        </w:tc>
        <w:tc>
          <w:tcPr>
            <w:tcW w:w="8419" w:type="dxa"/>
          </w:tcPr>
          <w:p>
            <w:pPr>
              <w:pStyle w:val="7"/>
              <w:keepNext w:val="0"/>
              <w:keepLines w:val="0"/>
              <w:numPr>
                <w:ilvl w:val="0"/>
                <w:numId w:val="0"/>
              </w:numPr>
              <w:suppressLineNumbers w:val="0"/>
              <w:spacing w:before="0" w:beforeAutospacing="0" w:after="156" w:afterAutospacing="0" w:line="360" w:lineRule="auto"/>
              <w:ind w:left="431" w:right="0"/>
              <w:rPr>
                <w:rFonts w:hint="default"/>
                <w:color w:val="auto"/>
                <w:highlight w:val="none"/>
              </w:rPr>
            </w:pPr>
            <w:r>
              <w:rPr>
                <w:rFonts w:hint="default"/>
                <w:color w:val="auto"/>
                <w:highlight w:val="none"/>
              </w:rPr>
              <w:t>1、项目基本情况</w:t>
            </w:r>
          </w:p>
          <w:p>
            <w:pPr>
              <w:keepNext w:val="0"/>
              <w:keepLines w:val="0"/>
              <w:widowControl/>
              <w:suppressLineNumbers w:val="0"/>
              <w:snapToGrid w:val="0"/>
              <w:spacing w:before="0" w:beforeAutospacing="0" w:after="0" w:afterAutospacing="0" w:line="360" w:lineRule="auto"/>
              <w:ind w:left="0" w:right="0" w:firstLine="472"/>
              <w:jc w:val="both"/>
              <w:rPr>
                <w:rFonts w:hint="default"/>
                <w:bCs/>
                <w:color w:val="auto"/>
                <w:sz w:val="24"/>
                <w:szCs w:val="24"/>
                <w:highlight w:val="none"/>
              </w:rPr>
            </w:pPr>
            <w:r>
              <w:rPr>
                <w:rFonts w:hint="default"/>
                <w:color w:val="auto"/>
                <w:spacing w:val="-2"/>
                <w:sz w:val="24"/>
                <w:highlight w:val="none"/>
                <w:lang w:bidi="ar"/>
              </w:rPr>
              <w:t>惠州市铜鑫新材料科技</w:t>
            </w:r>
            <w:r>
              <w:rPr>
                <w:rFonts w:hint="default"/>
                <w:bCs/>
                <w:color w:val="auto"/>
                <w:sz w:val="24"/>
                <w:szCs w:val="24"/>
                <w:highlight w:val="none"/>
              </w:rPr>
              <w:t>有限公司</w:t>
            </w:r>
            <w:r>
              <w:rPr>
                <w:rFonts w:hint="default"/>
                <w:color w:val="auto"/>
                <w:spacing w:val="-2"/>
                <w:sz w:val="24"/>
                <w:szCs w:val="24"/>
                <w:highlight w:val="none"/>
                <w:lang w:bidi="ar"/>
              </w:rPr>
              <w:t>（以下简称“公司”）</w:t>
            </w:r>
            <w:r>
              <w:rPr>
                <w:rFonts w:hint="default"/>
                <w:bCs/>
                <w:color w:val="auto"/>
                <w:sz w:val="24"/>
                <w:szCs w:val="24"/>
                <w:highlight w:val="none"/>
              </w:rPr>
              <w:t>拟在广东省惠州市博罗县杨侨镇双杨路万洋众创城A12栋1楼建设惠州市铜鑫新材料科技有限公司年产裸铜线500吨、镀锡铜线1500吨建设项目（简称“项目”），地理位置见附图1。</w:t>
            </w:r>
            <w:r>
              <w:rPr>
                <w:rFonts w:hint="eastAsia"/>
                <w:bCs/>
                <w:color w:val="auto"/>
                <w:sz w:val="24"/>
                <w:szCs w:val="24"/>
                <w:highlight w:val="none"/>
              </w:rPr>
              <w:t>项目</w:t>
            </w:r>
            <w:r>
              <w:rPr>
                <w:rFonts w:hint="eastAsia"/>
                <w:bCs/>
                <w:color w:val="auto"/>
                <w:sz w:val="24"/>
                <w:szCs w:val="24"/>
                <w:highlight w:val="none"/>
                <w:lang w:val="en-US" w:eastAsia="zh-CN"/>
              </w:rPr>
              <w:t>租用</w:t>
            </w:r>
            <w:r>
              <w:rPr>
                <w:rFonts w:hint="eastAsia"/>
                <w:bCs/>
                <w:color w:val="auto"/>
                <w:sz w:val="24"/>
                <w:szCs w:val="24"/>
                <w:highlight w:val="none"/>
              </w:rPr>
              <w:t>深圳市柏斯泰电脑配件有限公司A12栋1楼厂房，A12栋总层数为5层，楼高共23.5m。</w:t>
            </w:r>
            <w:r>
              <w:rPr>
                <w:rFonts w:hint="eastAsia"/>
                <w:bCs/>
                <w:color w:val="auto"/>
                <w:sz w:val="24"/>
                <w:szCs w:val="24"/>
                <w:highlight w:val="none"/>
                <w:lang w:val="en-US" w:eastAsia="zh-CN"/>
              </w:rPr>
              <w:t>租赁合同</w:t>
            </w:r>
            <w:r>
              <w:rPr>
                <w:rFonts w:hint="eastAsia"/>
                <w:bCs/>
                <w:color w:val="auto"/>
                <w:sz w:val="24"/>
                <w:szCs w:val="24"/>
                <w:highlight w:val="none"/>
              </w:rPr>
              <w:t>见附件5。</w:t>
            </w:r>
          </w:p>
          <w:p>
            <w:pPr>
              <w:keepNext w:val="0"/>
              <w:keepLines w:val="0"/>
              <w:widowControl/>
              <w:suppressLineNumbers w:val="0"/>
              <w:snapToGrid w:val="0"/>
              <w:spacing w:before="0" w:beforeAutospacing="0" w:after="0" w:afterAutospacing="0" w:line="360" w:lineRule="auto"/>
              <w:ind w:left="0" w:right="0" w:firstLine="480"/>
              <w:jc w:val="both"/>
              <w:rPr>
                <w:rFonts w:hint="default"/>
                <w:bCs/>
                <w:color w:val="auto"/>
                <w:spacing w:val="-2"/>
                <w:sz w:val="24"/>
                <w:highlight w:val="none"/>
              </w:rPr>
            </w:pPr>
            <w:r>
              <w:rPr>
                <w:rFonts w:hint="default"/>
                <w:bCs/>
                <w:color w:val="auto"/>
                <w:sz w:val="24"/>
                <w:szCs w:val="24"/>
                <w:highlight w:val="none"/>
              </w:rPr>
              <w:t>项目占地面积1973.64m</w:t>
            </w:r>
            <w:r>
              <w:rPr>
                <w:rFonts w:hint="default"/>
                <w:bCs/>
                <w:color w:val="auto"/>
                <w:sz w:val="24"/>
                <w:szCs w:val="24"/>
                <w:highlight w:val="none"/>
                <w:vertAlign w:val="superscript"/>
              </w:rPr>
              <w:t>2</w:t>
            </w:r>
            <w:r>
              <w:rPr>
                <w:rFonts w:hint="default"/>
                <w:bCs/>
                <w:color w:val="auto"/>
                <w:sz w:val="24"/>
                <w:szCs w:val="24"/>
                <w:highlight w:val="none"/>
              </w:rPr>
              <w:t>，建筑面积1973.64m</w:t>
            </w:r>
            <w:r>
              <w:rPr>
                <w:rFonts w:hint="default"/>
                <w:bCs/>
                <w:color w:val="auto"/>
                <w:sz w:val="24"/>
                <w:szCs w:val="24"/>
                <w:highlight w:val="none"/>
                <w:vertAlign w:val="superscript"/>
              </w:rPr>
              <w:t>2</w:t>
            </w:r>
            <w:r>
              <w:rPr>
                <w:rFonts w:hint="default"/>
                <w:bCs/>
                <w:color w:val="auto"/>
                <w:sz w:val="24"/>
                <w:szCs w:val="24"/>
                <w:highlight w:val="none"/>
              </w:rPr>
              <w:t>。</w:t>
            </w:r>
            <w:r>
              <w:rPr>
                <w:rFonts w:hint="default"/>
                <w:bCs/>
                <w:color w:val="auto"/>
                <w:spacing w:val="-2"/>
                <w:sz w:val="24"/>
                <w:highlight w:val="none"/>
              </w:rPr>
              <w:t>项目从事</w:t>
            </w:r>
            <w:r>
              <w:rPr>
                <w:rFonts w:hint="default"/>
                <w:color w:val="auto"/>
                <w:sz w:val="24"/>
                <w:szCs w:val="24"/>
                <w:highlight w:val="none"/>
              </w:rPr>
              <w:t>铜线的生产加工</w:t>
            </w:r>
            <w:r>
              <w:rPr>
                <w:rFonts w:hint="default"/>
                <w:bCs/>
                <w:color w:val="auto"/>
                <w:spacing w:val="-2"/>
                <w:sz w:val="24"/>
                <w:highlight w:val="none"/>
              </w:rPr>
              <w:t>，年产</w:t>
            </w:r>
            <w:r>
              <w:rPr>
                <w:rFonts w:hint="default"/>
                <w:color w:val="auto"/>
                <w:sz w:val="24"/>
                <w:highlight w:val="none"/>
              </w:rPr>
              <w:t>裸铜线500吨、镀锡铜线1500吨</w:t>
            </w:r>
            <w:r>
              <w:rPr>
                <w:rFonts w:hint="default"/>
                <w:bCs/>
                <w:color w:val="auto"/>
                <w:spacing w:val="-2"/>
                <w:sz w:val="24"/>
                <w:highlight w:val="none"/>
              </w:rPr>
              <w:t>。员工人数30人，年工作300天，每天2班，每班工作11小时，均不在厂区内食宿</w:t>
            </w:r>
            <w:r>
              <w:rPr>
                <w:rFonts w:hint="default"/>
                <w:color w:val="auto"/>
                <w:sz w:val="24"/>
                <w:highlight w:val="none"/>
              </w:rPr>
              <w:t>。</w:t>
            </w:r>
          </w:p>
          <w:p>
            <w:pPr>
              <w:pStyle w:val="7"/>
              <w:keepNext w:val="0"/>
              <w:keepLines w:val="0"/>
              <w:numPr>
                <w:ilvl w:val="0"/>
                <w:numId w:val="0"/>
              </w:numPr>
              <w:suppressLineNumbers w:val="0"/>
              <w:spacing w:before="0" w:beforeAutospacing="0" w:after="156" w:afterAutospacing="0"/>
              <w:ind w:left="431" w:right="0"/>
              <w:rPr>
                <w:rFonts w:hint="default"/>
                <w:color w:val="auto"/>
                <w:highlight w:val="none"/>
              </w:rPr>
            </w:pPr>
            <w:r>
              <w:rPr>
                <w:rFonts w:hint="default"/>
                <w:color w:val="auto"/>
                <w:highlight w:val="none"/>
              </w:rPr>
              <w:t>2、项目规模</w:t>
            </w:r>
          </w:p>
          <w:p>
            <w:pPr>
              <w:keepNext w:val="0"/>
              <w:keepLines w:val="0"/>
              <w:suppressLineNumbers w:val="0"/>
              <w:adjustRightInd w:val="0"/>
              <w:snapToGrid w:val="0"/>
              <w:spacing w:before="0" w:beforeAutospacing="0" w:after="0" w:afterAutospacing="0" w:line="360" w:lineRule="auto"/>
              <w:ind w:left="0" w:right="0" w:firstLine="480"/>
              <w:rPr>
                <w:rFonts w:hint="default"/>
                <w:color w:val="auto"/>
                <w:highlight w:val="none"/>
              </w:rPr>
            </w:pPr>
            <w:r>
              <w:rPr>
                <w:rFonts w:hint="default"/>
                <w:bCs/>
                <w:color w:val="auto"/>
                <w:sz w:val="24"/>
                <w:highlight w:val="none"/>
                <w:lang w:bidi="ar"/>
              </w:rPr>
              <w:t>项目建设工程组成见下表。</w:t>
            </w:r>
          </w:p>
          <w:p>
            <w:pPr>
              <w:pStyle w:val="69"/>
              <w:keepLines w:val="0"/>
              <w:suppressLineNumbers w:val="0"/>
              <w:spacing w:before="0" w:beforeAutospacing="0" w:after="0" w:afterAutospacing="0" w:line="240" w:lineRule="auto"/>
              <w:ind w:left="0" w:right="0"/>
              <w:rPr>
                <w:rFonts w:hint="default" w:eastAsia="宋体"/>
                <w:b/>
                <w:bCs/>
                <w:color w:val="auto"/>
                <w:szCs w:val="24"/>
                <w:highlight w:val="none"/>
              </w:rPr>
            </w:pPr>
            <w:r>
              <w:rPr>
                <w:rFonts w:hint="default" w:eastAsia="宋体"/>
                <w:b/>
                <w:bCs/>
                <w:color w:val="auto"/>
                <w:szCs w:val="24"/>
                <w:highlight w:val="none"/>
              </w:rPr>
              <w:t>表2-</w:t>
            </w:r>
            <w:r>
              <w:rPr>
                <w:rFonts w:hint="default" w:eastAsia="宋体"/>
                <w:b/>
                <w:bCs/>
                <w:color w:val="auto"/>
                <w:szCs w:val="24"/>
                <w:highlight w:val="none"/>
              </w:rPr>
              <w:fldChar w:fldCharType="begin"/>
            </w:r>
            <w:r>
              <w:rPr>
                <w:rFonts w:hint="default" w:eastAsia="宋体"/>
                <w:b/>
                <w:bCs/>
                <w:color w:val="auto"/>
                <w:szCs w:val="24"/>
                <w:highlight w:val="none"/>
              </w:rPr>
              <w:instrText xml:space="preserve"> SEQ 表 \* ARABIC </w:instrText>
            </w:r>
            <w:r>
              <w:rPr>
                <w:rFonts w:hint="default" w:eastAsia="宋体"/>
                <w:b/>
                <w:bCs/>
                <w:color w:val="auto"/>
                <w:szCs w:val="24"/>
                <w:highlight w:val="none"/>
              </w:rPr>
              <w:fldChar w:fldCharType="separate"/>
            </w:r>
            <w:r>
              <w:rPr>
                <w:rFonts w:hint="default" w:eastAsia="宋体"/>
                <w:b/>
                <w:bCs/>
                <w:color w:val="auto"/>
                <w:szCs w:val="24"/>
                <w:highlight w:val="none"/>
              </w:rPr>
              <w:t>1</w:t>
            </w:r>
            <w:r>
              <w:rPr>
                <w:rFonts w:hint="default" w:eastAsia="宋体"/>
                <w:b/>
                <w:bCs/>
                <w:color w:val="auto"/>
                <w:szCs w:val="24"/>
                <w:highlight w:val="none"/>
              </w:rPr>
              <w:fldChar w:fldCharType="end"/>
            </w:r>
            <w:r>
              <w:rPr>
                <w:rFonts w:hint="default" w:eastAsia="宋体"/>
                <w:b/>
                <w:bCs/>
                <w:color w:val="auto"/>
                <w:szCs w:val="24"/>
                <w:highlight w:val="none"/>
              </w:rPr>
              <w:t xml:space="preserve">  项目工程组成表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609"/>
              <w:gridCol w:w="1263"/>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工程</w:t>
                  </w: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名称</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351" w:type="pc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主体工程</w:t>
                  </w:r>
                </w:p>
              </w:tc>
              <w:tc>
                <w:tcPr>
                  <w:tcW w:w="727" w:type="pc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生产车间</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tabs>
                      <w:tab w:val="left" w:pos="1088"/>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eastAsia="宋体"/>
                      <w:color w:val="auto"/>
                      <w:highlight w:val="none"/>
                      <w:lang w:eastAsia="zh-CN"/>
                    </w:rPr>
                  </w:pPr>
                  <w:r>
                    <w:rPr>
                      <w:rFonts w:hint="default"/>
                      <w:color w:val="auto"/>
                      <w:sz w:val="21"/>
                      <w:highlight w:val="none"/>
                    </w:rPr>
                    <w:t>位于A12栋1楼，</w:t>
                  </w:r>
                  <w:r>
                    <w:rPr>
                      <w:rFonts w:hint="default"/>
                      <w:bCs/>
                      <w:color w:val="auto"/>
                      <w:sz w:val="21"/>
                      <w:highlight w:val="none"/>
                    </w:rPr>
                    <w:t>层高7.5m，</w:t>
                  </w:r>
                  <w:r>
                    <w:rPr>
                      <w:rFonts w:hint="eastAsia"/>
                      <w:bCs/>
                      <w:color w:val="auto"/>
                      <w:sz w:val="21"/>
                      <w:highlight w:val="none"/>
                      <w:lang w:val="en-US" w:eastAsia="zh-CN"/>
                    </w:rPr>
                    <w:t>生产区</w:t>
                  </w:r>
                  <w:r>
                    <w:rPr>
                      <w:rFonts w:hint="eastAsia" w:ascii="Times New Roman" w:hAnsi="Times New Roman" w:eastAsia="宋体" w:cs="Times New Roman"/>
                      <w:bCs/>
                      <w:color w:val="auto"/>
                      <w:sz w:val="21"/>
                      <w:highlight w:val="none"/>
                      <w:lang w:val="en-US" w:eastAsia="zh-CN"/>
                    </w:rPr>
                    <w:t>域</w:t>
                  </w:r>
                  <w:r>
                    <w:rPr>
                      <w:rFonts w:hint="default" w:ascii="Times New Roman" w:hAnsi="Times New Roman" w:eastAsia="宋体" w:cs="Times New Roman"/>
                      <w:bCs/>
                      <w:color w:val="auto"/>
                      <w:sz w:val="21"/>
                      <w:highlight w:val="none"/>
                      <w:lang w:val="en-US" w:eastAsia="zh-CN"/>
                    </w:rPr>
                    <w:t>建筑面积</w:t>
                  </w:r>
                  <w:r>
                    <w:rPr>
                      <w:rFonts w:hint="eastAsia" w:cs="Times New Roman"/>
                      <w:bCs/>
                      <w:color w:val="auto"/>
                      <w:sz w:val="21"/>
                      <w:highlight w:val="none"/>
                      <w:lang w:val="en-US" w:eastAsia="zh-CN"/>
                    </w:rPr>
                    <w:t>525</w:t>
                  </w:r>
                  <w:r>
                    <w:rPr>
                      <w:rFonts w:hint="default" w:ascii="Times New Roman" w:hAnsi="Times New Roman" w:eastAsia="宋体" w:cs="Times New Roman"/>
                      <w:bCs/>
                      <w:color w:val="auto"/>
                      <w:sz w:val="21"/>
                      <w:highlight w:val="none"/>
                      <w:lang w:val="en-US" w:eastAsia="zh-CN"/>
                    </w:rPr>
                    <w:t>m</w:t>
                  </w:r>
                  <w:r>
                    <w:rPr>
                      <w:rFonts w:hint="default" w:ascii="Times New Roman" w:hAnsi="Times New Roman" w:eastAsia="宋体" w:cs="Times New Roman"/>
                      <w:bCs/>
                      <w:color w:val="auto"/>
                      <w:sz w:val="21"/>
                      <w:highlight w:val="none"/>
                      <w:vertAlign w:val="superscript"/>
                      <w:lang w:val="en-US" w:eastAsia="zh-CN"/>
                    </w:rPr>
                    <w:t>2</w:t>
                  </w:r>
                  <w:r>
                    <w:rPr>
                      <w:rFonts w:hint="eastAsia" w:cs="Times New Roman"/>
                      <w:bCs/>
                      <w:color w:val="auto"/>
                      <w:sz w:val="21"/>
                      <w:highlight w:val="none"/>
                      <w:vertAlign w:val="baseline"/>
                      <w:lang w:val="en-US" w:eastAsia="zh-CN"/>
                    </w:rPr>
                    <w:t>，</w:t>
                  </w:r>
                  <w:r>
                    <w:rPr>
                      <w:rFonts w:hint="default"/>
                      <w:color w:val="auto"/>
                      <w:kern w:val="2"/>
                      <w:sz w:val="21"/>
                      <w:highlight w:val="none"/>
                    </w:rPr>
                    <w:t>内设大拉丝区</w:t>
                  </w:r>
                  <w:r>
                    <w:rPr>
                      <w:rFonts w:hint="eastAsia"/>
                      <w:color w:val="auto"/>
                      <w:kern w:val="2"/>
                      <w:sz w:val="21"/>
                      <w:highlight w:val="none"/>
                    </w:rPr>
                    <w:t>55㎡</w:t>
                  </w:r>
                  <w:r>
                    <w:rPr>
                      <w:rFonts w:hint="default"/>
                      <w:color w:val="auto"/>
                      <w:kern w:val="2"/>
                      <w:sz w:val="21"/>
                      <w:highlight w:val="none"/>
                    </w:rPr>
                    <w:t>、中拉丝区</w:t>
                  </w:r>
                  <w:r>
                    <w:rPr>
                      <w:rFonts w:hint="eastAsia"/>
                      <w:color w:val="auto"/>
                      <w:kern w:val="2"/>
                      <w:sz w:val="21"/>
                      <w:highlight w:val="none"/>
                    </w:rPr>
                    <w:t>80㎡</w:t>
                  </w:r>
                  <w:r>
                    <w:rPr>
                      <w:rFonts w:hint="default"/>
                      <w:color w:val="auto"/>
                      <w:kern w:val="2"/>
                      <w:sz w:val="21"/>
                      <w:highlight w:val="none"/>
                    </w:rPr>
                    <w:t>、小拉丝区</w:t>
                  </w:r>
                  <w:r>
                    <w:rPr>
                      <w:rFonts w:hint="eastAsia"/>
                      <w:color w:val="auto"/>
                      <w:kern w:val="2"/>
                      <w:sz w:val="21"/>
                      <w:highlight w:val="none"/>
                    </w:rPr>
                    <w:t>200㎡</w:t>
                  </w:r>
                  <w:r>
                    <w:rPr>
                      <w:rFonts w:hint="default"/>
                      <w:color w:val="auto"/>
                      <w:kern w:val="2"/>
                      <w:sz w:val="21"/>
                      <w:highlight w:val="none"/>
                    </w:rPr>
                    <w:t>、退火区</w:t>
                  </w:r>
                  <w:r>
                    <w:rPr>
                      <w:rFonts w:hint="eastAsia"/>
                      <w:color w:val="auto"/>
                      <w:kern w:val="2"/>
                      <w:sz w:val="21"/>
                      <w:highlight w:val="none"/>
                    </w:rPr>
                    <w:t>120㎡</w:t>
                  </w:r>
                  <w:r>
                    <w:rPr>
                      <w:rFonts w:hint="default"/>
                      <w:color w:val="auto"/>
                      <w:kern w:val="2"/>
                      <w:sz w:val="21"/>
                      <w:highlight w:val="none"/>
                    </w:rPr>
                    <w:t>和</w:t>
                  </w:r>
                  <w:r>
                    <w:rPr>
                      <w:rFonts w:hint="eastAsia" w:ascii="Times New Roman" w:hAnsi="Times New Roman" w:eastAsia="宋体" w:cs="Times New Roman"/>
                      <w:bCs/>
                      <w:color w:val="auto"/>
                      <w:sz w:val="21"/>
                      <w:highlight w:val="none"/>
                      <w:lang w:val="en-US" w:eastAsia="zh-CN"/>
                    </w:rPr>
                    <w:t>热浸漆</w:t>
                  </w:r>
                  <w:r>
                    <w:rPr>
                      <w:rFonts w:hint="default" w:ascii="Times New Roman" w:hAnsi="Times New Roman" w:eastAsia="宋体" w:cs="Times New Roman"/>
                      <w:bCs/>
                      <w:color w:val="auto"/>
                      <w:sz w:val="21"/>
                      <w:highlight w:val="none"/>
                      <w:lang w:val="en-US" w:eastAsia="zh-CN"/>
                    </w:rPr>
                    <w:t>区</w:t>
                  </w:r>
                  <w:r>
                    <w:rPr>
                      <w:rFonts w:hint="eastAsia" w:ascii="Times New Roman" w:hAnsi="Times New Roman" w:eastAsia="宋体" w:cs="Times New Roman"/>
                      <w:bCs/>
                      <w:color w:val="auto"/>
                      <w:sz w:val="21"/>
                      <w:highlight w:val="none"/>
                      <w:lang w:val="en-US" w:eastAsia="zh-CN"/>
                    </w:rPr>
                    <w:t>70㎡。</w:t>
                  </w:r>
                </w:p>
                <w:p>
                  <w:pPr>
                    <w:keepNext w:val="0"/>
                    <w:keepLines w:val="0"/>
                    <w:pageBreakBefore w:val="0"/>
                    <w:widowControl w:val="0"/>
                    <w:suppressLineNumbers w:val="0"/>
                    <w:tabs>
                      <w:tab w:val="left" w:pos="1088"/>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eastAsia="宋体"/>
                      <w:color w:val="auto"/>
                      <w:highlight w:val="none"/>
                      <w:lang w:val="en-US" w:eastAsia="zh-CN"/>
                    </w:rPr>
                  </w:pPr>
                  <w:r>
                    <w:rPr>
                      <w:rFonts w:hint="eastAsia" w:ascii="Times New Roman" w:hAnsi="Times New Roman" w:eastAsia="宋体" w:cs="Times New Roman"/>
                      <w:bCs/>
                      <w:color w:val="auto"/>
                      <w:sz w:val="21"/>
                      <w:highlight w:val="none"/>
                      <w:lang w:val="en-US" w:eastAsia="zh-CN"/>
                    </w:rPr>
                    <w:t>其他建筑面积1448.64㎡，为办公区、原料仓库、成品仓库、通道、洗手间、茶水间等</w:t>
                  </w:r>
                  <w:r>
                    <w:rPr>
                      <w:rFonts w:hint="eastAsia" w:cs="Times New Roman"/>
                      <w:bCs/>
                      <w:color w:val="auto"/>
                      <w:sz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辅助工程</w:t>
                  </w: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办公区</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位于A12栋1楼西侧，</w:t>
                  </w:r>
                  <w:r>
                    <w:rPr>
                      <w:rFonts w:hint="eastAsia"/>
                      <w:color w:val="auto"/>
                      <w:kern w:val="2"/>
                      <w:sz w:val="21"/>
                      <w:highlight w:val="none"/>
                      <w:lang w:val="en-US" w:eastAsia="zh-CN"/>
                    </w:rPr>
                    <w:t>建筑</w:t>
                  </w:r>
                  <w:r>
                    <w:rPr>
                      <w:rFonts w:hint="default"/>
                      <w:color w:val="auto"/>
                      <w:kern w:val="2"/>
                      <w:sz w:val="21"/>
                      <w:highlight w:val="none"/>
                    </w:rPr>
                    <w:t>面积为60m</w:t>
                  </w:r>
                  <w:r>
                    <w:rPr>
                      <w:rFonts w:hint="default"/>
                      <w:color w:val="auto"/>
                      <w:kern w:val="2"/>
                      <w:sz w:val="21"/>
                      <w:highlight w:val="none"/>
                      <w:vertAlign w:val="superscript"/>
                    </w:rPr>
                    <w:t>2</w:t>
                  </w:r>
                  <w:r>
                    <w:rPr>
                      <w:rFonts w:hint="default"/>
                      <w:color w:val="auto"/>
                      <w:kern w:val="2"/>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restar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储运工程</w:t>
                  </w: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原材料仓</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位于A12栋1楼西北侧，</w:t>
                  </w:r>
                  <w:r>
                    <w:rPr>
                      <w:rFonts w:hint="eastAsia"/>
                      <w:color w:val="auto"/>
                      <w:kern w:val="2"/>
                      <w:sz w:val="21"/>
                      <w:highlight w:val="none"/>
                      <w:lang w:val="en-US" w:eastAsia="zh-CN"/>
                    </w:rPr>
                    <w:t>建筑</w:t>
                  </w:r>
                  <w:r>
                    <w:rPr>
                      <w:rFonts w:hint="default"/>
                      <w:color w:val="auto"/>
                      <w:kern w:val="2"/>
                      <w:sz w:val="21"/>
                      <w:highlight w:val="none"/>
                    </w:rPr>
                    <w:t>面积为80m</w:t>
                  </w:r>
                  <w:r>
                    <w:rPr>
                      <w:rFonts w:hint="default"/>
                      <w:color w:val="auto"/>
                      <w:kern w:val="2"/>
                      <w:sz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成品仓库</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位于A12栋1楼西北侧，</w:t>
                  </w:r>
                  <w:r>
                    <w:rPr>
                      <w:rFonts w:hint="eastAsia"/>
                      <w:color w:val="auto"/>
                      <w:kern w:val="2"/>
                      <w:sz w:val="21"/>
                      <w:highlight w:val="none"/>
                      <w:lang w:val="en-US" w:eastAsia="zh-CN"/>
                    </w:rPr>
                    <w:t>建筑</w:t>
                  </w:r>
                  <w:r>
                    <w:rPr>
                      <w:rFonts w:hint="default"/>
                      <w:color w:val="auto"/>
                      <w:kern w:val="2"/>
                      <w:sz w:val="21"/>
                      <w:highlight w:val="none"/>
                    </w:rPr>
                    <w:t>面积为80m</w:t>
                  </w:r>
                  <w:r>
                    <w:rPr>
                      <w:rFonts w:hint="default"/>
                      <w:color w:val="auto"/>
                      <w:kern w:val="2"/>
                      <w:sz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物料暂存区</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eastAsia="宋体"/>
                      <w:color w:val="auto"/>
                      <w:kern w:val="2"/>
                      <w:sz w:val="21"/>
                      <w:highlight w:val="none"/>
                      <w:lang w:val="en-US" w:eastAsia="zh-CN"/>
                    </w:rPr>
                  </w:pPr>
                  <w:r>
                    <w:rPr>
                      <w:rFonts w:hint="eastAsia"/>
                      <w:color w:val="auto"/>
                      <w:kern w:val="2"/>
                      <w:sz w:val="21"/>
                      <w:highlight w:val="none"/>
                      <w:lang w:val="en-US" w:eastAsia="zh-CN"/>
                    </w:rPr>
                    <w:t>位于A12栋1楼东侧，建筑面积为100㎡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351"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公共工程</w:t>
                  </w: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给水系统</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由市政供水管网提供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排水系统</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雨污分流，雨水排入市政雨水管网，生活污水经三级化粪池处理后排入市政污水管网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供电系统</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市政供电，项目内不设备用发电机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8" w:hRule="atLeast"/>
                <w:jc w:val="center"/>
              </w:trPr>
              <w:tc>
                <w:tcPr>
                  <w:tcW w:w="351" w:type="pct"/>
                  <w:vMerge w:val="restar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环保工程</w:t>
                  </w:r>
                </w:p>
              </w:tc>
              <w:tc>
                <w:tcPr>
                  <w:tcW w:w="727" w:type="pc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废气治理</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项目</w:t>
                  </w:r>
                  <w:r>
                    <w:rPr>
                      <w:rFonts w:hint="eastAsia"/>
                      <w:color w:val="auto"/>
                      <w:kern w:val="2"/>
                      <w:sz w:val="21"/>
                      <w:highlight w:val="none"/>
                      <w:lang w:val="en-US" w:eastAsia="zh-CN"/>
                    </w:rPr>
                    <w:t>退火工序和热浸锡</w:t>
                  </w:r>
                  <w:r>
                    <w:rPr>
                      <w:rFonts w:hint="default"/>
                      <w:color w:val="auto"/>
                      <w:kern w:val="2"/>
                      <w:sz w:val="21"/>
                      <w:highlight w:val="none"/>
                    </w:rPr>
                    <w:t>工序产生的废气经集气罩收集，经“水喷淋+干式过滤器+二级活性炭吸附装置”处理后通过</w:t>
                  </w:r>
                  <w:r>
                    <w:rPr>
                      <w:rFonts w:hint="eastAsia"/>
                      <w:color w:val="auto"/>
                      <w:kern w:val="2"/>
                      <w:sz w:val="21"/>
                      <w:highlight w:val="none"/>
                    </w:rPr>
                    <w:t>1根25m高</w:t>
                  </w:r>
                  <w:r>
                    <w:rPr>
                      <w:rFonts w:hint="default"/>
                      <w:color w:val="auto"/>
                      <w:kern w:val="2"/>
                      <w:sz w:val="21"/>
                      <w:highlight w:val="none"/>
                    </w:rPr>
                    <w:t>排气筒（DA001）达标排放。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vMerge w:val="restart"/>
                  <w:tcBorders>
                    <w:top w:val="single" w:color="auto" w:sz="4" w:space="0"/>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废水治理</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生活污水：三级化粪池预处理后排入市政污水管网，纳入杨侨镇生活污水处理厂深度处理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351" w:type="pct"/>
                  <w:vMerge w:val="continue"/>
                  <w:tcBorders>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vMerge w:val="continue"/>
                  <w:tcBorders>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suppressLineNumbers w:val="0"/>
                    <w:tabs>
                      <w:tab w:val="left" w:pos="1088"/>
                    </w:tabs>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kern w:val="2"/>
                      <w:sz w:val="21"/>
                      <w:highlight w:val="none"/>
                    </w:rPr>
                  </w:pPr>
                  <w:r>
                    <w:rPr>
                      <w:rFonts w:hint="default"/>
                      <w:color w:val="auto"/>
                      <w:kern w:val="2"/>
                      <w:sz w:val="21"/>
                      <w:highlight w:val="none"/>
                    </w:rPr>
                    <w:t>1、退火机冷却水槽用水：退火机冷却水经一体化处理设施</w:t>
                  </w:r>
                  <w:r>
                    <w:rPr>
                      <w:rFonts w:hint="eastAsia"/>
                      <w:color w:val="auto"/>
                      <w:kern w:val="2"/>
                      <w:sz w:val="21"/>
                      <w:highlight w:val="none"/>
                      <w:lang w:eastAsia="zh-CN"/>
                    </w:rPr>
                    <w:t>（</w:t>
                  </w:r>
                  <w:r>
                    <w:rPr>
                      <w:rFonts w:hint="eastAsia"/>
                      <w:color w:val="auto"/>
                      <w:kern w:val="2"/>
                      <w:sz w:val="21"/>
                      <w:highlight w:val="none"/>
                      <w:lang w:val="en-US" w:eastAsia="zh-CN"/>
                    </w:rPr>
                    <w:t>日处理规模为1t</w:t>
                  </w:r>
                  <w:r>
                    <w:rPr>
                      <w:rFonts w:hint="eastAsia"/>
                      <w:color w:val="auto"/>
                      <w:kern w:val="2"/>
                      <w:sz w:val="21"/>
                      <w:highlight w:val="none"/>
                      <w:lang w:eastAsia="zh-CN"/>
                    </w:rPr>
                    <w:t>）</w:t>
                  </w:r>
                  <w:r>
                    <w:rPr>
                      <w:rFonts w:hint="default"/>
                      <w:color w:val="auto"/>
                      <w:kern w:val="2"/>
                      <w:sz w:val="21"/>
                      <w:highlight w:val="none"/>
                    </w:rPr>
                    <w:t>处理后回用退火机冷却水槽</w:t>
                  </w:r>
                  <w:r>
                    <w:rPr>
                      <w:rFonts w:hint="eastAsia"/>
                      <w:color w:val="auto"/>
                      <w:kern w:val="2"/>
                      <w:sz w:val="21"/>
                      <w:highlight w:val="none"/>
                      <w:lang w:eastAsia="zh-CN"/>
                    </w:rPr>
                    <w:t>，</w:t>
                  </w:r>
                  <w:r>
                    <w:rPr>
                      <w:rFonts w:hint="eastAsia"/>
                      <w:color w:val="auto"/>
                      <w:kern w:val="2"/>
                      <w:sz w:val="21"/>
                      <w:highlight w:val="none"/>
                      <w:lang w:val="en-US" w:eastAsia="zh-CN"/>
                    </w:rPr>
                    <w:t>不外排</w:t>
                  </w:r>
                  <w:r>
                    <w:rPr>
                      <w:rFonts w:hint="default"/>
                      <w:color w:val="auto"/>
                      <w:kern w:val="2"/>
                      <w:sz w:val="21"/>
                      <w:highlight w:val="none"/>
                    </w:rPr>
                    <w:t>。</w:t>
                  </w:r>
                </w:p>
                <w:p>
                  <w:pPr>
                    <w:keepNext w:val="0"/>
                    <w:keepLines w:val="0"/>
                    <w:pageBreakBefore w:val="0"/>
                    <w:suppressLineNumbers w:val="0"/>
                    <w:tabs>
                      <w:tab w:val="left" w:pos="9210"/>
                    </w:tabs>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color w:val="auto"/>
                      <w:sz w:val="24"/>
                      <w:szCs w:val="24"/>
                      <w:highlight w:val="none"/>
                    </w:rPr>
                  </w:pPr>
                  <w:r>
                    <w:rPr>
                      <w:rFonts w:hint="eastAsia"/>
                      <w:color w:val="auto"/>
                      <w:sz w:val="21"/>
                      <w:szCs w:val="21"/>
                      <w:highlight w:val="none"/>
                      <w:lang w:val="en-US" w:eastAsia="zh-CN"/>
                    </w:rPr>
                    <w:t>2、项目</w:t>
                  </w:r>
                  <w:r>
                    <w:rPr>
                      <w:rFonts w:hint="eastAsia"/>
                      <w:color w:val="auto"/>
                      <w:sz w:val="21"/>
                      <w:szCs w:val="21"/>
                      <w:highlight w:val="none"/>
                      <w:lang w:eastAsia="zh-CN"/>
                    </w:rPr>
                    <w:t>5%的助焊剂溶液（0.9t/a）被毛毡吸附，废毛毡在厂区危险废物暂存间暂存，定期交由有资质的单位处置，不外排；95%的助焊剂溶液（17.1t/a）粘附在铜线上，进入锡炉后全部</w:t>
                  </w:r>
                  <w:r>
                    <w:rPr>
                      <w:rFonts w:hint="eastAsia"/>
                      <w:color w:val="auto"/>
                      <w:sz w:val="21"/>
                      <w:szCs w:val="21"/>
                      <w:highlight w:val="none"/>
                      <w:lang w:val="en-US" w:eastAsia="zh-CN"/>
                    </w:rPr>
                    <w:t>蒸发</w:t>
                  </w:r>
                  <w:r>
                    <w:rPr>
                      <w:rFonts w:hint="eastAsia"/>
                      <w:color w:val="auto"/>
                      <w:sz w:val="21"/>
                      <w:szCs w:val="21"/>
                      <w:highlight w:val="none"/>
                      <w:lang w:eastAsia="zh-CN"/>
                    </w:rPr>
                    <w:t>，不外排。</w:t>
                  </w:r>
                </w:p>
                <w:p>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3、调配后的拉丝液循环使用，拉丝油废液产生量为</w:t>
                  </w:r>
                  <w:r>
                    <w:rPr>
                      <w:rFonts w:hint="eastAsia" w:cs="Times New Roman"/>
                      <w:color w:val="auto"/>
                      <w:sz w:val="21"/>
                      <w:szCs w:val="21"/>
                      <w:highlight w:val="none"/>
                      <w:lang w:val="en-US" w:eastAsia="zh-CN" w:bidi="ar-SA"/>
                    </w:rPr>
                    <w:t>3.8</w:t>
                  </w:r>
                  <w:r>
                    <w:rPr>
                      <w:rFonts w:hint="eastAsia" w:ascii="Times New Roman" w:hAnsi="Times New Roman" w:eastAsia="宋体" w:cs="Times New Roman"/>
                      <w:color w:val="auto"/>
                      <w:sz w:val="21"/>
                      <w:szCs w:val="21"/>
                      <w:highlight w:val="none"/>
                      <w:lang w:val="en-US" w:eastAsia="zh-CN" w:bidi="ar-SA"/>
                    </w:rPr>
                    <w:t>t/a，产生的废拉丝油定期交由有资质单位处置，</w:t>
                  </w:r>
                  <w:r>
                    <w:rPr>
                      <w:rFonts w:hint="default" w:ascii="Times New Roman" w:hAnsi="Times New Roman" w:eastAsia="宋体" w:cs="Times New Roman"/>
                      <w:color w:val="auto"/>
                      <w:sz w:val="21"/>
                      <w:szCs w:val="21"/>
                      <w:highlight w:val="none"/>
                      <w:lang w:val="en-US" w:eastAsia="zh-CN" w:bidi="ar-SA"/>
                    </w:rPr>
                    <w:t>不外排。</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4、喷淋塔用水循环使用，更换废水量为3m³/a，定</w:t>
                  </w:r>
                  <w:r>
                    <w:rPr>
                      <w:rFonts w:hint="eastAsia" w:ascii="Times New Roman" w:hAnsi="Times New Roman" w:eastAsia="宋体" w:cs="Times New Roman"/>
                      <w:color w:val="auto"/>
                      <w:sz w:val="21"/>
                      <w:szCs w:val="21"/>
                      <w:highlight w:val="none"/>
                      <w:lang w:val="en-US" w:eastAsia="zh-CN" w:bidi="ar-SA"/>
                    </w:rPr>
                    <w:t>期交由有资质单位</w:t>
                  </w:r>
                  <w:r>
                    <w:rPr>
                      <w:rFonts w:hint="eastAsia" w:cs="Times New Roman"/>
                      <w:color w:val="auto"/>
                      <w:sz w:val="21"/>
                      <w:szCs w:val="21"/>
                      <w:highlight w:val="none"/>
                      <w:lang w:val="en-US" w:eastAsia="zh-CN" w:bidi="ar-SA"/>
                    </w:rPr>
                    <w:t>处置</w:t>
                  </w:r>
                  <w:r>
                    <w:rPr>
                      <w:rFonts w:hint="eastAsia" w:ascii="Times New Roman" w:hAnsi="Times New Roman" w:eastAsia="宋体" w:cs="Times New Roman"/>
                      <w:color w:val="auto"/>
                      <w:sz w:val="21"/>
                      <w:szCs w:val="21"/>
                      <w:highlight w:val="none"/>
                      <w:lang w:val="en-US" w:eastAsia="zh-CN" w:bidi="ar-SA"/>
                    </w:rPr>
                    <w:t>，不外排。</w:t>
                  </w:r>
                </w:p>
                <w:p>
                  <w:pPr>
                    <w:keepNext w:val="0"/>
                    <w:keepLines w:val="0"/>
                    <w:pageBreakBefore w:val="0"/>
                    <w:suppressLineNumbers w:val="0"/>
                    <w:tabs>
                      <w:tab w:val="left" w:pos="9210"/>
                    </w:tabs>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default"/>
                      <w:color w:val="auto"/>
                      <w:kern w:val="2"/>
                      <w:sz w:val="21"/>
                      <w:highlight w:val="none"/>
                    </w:rPr>
                  </w:pPr>
                  <w:r>
                    <w:rPr>
                      <w:rFonts w:hint="eastAsia" w:ascii="Times New Roman" w:hAnsi="Times New Roman" w:eastAsia="宋体" w:cs="Times New Roman"/>
                      <w:color w:val="auto"/>
                      <w:sz w:val="21"/>
                      <w:szCs w:val="21"/>
                      <w:highlight w:val="none"/>
                      <w:lang w:val="en-US" w:eastAsia="zh-CN" w:bidi="ar-SA"/>
                    </w:rPr>
                    <w:t>5、冷却塔间接冷却水循环使用，不外排。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噪声治理</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降噪、隔声、减振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351" w:type="pct"/>
                  <w:vMerge w:val="continue"/>
                  <w:tcBorders>
                    <w:left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72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固废治理</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设置</w:t>
                  </w:r>
                  <w:r>
                    <w:rPr>
                      <w:rFonts w:hint="eastAsia"/>
                      <w:color w:val="auto"/>
                      <w:kern w:val="2"/>
                      <w:sz w:val="21"/>
                      <w:highlight w:val="none"/>
                      <w:lang w:val="en-US" w:eastAsia="zh-CN"/>
                    </w:rPr>
                    <w:t>1个</w:t>
                  </w:r>
                  <w:r>
                    <w:rPr>
                      <w:rFonts w:hint="default"/>
                      <w:color w:val="auto"/>
                      <w:kern w:val="2"/>
                      <w:sz w:val="21"/>
                      <w:highlight w:val="none"/>
                    </w:rPr>
                    <w:t>15m</w:t>
                  </w:r>
                  <w:r>
                    <w:rPr>
                      <w:rFonts w:hint="default"/>
                      <w:color w:val="auto"/>
                      <w:kern w:val="2"/>
                      <w:sz w:val="21"/>
                      <w:highlight w:val="none"/>
                      <w:vertAlign w:val="superscript"/>
                    </w:rPr>
                    <w:t>2</w:t>
                  </w:r>
                  <w:r>
                    <w:rPr>
                      <w:rFonts w:hint="eastAsia"/>
                      <w:color w:val="auto"/>
                      <w:kern w:val="2"/>
                      <w:sz w:val="21"/>
                      <w:highlight w:val="none"/>
                    </w:rPr>
                    <w:t>一般固废间</w:t>
                  </w:r>
                  <w:r>
                    <w:rPr>
                      <w:rFonts w:hint="default"/>
                      <w:color w:val="auto"/>
                      <w:kern w:val="2"/>
                      <w:sz w:val="21"/>
                      <w:highlight w:val="none"/>
                    </w:rPr>
                    <w:t>和</w:t>
                  </w:r>
                  <w:r>
                    <w:rPr>
                      <w:rFonts w:hint="eastAsia"/>
                      <w:color w:val="auto"/>
                      <w:kern w:val="2"/>
                      <w:sz w:val="21"/>
                      <w:highlight w:val="none"/>
                      <w:lang w:val="en-US" w:eastAsia="zh-CN"/>
                    </w:rPr>
                    <w:t>1个20</w:t>
                  </w:r>
                  <w:r>
                    <w:rPr>
                      <w:rFonts w:hint="default"/>
                      <w:color w:val="auto"/>
                      <w:kern w:val="2"/>
                      <w:sz w:val="21"/>
                      <w:highlight w:val="none"/>
                    </w:rPr>
                    <w:t>m</w:t>
                  </w:r>
                  <w:r>
                    <w:rPr>
                      <w:rFonts w:hint="default"/>
                      <w:color w:val="auto"/>
                      <w:kern w:val="2"/>
                      <w:sz w:val="21"/>
                      <w:highlight w:val="none"/>
                      <w:vertAlign w:val="superscript"/>
                    </w:rPr>
                    <w:t>2</w:t>
                  </w:r>
                  <w:r>
                    <w:rPr>
                      <w:rFonts w:hint="default"/>
                      <w:color w:val="auto"/>
                      <w:kern w:val="2"/>
                      <w:sz w:val="21"/>
                      <w:highlight w:val="none"/>
                    </w:rPr>
                    <w:t>危废暂存间，均位于生产车间西南侧。</w:t>
                  </w:r>
                  <w:r>
                    <w:rPr>
                      <w:rFonts w:hint="default"/>
                      <w:bCs/>
                      <w:color w:val="auto"/>
                      <w:sz w:val="21"/>
                      <w:highlight w:val="none"/>
                    </w:rPr>
                    <w:t>一般固废交专业回收单位回收处理，危险废物由有资质的单位进行处置。</w:t>
                  </w:r>
                  <w:r>
                    <w:rPr>
                      <w:rFonts w:hint="default"/>
                      <w:color w:val="auto"/>
                      <w:kern w:val="2"/>
                      <w:sz w:val="21"/>
                      <w:highlight w:val="none"/>
                    </w:rPr>
                    <w:t>生活垃圾经收集后交环卫部门清运处理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1078" w:type="pct"/>
                  <w:gridSpan w:val="2"/>
                  <w:tcBorders>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highlight w:val="none"/>
                    </w:rPr>
                  </w:pPr>
                  <w:r>
                    <w:rPr>
                      <w:rFonts w:hint="eastAsia"/>
                      <w:color w:val="auto"/>
                      <w:sz w:val="21"/>
                      <w:highlight w:val="none"/>
                    </w:rPr>
                    <w:t>依托工程</w:t>
                  </w:r>
                </w:p>
              </w:tc>
              <w:tc>
                <w:tcPr>
                  <w:tcW w:w="392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eastAsia"/>
                      <w:color w:val="auto"/>
                      <w:sz w:val="21"/>
                      <w:highlight w:val="none"/>
                    </w:rPr>
                    <w:t>生活污水经三级化粪池预处理后，</w:t>
                  </w:r>
                  <w:r>
                    <w:rPr>
                      <w:rFonts w:hint="eastAsia"/>
                      <w:color w:val="auto"/>
                      <w:sz w:val="21"/>
                      <w:highlight w:val="none"/>
                      <w:lang w:bidi="ar"/>
                    </w:rPr>
                    <w:t>依</w:t>
                  </w:r>
                  <w:r>
                    <w:rPr>
                      <w:rFonts w:hint="eastAsia"/>
                      <w:color w:val="auto"/>
                      <w:sz w:val="21"/>
                      <w:highlight w:val="none"/>
                    </w:rPr>
                    <w:t>托杨侨镇生活污水处理厂处理后排入南蛇沥，汇入公庄河</w:t>
                  </w:r>
                  <w:r>
                    <w:rPr>
                      <w:rFonts w:hint="eastAsia"/>
                      <w:color w:val="auto"/>
                      <w:sz w:val="21"/>
                      <w:highlight w:val="none"/>
                      <w:lang w:eastAsia="zh-CN"/>
                    </w:rPr>
                    <w:t>，</w:t>
                  </w:r>
                  <w:r>
                    <w:rPr>
                      <w:rFonts w:hint="eastAsia"/>
                      <w:color w:val="auto"/>
                      <w:sz w:val="21"/>
                      <w:highlight w:val="none"/>
                      <w:lang w:val="en-US" w:eastAsia="zh-CN"/>
                    </w:rPr>
                    <w:t>最后汇入东江</w:t>
                  </w:r>
                  <w:r>
                    <w:rPr>
                      <w:rFonts w:hint="eastAsia"/>
                      <w:color w:val="auto"/>
                      <w:sz w:val="21"/>
                      <w:highlight w:val="none"/>
                    </w:rPr>
                    <w:t>。</w:t>
                  </w:r>
                </w:p>
              </w:tc>
            </w:tr>
          </w:tbl>
          <w:p>
            <w:pPr>
              <w:pStyle w:val="7"/>
              <w:keepNext w:val="0"/>
              <w:keepLines w:val="0"/>
              <w:numPr>
                <w:ilvl w:val="0"/>
                <w:numId w:val="0"/>
              </w:numPr>
              <w:suppressLineNumbers w:val="0"/>
              <w:spacing w:before="156" w:beforeLines="50" w:beforeAutospacing="0" w:after="0" w:afterLines="0" w:afterAutospacing="0"/>
              <w:ind w:left="431" w:right="0"/>
              <w:rPr>
                <w:rFonts w:hint="default"/>
                <w:color w:val="auto"/>
                <w:highlight w:val="none"/>
              </w:rPr>
            </w:pPr>
            <w:r>
              <w:rPr>
                <w:rFonts w:hint="default"/>
                <w:color w:val="auto"/>
                <w:highlight w:val="none"/>
              </w:rPr>
              <w:t>3、主要产品及产能</w:t>
            </w:r>
          </w:p>
          <w:p>
            <w:pPr>
              <w:pStyle w:val="69"/>
              <w:keepLines w:val="0"/>
              <w:suppressLineNumbers w:val="0"/>
              <w:spacing w:before="0" w:beforeAutospacing="0" w:after="0" w:afterAutospacing="0" w:line="240" w:lineRule="auto"/>
              <w:ind w:left="0" w:right="0"/>
              <w:rPr>
                <w:rFonts w:hint="default" w:eastAsia="宋体"/>
                <w:b/>
                <w:bCs/>
                <w:color w:val="auto"/>
                <w:szCs w:val="24"/>
                <w:highlight w:val="none"/>
              </w:rPr>
            </w:pPr>
            <w:r>
              <w:rPr>
                <w:rFonts w:hint="default" w:eastAsia="宋体"/>
                <w:b/>
                <w:bCs/>
                <w:color w:val="auto"/>
                <w:szCs w:val="24"/>
                <w:highlight w:val="none"/>
              </w:rPr>
              <w:t>表2-2  项目主要产品产量一览表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248"/>
              <w:gridCol w:w="1576"/>
              <w:gridCol w:w="934"/>
              <w:gridCol w:w="3249"/>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序号</w:t>
                  </w:r>
                </w:p>
              </w:tc>
              <w:tc>
                <w:tcPr>
                  <w:tcW w:w="71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产品名称</w:t>
                  </w:r>
                </w:p>
              </w:tc>
              <w:tc>
                <w:tcPr>
                  <w:tcW w:w="90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规格</w:t>
                  </w:r>
                </w:p>
              </w:tc>
              <w:tc>
                <w:tcPr>
                  <w:tcW w:w="53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年产量（t）</w:t>
                  </w:r>
                </w:p>
              </w:tc>
              <w:tc>
                <w:tcPr>
                  <w:tcW w:w="187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产品照片</w:t>
                  </w:r>
                </w:p>
              </w:tc>
              <w:tc>
                <w:tcPr>
                  <w:tcW w:w="7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eastAsia"/>
                      <w:b/>
                      <w:bCs/>
                      <w:color w:val="auto"/>
                      <w:kern w:val="2"/>
                      <w:sz w:val="21"/>
                      <w:highlight w:val="none"/>
                    </w:rPr>
                    <w:t>产品用途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71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裸铜线</w:t>
                  </w:r>
                </w:p>
              </w:tc>
              <w:tc>
                <w:tcPr>
                  <w:tcW w:w="90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直径</w:t>
                  </w:r>
                  <w:r>
                    <w:rPr>
                      <w:rFonts w:hint="default"/>
                      <w:color w:val="auto"/>
                      <w:kern w:val="2"/>
                      <w:sz w:val="21"/>
                      <w:highlight w:val="none"/>
                    </w:rPr>
                    <w:t>0.05~1.0mm</w:t>
                  </w:r>
                </w:p>
              </w:tc>
              <w:tc>
                <w:tcPr>
                  <w:tcW w:w="53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500</w:t>
                  </w:r>
                </w:p>
              </w:tc>
              <w:tc>
                <w:tcPr>
                  <w:tcW w:w="187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highlight w:val="none"/>
                    </w:rPr>
                    <w:drawing>
                      <wp:inline distT="0" distB="0" distL="114300" distR="114300">
                        <wp:extent cx="1791970" cy="1122680"/>
                        <wp:effectExtent l="0" t="0" r="17780" b="127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pic:cNvPicPr>
                              </pic:nvPicPr>
                              <pic:blipFill>
                                <a:blip r:embed="rId19"/>
                                <a:stretch>
                                  <a:fillRect/>
                                </a:stretch>
                              </pic:blipFill>
                              <pic:spPr>
                                <a:xfrm>
                                  <a:off x="0" y="0"/>
                                  <a:ext cx="1791970" cy="1122680"/>
                                </a:xfrm>
                                <a:prstGeom prst="rect">
                                  <a:avLst/>
                                </a:prstGeom>
                                <a:noFill/>
                                <a:ln>
                                  <a:noFill/>
                                </a:ln>
                              </pic:spPr>
                            </pic:pic>
                          </a:graphicData>
                        </a:graphic>
                      </wp:inline>
                    </w:drawing>
                  </w:r>
                </w:p>
              </w:tc>
              <w:tc>
                <w:tcPr>
                  <w:tcW w:w="718" w:type="pct"/>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highlight w:val="none"/>
                    </w:rPr>
                  </w:pPr>
                  <w:r>
                    <w:rPr>
                      <w:rFonts w:hint="eastAsia"/>
                      <w:color w:val="auto"/>
                      <w:kern w:val="2"/>
                      <w:sz w:val="21"/>
                      <w:highlight w:val="none"/>
                    </w:rPr>
                    <w:t>用于制造电线电缆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71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镀锡铜线</w:t>
                  </w:r>
                </w:p>
              </w:tc>
              <w:tc>
                <w:tcPr>
                  <w:tcW w:w="90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直径</w:t>
                  </w:r>
                  <w:r>
                    <w:rPr>
                      <w:rFonts w:hint="default"/>
                      <w:color w:val="auto"/>
                      <w:kern w:val="2"/>
                      <w:sz w:val="21"/>
                      <w:highlight w:val="none"/>
                    </w:rPr>
                    <w:t>0.05~0.32mm</w:t>
                  </w:r>
                </w:p>
              </w:tc>
              <w:tc>
                <w:tcPr>
                  <w:tcW w:w="53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1500</w:t>
                  </w:r>
                </w:p>
              </w:tc>
              <w:tc>
                <w:tcPr>
                  <w:tcW w:w="187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highlight w:val="none"/>
                    </w:rPr>
                    <w:drawing>
                      <wp:inline distT="0" distB="0" distL="114300" distR="114300">
                        <wp:extent cx="1762125" cy="1647825"/>
                        <wp:effectExtent l="0" t="0" r="9525" b="952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0"/>
                                <a:stretch>
                                  <a:fillRect/>
                                </a:stretch>
                              </pic:blipFill>
                              <pic:spPr>
                                <a:xfrm>
                                  <a:off x="0" y="0"/>
                                  <a:ext cx="1762125" cy="1647825"/>
                                </a:xfrm>
                                <a:prstGeom prst="rect">
                                  <a:avLst/>
                                </a:prstGeom>
                                <a:noFill/>
                                <a:ln>
                                  <a:noFill/>
                                </a:ln>
                              </pic:spPr>
                            </pic:pic>
                          </a:graphicData>
                        </a:graphic>
                      </wp:inline>
                    </w:drawing>
                  </w:r>
                </w:p>
              </w:tc>
              <w:tc>
                <w:tcPr>
                  <w:tcW w:w="718"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highlight w:val="none"/>
                    </w:rPr>
                  </w:pPr>
                </w:p>
              </w:tc>
            </w:tr>
          </w:tbl>
          <w:p>
            <w:pPr>
              <w:pStyle w:val="7"/>
              <w:keepNext w:val="0"/>
              <w:keepLines w:val="0"/>
              <w:numPr>
                <w:ilvl w:val="0"/>
                <w:numId w:val="0"/>
              </w:numPr>
              <w:suppressLineNumbers w:val="0"/>
              <w:spacing w:before="156" w:beforeLines="50" w:beforeAutospacing="0" w:after="0" w:afterLines="0" w:afterAutospacing="0"/>
              <w:ind w:left="431" w:right="0"/>
              <w:rPr>
                <w:rFonts w:hint="eastAsia" w:eastAsia="宋体"/>
                <w:color w:val="auto"/>
                <w:sz w:val="21"/>
                <w:szCs w:val="21"/>
                <w:highlight w:val="none"/>
                <w:lang w:val="en-US" w:eastAsia="zh-CN"/>
              </w:rPr>
            </w:pPr>
            <w:r>
              <w:rPr>
                <w:rFonts w:hint="eastAsia"/>
                <w:color w:val="auto"/>
                <w:sz w:val="21"/>
                <w:szCs w:val="21"/>
                <w:highlight w:val="none"/>
                <w:lang w:val="en-US" w:eastAsia="zh-CN"/>
              </w:rPr>
              <w:t>备注：</w:t>
            </w:r>
            <w:r>
              <w:rPr>
                <w:rFonts w:hint="default"/>
                <w:b w:val="0"/>
                <w:bCs w:val="0"/>
                <w:color w:val="auto"/>
                <w:sz w:val="21"/>
                <w:szCs w:val="21"/>
                <w:highlight w:val="none"/>
                <w:lang w:val="en-US" w:eastAsia="zh-CN"/>
              </w:rPr>
              <w:t>镀锡采用热</w:t>
            </w:r>
            <w:r>
              <w:rPr>
                <w:rFonts w:hint="eastAsia"/>
                <w:b w:val="0"/>
                <w:bCs w:val="0"/>
                <w:color w:val="auto"/>
                <w:sz w:val="21"/>
                <w:szCs w:val="21"/>
                <w:highlight w:val="none"/>
                <w:lang w:val="en-US" w:eastAsia="zh-CN"/>
              </w:rPr>
              <w:t>浸</w:t>
            </w:r>
            <w:r>
              <w:rPr>
                <w:rFonts w:hint="default"/>
                <w:b w:val="0"/>
                <w:bCs w:val="0"/>
                <w:color w:val="auto"/>
                <w:sz w:val="21"/>
                <w:szCs w:val="21"/>
                <w:highlight w:val="none"/>
                <w:lang w:val="en-US" w:eastAsia="zh-CN"/>
              </w:rPr>
              <w:t>锡工艺，属物理加工过程，不直接用电参与锡金属材料的转移，不属于电镀工艺。</w:t>
            </w:r>
          </w:p>
          <w:p>
            <w:pPr>
              <w:pStyle w:val="7"/>
              <w:keepNext w:val="0"/>
              <w:keepLines w:val="0"/>
              <w:numPr>
                <w:ilvl w:val="0"/>
                <w:numId w:val="0"/>
              </w:numPr>
              <w:suppressLineNumbers w:val="0"/>
              <w:spacing w:before="156" w:beforeLines="50" w:beforeAutospacing="0" w:after="0" w:afterLines="0" w:afterAutospacing="0"/>
              <w:ind w:left="431" w:right="0"/>
              <w:rPr>
                <w:rFonts w:hint="default"/>
                <w:color w:val="auto"/>
                <w:highlight w:val="none"/>
              </w:rPr>
            </w:pPr>
            <w:r>
              <w:rPr>
                <w:rFonts w:hint="default"/>
                <w:color w:val="auto"/>
                <w:highlight w:val="none"/>
              </w:rPr>
              <w:t>4、主要原辅材料</w:t>
            </w:r>
          </w:p>
          <w:p>
            <w:pPr>
              <w:keepNext w:val="0"/>
              <w:keepLines w:val="0"/>
              <w:suppressLineNumbers w:val="0"/>
              <w:tabs>
                <w:tab w:val="left" w:pos="1260"/>
              </w:tabs>
              <w:spacing w:before="0" w:beforeAutospacing="0" w:after="0" w:afterAutospacing="0" w:line="360" w:lineRule="auto"/>
              <w:ind w:left="0" w:right="0" w:firstLine="480"/>
              <w:rPr>
                <w:rFonts w:hint="default"/>
                <w:color w:val="auto"/>
                <w:highlight w:val="none"/>
              </w:rPr>
            </w:pPr>
            <w:r>
              <w:rPr>
                <w:rFonts w:hint="default"/>
                <w:color w:val="auto"/>
                <w:sz w:val="24"/>
                <w:highlight w:val="none"/>
              </w:rPr>
              <w:t>根据建设单位提供的资料，项目主要原辅材料</w:t>
            </w:r>
            <w:r>
              <w:rPr>
                <w:rFonts w:hint="default"/>
                <w:bCs/>
                <w:color w:val="auto"/>
                <w:sz w:val="24"/>
                <w:highlight w:val="none"/>
              </w:rPr>
              <w:t>详见下表。</w:t>
            </w:r>
          </w:p>
          <w:p>
            <w:pPr>
              <w:pStyle w:val="69"/>
              <w:keepLines w:val="0"/>
              <w:suppressLineNumbers w:val="0"/>
              <w:spacing w:before="0" w:beforeAutospacing="0" w:after="0" w:afterAutospacing="0" w:line="240" w:lineRule="auto"/>
              <w:ind w:left="0" w:right="0"/>
              <w:rPr>
                <w:rFonts w:hint="default" w:eastAsia="宋体"/>
                <w:b/>
                <w:bCs/>
                <w:color w:val="auto"/>
                <w:szCs w:val="24"/>
                <w:highlight w:val="none"/>
              </w:rPr>
            </w:pPr>
            <w:r>
              <w:rPr>
                <w:rFonts w:hint="default" w:eastAsia="宋体"/>
                <w:b/>
                <w:bCs/>
                <w:color w:val="auto"/>
                <w:szCs w:val="24"/>
                <w:highlight w:val="none"/>
              </w:rPr>
              <w:t>表2-3  项目主要原辅材料一览表</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1240"/>
              <w:gridCol w:w="870"/>
              <w:gridCol w:w="778"/>
              <w:gridCol w:w="921"/>
              <w:gridCol w:w="551"/>
              <w:gridCol w:w="1186"/>
              <w:gridCol w:w="870"/>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序号</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原辅材料</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状态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年使用量</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最大储存量</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单位</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包装</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规格</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存放</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位置</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使用工序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粗铜线</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固态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2015</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200</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直径：</w:t>
                  </w:r>
                  <w:r>
                    <w:rPr>
                      <w:rFonts w:hint="eastAsia"/>
                      <w:color w:val="auto"/>
                      <w:kern w:val="2"/>
                      <w:sz w:val="21"/>
                      <w:highlight w:val="none"/>
                    </w:rPr>
                    <w:t>8</w:t>
                  </w:r>
                  <w:r>
                    <w:rPr>
                      <w:rFonts w:hint="default"/>
                      <w:color w:val="auto"/>
                      <w:kern w:val="2"/>
                      <w:sz w:val="21"/>
                      <w:highlight w:val="none"/>
                    </w:rPr>
                    <w:t>mm</w:t>
                  </w:r>
                </w:p>
              </w:tc>
              <w:tc>
                <w:tcPr>
                  <w:tcW w:w="501"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物料暂存区</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拉丝油</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3.8</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0.5</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桶装，25kg/桶</w:t>
                  </w:r>
                </w:p>
              </w:tc>
              <w:tc>
                <w:tcPr>
                  <w:tcW w:w="501" w:type="pct"/>
                  <w:vMerge w:val="restar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A12栋1楼原料仓库</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抗氧化剂</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0.025</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rPr>
                  </w:pPr>
                  <w:r>
                    <w:rPr>
                      <w:rFonts w:hint="default"/>
                      <w:color w:val="auto"/>
                      <w:kern w:val="2"/>
                      <w:sz w:val="21"/>
                      <w:highlight w:val="none"/>
                    </w:rPr>
                    <w:t>0.</w:t>
                  </w:r>
                  <w:r>
                    <w:rPr>
                      <w:rFonts w:hint="eastAsia"/>
                      <w:color w:val="auto"/>
                      <w:kern w:val="2"/>
                      <w:sz w:val="21"/>
                      <w:highlight w:val="none"/>
                      <w:lang w:val="en-US" w:eastAsia="zh-CN"/>
                    </w:rPr>
                    <w:t>025</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w:t>
                  </w:r>
                  <w:r>
                    <w:rPr>
                      <w:rFonts w:hint="eastAsia"/>
                      <w:color w:val="auto"/>
                      <w:kern w:val="2"/>
                      <w:sz w:val="21"/>
                      <w:highlight w:val="none"/>
                      <w:lang w:val="en-US" w:eastAsia="zh-CN"/>
                    </w:rPr>
                    <w:t>25</w:t>
                  </w:r>
                  <w:r>
                    <w:rPr>
                      <w:rFonts w:hint="default"/>
                      <w:color w:val="auto"/>
                      <w:kern w:val="2"/>
                      <w:sz w:val="21"/>
                      <w:highlight w:val="none"/>
                    </w:rPr>
                    <w:t>kg/桶</w:t>
                  </w:r>
                </w:p>
              </w:tc>
              <w:tc>
                <w:tcPr>
                  <w:tcW w:w="501" w:type="pct"/>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退火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无铅锡锭</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固态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6.8</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含锡量99.99%</w:t>
                  </w:r>
                </w:p>
              </w:tc>
              <w:tc>
                <w:tcPr>
                  <w:tcW w:w="501" w:type="pct"/>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热浸锡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5</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助焊剂</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3.6</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0.5</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桶装，25kg/桶</w:t>
                  </w:r>
                </w:p>
              </w:tc>
              <w:tc>
                <w:tcPr>
                  <w:tcW w:w="501"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热浸锡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润滑油</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200kg/桶</w:t>
                  </w:r>
                </w:p>
              </w:tc>
              <w:tc>
                <w:tcPr>
                  <w:tcW w:w="501"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用于设备的修护和保养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7</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导轴油</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0.25</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w:t>
                  </w:r>
                  <w:r>
                    <w:rPr>
                      <w:rFonts w:hint="default"/>
                      <w:color w:val="auto"/>
                      <w:sz w:val="21"/>
                      <w:highlight w:val="none"/>
                    </w:rPr>
                    <w:t>5</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液态、25kg/桶</w:t>
                  </w:r>
                </w:p>
              </w:tc>
              <w:tc>
                <w:tcPr>
                  <w:tcW w:w="501"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用于镀锡</w:t>
                  </w:r>
                  <w:r>
                    <w:rPr>
                      <w:rFonts w:hint="eastAsia"/>
                      <w:color w:val="auto"/>
                      <w:kern w:val="2"/>
                      <w:sz w:val="21"/>
                      <w:highlight w:val="none"/>
                      <w:lang w:eastAsia="zh-CN"/>
                    </w:rPr>
                    <w:t>（</w:t>
                  </w:r>
                  <w:r>
                    <w:rPr>
                      <w:rFonts w:hint="eastAsia"/>
                      <w:color w:val="auto"/>
                      <w:kern w:val="2"/>
                      <w:sz w:val="21"/>
                      <w:highlight w:val="none"/>
                      <w:lang w:val="en-US" w:eastAsia="zh-CN"/>
                    </w:rPr>
                    <w:t>热浸锡）</w:t>
                  </w:r>
                  <w:r>
                    <w:rPr>
                      <w:rFonts w:hint="default"/>
                      <w:color w:val="auto"/>
                      <w:kern w:val="2"/>
                      <w:sz w:val="21"/>
                      <w:highlight w:val="none"/>
                    </w:rPr>
                    <w:t>铜线的防锈</w:t>
                  </w:r>
                  <w:r>
                    <w:rPr>
                      <w:rFonts w:hint="default"/>
                      <w:color w:val="auto"/>
                      <w:sz w:val="21"/>
                      <w:highlight w:val="none"/>
                    </w:rPr>
                    <w:t>、</w:t>
                  </w:r>
                  <w:r>
                    <w:rPr>
                      <w:rFonts w:hint="default"/>
                      <w:color w:val="auto"/>
                      <w:kern w:val="2"/>
                      <w:sz w:val="21"/>
                      <w:highlight w:val="none"/>
                    </w:rPr>
                    <w:t>增亮作用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eastAsia="宋体"/>
                      <w:color w:val="auto"/>
                      <w:kern w:val="2"/>
                      <w:sz w:val="21"/>
                      <w:highlight w:val="none"/>
                      <w:lang w:val="en-US" w:eastAsia="zh-CN"/>
                    </w:rPr>
                  </w:pPr>
                  <w:r>
                    <w:rPr>
                      <w:rFonts w:hint="eastAsia"/>
                      <w:color w:val="auto"/>
                      <w:kern w:val="2"/>
                      <w:sz w:val="21"/>
                      <w:highlight w:val="none"/>
                      <w:lang w:val="en-US" w:eastAsia="zh-CN"/>
                    </w:rPr>
                    <w:t>8</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助焊剂调配用水</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14.4</w:t>
                  </w:r>
                </w:p>
              </w:tc>
              <w:tc>
                <w:tcPr>
                  <w:tcW w:w="530"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eastAsia="宋体"/>
                      <w:color w:val="auto"/>
                      <w:kern w:val="2"/>
                      <w:sz w:val="21"/>
                      <w:highlight w:val="none"/>
                      <w:lang w:val="en-US" w:eastAsia="zh-CN"/>
                    </w:rPr>
                  </w:pPr>
                  <w:r>
                    <w:rPr>
                      <w:rFonts w:hint="eastAsia"/>
                      <w:color w:val="auto"/>
                      <w:kern w:val="2"/>
                      <w:sz w:val="21"/>
                      <w:highlight w:val="none"/>
                      <w:lang w:val="en-US" w:eastAsia="zh-CN"/>
                    </w:rPr>
                    <w:t>/</w:t>
                  </w:r>
                </w:p>
              </w:tc>
              <w:tc>
                <w:tcPr>
                  <w:tcW w:w="31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eastAsia="宋体"/>
                      <w:color w:val="auto"/>
                      <w:kern w:val="2"/>
                      <w:sz w:val="21"/>
                      <w:highlight w:val="none"/>
                      <w:lang w:val="en-US" w:eastAsia="zh-CN"/>
                    </w:rPr>
                  </w:pPr>
                  <w:r>
                    <w:rPr>
                      <w:rFonts w:hint="eastAsia"/>
                      <w:color w:val="auto"/>
                      <w:kern w:val="2"/>
                      <w:sz w:val="21"/>
                      <w:highlight w:val="none"/>
                      <w:lang w:val="en-US" w:eastAsia="zh-CN"/>
                    </w:rPr>
                    <w:t>/</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color w:val="auto"/>
                      <w:kern w:val="2"/>
                      <w:sz w:val="21"/>
                      <w:highlight w:val="none"/>
                      <w:lang w:val="en-US" w:eastAsia="zh-CN"/>
                    </w:rPr>
                  </w:pPr>
                  <w:r>
                    <w:rPr>
                      <w:rFonts w:hint="eastAsia"/>
                      <w:color w:val="auto"/>
                      <w:kern w:val="2"/>
                      <w:sz w:val="21"/>
                      <w:highlight w:val="none"/>
                      <w:lang w:val="en-US" w:eastAsia="zh-CN"/>
                    </w:rPr>
                    <w:t>自来</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水管</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助焊剂调配用水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9</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拉丝油调配用水</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color w:val="auto"/>
                      <w:kern w:val="2"/>
                      <w:sz w:val="21"/>
                      <w:highlight w:val="none"/>
                      <w:lang w:val="en-US" w:eastAsia="zh-CN"/>
                    </w:rPr>
                  </w:pPr>
                  <w:r>
                    <w:rPr>
                      <w:rFonts w:hint="eastAsia"/>
                      <w:color w:val="auto"/>
                      <w:kern w:val="2"/>
                      <w:sz w:val="21"/>
                      <w:highlight w:val="none"/>
                      <w:lang w:val="en-US" w:eastAsia="zh-CN"/>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34.2</w:t>
                  </w:r>
                </w:p>
              </w:tc>
              <w:tc>
                <w:tcPr>
                  <w:tcW w:w="530"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lang w:val="en-US" w:eastAsia="zh-CN"/>
                    </w:rPr>
                    <w:t>/</w:t>
                  </w:r>
                </w:p>
              </w:tc>
              <w:tc>
                <w:tcPr>
                  <w:tcW w:w="317"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lang w:val="en-US" w:eastAsia="zh-CN"/>
                    </w:rPr>
                    <w:t>/</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color w:val="auto"/>
                      <w:kern w:val="2"/>
                      <w:sz w:val="21"/>
                      <w:highlight w:val="none"/>
                      <w:lang w:val="en-US" w:eastAsia="zh-CN"/>
                    </w:rPr>
                  </w:pPr>
                  <w:r>
                    <w:rPr>
                      <w:rFonts w:hint="eastAsia"/>
                      <w:color w:val="auto"/>
                      <w:kern w:val="2"/>
                      <w:sz w:val="21"/>
                      <w:highlight w:val="none"/>
                      <w:lang w:val="en-US" w:eastAsia="zh-CN"/>
                    </w:rPr>
                    <w:t>自来</w:t>
                  </w:r>
                </w:p>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lang w:val="en-US" w:eastAsia="zh-CN"/>
                    </w:rPr>
                    <w:t>水管</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拉丝油调配用水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10</w:t>
                  </w:r>
                </w:p>
              </w:tc>
              <w:tc>
                <w:tcPr>
                  <w:tcW w:w="714"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抗氧化剂调配用水</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color w:val="auto"/>
                      <w:kern w:val="2"/>
                      <w:sz w:val="21"/>
                      <w:highlight w:val="none"/>
                      <w:lang w:val="en-US" w:eastAsia="zh-CN"/>
                    </w:rPr>
                  </w:pPr>
                  <w:r>
                    <w:rPr>
                      <w:rFonts w:hint="eastAsia"/>
                      <w:color w:val="auto"/>
                      <w:kern w:val="2"/>
                      <w:sz w:val="21"/>
                      <w:highlight w:val="none"/>
                      <w:lang w:val="en-US" w:eastAsia="zh-CN"/>
                    </w:rPr>
                    <w:t>液态</w:t>
                  </w:r>
                </w:p>
              </w:tc>
              <w:tc>
                <w:tcPr>
                  <w:tcW w:w="4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12.48</w:t>
                  </w:r>
                </w:p>
              </w:tc>
              <w:tc>
                <w:tcPr>
                  <w:tcW w:w="530"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lang w:val="en-US" w:eastAsia="zh-CN"/>
                    </w:rPr>
                    <w:t>/</w:t>
                  </w:r>
                </w:p>
              </w:tc>
              <w:tc>
                <w:tcPr>
                  <w:tcW w:w="317"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t</w:t>
                  </w:r>
                </w:p>
              </w:tc>
              <w:tc>
                <w:tcPr>
                  <w:tcW w:w="683" w:type="pct"/>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lang w:val="en-US" w:eastAsia="zh-CN"/>
                    </w:rPr>
                    <w:t>/</w:t>
                  </w:r>
                </w:p>
              </w:tc>
              <w:tc>
                <w:tcPr>
                  <w:tcW w:w="50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自来</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水管</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抗氧化剂调配用水</w:t>
                  </w:r>
                </w:p>
              </w:tc>
            </w:tr>
          </w:tbl>
          <w:p>
            <w:pPr>
              <w:pStyle w:val="69"/>
              <w:keepLines w:val="0"/>
              <w:suppressLineNumbers w:val="0"/>
              <w:spacing w:before="0" w:beforeAutospacing="0" w:after="0" w:afterAutospacing="0" w:line="240" w:lineRule="auto"/>
              <w:ind w:left="0" w:right="0"/>
              <w:jc w:val="both"/>
              <w:rPr>
                <w:rFonts w:hint="default" w:eastAsia="宋体"/>
                <w:color w:val="auto"/>
                <w:sz w:val="21"/>
                <w:highlight w:val="none"/>
              </w:rPr>
            </w:pPr>
            <w:r>
              <w:rPr>
                <w:rFonts w:hint="default" w:eastAsia="宋体"/>
                <w:color w:val="auto"/>
                <w:sz w:val="21"/>
                <w:highlight w:val="none"/>
              </w:rPr>
              <w:t>备注：项目使用的粗铜线为新料。</w:t>
            </w:r>
          </w:p>
          <w:p>
            <w:pPr>
              <w:keepNext w:val="0"/>
              <w:keepLines w:val="0"/>
              <w:suppressLineNumbers w:val="0"/>
              <w:spacing w:before="0" w:beforeAutospacing="0" w:after="0" w:afterAutospacing="0" w:line="360" w:lineRule="auto"/>
              <w:ind w:left="0" w:right="0" w:firstLine="482"/>
              <w:rPr>
                <w:rFonts w:hint="default"/>
                <w:color w:val="auto"/>
                <w:highlight w:val="none"/>
              </w:rPr>
            </w:pPr>
            <w:r>
              <w:rPr>
                <w:rFonts w:hint="default"/>
                <w:b/>
                <w:color w:val="auto"/>
                <w:sz w:val="24"/>
                <w:highlight w:val="none"/>
              </w:rPr>
              <w:t>原辅材料的理化性质：</w:t>
            </w:r>
          </w:p>
          <w:p>
            <w:pPr>
              <w:keepNext w:val="0"/>
              <w:keepLines w:val="0"/>
              <w:suppressLineNumbers w:val="0"/>
              <w:spacing w:before="0" w:beforeAutospacing="0" w:after="0" w:afterAutospacing="0"/>
              <w:ind w:left="0" w:right="0" w:firstLine="482"/>
              <w:jc w:val="center"/>
              <w:rPr>
                <w:rFonts w:hint="default"/>
                <w:b/>
                <w:color w:val="auto"/>
                <w:sz w:val="24"/>
                <w:szCs w:val="24"/>
                <w:highlight w:val="none"/>
              </w:rPr>
            </w:pPr>
            <w:r>
              <w:rPr>
                <w:rFonts w:hint="default"/>
                <w:b/>
                <w:color w:val="auto"/>
                <w:sz w:val="24"/>
                <w:szCs w:val="24"/>
                <w:highlight w:val="none"/>
              </w:rPr>
              <w:t>表2-4 项目主要原辅材料理化性质一览表</w:t>
            </w:r>
          </w:p>
          <w:tbl>
            <w:tblPr>
              <w:tblStyle w:val="3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166"/>
              <w:gridCol w:w="6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序号</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名称</w:t>
                  </w:r>
                </w:p>
              </w:tc>
              <w:tc>
                <w:tcPr>
                  <w:tcW w:w="395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主要成分及理化性质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粗铜线</w:t>
                  </w:r>
                </w:p>
              </w:tc>
              <w:tc>
                <w:tcPr>
                  <w:tcW w:w="3958" w:type="pct"/>
                  <w:vAlign w:val="center"/>
                </w:tcPr>
                <w:p>
                  <w:pPr>
                    <w:keepNext w:val="0"/>
                    <w:keepLines w:val="0"/>
                    <w:suppressLineNumbers w:val="0"/>
                    <w:spacing w:before="0" w:beforeAutospacing="0" w:after="0" w:afterAutospacing="0" w:line="240" w:lineRule="auto"/>
                    <w:ind w:left="0" w:leftChars="0" w:right="0" w:firstLine="0" w:firstLineChars="0"/>
                    <w:rPr>
                      <w:rFonts w:hint="default"/>
                      <w:color w:val="auto"/>
                      <w:kern w:val="2"/>
                      <w:sz w:val="21"/>
                      <w:highlight w:val="none"/>
                    </w:rPr>
                  </w:pPr>
                  <w:r>
                    <w:rPr>
                      <w:rFonts w:hint="default"/>
                      <w:color w:val="auto"/>
                      <w:kern w:val="2"/>
                      <w:sz w:val="21"/>
                      <w:highlight w:val="none"/>
                    </w:rPr>
                    <w:t>主要成分为铜，铜含量为99.95%</w:t>
                  </w:r>
                  <w:r>
                    <w:rPr>
                      <w:rFonts w:hint="eastAsia"/>
                      <w:color w:val="auto"/>
                      <w:kern w:val="2"/>
                      <w:sz w:val="21"/>
                      <w:highlight w:val="none"/>
                    </w:rPr>
                    <w:t>，其他物质含量0.0065%</w:t>
                  </w:r>
                  <w:r>
                    <w:rPr>
                      <w:rFonts w:hint="eastAsia"/>
                      <w:color w:val="auto"/>
                      <w:kern w:val="2"/>
                      <w:sz w:val="21"/>
                      <w:highlight w:val="none"/>
                      <w:lang w:eastAsia="zh-CN"/>
                    </w:rPr>
                    <w:t>，</w:t>
                  </w:r>
                  <w:r>
                    <w:rPr>
                      <w:rFonts w:hint="eastAsia"/>
                      <w:color w:val="auto"/>
                      <w:kern w:val="2"/>
                      <w:sz w:val="21"/>
                      <w:highlight w:val="none"/>
                      <w:lang w:val="en-US" w:eastAsia="zh-CN"/>
                    </w:rPr>
                    <w:t>不</w:t>
                  </w:r>
                  <w:r>
                    <w:rPr>
                      <w:rFonts w:hint="default"/>
                      <w:color w:val="auto"/>
                      <w:sz w:val="21"/>
                      <w:highlight w:val="none"/>
                    </w:rPr>
                    <w:t>含汞、砷、镉、铬、铅</w:t>
                  </w:r>
                  <w:r>
                    <w:rPr>
                      <w:rFonts w:hint="eastAsia"/>
                      <w:color w:val="auto"/>
                      <w:sz w:val="21"/>
                      <w:highlight w:val="none"/>
                      <w:lang w:eastAsia="zh-CN"/>
                    </w:rPr>
                    <w:t>。</w:t>
                  </w:r>
                  <w:r>
                    <w:rPr>
                      <w:rFonts w:hint="default"/>
                      <w:color w:val="auto"/>
                      <w:kern w:val="2"/>
                      <w:sz w:val="21"/>
                      <w:highlight w:val="none"/>
                    </w:rPr>
                    <w:t>根据建设单位提供的粗铜线物质成分报告可知（详见附件</w:t>
                  </w:r>
                  <w:r>
                    <w:rPr>
                      <w:rFonts w:hint="eastAsia"/>
                      <w:color w:val="auto"/>
                      <w:kern w:val="2"/>
                      <w:sz w:val="21"/>
                      <w:highlight w:val="none"/>
                      <w:lang w:val="en-US" w:eastAsia="zh-CN"/>
                    </w:rPr>
                    <w:t>7</w:t>
                  </w:r>
                  <w:r>
                    <w:rPr>
                      <w:rFonts w:hint="default"/>
                      <w:color w:val="auto"/>
                      <w:kern w:val="2"/>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无铅锡锭</w:t>
                  </w:r>
                </w:p>
              </w:tc>
              <w:tc>
                <w:tcPr>
                  <w:tcW w:w="3958" w:type="pct"/>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ascii="Times New Roman" w:hAnsi="Times New Roman" w:cs="Times New Roman"/>
                      <w:color w:val="auto"/>
                      <w:kern w:val="2"/>
                      <w:sz w:val="21"/>
                      <w:highlight w:val="none"/>
                    </w:rPr>
                    <w:t>主要成分为锡，</w:t>
                  </w:r>
                  <w:r>
                    <w:rPr>
                      <w:rFonts w:hint="default" w:ascii="Times New Roman" w:hAnsi="Times New Roman" w:cs="Times New Roman"/>
                      <w:color w:val="auto"/>
                      <w:kern w:val="2"/>
                      <w:sz w:val="21"/>
                      <w:highlight w:val="none"/>
                      <w:lang w:val="en-US" w:eastAsia="zh-CN"/>
                    </w:rPr>
                    <w:t>熔点232℃，密度7.31g/m³</w:t>
                  </w:r>
                  <w:r>
                    <w:rPr>
                      <w:rFonts w:hint="default" w:ascii="Times New Roman" w:hAnsi="Times New Roman" w:cs="Times New Roman"/>
                      <w:color w:val="auto"/>
                      <w:kern w:val="2"/>
                      <w:sz w:val="21"/>
                      <w:highlight w:val="none"/>
                    </w:rPr>
                    <w:t>（详见附件</w:t>
                  </w:r>
                  <w:r>
                    <w:rPr>
                      <w:rFonts w:hint="eastAsia" w:cs="Times New Roman"/>
                      <w:color w:val="auto"/>
                      <w:kern w:val="2"/>
                      <w:sz w:val="21"/>
                      <w:highlight w:val="none"/>
                      <w:lang w:val="en-US" w:eastAsia="zh-CN"/>
                    </w:rPr>
                    <w:t>8</w:t>
                  </w:r>
                  <w:r>
                    <w:rPr>
                      <w:rFonts w:hint="default" w:ascii="Times New Roman" w:hAnsi="Times New Roman" w:cs="Times New Roman"/>
                      <w:color w:val="auto"/>
                      <w:kern w:val="2"/>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助焊剂</w:t>
                  </w:r>
                </w:p>
              </w:tc>
              <w:tc>
                <w:tcPr>
                  <w:tcW w:w="3958" w:type="pct"/>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根据建设单位提供的助焊剂MSDS可知（详见附件</w:t>
                  </w:r>
                  <w:r>
                    <w:rPr>
                      <w:rFonts w:hint="eastAsia"/>
                      <w:color w:val="auto"/>
                      <w:kern w:val="2"/>
                      <w:sz w:val="21"/>
                      <w:highlight w:val="none"/>
                      <w:lang w:val="en-US" w:eastAsia="zh-CN"/>
                    </w:rPr>
                    <w:t>9</w:t>
                  </w:r>
                  <w:r>
                    <w:rPr>
                      <w:rFonts w:hint="default"/>
                      <w:color w:val="auto"/>
                      <w:kern w:val="2"/>
                      <w:sz w:val="21"/>
                      <w:highlight w:val="none"/>
                    </w:rPr>
                    <w:t>），助焊剂</w:t>
                  </w:r>
                  <w:r>
                    <w:rPr>
                      <w:rFonts w:hint="eastAsia"/>
                      <w:color w:val="auto"/>
                      <w:kern w:val="2"/>
                      <w:sz w:val="21"/>
                      <w:highlight w:val="none"/>
                      <w:lang w:val="en-US" w:eastAsia="zh-CN"/>
                    </w:rPr>
                    <w:t>为透明白色液态，有轻微刺激性气味。PH值为2.5，密度1.13</w:t>
                  </w:r>
                  <w:r>
                    <w:rPr>
                      <w:rFonts w:hint="default"/>
                      <w:color w:val="auto"/>
                      <w:kern w:val="2"/>
                      <w:sz w:val="21"/>
                      <w:highlight w:val="none"/>
                    </w:rPr>
                    <w:t>g/c</w:t>
                  </w:r>
                  <w:r>
                    <w:rPr>
                      <w:rFonts w:hint="eastAsia"/>
                      <w:color w:val="auto"/>
                      <w:kern w:val="2"/>
                      <w:sz w:val="21"/>
                      <w:highlight w:val="none"/>
                      <w:lang w:val="en-US" w:eastAsia="zh-CN"/>
                    </w:rPr>
                    <w:t>m³，微酸性</w:t>
                  </w:r>
                  <w:r>
                    <w:rPr>
                      <w:rFonts w:hint="default"/>
                      <w:color w:val="auto"/>
                      <w:kern w:val="2"/>
                      <w:sz w:val="21"/>
                      <w:highlight w:val="none"/>
                    </w:rPr>
                    <w:t>。由醇63.5%，胺12%，活性剂24.5%组成。其中挥发性组分为醇63.5%，胺12%</w:t>
                  </w:r>
                  <w:r>
                    <w:rPr>
                      <w:rFonts w:hint="eastAsia"/>
                      <w:color w:val="auto"/>
                      <w:kern w:val="2"/>
                      <w:sz w:val="21"/>
                      <w:highlight w:val="none"/>
                    </w:rPr>
                    <w:t>，挥发组分共计75.5%。</w:t>
                  </w:r>
                  <w:r>
                    <w:rPr>
                      <w:rFonts w:hint="default"/>
                      <w:color w:val="auto"/>
                      <w:kern w:val="2"/>
                      <w:sz w:val="21"/>
                      <w:highlight w:val="none"/>
                    </w:rPr>
                    <w:t>助焊剂</w:t>
                  </w:r>
                  <w:r>
                    <w:rPr>
                      <w:rFonts w:hint="default"/>
                      <w:color w:val="auto"/>
                      <w:sz w:val="21"/>
                      <w:highlight w:val="none"/>
                    </w:rPr>
                    <w:t>使用时需加水配制。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拉丝油</w:t>
                  </w:r>
                </w:p>
              </w:tc>
              <w:tc>
                <w:tcPr>
                  <w:tcW w:w="3958" w:type="pct"/>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根据企业提供的拉丝油msds可知（附件</w:t>
                  </w:r>
                  <w:r>
                    <w:rPr>
                      <w:rFonts w:hint="eastAsia"/>
                      <w:color w:val="auto"/>
                      <w:kern w:val="2"/>
                      <w:sz w:val="21"/>
                      <w:highlight w:val="none"/>
                      <w:lang w:val="en-US" w:eastAsia="zh-CN"/>
                    </w:rPr>
                    <w:t>10</w:t>
                  </w:r>
                  <w:r>
                    <w:rPr>
                      <w:rFonts w:hint="default"/>
                      <w:color w:val="auto"/>
                      <w:kern w:val="2"/>
                      <w:sz w:val="21"/>
                      <w:highlight w:val="none"/>
                    </w:rPr>
                    <w:t>），</w:t>
                  </w:r>
                  <w:r>
                    <w:rPr>
                      <w:rFonts w:hint="eastAsia"/>
                      <w:color w:val="auto"/>
                      <w:kern w:val="2"/>
                      <w:sz w:val="21"/>
                      <w:highlight w:val="none"/>
                      <w:lang w:val="en-US" w:eastAsia="zh-CN"/>
                    </w:rPr>
                    <w:t>拉丝油为棕褐色液体，略有脂肪气味，化学性质为微碱性。</w:t>
                  </w:r>
                  <w:r>
                    <w:rPr>
                      <w:rFonts w:hint="default"/>
                      <w:color w:val="auto"/>
                      <w:kern w:val="2"/>
                      <w:sz w:val="21"/>
                      <w:highlight w:val="none"/>
                    </w:rPr>
                    <w:t>主要成分为基础油58%，表面活性剂16%，润滑剂17%，防锈油9%</w:t>
                  </w:r>
                  <w:r>
                    <w:rPr>
                      <w:rFonts w:hint="eastAsia"/>
                      <w:color w:val="auto"/>
                      <w:kern w:val="2"/>
                      <w:sz w:val="21"/>
                      <w:highlight w:val="none"/>
                    </w:rPr>
                    <w:t>，pH值为8.5</w:t>
                  </w:r>
                  <w:r>
                    <w:rPr>
                      <w:rFonts w:hint="eastAsia"/>
                      <w:color w:val="auto"/>
                      <w:kern w:val="2"/>
                      <w:sz w:val="21"/>
                      <w:highlight w:val="none"/>
                      <w:lang w:eastAsia="zh-CN"/>
                    </w:rPr>
                    <w:t>，</w:t>
                  </w:r>
                  <w:r>
                    <w:rPr>
                      <w:rFonts w:hint="eastAsia"/>
                      <w:color w:val="auto"/>
                      <w:kern w:val="2"/>
                      <w:sz w:val="21"/>
                      <w:highlight w:val="none"/>
                      <w:lang w:val="en-US" w:eastAsia="zh-CN"/>
                    </w:rPr>
                    <w:t>密度0.96</w:t>
                  </w:r>
                  <w:r>
                    <w:rPr>
                      <w:rFonts w:hint="default"/>
                      <w:color w:val="auto"/>
                      <w:kern w:val="2"/>
                      <w:sz w:val="21"/>
                      <w:highlight w:val="none"/>
                    </w:rPr>
                    <w:t>g/cm</w:t>
                  </w:r>
                  <w:r>
                    <w:rPr>
                      <w:rFonts w:hint="default"/>
                      <w:color w:val="auto"/>
                      <w:kern w:val="2"/>
                      <w:sz w:val="21"/>
                      <w:highlight w:val="none"/>
                      <w:vertAlign w:val="superscript"/>
                    </w:rPr>
                    <w:t>3</w:t>
                  </w:r>
                  <w:r>
                    <w:rPr>
                      <w:rFonts w:hint="default"/>
                      <w:color w:val="auto"/>
                      <w:kern w:val="2"/>
                      <w:sz w:val="21"/>
                      <w:highlight w:val="none"/>
                    </w:rPr>
                    <w:t>。</w:t>
                  </w:r>
                  <w:r>
                    <w:rPr>
                      <w:rFonts w:hint="default"/>
                      <w:color w:val="auto"/>
                      <w:sz w:val="21"/>
                      <w:highlight w:val="none"/>
                    </w:rPr>
                    <w:t>拉丝油使用时需加水配制。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5</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抗氧</w:t>
                  </w:r>
                  <w:r>
                    <w:rPr>
                      <w:rFonts w:hint="eastAsia"/>
                      <w:color w:val="auto"/>
                      <w:kern w:val="2"/>
                      <w:sz w:val="21"/>
                      <w:highlight w:val="none"/>
                    </w:rPr>
                    <w:t>化</w:t>
                  </w:r>
                  <w:r>
                    <w:rPr>
                      <w:rFonts w:hint="default"/>
                      <w:color w:val="auto"/>
                      <w:kern w:val="2"/>
                      <w:sz w:val="21"/>
                      <w:highlight w:val="none"/>
                    </w:rPr>
                    <w:t>剂</w:t>
                  </w:r>
                </w:p>
              </w:tc>
              <w:tc>
                <w:tcPr>
                  <w:tcW w:w="395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根据建设单位提供的抗氧剂物质msds可知（详见附件</w:t>
                  </w:r>
                  <w:r>
                    <w:rPr>
                      <w:rFonts w:hint="eastAsia"/>
                      <w:color w:val="auto"/>
                      <w:kern w:val="2"/>
                      <w:sz w:val="21"/>
                      <w:highlight w:val="none"/>
                      <w:lang w:val="en-US" w:eastAsia="zh-CN"/>
                    </w:rPr>
                    <w:t>11</w:t>
                  </w:r>
                  <w:r>
                    <w:rPr>
                      <w:rFonts w:hint="default"/>
                      <w:color w:val="auto"/>
                      <w:kern w:val="2"/>
                      <w:sz w:val="21"/>
                      <w:highlight w:val="none"/>
                    </w:rPr>
                    <w:t>），</w:t>
                  </w:r>
                  <w:r>
                    <w:rPr>
                      <w:rFonts w:hint="eastAsia"/>
                      <w:color w:val="auto"/>
                      <w:kern w:val="2"/>
                      <w:sz w:val="21"/>
                      <w:highlight w:val="none"/>
                      <w:lang w:val="en-US" w:eastAsia="zh-CN"/>
                    </w:rPr>
                    <w:t>抗氧化剂为淡黄色液体。</w:t>
                  </w:r>
                  <w:r>
                    <w:rPr>
                      <w:rFonts w:hint="default"/>
                      <w:color w:val="auto"/>
                      <w:kern w:val="2"/>
                      <w:sz w:val="21"/>
                      <w:highlight w:val="none"/>
                    </w:rPr>
                    <w:t>主要成分为抗氧化活性物</w:t>
                  </w:r>
                  <w:r>
                    <w:rPr>
                      <w:rFonts w:hint="eastAsia"/>
                      <w:color w:val="auto"/>
                      <w:kern w:val="2"/>
                      <w:sz w:val="21"/>
                      <w:highlight w:val="none"/>
                      <w:lang w:val="en-US" w:eastAsia="zh-CN"/>
                    </w:rPr>
                    <w:t>60</w:t>
                  </w:r>
                  <w:r>
                    <w:rPr>
                      <w:rFonts w:hint="eastAsia"/>
                      <w:color w:val="auto"/>
                      <w:kern w:val="2"/>
                      <w:sz w:val="21"/>
                      <w:highlight w:val="none"/>
                    </w:rPr>
                    <w:t>%</w:t>
                  </w:r>
                  <w:r>
                    <w:rPr>
                      <w:rFonts w:hint="default"/>
                      <w:color w:val="auto"/>
                      <w:kern w:val="2"/>
                      <w:sz w:val="21"/>
                      <w:highlight w:val="none"/>
                    </w:rPr>
                    <w:t>，防锈油</w:t>
                  </w:r>
                  <w:r>
                    <w:rPr>
                      <w:rFonts w:hint="eastAsia"/>
                      <w:color w:val="auto"/>
                      <w:kern w:val="2"/>
                      <w:sz w:val="21"/>
                      <w:highlight w:val="none"/>
                      <w:lang w:val="en-US" w:eastAsia="zh-CN"/>
                    </w:rPr>
                    <w:t>40</w:t>
                  </w:r>
                  <w:r>
                    <w:rPr>
                      <w:rFonts w:hint="eastAsia"/>
                      <w:color w:val="auto"/>
                      <w:kern w:val="2"/>
                      <w:sz w:val="21"/>
                      <w:highlight w:val="none"/>
                    </w:rPr>
                    <w:t>%</w:t>
                  </w:r>
                  <w:r>
                    <w:rPr>
                      <w:rFonts w:hint="eastAsia"/>
                      <w:color w:val="auto"/>
                      <w:kern w:val="2"/>
                      <w:sz w:val="21"/>
                      <w:highlight w:val="none"/>
                      <w:lang w:val="en-US" w:eastAsia="zh-CN"/>
                    </w:rPr>
                    <w:t>。</w:t>
                  </w:r>
                  <w:r>
                    <w:rPr>
                      <w:rFonts w:hint="eastAsia"/>
                      <w:color w:val="auto"/>
                      <w:kern w:val="2"/>
                      <w:sz w:val="21"/>
                      <w:highlight w:val="none"/>
                    </w:rPr>
                    <w:t>pH值为8</w:t>
                  </w:r>
                  <w:r>
                    <w:rPr>
                      <w:rFonts w:hint="eastAsia"/>
                      <w:color w:val="auto"/>
                      <w:kern w:val="2"/>
                      <w:sz w:val="21"/>
                      <w:highlight w:val="none"/>
                      <w:lang w:eastAsia="zh-CN"/>
                    </w:rPr>
                    <w:t>，</w:t>
                  </w:r>
                  <w:r>
                    <w:rPr>
                      <w:rFonts w:hint="eastAsia"/>
                      <w:color w:val="auto"/>
                      <w:kern w:val="2"/>
                      <w:sz w:val="21"/>
                      <w:highlight w:val="none"/>
                      <w:lang w:val="en-US" w:eastAsia="zh-CN"/>
                    </w:rPr>
                    <w:t>密度0.96</w:t>
                  </w:r>
                  <w:r>
                    <w:rPr>
                      <w:rFonts w:hint="default"/>
                      <w:color w:val="auto"/>
                      <w:kern w:val="2"/>
                      <w:sz w:val="21"/>
                      <w:highlight w:val="none"/>
                    </w:rPr>
                    <w:t>g/cm</w:t>
                  </w:r>
                  <w:r>
                    <w:rPr>
                      <w:rFonts w:hint="default"/>
                      <w:color w:val="auto"/>
                      <w:kern w:val="2"/>
                      <w:sz w:val="21"/>
                      <w:highlight w:val="none"/>
                      <w:vertAlign w:val="superscript"/>
                    </w:rPr>
                    <w:t>3</w:t>
                  </w:r>
                  <w:r>
                    <w:rPr>
                      <w:rFonts w:hint="eastAsia"/>
                      <w:color w:val="auto"/>
                      <w:kern w:val="2"/>
                      <w:sz w:val="21"/>
                      <w:highlight w:val="none"/>
                      <w:lang w:eastAsia="zh-CN"/>
                    </w:rPr>
                    <w:t>，</w:t>
                  </w:r>
                  <w:r>
                    <w:rPr>
                      <w:rFonts w:hint="eastAsia"/>
                      <w:color w:val="auto"/>
                      <w:kern w:val="2"/>
                      <w:sz w:val="21"/>
                      <w:highlight w:val="none"/>
                      <w:lang w:val="en-US" w:eastAsia="zh-CN"/>
                    </w:rPr>
                    <w:t>化学性质为微碱性。</w:t>
                  </w:r>
                  <w:r>
                    <w:rPr>
                      <w:rFonts w:hint="default"/>
                      <w:color w:val="auto"/>
                      <w:kern w:val="2"/>
                      <w:sz w:val="21"/>
                      <w:highlight w:val="none"/>
                    </w:rPr>
                    <w:t>抗氧化剂添加在退火机冷却水槽内，和水调配后用于铜线经退火加工后冷却使用。使用后在铜线的表面形成一层特殊的膜使工件与空气隔开，起到防锈的作用。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w:t>
                  </w:r>
                </w:p>
              </w:tc>
              <w:tc>
                <w:tcPr>
                  <w:tcW w:w="67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导轴油</w:t>
                  </w:r>
                </w:p>
              </w:tc>
              <w:tc>
                <w:tcPr>
                  <w:tcW w:w="3958" w:type="pct"/>
                  <w:vAlign w:val="center"/>
                </w:tcPr>
                <w:p>
                  <w:pPr>
                    <w:keepNext w:val="0"/>
                    <w:keepLines w:val="0"/>
                    <w:suppressLineNumbers w:val="0"/>
                    <w:tabs>
                      <w:tab w:val="left" w:pos="1088"/>
                    </w:tabs>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根据建设单位提供的</w:t>
                  </w:r>
                  <w:r>
                    <w:rPr>
                      <w:rFonts w:hint="eastAsia"/>
                      <w:color w:val="auto"/>
                      <w:kern w:val="2"/>
                      <w:sz w:val="21"/>
                      <w:highlight w:val="none"/>
                      <w:lang w:val="en-US" w:eastAsia="zh-CN"/>
                    </w:rPr>
                    <w:t>导</w:t>
                  </w:r>
                  <w:r>
                    <w:rPr>
                      <w:rFonts w:hint="default"/>
                      <w:color w:val="auto"/>
                      <w:kern w:val="2"/>
                      <w:sz w:val="21"/>
                      <w:highlight w:val="none"/>
                    </w:rPr>
                    <w:t>轴</w:t>
                  </w:r>
                  <w:r>
                    <w:rPr>
                      <w:rFonts w:hint="eastAsia"/>
                      <w:color w:val="auto"/>
                      <w:kern w:val="2"/>
                      <w:sz w:val="21"/>
                      <w:highlight w:val="none"/>
                      <w:lang w:val="en-US" w:eastAsia="zh-CN"/>
                    </w:rPr>
                    <w:t>油</w:t>
                  </w:r>
                  <w:r>
                    <w:rPr>
                      <w:rFonts w:hint="default"/>
                      <w:color w:val="auto"/>
                      <w:kern w:val="2"/>
                      <w:sz w:val="21"/>
                      <w:highlight w:val="none"/>
                    </w:rPr>
                    <w:t>msds可知（详见附件</w:t>
                  </w:r>
                  <w:r>
                    <w:rPr>
                      <w:rFonts w:hint="eastAsia"/>
                      <w:color w:val="auto"/>
                      <w:kern w:val="2"/>
                      <w:sz w:val="21"/>
                      <w:highlight w:val="none"/>
                      <w:lang w:val="en-US" w:eastAsia="zh-CN"/>
                    </w:rPr>
                    <w:t>12</w:t>
                  </w:r>
                  <w:r>
                    <w:rPr>
                      <w:rFonts w:hint="default"/>
                      <w:color w:val="auto"/>
                      <w:kern w:val="2"/>
                      <w:sz w:val="21"/>
                      <w:highlight w:val="none"/>
                    </w:rPr>
                    <w:t>）</w:t>
                  </w:r>
                  <w:r>
                    <w:rPr>
                      <w:rFonts w:hint="eastAsia"/>
                      <w:color w:val="auto"/>
                      <w:kern w:val="2"/>
                      <w:sz w:val="21"/>
                      <w:highlight w:val="none"/>
                      <w:lang w:eastAsia="zh-CN"/>
                    </w:rPr>
                    <w:t>，</w:t>
                  </w:r>
                  <w:r>
                    <w:rPr>
                      <w:rFonts w:hint="eastAsia"/>
                      <w:color w:val="auto"/>
                      <w:kern w:val="2"/>
                      <w:sz w:val="21"/>
                      <w:highlight w:val="none"/>
                      <w:lang w:val="en-US" w:eastAsia="zh-CN"/>
                    </w:rPr>
                    <w:t>导</w:t>
                  </w:r>
                  <w:r>
                    <w:rPr>
                      <w:rFonts w:hint="default"/>
                      <w:color w:val="auto"/>
                      <w:kern w:val="2"/>
                      <w:sz w:val="21"/>
                      <w:highlight w:val="none"/>
                    </w:rPr>
                    <w:t>轴</w:t>
                  </w:r>
                  <w:r>
                    <w:rPr>
                      <w:rFonts w:hint="eastAsia"/>
                      <w:color w:val="auto"/>
                      <w:kern w:val="2"/>
                      <w:sz w:val="21"/>
                      <w:highlight w:val="none"/>
                      <w:lang w:val="en-US" w:eastAsia="zh-CN"/>
                    </w:rPr>
                    <w:t>油为透明白色液体，化学性质为中性。</w:t>
                  </w:r>
                  <w:r>
                    <w:rPr>
                      <w:rFonts w:hint="default"/>
                      <w:color w:val="auto"/>
                      <w:kern w:val="2"/>
                      <w:sz w:val="21"/>
                      <w:highlight w:val="none"/>
                    </w:rPr>
                    <w:t>由</w:t>
                  </w:r>
                  <w:r>
                    <w:rPr>
                      <w:rFonts w:hint="eastAsia"/>
                      <w:color w:val="auto"/>
                      <w:kern w:val="2"/>
                      <w:sz w:val="21"/>
                      <w:highlight w:val="none"/>
                      <w:lang w:val="en-US" w:eastAsia="zh-CN"/>
                    </w:rPr>
                    <w:t>矿物油</w:t>
                  </w:r>
                  <w:r>
                    <w:rPr>
                      <w:rFonts w:hint="default"/>
                      <w:color w:val="auto"/>
                      <w:kern w:val="2"/>
                      <w:sz w:val="21"/>
                      <w:highlight w:val="none"/>
                    </w:rPr>
                    <w:t>（含量为</w:t>
                  </w:r>
                  <w:r>
                    <w:rPr>
                      <w:rFonts w:hint="eastAsia"/>
                      <w:color w:val="auto"/>
                      <w:kern w:val="2"/>
                      <w:sz w:val="21"/>
                      <w:highlight w:val="none"/>
                      <w:lang w:val="en-US" w:eastAsia="zh-CN"/>
                    </w:rPr>
                    <w:t>54.6</w:t>
                  </w:r>
                  <w:r>
                    <w:rPr>
                      <w:rFonts w:hint="default"/>
                      <w:color w:val="auto"/>
                      <w:kern w:val="2"/>
                      <w:sz w:val="21"/>
                      <w:highlight w:val="none"/>
                    </w:rPr>
                    <w:t>%）、光亮剂（</w:t>
                  </w:r>
                  <w:r>
                    <w:rPr>
                      <w:rFonts w:hint="eastAsia"/>
                      <w:color w:val="auto"/>
                      <w:kern w:val="2"/>
                      <w:sz w:val="21"/>
                      <w:highlight w:val="none"/>
                      <w:lang w:val="en-US" w:eastAsia="zh-CN"/>
                    </w:rPr>
                    <w:t>基底油：</w:t>
                  </w:r>
                  <w:r>
                    <w:rPr>
                      <w:rFonts w:hint="default"/>
                      <w:color w:val="auto"/>
                      <w:kern w:val="2"/>
                      <w:sz w:val="21"/>
                      <w:highlight w:val="none"/>
                    </w:rPr>
                    <w:t>含量为</w:t>
                  </w:r>
                  <w:r>
                    <w:rPr>
                      <w:rFonts w:hint="eastAsia"/>
                      <w:color w:val="auto"/>
                      <w:kern w:val="2"/>
                      <w:sz w:val="21"/>
                      <w:highlight w:val="none"/>
                      <w:lang w:val="en-US" w:eastAsia="zh-CN"/>
                    </w:rPr>
                    <w:t>32.5</w:t>
                  </w:r>
                  <w:r>
                    <w:rPr>
                      <w:rFonts w:hint="default"/>
                      <w:color w:val="auto"/>
                      <w:kern w:val="2"/>
                      <w:sz w:val="21"/>
                      <w:highlight w:val="none"/>
                    </w:rPr>
                    <w:t>%）和防锈剂（</w:t>
                  </w:r>
                  <w:r>
                    <w:rPr>
                      <w:rFonts w:hint="eastAsia"/>
                      <w:color w:val="auto"/>
                      <w:kern w:val="2"/>
                      <w:sz w:val="21"/>
                      <w:highlight w:val="none"/>
                      <w:lang w:val="en-US" w:eastAsia="zh-CN"/>
                    </w:rPr>
                    <w:t>硅氧烷：</w:t>
                  </w:r>
                  <w:r>
                    <w:rPr>
                      <w:rFonts w:hint="default"/>
                      <w:color w:val="auto"/>
                      <w:kern w:val="2"/>
                      <w:sz w:val="21"/>
                      <w:highlight w:val="none"/>
                    </w:rPr>
                    <w:t>含量为</w:t>
                  </w:r>
                  <w:r>
                    <w:rPr>
                      <w:rFonts w:hint="eastAsia"/>
                      <w:color w:val="auto"/>
                      <w:kern w:val="2"/>
                      <w:sz w:val="21"/>
                      <w:highlight w:val="none"/>
                      <w:lang w:val="en-US" w:eastAsia="zh-CN"/>
                    </w:rPr>
                    <w:t>12.9</w:t>
                  </w:r>
                  <w:r>
                    <w:rPr>
                      <w:rFonts w:hint="default"/>
                      <w:color w:val="auto"/>
                      <w:kern w:val="2"/>
                      <w:sz w:val="21"/>
                      <w:highlight w:val="none"/>
                    </w:rPr>
                    <w:t>%）组成。</w:t>
                  </w:r>
                  <w:r>
                    <w:rPr>
                      <w:rFonts w:hint="eastAsia"/>
                      <w:color w:val="auto"/>
                      <w:kern w:val="2"/>
                      <w:sz w:val="21"/>
                      <w:highlight w:val="none"/>
                    </w:rPr>
                    <w:t>pH值为</w:t>
                  </w:r>
                  <w:r>
                    <w:rPr>
                      <w:rFonts w:hint="eastAsia"/>
                      <w:color w:val="auto"/>
                      <w:kern w:val="2"/>
                      <w:sz w:val="21"/>
                      <w:highlight w:val="none"/>
                      <w:lang w:val="en-US" w:eastAsia="zh-CN"/>
                    </w:rPr>
                    <w:t>7</w:t>
                  </w:r>
                  <w:r>
                    <w:rPr>
                      <w:rFonts w:hint="default"/>
                      <w:color w:val="auto"/>
                      <w:kern w:val="2"/>
                      <w:sz w:val="21"/>
                      <w:highlight w:val="none"/>
                    </w:rPr>
                    <w:t>，密度为0.9</w:t>
                  </w:r>
                  <w:r>
                    <w:rPr>
                      <w:rFonts w:hint="eastAsia"/>
                      <w:color w:val="auto"/>
                      <w:kern w:val="2"/>
                      <w:sz w:val="21"/>
                      <w:highlight w:val="none"/>
                      <w:lang w:val="en-US" w:eastAsia="zh-CN"/>
                    </w:rPr>
                    <w:t>03</w:t>
                  </w:r>
                  <w:r>
                    <w:rPr>
                      <w:rFonts w:hint="default"/>
                      <w:color w:val="auto"/>
                      <w:kern w:val="2"/>
                      <w:sz w:val="21"/>
                      <w:highlight w:val="none"/>
                    </w:rPr>
                    <w:t>g/cm</w:t>
                  </w:r>
                  <w:r>
                    <w:rPr>
                      <w:rFonts w:hint="default"/>
                      <w:color w:val="auto"/>
                      <w:kern w:val="2"/>
                      <w:sz w:val="21"/>
                      <w:highlight w:val="none"/>
                      <w:vertAlign w:val="superscript"/>
                    </w:rPr>
                    <w:t>3</w:t>
                  </w:r>
                  <w:r>
                    <w:rPr>
                      <w:rFonts w:hint="default"/>
                      <w:color w:val="auto"/>
                      <w:kern w:val="2"/>
                      <w:sz w:val="21"/>
                      <w:highlight w:val="none"/>
                    </w:rPr>
                    <w:t>。为</w:t>
                  </w:r>
                  <w:r>
                    <w:rPr>
                      <w:rFonts w:hint="eastAsia"/>
                      <w:color w:val="auto"/>
                      <w:kern w:val="2"/>
                      <w:sz w:val="21"/>
                      <w:highlight w:val="none"/>
                      <w:lang w:val="en-US" w:eastAsia="zh-CN"/>
                    </w:rPr>
                    <w:t>透明白色</w:t>
                  </w:r>
                  <w:r>
                    <w:rPr>
                      <w:rFonts w:hint="default"/>
                      <w:color w:val="auto"/>
                      <w:kern w:val="2"/>
                      <w:sz w:val="21"/>
                      <w:highlight w:val="none"/>
                    </w:rPr>
                    <w:t>，没有气味或带芳香味。具有无毒性、耐移行性、耐候性及耐热性等特点。</w:t>
                  </w:r>
                </w:p>
              </w:tc>
            </w:tr>
          </w:tbl>
          <w:p>
            <w:pPr>
              <w:keepNext w:val="0"/>
              <w:keepLines w:val="0"/>
              <w:numPr>
                <w:ilvl w:val="0"/>
                <w:numId w:val="9"/>
              </w:numPr>
              <w:suppressLineNumbers w:val="0"/>
              <w:snapToGrid w:val="0"/>
              <w:spacing w:before="0" w:beforeAutospacing="0" w:after="0" w:afterAutospacing="0" w:line="360" w:lineRule="auto"/>
              <w:ind w:left="0" w:right="0" w:firstLine="482"/>
              <w:rPr>
                <w:rFonts w:hint="default"/>
                <w:b/>
                <w:bCs/>
                <w:snapToGrid w:val="0"/>
                <w:color w:val="auto"/>
                <w:sz w:val="24"/>
                <w:highlight w:val="none"/>
              </w:rPr>
            </w:pPr>
            <w:r>
              <w:rPr>
                <w:rFonts w:hint="default"/>
                <w:b/>
                <w:bCs/>
                <w:snapToGrid w:val="0"/>
                <w:color w:val="auto"/>
                <w:sz w:val="24"/>
                <w:highlight w:val="none"/>
              </w:rPr>
              <w:t>项目主要设备</w:t>
            </w:r>
          </w:p>
          <w:p>
            <w:pPr>
              <w:pStyle w:val="69"/>
              <w:keepLines w:val="0"/>
              <w:suppressLineNumbers w:val="0"/>
              <w:spacing w:before="0" w:beforeAutospacing="0" w:after="0" w:afterAutospacing="0" w:line="240" w:lineRule="auto"/>
              <w:ind w:left="0" w:right="0"/>
              <w:rPr>
                <w:rFonts w:hint="default" w:eastAsia="宋体"/>
                <w:b/>
                <w:bCs/>
                <w:color w:val="auto"/>
                <w:szCs w:val="24"/>
                <w:highlight w:val="none"/>
              </w:rPr>
            </w:pPr>
            <w:r>
              <w:rPr>
                <w:rFonts w:hint="default" w:eastAsia="宋体"/>
                <w:b/>
                <w:bCs/>
                <w:color w:val="auto"/>
                <w:szCs w:val="24"/>
                <w:highlight w:val="none"/>
              </w:rPr>
              <w:t>表2-5  项目生产设备一览表</w:t>
            </w:r>
          </w:p>
          <w:tbl>
            <w:tblPr>
              <w:tblStyle w:val="36"/>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1"/>
              <w:gridCol w:w="1178"/>
              <w:gridCol w:w="1427"/>
              <w:gridCol w:w="740"/>
              <w:gridCol w:w="683"/>
              <w:gridCol w:w="2040"/>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生产单元</w:t>
                  </w:r>
                </w:p>
              </w:tc>
              <w:tc>
                <w:tcPr>
                  <w:tcW w:w="1178"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生产工艺</w:t>
                  </w:r>
                </w:p>
              </w:tc>
              <w:tc>
                <w:tcPr>
                  <w:tcW w:w="1427"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生产设备</w:t>
                  </w:r>
                </w:p>
              </w:tc>
              <w:tc>
                <w:tcPr>
                  <w:tcW w:w="740"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数量</w:t>
                  </w:r>
                </w:p>
              </w:tc>
              <w:tc>
                <w:tcPr>
                  <w:tcW w:w="683"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单位</w:t>
                  </w:r>
                </w:p>
              </w:tc>
              <w:tc>
                <w:tcPr>
                  <w:tcW w:w="2040"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设备参数</w:t>
                  </w:r>
                </w:p>
              </w:tc>
              <w:tc>
                <w:tcPr>
                  <w:tcW w:w="1229" w:type="dxa"/>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restart"/>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r>
                    <w:rPr>
                      <w:rFonts w:hint="default" w:eastAsia="宋体"/>
                      <w:color w:val="auto"/>
                      <w:kern w:val="2"/>
                      <w:sz w:val="21"/>
                      <w:highlight w:val="none"/>
                    </w:rPr>
                    <w:t>拉丝</w:t>
                  </w:r>
                </w:p>
              </w:tc>
              <w:tc>
                <w:tcPr>
                  <w:tcW w:w="1178" w:type="dxa"/>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小拉丝</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小拉机</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60</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设计生产能力0.006t/h</w:t>
                  </w:r>
                </w:p>
              </w:tc>
              <w:tc>
                <w:tcPr>
                  <w:tcW w:w="1229" w:type="dxa"/>
                  <w:vMerge w:val="restar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牵引装置</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1</w:t>
                  </w:r>
                  <w:r>
                    <w:rPr>
                      <w:rFonts w:hint="default"/>
                      <w:color w:val="auto"/>
                      <w:kern w:val="2"/>
                      <w:sz w:val="21"/>
                      <w:highlight w:val="none"/>
                    </w:rPr>
                    <w:t>20</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ascii="Times New Roman" w:hAnsi="Times New Roman" w:cs="Times New Roman"/>
                      <w:b w:val="0"/>
                      <w:bCs/>
                      <w:color w:val="auto"/>
                      <w:kern w:val="2"/>
                      <w:sz w:val="21"/>
                      <w:szCs w:val="21"/>
                      <w:highlight w:val="none"/>
                      <w:lang w:val="en-US" w:eastAsia="zh-CN"/>
                    </w:rPr>
                    <w:t>功率1.5kw</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中拉丝</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中拉机</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设计生产能力0.1t/h</w:t>
                  </w:r>
                </w:p>
              </w:tc>
              <w:tc>
                <w:tcPr>
                  <w:tcW w:w="1229" w:type="dxa"/>
                  <w:vMerge w:val="restart"/>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牵引装置</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8</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ascii="Times New Roman" w:hAnsi="Times New Roman" w:cs="Times New Roman"/>
                      <w:b w:val="0"/>
                      <w:bCs/>
                      <w:color w:val="auto"/>
                      <w:kern w:val="2"/>
                      <w:sz w:val="21"/>
                      <w:szCs w:val="21"/>
                      <w:highlight w:val="none"/>
                      <w:lang w:val="en-US" w:eastAsia="zh-CN"/>
                    </w:rPr>
                    <w:t>功率1.5kw</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大拉丝</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大拉机</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设计生产能力0.35t/h</w:t>
                  </w:r>
                </w:p>
              </w:tc>
              <w:tc>
                <w:tcPr>
                  <w:tcW w:w="1229" w:type="dxa"/>
                  <w:vMerge w:val="restart"/>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牵引装置</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ascii="Times New Roman" w:hAnsi="Times New Roman" w:cs="Times New Roman"/>
                      <w:b w:val="0"/>
                      <w:bCs/>
                      <w:color w:val="auto"/>
                      <w:kern w:val="2"/>
                      <w:sz w:val="21"/>
                      <w:szCs w:val="21"/>
                      <w:highlight w:val="none"/>
                      <w:lang w:val="en-US" w:eastAsia="zh-CN"/>
                    </w:rPr>
                    <w:t>功率2kw</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拉丝液池</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2.9m*2.3m*2.2m</w:t>
                  </w:r>
                </w:p>
              </w:tc>
              <w:tc>
                <w:tcPr>
                  <w:tcW w:w="1229" w:type="dxa"/>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1" w:type="dxa"/>
                  <w:vMerge w:val="restart"/>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r>
                    <w:rPr>
                      <w:rFonts w:hint="default" w:eastAsia="宋体"/>
                      <w:color w:val="auto"/>
                      <w:kern w:val="2"/>
                      <w:sz w:val="21"/>
                      <w:highlight w:val="none"/>
                    </w:rPr>
                    <w:t>退火</w:t>
                  </w:r>
                </w:p>
              </w:tc>
              <w:tc>
                <w:tcPr>
                  <w:tcW w:w="1178" w:type="dxa"/>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退火</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退火机</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68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设计生产能力0.1t/h</w:t>
                  </w:r>
                </w:p>
              </w:tc>
              <w:tc>
                <w:tcPr>
                  <w:tcW w:w="1229" w:type="dxa"/>
                  <w:vMerge w:val="restar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牵引装置</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8</w:t>
                  </w:r>
                </w:p>
              </w:tc>
              <w:tc>
                <w:tcPr>
                  <w:tcW w:w="68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ascii="Times New Roman" w:hAnsi="Times New Roman" w:cs="Times New Roman"/>
                      <w:b w:val="0"/>
                      <w:bCs/>
                      <w:color w:val="auto"/>
                      <w:kern w:val="2"/>
                      <w:sz w:val="21"/>
                      <w:szCs w:val="21"/>
                      <w:highlight w:val="none"/>
                      <w:lang w:val="en-US" w:eastAsia="zh-CN"/>
                    </w:rPr>
                    <w:t>功率1.5kw</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eastAsia" w:eastAsia="宋体"/>
                      <w:color w:val="auto"/>
                      <w:kern w:val="2"/>
                      <w:sz w:val="21"/>
                      <w:highlight w:val="none"/>
                      <w:lang w:eastAsia="zh-CN"/>
                    </w:rPr>
                  </w:pPr>
                  <w:r>
                    <w:rPr>
                      <w:rFonts w:hint="default"/>
                      <w:color w:val="auto"/>
                      <w:kern w:val="2"/>
                      <w:sz w:val="21"/>
                      <w:highlight w:val="none"/>
                    </w:rPr>
                    <w:t>冷却水槽</w:t>
                  </w:r>
                  <w:r>
                    <w:rPr>
                      <w:rFonts w:hint="eastAsia"/>
                      <w:color w:val="auto"/>
                      <w:kern w:val="2"/>
                      <w:sz w:val="21"/>
                      <w:highlight w:val="none"/>
                      <w:lang w:eastAsia="zh-CN"/>
                    </w:rPr>
                    <w:t>（</w:t>
                  </w:r>
                  <w:r>
                    <w:rPr>
                      <w:rFonts w:hint="eastAsia"/>
                      <w:color w:val="auto"/>
                      <w:kern w:val="2"/>
                      <w:sz w:val="21"/>
                      <w:highlight w:val="none"/>
                      <w:lang w:val="en-US" w:eastAsia="zh-CN"/>
                    </w:rPr>
                    <w:t>退火机配套</w:t>
                  </w:r>
                  <w:r>
                    <w:rPr>
                      <w:rFonts w:hint="eastAsia"/>
                      <w:color w:val="auto"/>
                      <w:kern w:val="2"/>
                      <w:sz w:val="21"/>
                      <w:highlight w:val="none"/>
                      <w:lang w:eastAsia="zh-CN"/>
                    </w:rPr>
                    <w:t>）</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68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1.3m*1m*0.2m</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冷却水池</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68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highlight w:val="none"/>
                    </w:rPr>
                  </w:pPr>
                  <w:r>
                    <w:rPr>
                      <w:rFonts w:hint="default" w:ascii="Times New Roman" w:hAnsi="Times New Roman" w:cs="Times New Roman"/>
                      <w:color w:val="auto"/>
                      <w:kern w:val="2"/>
                      <w:sz w:val="21"/>
                      <w:highlight w:val="none"/>
                    </w:rPr>
                    <w:t>2.9m*2.3m*2.2m</w:t>
                  </w:r>
                </w:p>
              </w:tc>
              <w:tc>
                <w:tcPr>
                  <w:tcW w:w="1229" w:type="dxa"/>
                  <w:vMerge w:val="continue"/>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冷却塔</w:t>
                  </w:r>
                </w:p>
              </w:tc>
              <w:tc>
                <w:tcPr>
                  <w:tcW w:w="740" w:type="dxa"/>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2</w:t>
                  </w:r>
                </w:p>
              </w:tc>
              <w:tc>
                <w:tcPr>
                  <w:tcW w:w="683" w:type="dxa"/>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cs="Times New Roman"/>
                      <w:color w:val="auto"/>
                      <w:kern w:val="2"/>
                      <w:sz w:val="21"/>
                      <w:highlight w:val="none"/>
                    </w:rPr>
                    <w:t>循环水量2</w:t>
                  </w:r>
                  <w:r>
                    <w:rPr>
                      <w:rFonts w:hint="default" w:ascii="Times New Roman" w:hAnsi="Times New Roman" w:cs="Times New Roman"/>
                      <w:color w:val="auto"/>
                      <w:sz w:val="21"/>
                      <w:highlight w:val="none"/>
                    </w:rPr>
                    <w:t>0m³/h</w:t>
                  </w:r>
                </w:p>
              </w:tc>
              <w:tc>
                <w:tcPr>
                  <w:tcW w:w="1229" w:type="dxa"/>
                  <w:vAlign w:val="center"/>
                </w:tcPr>
                <w:p>
                  <w:pPr>
                    <w:keepNext w:val="0"/>
                    <w:keepLines w:val="0"/>
                    <w:suppressLineNumbers w:val="0"/>
                    <w:spacing w:before="0" w:beforeAutospacing="0" w:after="0" w:afterAutospacing="0" w:line="240" w:lineRule="auto"/>
                    <w:ind w:left="0" w:leftChars="0" w:right="0" w:rightChars="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A12栋</w:t>
                  </w:r>
                  <w:r>
                    <w:rPr>
                      <w:rFonts w:hint="eastAsia"/>
                      <w:color w:val="auto"/>
                      <w:kern w:val="2"/>
                      <w:sz w:val="21"/>
                      <w:highlight w:val="none"/>
                      <w:lang w:val="en-US" w:eastAsia="zh-CN"/>
                    </w:rPr>
                    <w:t>楼顶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restart"/>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r>
                    <w:rPr>
                      <w:rFonts w:hint="eastAsia" w:eastAsia="宋体"/>
                      <w:color w:val="auto"/>
                      <w:kern w:val="2"/>
                      <w:sz w:val="21"/>
                      <w:highlight w:val="none"/>
                    </w:rPr>
                    <w:t>浸</w:t>
                  </w:r>
                  <w:r>
                    <w:rPr>
                      <w:rFonts w:hint="default" w:eastAsia="宋体"/>
                      <w:color w:val="auto"/>
                      <w:kern w:val="2"/>
                      <w:sz w:val="21"/>
                      <w:highlight w:val="none"/>
                    </w:rPr>
                    <w:t>锡</w:t>
                  </w:r>
                </w:p>
              </w:tc>
              <w:tc>
                <w:tcPr>
                  <w:tcW w:w="1178" w:type="dxa"/>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热浸锡</w:t>
                  </w: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锡炉</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台</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highlight w:val="none"/>
                    </w:rPr>
                  </w:pPr>
                  <w:r>
                    <w:rPr>
                      <w:rFonts w:hint="default" w:ascii="Times New Roman" w:hAnsi="Times New Roman" w:cs="Times New Roman"/>
                      <w:color w:val="auto"/>
                      <w:kern w:val="2"/>
                      <w:sz w:val="21"/>
                      <w:highlight w:val="none"/>
                    </w:rPr>
                    <w:t>0.15t/h</w:t>
                  </w:r>
                </w:p>
              </w:tc>
              <w:tc>
                <w:tcPr>
                  <w:tcW w:w="1229" w:type="dxa"/>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1" w:type="dxa"/>
                  <w:vMerge w:val="continue"/>
                  <w:vAlign w:val="center"/>
                </w:tcPr>
                <w:p>
                  <w:pPr>
                    <w:pStyle w:val="69"/>
                    <w:keepLines w:val="0"/>
                    <w:suppressLineNumbers w:val="0"/>
                    <w:spacing w:before="0" w:beforeAutospacing="0" w:after="0" w:afterAutospacing="0" w:line="240" w:lineRule="auto"/>
                    <w:ind w:left="0" w:right="0"/>
                    <w:rPr>
                      <w:rFonts w:hint="default" w:eastAsia="宋体"/>
                      <w:color w:val="auto"/>
                      <w:kern w:val="2"/>
                      <w:sz w:val="21"/>
                      <w:highlight w:val="none"/>
                    </w:rPr>
                  </w:pPr>
                </w:p>
              </w:tc>
              <w:tc>
                <w:tcPr>
                  <w:tcW w:w="1178" w:type="dxa"/>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1427"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default"/>
                      <w:color w:val="auto"/>
                      <w:kern w:val="2"/>
                      <w:sz w:val="21"/>
                      <w:highlight w:val="none"/>
                    </w:rPr>
                    <w:t>助焊剂槽</w:t>
                  </w:r>
                  <w:r>
                    <w:rPr>
                      <w:rFonts w:hint="eastAsia" w:ascii="Times New Roman" w:hAnsi="Times New Roman" w:eastAsia="宋体" w:cs="Times New Roman"/>
                      <w:color w:val="auto"/>
                      <w:kern w:val="2"/>
                      <w:sz w:val="21"/>
                      <w:highlight w:val="none"/>
                      <w:lang w:eastAsia="zh-CN"/>
                    </w:rPr>
                    <w:t>（</w:t>
                  </w:r>
                  <w:r>
                    <w:rPr>
                      <w:rFonts w:hint="eastAsia" w:ascii="Times New Roman" w:hAnsi="Times New Roman" w:eastAsia="宋体" w:cs="Times New Roman"/>
                      <w:color w:val="auto"/>
                      <w:kern w:val="2"/>
                      <w:sz w:val="21"/>
                      <w:highlight w:val="none"/>
                      <w:lang w:val="en-US" w:eastAsia="zh-CN"/>
                    </w:rPr>
                    <w:t>锡炉配套）</w:t>
                  </w:r>
                </w:p>
              </w:tc>
              <w:tc>
                <w:tcPr>
                  <w:tcW w:w="7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683"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个</w:t>
                  </w:r>
                </w:p>
              </w:tc>
              <w:tc>
                <w:tcPr>
                  <w:tcW w:w="2040" w:type="dxa"/>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ascii="Times New Roman" w:hAnsi="Times New Roman" w:cs="Times New Roman"/>
                      <w:color w:val="auto"/>
                      <w:kern w:val="2"/>
                      <w:sz w:val="21"/>
                      <w:highlight w:val="none"/>
                    </w:rPr>
                  </w:pPr>
                  <w:r>
                    <w:rPr>
                      <w:rFonts w:hint="default" w:ascii="Times New Roman" w:hAnsi="Times New Roman" w:cs="Times New Roman"/>
                      <w:color w:val="auto"/>
                      <w:sz w:val="21"/>
                      <w:highlight w:val="none"/>
                    </w:rPr>
                    <w:t>1.5m*1.2m*0.2m</w:t>
                  </w:r>
                </w:p>
              </w:tc>
              <w:tc>
                <w:tcPr>
                  <w:tcW w:w="1229" w:type="dxa"/>
                  <w:vAlign w:val="center"/>
                </w:tcPr>
                <w:p>
                  <w:pPr>
                    <w:keepNext w:val="0"/>
                    <w:keepLines w:val="0"/>
                    <w:suppressLineNumbers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A12栋1楼</w:t>
                  </w:r>
                </w:p>
              </w:tc>
            </w:tr>
          </w:tbl>
          <w:p>
            <w:pPr>
              <w:keepNext w:val="0"/>
              <w:keepLines w:val="0"/>
              <w:suppressLineNumbers w:val="0"/>
              <w:adjustRightInd w:val="0"/>
              <w:snapToGrid w:val="0"/>
              <w:spacing w:before="0" w:beforeAutospacing="0" w:after="0" w:afterAutospacing="0" w:line="360" w:lineRule="auto"/>
              <w:ind w:left="0" w:right="0" w:firstLine="420"/>
              <w:jc w:val="both"/>
              <w:rPr>
                <w:rFonts w:hint="default"/>
                <w:color w:val="auto"/>
                <w:sz w:val="24"/>
                <w:highlight w:val="none"/>
              </w:rPr>
            </w:pPr>
            <w:r>
              <w:rPr>
                <w:rFonts w:hint="default"/>
                <w:bCs/>
                <w:color w:val="auto"/>
                <w:sz w:val="21"/>
                <w:highlight w:val="none"/>
              </w:rPr>
              <w:t>注：以上设备均使用电能。</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根据建设单位提供的产能匹配性说明如下：</w:t>
            </w:r>
          </w:p>
          <w:p>
            <w:pPr>
              <w:pStyle w:val="69"/>
              <w:keepLines w:val="0"/>
              <w:suppressLineNumbers w:val="0"/>
              <w:spacing w:before="0" w:beforeAutospacing="0" w:after="0" w:afterAutospacing="0" w:line="240" w:lineRule="auto"/>
              <w:ind w:left="0" w:right="0"/>
              <w:rPr>
                <w:rFonts w:hint="default"/>
                <w:color w:val="auto"/>
                <w:highlight w:val="none"/>
              </w:rPr>
            </w:pPr>
            <w:r>
              <w:rPr>
                <w:rFonts w:hint="default" w:eastAsia="宋体"/>
                <w:b/>
                <w:bCs/>
                <w:color w:val="auto"/>
                <w:szCs w:val="24"/>
                <w:highlight w:val="none"/>
              </w:rPr>
              <w:t>表2-6  项目产能匹配性一览表</w:t>
            </w:r>
          </w:p>
          <w:tbl>
            <w:tblPr>
              <w:tblStyle w:val="3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7"/>
              <w:gridCol w:w="1299"/>
              <w:gridCol w:w="1773"/>
              <w:gridCol w:w="1160"/>
              <w:gridCol w:w="1420"/>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设备名称</w:t>
                  </w:r>
                </w:p>
              </w:tc>
              <w:tc>
                <w:tcPr>
                  <w:tcW w:w="748"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设备数量（台）</w:t>
                  </w:r>
                </w:p>
              </w:tc>
              <w:tc>
                <w:tcPr>
                  <w:tcW w:w="1021"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设计生产能力（t/h）</w:t>
                  </w:r>
                </w:p>
              </w:tc>
              <w:tc>
                <w:tcPr>
                  <w:tcW w:w="668"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生产时间（h）</w:t>
                  </w:r>
                </w:p>
              </w:tc>
              <w:tc>
                <w:tcPr>
                  <w:tcW w:w="818"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设计年产能(t/a)</w:t>
                  </w:r>
                </w:p>
              </w:tc>
              <w:tc>
                <w:tcPr>
                  <w:tcW w:w="858" w:type="pct"/>
                  <w:vAlign w:val="center"/>
                </w:tcPr>
                <w:p>
                  <w:pPr>
                    <w:pStyle w:val="69"/>
                    <w:keepLines w:val="0"/>
                    <w:suppressLineNumbers w:val="0"/>
                    <w:spacing w:before="0" w:beforeAutospacing="0" w:after="0" w:afterAutospacing="0" w:line="240" w:lineRule="auto"/>
                    <w:ind w:left="0" w:right="0"/>
                    <w:rPr>
                      <w:rFonts w:hint="default" w:eastAsia="宋体"/>
                      <w:b/>
                      <w:bCs/>
                      <w:color w:val="auto"/>
                      <w:sz w:val="21"/>
                      <w:highlight w:val="none"/>
                    </w:rPr>
                  </w:pPr>
                  <w:r>
                    <w:rPr>
                      <w:rFonts w:hint="default" w:eastAsia="宋体"/>
                      <w:b/>
                      <w:bCs/>
                      <w:color w:val="auto"/>
                      <w:sz w:val="21"/>
                      <w:highlight w:val="none"/>
                    </w:rPr>
                    <w:t>项目总产能(t/a)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85"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小拉机</w:t>
                  </w:r>
                </w:p>
              </w:tc>
              <w:tc>
                <w:tcPr>
                  <w:tcW w:w="7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60</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0.006</w:t>
                  </w:r>
                </w:p>
              </w:tc>
              <w:tc>
                <w:tcPr>
                  <w:tcW w:w="66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6600</w:t>
                  </w:r>
                </w:p>
              </w:tc>
              <w:tc>
                <w:tcPr>
                  <w:tcW w:w="8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2376</w:t>
                  </w:r>
                </w:p>
              </w:tc>
              <w:tc>
                <w:tcPr>
                  <w:tcW w:w="858" w:type="pct"/>
                  <w:vMerge w:val="restar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中拉机</w:t>
                  </w:r>
                </w:p>
              </w:tc>
              <w:tc>
                <w:tcPr>
                  <w:tcW w:w="7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0.1</w:t>
                  </w:r>
                </w:p>
              </w:tc>
              <w:tc>
                <w:tcPr>
                  <w:tcW w:w="66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6600</w:t>
                  </w:r>
                </w:p>
              </w:tc>
              <w:tc>
                <w:tcPr>
                  <w:tcW w:w="8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2640</w:t>
                  </w:r>
                </w:p>
              </w:tc>
              <w:tc>
                <w:tcPr>
                  <w:tcW w:w="858"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大拉机</w:t>
                  </w:r>
                </w:p>
              </w:tc>
              <w:tc>
                <w:tcPr>
                  <w:tcW w:w="7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0.35</w:t>
                  </w:r>
                </w:p>
              </w:tc>
              <w:tc>
                <w:tcPr>
                  <w:tcW w:w="66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6600</w:t>
                  </w:r>
                </w:p>
              </w:tc>
              <w:tc>
                <w:tcPr>
                  <w:tcW w:w="8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2310</w:t>
                  </w:r>
                </w:p>
              </w:tc>
              <w:tc>
                <w:tcPr>
                  <w:tcW w:w="858"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退火机</w:t>
                  </w:r>
                </w:p>
              </w:tc>
              <w:tc>
                <w:tcPr>
                  <w:tcW w:w="7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4</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0.1</w:t>
                  </w:r>
                </w:p>
              </w:tc>
              <w:tc>
                <w:tcPr>
                  <w:tcW w:w="66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6600</w:t>
                  </w:r>
                </w:p>
              </w:tc>
              <w:tc>
                <w:tcPr>
                  <w:tcW w:w="8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2640</w:t>
                  </w:r>
                </w:p>
              </w:tc>
              <w:tc>
                <w:tcPr>
                  <w:tcW w:w="858" w:type="pct"/>
                  <w:vMerge w:val="continue"/>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 w:type="pct"/>
                  <w:vAlign w:val="center"/>
                </w:tcPr>
                <w:p>
                  <w:pPr>
                    <w:pStyle w:val="2"/>
                    <w:keepNext w:val="0"/>
                    <w:keepLines w:val="0"/>
                    <w:suppressLineNumbers w:val="0"/>
                    <w:spacing w:before="0" w:beforeAutospacing="0" w:after="0" w:afterAutospacing="0"/>
                    <w:ind w:left="0" w:right="0" w:firstLine="420"/>
                    <w:rPr>
                      <w:rFonts w:hint="default" w:ascii="Times New Roman" w:cs="Times New Roman"/>
                      <w:color w:val="auto"/>
                      <w:sz w:val="21"/>
                      <w:szCs w:val="21"/>
                      <w:highlight w:val="none"/>
                    </w:rPr>
                  </w:pPr>
                  <w:r>
                    <w:rPr>
                      <w:rFonts w:hint="default" w:ascii="Times New Roman" w:cs="Times New Roman"/>
                      <w:color w:val="auto"/>
                      <w:kern w:val="2"/>
                      <w:sz w:val="21"/>
                      <w:szCs w:val="21"/>
                      <w:highlight w:val="none"/>
                    </w:rPr>
                    <w:t>锡炉</w:t>
                  </w:r>
                </w:p>
              </w:tc>
              <w:tc>
                <w:tcPr>
                  <w:tcW w:w="74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102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0.15</w:t>
                  </w:r>
                </w:p>
              </w:tc>
              <w:tc>
                <w:tcPr>
                  <w:tcW w:w="66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6600</w:t>
                  </w:r>
                </w:p>
              </w:tc>
              <w:tc>
                <w:tcPr>
                  <w:tcW w:w="818"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1980</w:t>
                  </w:r>
                </w:p>
              </w:tc>
              <w:tc>
                <w:tcPr>
                  <w:tcW w:w="858" w:type="pct"/>
                  <w:vAlign w:val="center"/>
                </w:tcPr>
                <w:p>
                  <w:pPr>
                    <w:pStyle w:val="2"/>
                    <w:keepNext w:val="0"/>
                    <w:keepLines w:val="0"/>
                    <w:suppressLineNumbers w:val="0"/>
                    <w:spacing w:before="0" w:beforeAutospacing="0" w:after="0" w:afterAutospacing="0"/>
                    <w:ind w:left="0" w:right="0" w:firstLine="0" w:firstLineChars="0"/>
                    <w:jc w:val="center"/>
                    <w:rPr>
                      <w:rFonts w:hint="default" w:ascii="Times New Roman" w:cs="Times New Roman"/>
                      <w:color w:val="auto"/>
                      <w:kern w:val="2"/>
                      <w:sz w:val="21"/>
                      <w:szCs w:val="21"/>
                      <w:highlight w:val="none"/>
                    </w:rPr>
                  </w:pPr>
                  <w:r>
                    <w:rPr>
                      <w:rFonts w:hint="default" w:ascii="Times New Roman" w:cs="Times New Roman"/>
                      <w:color w:val="auto"/>
                      <w:kern w:val="2"/>
                      <w:sz w:val="21"/>
                      <w:szCs w:val="21"/>
                      <w:highlight w:val="none"/>
                    </w:rPr>
                    <w:t>1500</w:t>
                  </w:r>
                </w:p>
              </w:tc>
            </w:tr>
          </w:tbl>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本项目的两种产品，总产能为2000t/a，所有产品均设置了小拉丝工序、中拉丝工序、大拉丝工序和退火工序，拉丝生产设备在满负荷下的年产量分别为2376吨、2640吨、2310吨；退火机在满负荷下的年产量为2640吨，满足本项目年产量需求。</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项目有1500吨铜丝需要进行</w:t>
            </w:r>
            <w:r>
              <w:rPr>
                <w:rFonts w:hint="eastAsia"/>
                <w:color w:val="auto"/>
                <w:sz w:val="24"/>
                <w:highlight w:val="none"/>
              </w:rPr>
              <w:t>热浸锡</w:t>
            </w:r>
            <w:r>
              <w:rPr>
                <w:rFonts w:hint="default"/>
                <w:color w:val="auto"/>
                <w:sz w:val="24"/>
                <w:highlight w:val="none"/>
              </w:rPr>
              <w:t>，锡炉在满负荷下的年产量为1980吨，满足本项目年产量需求。</w:t>
            </w:r>
          </w:p>
          <w:p>
            <w:pPr>
              <w:keepNext w:val="0"/>
              <w:keepLines w:val="0"/>
              <w:suppressLineNumbers w:val="0"/>
              <w:snapToGrid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6、项目给、排水情况</w:t>
            </w:r>
          </w:p>
          <w:p>
            <w:pPr>
              <w:pStyle w:val="124"/>
              <w:keepNext w:val="0"/>
              <w:keepLines w:val="0"/>
              <w:suppressLineNumbers w:val="0"/>
              <w:spacing w:before="0" w:beforeAutospacing="0" w:after="0" w:afterAutospacing="0" w:line="360" w:lineRule="auto"/>
              <w:ind w:left="0" w:right="0" w:firstLine="482"/>
              <w:rPr>
                <w:rFonts w:hint="default"/>
                <w:b/>
                <w:bCs/>
                <w:color w:val="auto"/>
                <w:sz w:val="24"/>
                <w:highlight w:val="none"/>
                <w:lang w:bidi="ar"/>
              </w:rPr>
            </w:pPr>
            <w:r>
              <w:rPr>
                <w:rFonts w:hint="default"/>
                <w:b/>
                <w:bCs/>
                <w:color w:val="auto"/>
                <w:sz w:val="24"/>
                <w:highlight w:val="none"/>
                <w:lang w:bidi="ar"/>
              </w:rPr>
              <w:t>一、给水情况</w:t>
            </w:r>
          </w:p>
          <w:p>
            <w:pPr>
              <w:pStyle w:val="124"/>
              <w:keepNext w:val="0"/>
              <w:keepLines w:val="0"/>
              <w:suppressLineNumbers w:val="0"/>
              <w:spacing w:before="0" w:beforeAutospacing="0" w:after="0" w:afterAutospacing="0" w:line="360" w:lineRule="auto"/>
              <w:ind w:left="0" w:right="0" w:firstLine="482"/>
              <w:rPr>
                <w:rFonts w:hint="default"/>
                <w:b/>
                <w:bCs/>
                <w:color w:val="auto"/>
                <w:sz w:val="24"/>
                <w:highlight w:val="none"/>
                <w:lang w:bidi="ar"/>
              </w:rPr>
            </w:pPr>
            <w:r>
              <w:rPr>
                <w:rFonts w:hint="default"/>
                <w:b/>
                <w:bCs/>
                <w:color w:val="auto"/>
                <w:sz w:val="24"/>
                <w:highlight w:val="none"/>
                <w:lang w:bidi="ar"/>
              </w:rPr>
              <w:t>（1）生产用水</w:t>
            </w:r>
          </w:p>
          <w:p>
            <w:pPr>
              <w:pStyle w:val="124"/>
              <w:keepNext w:val="0"/>
              <w:keepLines w:val="0"/>
              <w:suppressLineNumbers w:val="0"/>
              <w:spacing w:before="0" w:beforeAutospacing="0" w:after="0" w:afterAutospacing="0" w:line="360" w:lineRule="auto"/>
              <w:ind w:left="0" w:right="0" w:firstLine="480"/>
              <w:rPr>
                <w:rFonts w:hint="default"/>
                <w:color w:val="auto"/>
                <w:sz w:val="24"/>
                <w:highlight w:val="none"/>
                <w:lang w:bidi="ar"/>
              </w:rPr>
            </w:pPr>
            <w:r>
              <w:rPr>
                <w:rFonts w:hint="default"/>
                <w:color w:val="auto"/>
                <w:sz w:val="24"/>
                <w:highlight w:val="none"/>
                <w:lang w:bidi="ar"/>
              </w:rPr>
              <w:t>本项目生产用水为退火机冷却水槽用水、助焊剂调配用水、拉丝油调配水、</w:t>
            </w:r>
          </w:p>
          <w:p>
            <w:pPr>
              <w:pStyle w:val="124"/>
              <w:keepNext w:val="0"/>
              <w:keepLines w:val="0"/>
              <w:suppressLineNumbers w:val="0"/>
              <w:spacing w:before="0" w:beforeAutospacing="0" w:after="0" w:afterAutospacing="0" w:line="360" w:lineRule="auto"/>
              <w:ind w:left="0" w:right="0" w:firstLine="0" w:firstLineChars="0"/>
              <w:rPr>
                <w:rFonts w:hint="default"/>
                <w:color w:val="auto"/>
                <w:sz w:val="24"/>
                <w:highlight w:val="none"/>
                <w:lang w:bidi="ar"/>
              </w:rPr>
            </w:pPr>
            <w:r>
              <w:rPr>
                <w:rFonts w:hint="default"/>
                <w:color w:val="auto"/>
                <w:sz w:val="24"/>
                <w:highlight w:val="none"/>
                <w:lang w:bidi="ar"/>
              </w:rPr>
              <w:t>喷淋塔用水和冷却塔用水。</w:t>
            </w:r>
          </w:p>
          <w:p>
            <w:pPr>
              <w:pStyle w:val="124"/>
              <w:keepNext w:val="0"/>
              <w:keepLines w:val="0"/>
              <w:suppressLineNumbers w:val="0"/>
              <w:spacing w:before="0" w:beforeAutospacing="0" w:after="0" w:afterAutospacing="0" w:line="360" w:lineRule="auto"/>
              <w:ind w:left="0" w:right="0" w:firstLine="482"/>
              <w:rPr>
                <w:rFonts w:hint="default"/>
                <w:b/>
                <w:bCs/>
                <w:color w:val="auto"/>
                <w:sz w:val="24"/>
                <w:szCs w:val="24"/>
                <w:highlight w:val="none"/>
              </w:rPr>
            </w:pPr>
            <w:r>
              <w:rPr>
                <w:rFonts w:hint="default"/>
                <w:b/>
                <w:bCs/>
                <w:color w:val="auto"/>
                <w:sz w:val="24"/>
                <w:highlight w:val="none"/>
                <w:lang w:bidi="ar"/>
              </w:rPr>
              <w:t>1）</w:t>
            </w:r>
            <w:r>
              <w:rPr>
                <w:rFonts w:hint="default"/>
                <w:b/>
                <w:bCs/>
                <w:color w:val="auto"/>
                <w:sz w:val="24"/>
                <w:szCs w:val="24"/>
                <w:highlight w:val="none"/>
              </w:rPr>
              <w:t>退火机冷却水槽用水</w:t>
            </w:r>
          </w:p>
          <w:p>
            <w:pPr>
              <w:pStyle w:val="2"/>
              <w:keepNext w:val="0"/>
              <w:keepLines w:val="0"/>
              <w:suppressLineNumbers w:val="0"/>
              <w:spacing w:before="0" w:beforeAutospacing="0" w:after="0" w:afterAutospacing="0" w:line="360" w:lineRule="auto"/>
              <w:ind w:left="0" w:right="0" w:firstLine="480"/>
              <w:jc w:val="both"/>
              <w:rPr>
                <w:rFonts w:hint="default" w:ascii="Times New Roman" w:cs="Times New Roman"/>
                <w:color w:val="auto"/>
                <w:highlight w:val="none"/>
              </w:rPr>
            </w:pPr>
            <w:r>
              <w:rPr>
                <w:rFonts w:hint="default" w:ascii="Times New Roman" w:cs="Times New Roman"/>
                <w:color w:val="auto"/>
                <w:highlight w:val="none"/>
              </w:rPr>
              <w:t>铜线经退火加工后，需要进行冷却处理，项目使用自来水对工件进行</w:t>
            </w:r>
            <w:r>
              <w:rPr>
                <w:rFonts w:cs="Times New Roman"/>
                <w:color w:val="auto"/>
                <w:highlight w:val="none"/>
              </w:rPr>
              <w:t>直接</w:t>
            </w:r>
            <w:r>
              <w:rPr>
                <w:rFonts w:hint="default" w:ascii="Times New Roman" w:cs="Times New Roman"/>
                <w:color w:val="auto"/>
                <w:highlight w:val="none"/>
              </w:rPr>
              <w:t>冷却，冷却水中含有少量的抗氧化剂</w:t>
            </w:r>
            <w:r>
              <w:rPr>
                <w:rFonts w:cs="Times New Roman"/>
                <w:color w:val="auto"/>
                <w:highlight w:val="none"/>
              </w:rPr>
              <w:t>，</w:t>
            </w:r>
            <w:r>
              <w:rPr>
                <w:rFonts w:ascii="Times New Roman" w:cs="Times New Roman"/>
                <w:color w:val="auto"/>
                <w:highlight w:val="none"/>
              </w:rPr>
              <w:t>抗氧化剂</w:t>
            </w:r>
            <w:r>
              <w:rPr>
                <w:rFonts w:hint="default" w:ascii="Times New Roman" w:cs="Times New Roman"/>
                <w:color w:val="auto"/>
                <w:highlight w:val="none"/>
              </w:rPr>
              <w:t>和水的比例</w:t>
            </w:r>
            <w:r>
              <w:rPr>
                <w:rFonts w:hint="eastAsia" w:ascii="Times New Roman" w:cs="Times New Roman"/>
                <w:color w:val="auto"/>
                <w:highlight w:val="none"/>
                <w:lang w:val="en-US" w:eastAsia="zh-CN"/>
              </w:rPr>
              <w:t>约</w:t>
            </w:r>
            <w:r>
              <w:rPr>
                <w:rFonts w:hint="default" w:ascii="Times New Roman" w:cs="Times New Roman"/>
                <w:color w:val="auto"/>
                <w:highlight w:val="none"/>
              </w:rPr>
              <w:t>为1</w:t>
            </w:r>
            <w:r>
              <w:rPr>
                <w:rFonts w:hint="eastAsia" w:ascii="Times New Roman" w:cs="Times New Roman"/>
                <w:color w:val="auto"/>
                <w:highlight w:val="none"/>
                <w:lang w:val="en-US" w:eastAsia="zh-CN"/>
              </w:rPr>
              <w:t>:5</w:t>
            </w:r>
            <w:r>
              <w:rPr>
                <w:rFonts w:hint="default" w:ascii="Times New Roman" w:cs="Times New Roman"/>
                <w:color w:val="auto"/>
                <w:highlight w:val="none"/>
              </w:rPr>
              <w:t>00</w:t>
            </w:r>
            <w:r>
              <w:rPr>
                <w:rFonts w:ascii="Times New Roman" w:cs="Times New Roman"/>
                <w:color w:val="auto"/>
                <w:highlight w:val="none"/>
              </w:rPr>
              <w:t>。</w:t>
            </w:r>
            <w:r>
              <w:rPr>
                <w:rFonts w:hint="eastAsia" w:ascii="Times New Roman" w:cs="Times New Roman"/>
                <w:color w:val="auto"/>
                <w:highlight w:val="none"/>
              </w:rPr>
              <w:t>抗氧化剂含量较低，水平衡不计入抗氧化剂量，全部以水计量。</w:t>
            </w:r>
            <w:r>
              <w:rPr>
                <w:rFonts w:hint="default" w:ascii="Times New Roman" w:cs="Times New Roman"/>
                <w:color w:val="auto"/>
                <w:highlight w:val="none"/>
              </w:rPr>
              <w:t>根据建设单位提供的资料，项目共有4台退火机，每台退火机配备一个冷却水槽，每个冷却水槽尺寸均一致。冷却水槽的尺寸为长1.3m，宽1m，深0.2m，冷却水槽的有效深度为0.1</w:t>
            </w:r>
            <w:r>
              <w:rPr>
                <w:rFonts w:hint="eastAsia" w:ascii="Times New Roman" w:cs="Times New Roman"/>
                <w:color w:val="auto"/>
                <w:highlight w:val="none"/>
                <w:lang w:val="en-US" w:eastAsia="zh-CN"/>
              </w:rPr>
              <w:t>5</w:t>
            </w:r>
            <w:r>
              <w:rPr>
                <w:rFonts w:hint="default" w:ascii="Times New Roman" w:cs="Times New Roman"/>
                <w:color w:val="auto"/>
                <w:highlight w:val="none"/>
              </w:rPr>
              <w:t>m。则每个冷却水槽的池液量为</w:t>
            </w:r>
            <w:r>
              <w:rPr>
                <w:rFonts w:hint="eastAsia" w:ascii="Times New Roman" w:cs="Times New Roman"/>
                <w:color w:val="auto"/>
                <w:highlight w:val="none"/>
                <w:lang w:val="en-US" w:eastAsia="zh-CN"/>
              </w:rPr>
              <w:t>0.195</w:t>
            </w:r>
            <w:r>
              <w:rPr>
                <w:rFonts w:hint="default" w:ascii="Times New Roman" w:cs="Times New Roman"/>
                <w:color w:val="auto"/>
                <w:highlight w:val="none"/>
              </w:rPr>
              <w:t>m</w:t>
            </w:r>
            <w:r>
              <w:rPr>
                <w:rFonts w:hint="default" w:ascii="Times New Roman" w:cs="Times New Roman"/>
                <w:color w:val="auto"/>
                <w:highlight w:val="none"/>
                <w:vertAlign w:val="superscript"/>
              </w:rPr>
              <w:t>3</w:t>
            </w:r>
            <w:r>
              <w:rPr>
                <w:rFonts w:hint="default" w:ascii="Times New Roman" w:cs="Times New Roman"/>
                <w:color w:val="auto"/>
                <w:highlight w:val="none"/>
              </w:rPr>
              <w:t>，退火机冷却水槽总池液量为</w:t>
            </w:r>
            <w:r>
              <w:rPr>
                <w:rFonts w:hint="eastAsia" w:ascii="Times New Roman" w:cs="Times New Roman"/>
                <w:color w:val="auto"/>
                <w:highlight w:val="none"/>
                <w:lang w:val="en-US" w:eastAsia="zh-CN"/>
              </w:rPr>
              <w:t>0.78</w:t>
            </w:r>
            <w:r>
              <w:rPr>
                <w:rFonts w:hint="default" w:ascii="Times New Roman" w:cs="Times New Roman"/>
                <w:color w:val="auto"/>
                <w:highlight w:val="none"/>
              </w:rPr>
              <w:t>m</w:t>
            </w:r>
            <w:r>
              <w:rPr>
                <w:rFonts w:hint="default" w:ascii="Times New Roman" w:cs="Times New Roman"/>
                <w:color w:val="auto"/>
                <w:highlight w:val="none"/>
                <w:vertAlign w:val="superscript"/>
              </w:rPr>
              <w:t>3</w:t>
            </w:r>
            <w:r>
              <w:rPr>
                <w:rFonts w:hint="default" w:ascii="Times New Roman" w:cs="Times New Roman"/>
                <w:color w:val="auto"/>
                <w:highlight w:val="none"/>
              </w:rPr>
              <w:t>。</w:t>
            </w:r>
          </w:p>
          <w:p>
            <w:pPr>
              <w:pStyle w:val="124"/>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lang w:bidi="ar"/>
              </w:rPr>
            </w:pPr>
            <w:r>
              <w:rPr>
                <w:rFonts w:hint="default"/>
                <w:color w:val="auto"/>
                <w:sz w:val="24"/>
                <w:szCs w:val="24"/>
                <w:highlight w:val="none"/>
              </w:rPr>
              <w:t>退火机冷却水</w:t>
            </w:r>
            <w:r>
              <w:rPr>
                <w:rFonts w:hint="default"/>
                <w:color w:val="auto"/>
                <w:sz w:val="24"/>
                <w:szCs w:val="24"/>
                <w:highlight w:val="none"/>
                <w:lang w:bidi="ar"/>
              </w:rPr>
              <w:t>在使用过程中，冷却水受热蒸发以及铜丝会带走一部分冷却水，每天的损耗量约为池液量的5%</w:t>
            </w:r>
            <w:r>
              <w:rPr>
                <w:rFonts w:hint="default"/>
                <w:color w:val="auto"/>
                <w:sz w:val="24"/>
                <w:szCs w:val="24"/>
                <w:highlight w:val="none"/>
              </w:rPr>
              <w:t>，</w:t>
            </w:r>
            <w:r>
              <w:rPr>
                <w:rFonts w:hint="default"/>
                <w:color w:val="auto"/>
                <w:sz w:val="24"/>
                <w:szCs w:val="24"/>
                <w:highlight w:val="none"/>
                <w:lang w:bidi="ar"/>
              </w:rPr>
              <w:t>项目</w:t>
            </w:r>
            <w:r>
              <w:rPr>
                <w:rFonts w:hint="default"/>
                <w:color w:val="auto"/>
                <w:sz w:val="24"/>
                <w:szCs w:val="24"/>
                <w:highlight w:val="none"/>
              </w:rPr>
              <w:t>退火机冷却水的损耗量约为</w:t>
            </w:r>
            <w:r>
              <w:rPr>
                <w:rFonts w:hint="eastAsia"/>
                <w:color w:val="auto"/>
                <w:sz w:val="24"/>
                <w:szCs w:val="24"/>
                <w:highlight w:val="none"/>
                <w:lang w:val="en-US" w:eastAsia="zh-CN"/>
              </w:rPr>
              <w:t>0.039</w:t>
            </w:r>
            <w:r>
              <w:rPr>
                <w:rFonts w:hint="default"/>
                <w:color w:val="auto"/>
                <w:sz w:val="24"/>
                <w:szCs w:val="24"/>
                <w:highlight w:val="none"/>
              </w:rPr>
              <w:t>t/d</w:t>
            </w:r>
            <w:r>
              <w:rPr>
                <w:rFonts w:hint="eastAsia"/>
                <w:color w:val="auto"/>
                <w:sz w:val="24"/>
                <w:szCs w:val="24"/>
                <w:highlight w:val="none"/>
                <w:lang w:eastAsia="zh-CN"/>
              </w:rPr>
              <w:t>，</w:t>
            </w:r>
            <w:r>
              <w:rPr>
                <w:rFonts w:hint="eastAsia"/>
                <w:color w:val="auto"/>
                <w:sz w:val="24"/>
                <w:szCs w:val="24"/>
                <w:highlight w:val="none"/>
                <w:lang w:val="en-US" w:eastAsia="zh-CN"/>
              </w:rPr>
              <w:t>11.7</w:t>
            </w:r>
            <w:r>
              <w:rPr>
                <w:rFonts w:hint="default"/>
                <w:color w:val="auto"/>
                <w:sz w:val="24"/>
                <w:szCs w:val="24"/>
                <w:highlight w:val="none"/>
              </w:rPr>
              <w:t>t/a。</w:t>
            </w:r>
          </w:p>
          <w:p>
            <w:pPr>
              <w:pStyle w:val="2"/>
              <w:keepNext w:val="0"/>
              <w:keepLines w:val="0"/>
              <w:suppressLineNumbers w:val="0"/>
              <w:spacing w:before="0" w:beforeAutospacing="0" w:after="0" w:afterAutospacing="0" w:line="360" w:lineRule="auto"/>
              <w:ind w:left="0" w:right="0" w:firstLine="480"/>
              <w:rPr>
                <w:rFonts w:hint="default"/>
                <w:color w:val="auto"/>
                <w:highlight w:val="none"/>
              </w:rPr>
            </w:pPr>
            <w:r>
              <w:rPr>
                <w:rFonts w:hint="default" w:ascii="Times New Roman" w:cs="Times New Roman"/>
                <w:color w:val="auto"/>
                <w:highlight w:val="none"/>
              </w:rPr>
              <w:t>根据建设单位提供的资料，退火机冷却水</w:t>
            </w:r>
            <w:r>
              <w:rPr>
                <w:rFonts w:hint="eastAsia" w:ascii="Times New Roman" w:cs="Times New Roman"/>
                <w:color w:val="auto"/>
                <w:highlight w:val="none"/>
                <w:lang w:val="en-US" w:eastAsia="zh-CN"/>
              </w:rPr>
              <w:t>每天经冷却水池冷却后经过一体化冷却水处理设施处理后回用</w:t>
            </w:r>
            <w:r>
              <w:rPr>
                <w:rFonts w:hint="eastAsia" w:ascii="Times New Roman" w:cs="Times New Roman"/>
                <w:color w:val="auto"/>
                <w:highlight w:val="none"/>
                <w:lang w:eastAsia="zh-CN"/>
              </w:rPr>
              <w:t>，</w:t>
            </w:r>
            <w:r>
              <w:rPr>
                <w:rFonts w:hint="eastAsia" w:ascii="Times New Roman" w:cs="Times New Roman"/>
                <w:color w:val="auto"/>
                <w:highlight w:val="none"/>
                <w:lang w:val="en-US" w:eastAsia="zh-CN"/>
              </w:rPr>
              <w:t>废水处理频率为一天一次</w:t>
            </w:r>
            <w:r>
              <w:rPr>
                <w:rFonts w:hint="eastAsia" w:ascii="Times New Roman" w:cs="Times New Roman"/>
                <w:color w:val="auto"/>
                <w:highlight w:val="none"/>
                <w:lang w:eastAsia="zh-CN"/>
              </w:rPr>
              <w:t>，</w:t>
            </w:r>
            <w:r>
              <w:rPr>
                <w:rFonts w:hint="eastAsia" w:ascii="Times New Roman" w:hAnsi="Times New Roman" w:eastAsia="宋体" w:cs="Times New Roman"/>
                <w:color w:val="auto"/>
                <w:kern w:val="2"/>
                <w:sz w:val="24"/>
                <w:szCs w:val="24"/>
                <w:highlight w:val="none"/>
                <w:lang w:val="en-US" w:eastAsia="zh-CN" w:bidi="ar"/>
              </w:rPr>
              <w:t>退火机冷却水处理量</w:t>
            </w:r>
            <w:r>
              <w:rPr>
                <w:rFonts w:hint="eastAsia" w:ascii="Times New Roman" w:cs="Times New Roman"/>
                <w:color w:val="auto"/>
                <w:kern w:val="2"/>
                <w:sz w:val="24"/>
                <w:szCs w:val="24"/>
                <w:highlight w:val="none"/>
                <w:lang w:val="en-US" w:eastAsia="zh-CN" w:bidi="ar"/>
              </w:rPr>
              <w:t>为</w:t>
            </w:r>
            <w:r>
              <w:rPr>
                <w:rFonts w:hint="eastAsia" w:ascii="Times New Roman" w:hAnsi="Times New Roman" w:eastAsia="宋体" w:cs="Times New Roman"/>
                <w:color w:val="auto"/>
                <w:kern w:val="2"/>
                <w:sz w:val="24"/>
                <w:szCs w:val="24"/>
                <w:highlight w:val="none"/>
                <w:lang w:val="en-US" w:eastAsia="zh-CN" w:bidi="ar"/>
              </w:rPr>
              <w:t>冷却</w:t>
            </w:r>
            <w:r>
              <w:rPr>
                <w:rFonts w:hint="eastAsia" w:ascii="Times New Roman" w:cs="Times New Roman"/>
                <w:color w:val="auto"/>
                <w:kern w:val="2"/>
                <w:sz w:val="24"/>
                <w:szCs w:val="24"/>
                <w:highlight w:val="none"/>
                <w:lang w:val="en-US" w:eastAsia="zh-CN" w:bidi="ar"/>
              </w:rPr>
              <w:t>水槽</w:t>
            </w:r>
            <w:r>
              <w:rPr>
                <w:rFonts w:hint="eastAsia" w:ascii="Times New Roman" w:hAnsi="Times New Roman" w:eastAsia="宋体" w:cs="Times New Roman"/>
                <w:color w:val="auto"/>
                <w:kern w:val="2"/>
                <w:sz w:val="24"/>
                <w:szCs w:val="24"/>
                <w:highlight w:val="none"/>
                <w:lang w:val="en-US" w:eastAsia="zh-CN" w:bidi="ar"/>
              </w:rPr>
              <w:t>量</w:t>
            </w:r>
            <w:r>
              <w:rPr>
                <w:rFonts w:hint="eastAsia" w:ascii="Times New Roman" w:cs="Times New Roman"/>
                <w:color w:val="auto"/>
                <w:highlight w:val="none"/>
                <w:lang w:val="en-US" w:eastAsia="zh-CN"/>
              </w:rPr>
              <w:t>234</w:t>
            </w:r>
            <w:r>
              <w:rPr>
                <w:rFonts w:hint="default" w:ascii="Times New Roman" w:cs="Times New Roman"/>
                <w:color w:val="auto"/>
                <w:highlight w:val="none"/>
              </w:rPr>
              <w:t>m</w:t>
            </w:r>
            <w:r>
              <w:rPr>
                <w:rFonts w:hint="default" w:ascii="Times New Roman" w:cs="Times New Roman"/>
                <w:color w:val="auto"/>
                <w:highlight w:val="none"/>
                <w:vertAlign w:val="superscript"/>
              </w:rPr>
              <w:t>3</w:t>
            </w:r>
            <w:r>
              <w:rPr>
                <w:rFonts w:hint="default" w:ascii="Times New Roman" w:cs="Times New Roman"/>
                <w:color w:val="auto"/>
                <w:highlight w:val="none"/>
              </w:rPr>
              <w:t>/a（</w:t>
            </w:r>
            <w:r>
              <w:rPr>
                <w:rFonts w:hint="eastAsia" w:ascii="Times New Roman" w:cs="Times New Roman"/>
                <w:color w:val="auto"/>
                <w:highlight w:val="none"/>
                <w:lang w:val="en-US" w:eastAsia="zh-CN"/>
              </w:rPr>
              <w:t>0.78</w:t>
            </w:r>
            <w:r>
              <w:rPr>
                <w:rFonts w:hint="default" w:ascii="Times New Roman" w:cs="Times New Roman"/>
                <w:color w:val="auto"/>
                <w:highlight w:val="none"/>
              </w:rPr>
              <w:t>m</w:t>
            </w:r>
            <w:r>
              <w:rPr>
                <w:rFonts w:hint="default" w:ascii="Times New Roman" w:cs="Times New Roman"/>
                <w:color w:val="auto"/>
                <w:highlight w:val="none"/>
                <w:vertAlign w:val="superscript"/>
              </w:rPr>
              <w:t>3</w:t>
            </w:r>
            <w:r>
              <w:rPr>
                <w:rFonts w:hint="default" w:ascii="Times New Roman" w:cs="Times New Roman"/>
                <w:color w:val="auto"/>
                <w:highlight w:val="none"/>
              </w:rPr>
              <w:t>/d）</w:t>
            </w:r>
            <w:r>
              <w:rPr>
                <w:rFonts w:hint="eastAsia" w:ascii="Times New Roman" w:cs="Times New Roman"/>
                <w:color w:val="auto"/>
                <w:highlight w:val="none"/>
                <w:lang w:eastAsia="zh-CN"/>
              </w:rPr>
              <w:t>，</w:t>
            </w:r>
            <w:r>
              <w:rPr>
                <w:rFonts w:hint="eastAsia" w:ascii="Times New Roman" w:cs="Times New Roman"/>
                <w:color w:val="auto"/>
                <w:highlight w:val="none"/>
                <w:lang w:val="en-US" w:eastAsia="zh-CN"/>
              </w:rPr>
              <w:t>一体化冷却水处理设施损耗较小，忽略不计。</w:t>
            </w:r>
          </w:p>
          <w:p>
            <w:pPr>
              <w:pStyle w:val="2"/>
              <w:keepNext w:val="0"/>
              <w:keepLines w:val="0"/>
              <w:suppressLineNumbers w:val="0"/>
              <w:spacing w:before="0" w:beforeAutospacing="0" w:after="0" w:afterAutospacing="0" w:line="360" w:lineRule="auto"/>
              <w:ind w:left="0" w:right="0" w:firstLine="480"/>
              <w:rPr>
                <w:rFonts w:hint="default" w:ascii="Times New Roman" w:cs="Times New Roman"/>
                <w:color w:val="auto"/>
                <w:highlight w:val="none"/>
              </w:rPr>
            </w:pPr>
            <w:r>
              <w:rPr>
                <w:color w:val="auto"/>
                <w:highlight w:val="none"/>
              </w:rPr>
              <w:t>项目</w:t>
            </w:r>
            <w:r>
              <w:rPr>
                <w:rFonts w:hint="default" w:ascii="Times New Roman" w:cs="Times New Roman"/>
                <w:color w:val="auto"/>
                <w:kern w:val="2"/>
                <w:highlight w:val="none"/>
              </w:rPr>
              <w:t>采取</w:t>
            </w:r>
            <w:r>
              <w:rPr>
                <w:rFonts w:ascii="Times New Roman" w:cs="Times New Roman"/>
                <w:color w:val="auto"/>
                <w:kern w:val="2"/>
                <w:highlight w:val="none"/>
              </w:rPr>
              <w:t>一体化</w:t>
            </w:r>
            <w:r>
              <w:rPr>
                <w:rFonts w:hint="eastAsia" w:ascii="Times New Roman" w:cs="Times New Roman"/>
                <w:color w:val="auto"/>
                <w:kern w:val="2"/>
                <w:highlight w:val="none"/>
                <w:lang w:val="en-US" w:eastAsia="zh-CN"/>
              </w:rPr>
              <w:t>冷却水</w:t>
            </w:r>
            <w:r>
              <w:rPr>
                <w:rFonts w:hint="default" w:ascii="Times New Roman" w:cs="Times New Roman"/>
                <w:color w:val="auto"/>
                <w:kern w:val="2"/>
                <w:highlight w:val="none"/>
              </w:rPr>
              <w:t>处理措施</w:t>
            </w:r>
            <w:r>
              <w:rPr>
                <w:rFonts w:ascii="Times New Roman" w:cs="Times New Roman"/>
                <w:color w:val="auto"/>
                <w:kern w:val="2"/>
                <w:highlight w:val="none"/>
              </w:rPr>
              <w:t>，处理工艺为</w:t>
            </w:r>
            <w:r>
              <w:rPr>
                <w:rFonts w:hint="default" w:ascii="Times New Roman" w:cs="Times New Roman"/>
                <w:color w:val="auto"/>
                <w:kern w:val="2"/>
                <w:highlight w:val="none"/>
              </w:rPr>
              <w:t>“调节池+混凝反应池+沉淀池+过滤池+清水池”</w:t>
            </w:r>
            <w:r>
              <w:rPr>
                <w:rFonts w:ascii="Times New Roman" w:cs="Times New Roman"/>
                <w:color w:val="auto"/>
                <w:kern w:val="2"/>
                <w:highlight w:val="none"/>
              </w:rPr>
              <w:t>，</w:t>
            </w:r>
            <w:r>
              <w:rPr>
                <w:rFonts w:ascii="Times New Roman" w:cs="Times New Roman"/>
                <w:color w:val="auto"/>
                <w:highlight w:val="none"/>
              </w:rPr>
              <w:t>一体化</w:t>
            </w:r>
            <w:r>
              <w:rPr>
                <w:rFonts w:hint="eastAsia" w:ascii="Times New Roman" w:cs="Times New Roman"/>
                <w:color w:val="auto"/>
                <w:highlight w:val="none"/>
                <w:lang w:val="en-US" w:eastAsia="zh-CN"/>
              </w:rPr>
              <w:t>冷却水</w:t>
            </w:r>
            <w:r>
              <w:rPr>
                <w:rFonts w:ascii="Times New Roman" w:cs="Times New Roman"/>
                <w:color w:val="auto"/>
                <w:highlight w:val="none"/>
              </w:rPr>
              <w:t>处理设施</w:t>
            </w:r>
            <w:r>
              <w:rPr>
                <w:rFonts w:hint="eastAsia" w:ascii="Times New Roman" w:cs="Times New Roman"/>
                <w:color w:val="auto"/>
                <w:highlight w:val="none"/>
                <w:lang w:val="en-US" w:eastAsia="zh-CN"/>
              </w:rPr>
              <w:t>设计</w:t>
            </w:r>
            <w:r>
              <w:rPr>
                <w:rFonts w:hint="default" w:ascii="Times New Roman" w:cs="Times New Roman"/>
                <w:color w:val="auto"/>
                <w:highlight w:val="none"/>
              </w:rPr>
              <w:t>处理能力为</w:t>
            </w:r>
            <w:r>
              <w:rPr>
                <w:rFonts w:hint="eastAsia" w:ascii="Times New Roman" w:cs="Times New Roman"/>
                <w:color w:val="auto"/>
                <w:highlight w:val="none"/>
                <w:lang w:val="en-US" w:eastAsia="zh-CN"/>
              </w:rPr>
              <w:t>1</w:t>
            </w:r>
            <w:r>
              <w:rPr>
                <w:rFonts w:hint="default" w:ascii="Times New Roman" w:cs="Times New Roman"/>
                <w:color w:val="auto"/>
                <w:highlight w:val="none"/>
              </w:rPr>
              <w:t>t/d</w:t>
            </w:r>
            <w:r>
              <w:rPr>
                <w:rFonts w:ascii="Times New Roman" w:cs="Times New Roman"/>
                <w:color w:val="auto"/>
                <w:highlight w:val="none"/>
              </w:rPr>
              <w:t>。</w:t>
            </w:r>
            <w:r>
              <w:rPr>
                <w:rFonts w:hint="default" w:ascii="Times New Roman" w:cs="Times New Roman"/>
                <w:color w:val="auto"/>
                <w:highlight w:val="none"/>
                <w:lang w:bidi="ar"/>
              </w:rPr>
              <w:t>项目</w:t>
            </w:r>
            <w:r>
              <w:rPr>
                <w:rFonts w:hint="default" w:ascii="Times New Roman" w:cs="Times New Roman"/>
                <w:color w:val="auto"/>
                <w:highlight w:val="none"/>
              </w:rPr>
              <w:t>退火机冷却水经</w:t>
            </w:r>
            <w:r>
              <w:rPr>
                <w:rFonts w:ascii="Times New Roman" w:cs="Times New Roman"/>
                <w:color w:val="auto"/>
                <w:highlight w:val="none"/>
              </w:rPr>
              <w:t>一体化处理设施</w:t>
            </w:r>
            <w:r>
              <w:rPr>
                <w:rFonts w:hint="default" w:ascii="Times New Roman" w:cs="Times New Roman"/>
                <w:color w:val="auto"/>
                <w:highlight w:val="none"/>
              </w:rPr>
              <w:t>处理达到《城市污水再生利用</w:t>
            </w:r>
            <w:r>
              <w:rPr>
                <w:rFonts w:ascii="Times New Roman" w:cs="Times New Roman"/>
                <w:color w:val="auto"/>
                <w:highlight w:val="none"/>
              </w:rPr>
              <w:t xml:space="preserve"> </w:t>
            </w:r>
            <w:r>
              <w:rPr>
                <w:rFonts w:hint="default" w:ascii="Times New Roman" w:cs="Times New Roman"/>
                <w:color w:val="auto"/>
                <w:highlight w:val="none"/>
              </w:rPr>
              <w:t>工业用水水质》（GB</w:t>
            </w:r>
            <w:r>
              <w:rPr>
                <w:rFonts w:ascii="Times New Roman" w:cs="Times New Roman"/>
                <w:color w:val="auto"/>
                <w:highlight w:val="none"/>
              </w:rPr>
              <w:t>/</w:t>
            </w:r>
            <w:r>
              <w:rPr>
                <w:rFonts w:hint="default" w:ascii="Times New Roman" w:cs="Times New Roman"/>
                <w:color w:val="auto"/>
                <w:highlight w:val="none"/>
              </w:rPr>
              <w:t>T19923-2005）表1敞开式循环冷却水系统补充水标准后回用退火机冷却水槽</w:t>
            </w:r>
            <w:r>
              <w:rPr>
                <w:rFonts w:ascii="Times New Roman" w:cs="Times New Roman"/>
                <w:color w:val="auto"/>
                <w:highlight w:val="none"/>
              </w:rPr>
              <w:t>。</w:t>
            </w:r>
          </w:p>
          <w:p>
            <w:pPr>
              <w:pStyle w:val="124"/>
              <w:keepNext w:val="0"/>
              <w:keepLines w:val="0"/>
              <w:suppressLineNumbers w:val="0"/>
              <w:spacing w:before="0" w:beforeAutospacing="0" w:after="0" w:afterAutospacing="0" w:line="360" w:lineRule="auto"/>
              <w:ind w:left="0" w:right="0" w:firstLine="482"/>
              <w:rPr>
                <w:rFonts w:hint="default"/>
                <w:b/>
                <w:bCs/>
                <w:color w:val="auto"/>
                <w:sz w:val="24"/>
                <w:szCs w:val="24"/>
                <w:highlight w:val="none"/>
              </w:rPr>
            </w:pPr>
            <w:r>
              <w:rPr>
                <w:rFonts w:hint="default"/>
                <w:b/>
                <w:bCs/>
                <w:color w:val="auto"/>
                <w:sz w:val="24"/>
                <w:szCs w:val="24"/>
                <w:highlight w:val="none"/>
              </w:rPr>
              <w:t>2）助焊剂</w:t>
            </w:r>
            <w:r>
              <w:rPr>
                <w:rFonts w:hint="eastAsia"/>
                <w:b/>
                <w:bCs/>
                <w:color w:val="auto"/>
                <w:sz w:val="24"/>
                <w:szCs w:val="24"/>
                <w:highlight w:val="none"/>
              </w:rPr>
              <w:t>调配</w:t>
            </w:r>
            <w:r>
              <w:rPr>
                <w:rFonts w:hint="default"/>
                <w:b/>
                <w:bCs/>
                <w:color w:val="auto"/>
                <w:sz w:val="24"/>
                <w:szCs w:val="24"/>
                <w:highlight w:val="none"/>
              </w:rPr>
              <w:t>用水</w:t>
            </w:r>
          </w:p>
          <w:p>
            <w:pPr>
              <w:pStyle w:val="124"/>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项目工件在进行</w:t>
            </w:r>
            <w:r>
              <w:rPr>
                <w:rFonts w:hint="eastAsia"/>
                <w:color w:val="auto"/>
                <w:sz w:val="24"/>
                <w:szCs w:val="24"/>
                <w:highlight w:val="none"/>
                <w:lang w:val="en-US" w:eastAsia="zh-CN"/>
              </w:rPr>
              <w:t>热浸锡</w:t>
            </w:r>
            <w:r>
              <w:rPr>
                <w:rFonts w:hint="default"/>
                <w:color w:val="auto"/>
                <w:sz w:val="24"/>
                <w:szCs w:val="24"/>
                <w:highlight w:val="none"/>
              </w:rPr>
              <w:t>工序前，需要进行一道清洁工序</w:t>
            </w:r>
            <w:r>
              <w:rPr>
                <w:rFonts w:hint="eastAsia"/>
                <w:color w:val="auto"/>
                <w:sz w:val="24"/>
                <w:szCs w:val="24"/>
                <w:highlight w:val="none"/>
              </w:rPr>
              <w:t>。</w:t>
            </w:r>
            <w:r>
              <w:rPr>
                <w:rFonts w:hint="default"/>
                <w:color w:val="auto"/>
                <w:sz w:val="24"/>
                <w:szCs w:val="24"/>
                <w:highlight w:val="none"/>
              </w:rPr>
              <w:t>用</w:t>
            </w:r>
            <w:r>
              <w:rPr>
                <w:rFonts w:hint="default"/>
                <w:color w:val="auto"/>
                <w:sz w:val="24"/>
                <w:highlight w:val="none"/>
              </w:rPr>
              <w:t>助焊剂和水进行调配成助焊剂溶液，</w:t>
            </w:r>
            <w:r>
              <w:rPr>
                <w:rFonts w:hint="eastAsia"/>
                <w:color w:val="auto"/>
                <w:sz w:val="24"/>
                <w:highlight w:val="none"/>
              </w:rPr>
              <w:t>配好的助焊剂溶液倒在助焊剂槽中，放入毛毡进行浸</w:t>
            </w:r>
            <w:r>
              <w:rPr>
                <w:rFonts w:hint="eastAsia"/>
                <w:color w:val="auto"/>
                <w:sz w:val="24"/>
                <w:highlight w:val="none"/>
                <w:lang w:val="en-US" w:eastAsia="zh-CN"/>
              </w:rPr>
              <w:t>湿</w:t>
            </w:r>
            <w:r>
              <w:rPr>
                <w:rFonts w:hint="eastAsia"/>
                <w:color w:val="auto"/>
                <w:sz w:val="24"/>
                <w:highlight w:val="none"/>
              </w:rPr>
              <w:t>，</w:t>
            </w:r>
            <w:r>
              <w:rPr>
                <w:rFonts w:hint="default"/>
                <w:color w:val="auto"/>
                <w:sz w:val="24"/>
                <w:szCs w:val="24"/>
                <w:highlight w:val="none"/>
              </w:rPr>
              <w:t>铜线经牵引装置从毛毡中间穿过从而接触助焊剂溶液。</w:t>
            </w:r>
          </w:p>
          <w:p>
            <w:pPr>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助焊剂和水的比例为1</w:t>
            </w:r>
            <w:r>
              <w:rPr>
                <w:rFonts w:hint="eastAsia"/>
                <w:color w:val="auto"/>
                <w:sz w:val="24"/>
                <w:szCs w:val="24"/>
                <w:highlight w:val="none"/>
                <w:lang w:val="en-US" w:eastAsia="zh-CN"/>
              </w:rPr>
              <w:t>:</w:t>
            </w:r>
            <w:r>
              <w:rPr>
                <w:rFonts w:hint="default"/>
                <w:color w:val="auto"/>
                <w:sz w:val="24"/>
                <w:szCs w:val="24"/>
                <w:highlight w:val="none"/>
              </w:rPr>
              <w:t>4，本项目助焊剂年使用量为3.6吨，则助焊剂调配用水量为</w:t>
            </w:r>
            <w:r>
              <w:rPr>
                <w:rFonts w:hint="eastAsia"/>
                <w:color w:val="auto"/>
                <w:sz w:val="24"/>
                <w:szCs w:val="24"/>
                <w:highlight w:val="none"/>
              </w:rPr>
              <w:t>0</w:t>
            </w:r>
            <w:r>
              <w:rPr>
                <w:rFonts w:hint="default"/>
                <w:color w:val="auto"/>
                <w:sz w:val="24"/>
                <w:szCs w:val="24"/>
                <w:highlight w:val="none"/>
              </w:rPr>
              <w:t>.048t/d（14.4t/a）。</w:t>
            </w:r>
          </w:p>
          <w:p>
            <w:pPr>
              <w:pStyle w:val="1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eastAsia="宋体"/>
                <w:color w:val="auto"/>
                <w:sz w:val="24"/>
                <w:szCs w:val="24"/>
                <w:highlight w:val="none"/>
                <w:lang w:val="en-US" w:eastAsia="zh-CN" w:bidi="ar"/>
              </w:rPr>
            </w:pPr>
            <w:r>
              <w:rPr>
                <w:rFonts w:hint="default"/>
                <w:color w:val="auto"/>
                <w:sz w:val="24"/>
                <w:szCs w:val="24"/>
                <w:highlight w:val="none"/>
              </w:rPr>
              <w:t>项目设置2台锡炉，每台锡炉配套一个助焊剂槽</w:t>
            </w:r>
            <w:r>
              <w:rPr>
                <w:rFonts w:hint="eastAsia"/>
                <w:color w:val="auto"/>
                <w:sz w:val="24"/>
                <w:szCs w:val="24"/>
                <w:highlight w:val="none"/>
                <w:lang w:eastAsia="zh-CN"/>
              </w:rPr>
              <w:t>。</w:t>
            </w:r>
            <w:r>
              <w:rPr>
                <w:rFonts w:hint="default"/>
                <w:color w:val="auto"/>
                <w:sz w:val="24"/>
                <w:szCs w:val="24"/>
                <w:highlight w:val="none"/>
              </w:rPr>
              <w:t>助焊剂溶液</w:t>
            </w:r>
            <w:r>
              <w:rPr>
                <w:rFonts w:hint="eastAsia"/>
                <w:color w:val="auto"/>
                <w:sz w:val="24"/>
                <w:szCs w:val="24"/>
                <w:highlight w:val="none"/>
                <w:lang w:val="en-US" w:eastAsia="zh-CN"/>
              </w:rPr>
              <w:t>将毛毡浸湿，铜线接触助焊剂溶液后进入锡炉。根据建设单位提供数据，废毛毡带走助焊剂溶液约为助焊剂溶液的5%</w:t>
            </w:r>
            <w:r>
              <w:rPr>
                <w:rFonts w:hint="default"/>
                <w:color w:val="auto"/>
                <w:sz w:val="24"/>
                <w:szCs w:val="24"/>
                <w:highlight w:val="none"/>
                <w:lang w:bidi="ar"/>
              </w:rPr>
              <w:t>，</w:t>
            </w:r>
            <w:r>
              <w:rPr>
                <w:rFonts w:hint="eastAsia"/>
                <w:color w:val="auto"/>
                <w:sz w:val="24"/>
                <w:szCs w:val="24"/>
                <w:highlight w:val="none"/>
                <w:lang w:val="en-US" w:eastAsia="zh-CN" w:bidi="ar"/>
              </w:rPr>
              <w:t>即0.9t/a，</w:t>
            </w:r>
            <w:r>
              <w:rPr>
                <w:rFonts w:hint="eastAsia"/>
                <w:color w:val="auto"/>
                <w:sz w:val="24"/>
                <w:szCs w:val="32"/>
                <w:highlight w:val="none"/>
                <w:lang w:val="en-US" w:eastAsia="zh-CN"/>
              </w:rPr>
              <w:t>其中水的损耗为0.72t/a（0.0024t/d），助焊剂溶液的损耗为0.18t/a（0.0006t/d）。</w:t>
            </w:r>
          </w:p>
          <w:p>
            <w:pPr>
              <w:pStyle w:val="1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eastAsia="宋体"/>
                <w:color w:val="auto"/>
                <w:sz w:val="24"/>
                <w:szCs w:val="24"/>
                <w:highlight w:val="none"/>
                <w:lang w:val="en-US" w:eastAsia="zh-CN" w:bidi="ar"/>
              </w:rPr>
            </w:pPr>
            <w:r>
              <w:rPr>
                <w:rFonts w:hint="eastAsia"/>
                <w:color w:val="auto"/>
                <w:sz w:val="24"/>
                <w:szCs w:val="24"/>
                <w:highlight w:val="none"/>
                <w:lang w:val="en-US" w:eastAsia="zh-CN" w:bidi="ar"/>
              </w:rPr>
              <w:t>其余助焊剂溶液粘附在铜线上，进入锡炉后全部蒸发，即17.1t/a，</w:t>
            </w:r>
            <w:r>
              <w:rPr>
                <w:rFonts w:hint="eastAsia"/>
                <w:color w:val="auto"/>
                <w:sz w:val="24"/>
                <w:szCs w:val="32"/>
                <w:highlight w:val="none"/>
                <w:lang w:val="en-US" w:eastAsia="zh-CN"/>
              </w:rPr>
              <w:t>其中水的损耗为13.68t/a（0.0456t/d），助焊剂溶液的损耗为3.42t/a（0.0114t/d）。</w:t>
            </w:r>
          </w:p>
          <w:p>
            <w:pPr>
              <w:pStyle w:val="124"/>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lang w:bidi="ar"/>
              </w:rPr>
            </w:pPr>
            <w:r>
              <w:rPr>
                <w:rFonts w:hint="eastAsia"/>
                <w:color w:val="auto"/>
                <w:sz w:val="24"/>
                <w:szCs w:val="24"/>
                <w:highlight w:val="none"/>
                <w:lang w:val="en-US" w:eastAsia="zh-CN" w:bidi="ar"/>
              </w:rPr>
              <w:t>综上，</w:t>
            </w:r>
            <w:r>
              <w:rPr>
                <w:rFonts w:hint="default"/>
                <w:color w:val="auto"/>
                <w:sz w:val="24"/>
                <w:szCs w:val="24"/>
                <w:highlight w:val="none"/>
                <w:lang w:bidi="ar"/>
              </w:rPr>
              <w:t>项目</w:t>
            </w:r>
            <w:r>
              <w:rPr>
                <w:rFonts w:hint="default"/>
                <w:color w:val="auto"/>
                <w:sz w:val="24"/>
                <w:szCs w:val="24"/>
                <w:highlight w:val="none"/>
              </w:rPr>
              <w:t>助焊剂溶液的</w:t>
            </w:r>
            <w:r>
              <w:rPr>
                <w:rFonts w:hint="eastAsia"/>
                <w:color w:val="auto"/>
                <w:sz w:val="24"/>
                <w:szCs w:val="24"/>
                <w:highlight w:val="none"/>
                <w:lang w:val="en-US" w:eastAsia="zh-CN"/>
              </w:rPr>
              <w:t>用水</w:t>
            </w:r>
            <w:r>
              <w:rPr>
                <w:rFonts w:hint="default"/>
                <w:color w:val="auto"/>
                <w:sz w:val="24"/>
                <w:szCs w:val="24"/>
                <w:highlight w:val="none"/>
              </w:rPr>
              <w:t>损耗量为</w:t>
            </w:r>
            <w:r>
              <w:rPr>
                <w:rFonts w:hint="eastAsia"/>
                <w:color w:val="auto"/>
                <w:sz w:val="24"/>
                <w:szCs w:val="24"/>
                <w:highlight w:val="none"/>
                <w:lang w:val="en-US" w:eastAsia="zh-CN"/>
              </w:rPr>
              <w:t>14.4</w:t>
            </w:r>
            <w:r>
              <w:rPr>
                <w:rFonts w:hint="default"/>
                <w:color w:val="auto"/>
                <w:sz w:val="24"/>
                <w:szCs w:val="24"/>
                <w:highlight w:val="none"/>
              </w:rPr>
              <w:t>t/a</w:t>
            </w:r>
            <w:r>
              <w:rPr>
                <w:rFonts w:hint="eastAsia"/>
                <w:color w:val="auto"/>
                <w:sz w:val="24"/>
                <w:szCs w:val="24"/>
                <w:highlight w:val="none"/>
                <w:lang w:eastAsia="zh-CN"/>
              </w:rPr>
              <w:t>（</w:t>
            </w:r>
            <w:r>
              <w:rPr>
                <w:rFonts w:hint="eastAsia"/>
                <w:color w:val="auto"/>
                <w:sz w:val="24"/>
                <w:szCs w:val="24"/>
                <w:highlight w:val="none"/>
                <w:lang w:val="en-US" w:eastAsia="zh-CN"/>
              </w:rPr>
              <w:t>0.048t/d</w:t>
            </w:r>
            <w:r>
              <w:rPr>
                <w:rFonts w:hint="eastAsia"/>
                <w:color w:val="auto"/>
                <w:sz w:val="24"/>
                <w:szCs w:val="24"/>
                <w:highlight w:val="none"/>
                <w:lang w:eastAsia="zh-CN"/>
              </w:rPr>
              <w:t>）</w:t>
            </w:r>
            <w:r>
              <w:rPr>
                <w:rFonts w:hint="default"/>
                <w:color w:val="auto"/>
                <w:sz w:val="24"/>
                <w:szCs w:val="24"/>
                <w:highlight w:val="none"/>
              </w:rPr>
              <w:t>。</w:t>
            </w:r>
          </w:p>
          <w:p>
            <w:pPr>
              <w:pStyle w:val="124"/>
              <w:keepNext w:val="0"/>
              <w:keepLines w:val="0"/>
              <w:suppressLineNumbers w:val="0"/>
              <w:spacing w:before="0" w:beforeAutospacing="0" w:after="0" w:afterAutospacing="0" w:line="360" w:lineRule="auto"/>
              <w:ind w:left="0" w:right="0" w:firstLine="482"/>
              <w:rPr>
                <w:rFonts w:hint="default"/>
                <w:b/>
                <w:bCs/>
                <w:color w:val="auto"/>
                <w:sz w:val="24"/>
                <w:szCs w:val="32"/>
                <w:highlight w:val="none"/>
              </w:rPr>
            </w:pPr>
            <w:r>
              <w:rPr>
                <w:rFonts w:hint="default"/>
                <w:b/>
                <w:bCs/>
                <w:color w:val="auto"/>
                <w:sz w:val="24"/>
                <w:szCs w:val="32"/>
                <w:highlight w:val="none"/>
              </w:rPr>
              <w:t>3）拉丝油调配水</w:t>
            </w:r>
          </w:p>
          <w:p>
            <w:pPr>
              <w:pStyle w:val="1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jc w:val="both"/>
              <w:textAlignment w:val="auto"/>
              <w:rPr>
                <w:rFonts w:hint="default"/>
                <w:color w:val="auto"/>
                <w:sz w:val="24"/>
                <w:szCs w:val="32"/>
                <w:highlight w:val="none"/>
              </w:rPr>
            </w:pPr>
            <w:r>
              <w:rPr>
                <w:rFonts w:hint="default"/>
                <w:color w:val="auto"/>
                <w:sz w:val="24"/>
                <w:szCs w:val="32"/>
                <w:highlight w:val="none"/>
              </w:rPr>
              <w:t>根据建设单位提供的资料，项目共有3个拉丝液池。拉丝液池的尺寸均为长2.9m，宽2.3m，高2.2m，拉丝油池有效水深为2m。项目拉丝油用量为3.8t，</w:t>
            </w:r>
            <w:r>
              <w:rPr>
                <w:rFonts w:hint="eastAsia"/>
                <w:color w:val="auto"/>
                <w:sz w:val="24"/>
                <w:szCs w:val="32"/>
                <w:highlight w:val="none"/>
              </w:rPr>
              <w:t>拉丝油和水的比例为1</w:t>
            </w:r>
            <w:r>
              <w:rPr>
                <w:rFonts w:hint="eastAsia"/>
                <w:color w:val="auto"/>
                <w:sz w:val="24"/>
                <w:szCs w:val="32"/>
                <w:highlight w:val="none"/>
                <w:lang w:val="en-US" w:eastAsia="zh-CN"/>
              </w:rPr>
              <w:t>:</w:t>
            </w:r>
            <w:r>
              <w:rPr>
                <w:rFonts w:hint="default"/>
                <w:color w:val="auto"/>
                <w:sz w:val="24"/>
                <w:szCs w:val="32"/>
                <w:highlight w:val="none"/>
              </w:rPr>
              <w:t>9</w:t>
            </w:r>
            <w:r>
              <w:rPr>
                <w:rFonts w:hint="eastAsia"/>
                <w:color w:val="auto"/>
                <w:sz w:val="24"/>
                <w:szCs w:val="32"/>
                <w:highlight w:val="none"/>
              </w:rPr>
              <w:t>。</w:t>
            </w:r>
            <w:r>
              <w:rPr>
                <w:rFonts w:hint="eastAsia"/>
                <w:color w:val="auto"/>
                <w:sz w:val="24"/>
                <w:szCs w:val="32"/>
                <w:highlight w:val="none"/>
                <w:lang w:val="en-US" w:eastAsia="zh-CN"/>
              </w:rPr>
              <w:t>调配水为34.2t/a（0.114t/d），</w:t>
            </w:r>
            <w:r>
              <w:rPr>
                <w:rFonts w:hint="default"/>
                <w:color w:val="auto"/>
                <w:sz w:val="24"/>
                <w:szCs w:val="32"/>
                <w:highlight w:val="none"/>
              </w:rPr>
              <w:t>则调配后的拉丝液总量为38t。</w:t>
            </w:r>
          </w:p>
          <w:p>
            <w:pPr>
              <w:pStyle w:val="1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eastAsia="宋体"/>
                <w:color w:val="auto"/>
                <w:sz w:val="24"/>
                <w:szCs w:val="24"/>
                <w:highlight w:val="none"/>
                <w:lang w:val="en-US" w:eastAsia="zh-CN" w:bidi="ar"/>
              </w:rPr>
            </w:pPr>
            <w:r>
              <w:rPr>
                <w:rFonts w:hint="default"/>
                <w:color w:val="auto"/>
                <w:sz w:val="24"/>
                <w:szCs w:val="24"/>
                <w:highlight w:val="none"/>
                <w:lang w:bidi="ar"/>
              </w:rPr>
              <w:t>拉丝液在使用过程中由于蒸发、</w:t>
            </w:r>
            <w:r>
              <w:rPr>
                <w:rFonts w:hint="eastAsia"/>
                <w:color w:val="auto"/>
                <w:sz w:val="24"/>
                <w:szCs w:val="24"/>
                <w:highlight w:val="none"/>
                <w:lang w:bidi="ar"/>
              </w:rPr>
              <w:t>黏附</w:t>
            </w:r>
            <w:r>
              <w:rPr>
                <w:rFonts w:hint="default"/>
                <w:color w:val="auto"/>
                <w:sz w:val="24"/>
                <w:szCs w:val="24"/>
                <w:highlight w:val="none"/>
                <w:lang w:bidi="ar"/>
              </w:rPr>
              <w:t>在工件上等存在损耗，损耗量约为拉丝</w:t>
            </w:r>
            <w:r>
              <w:rPr>
                <w:rFonts w:hint="eastAsia"/>
                <w:color w:val="auto"/>
                <w:sz w:val="24"/>
                <w:szCs w:val="24"/>
                <w:highlight w:val="none"/>
                <w:lang w:bidi="ar"/>
              </w:rPr>
              <w:t>液总量</w:t>
            </w:r>
            <w:r>
              <w:rPr>
                <w:rFonts w:hint="default"/>
                <w:color w:val="auto"/>
                <w:sz w:val="24"/>
                <w:szCs w:val="24"/>
                <w:highlight w:val="none"/>
                <w:lang w:bidi="ar"/>
              </w:rPr>
              <w:t>的</w:t>
            </w:r>
            <w:r>
              <w:rPr>
                <w:rFonts w:hint="eastAsia"/>
                <w:color w:val="auto"/>
                <w:sz w:val="24"/>
                <w:szCs w:val="24"/>
                <w:highlight w:val="none"/>
                <w:lang w:val="en-US" w:eastAsia="zh-CN" w:bidi="ar"/>
              </w:rPr>
              <w:t>9</w:t>
            </w:r>
            <w:r>
              <w:rPr>
                <w:rFonts w:hint="default"/>
                <w:color w:val="auto"/>
                <w:sz w:val="24"/>
                <w:szCs w:val="24"/>
                <w:highlight w:val="none"/>
                <w:lang w:bidi="ar"/>
              </w:rPr>
              <w:t>0%，即损耗量为</w:t>
            </w:r>
            <w:r>
              <w:rPr>
                <w:rFonts w:hint="eastAsia"/>
                <w:color w:val="auto"/>
                <w:sz w:val="24"/>
                <w:szCs w:val="24"/>
                <w:highlight w:val="none"/>
                <w:lang w:val="en-US" w:eastAsia="zh-CN" w:bidi="ar"/>
              </w:rPr>
              <w:t>34.2</w:t>
            </w:r>
            <w:r>
              <w:rPr>
                <w:rFonts w:hint="default"/>
                <w:color w:val="auto"/>
                <w:sz w:val="24"/>
                <w:szCs w:val="24"/>
                <w:highlight w:val="none"/>
                <w:lang w:bidi="ar"/>
              </w:rPr>
              <w:t>t/a（</w:t>
            </w:r>
            <w:r>
              <w:rPr>
                <w:rFonts w:hint="eastAsia"/>
                <w:color w:val="auto"/>
                <w:sz w:val="24"/>
                <w:szCs w:val="24"/>
                <w:highlight w:val="none"/>
                <w:lang w:val="en-US" w:eastAsia="zh-CN" w:bidi="ar"/>
              </w:rPr>
              <w:t>0.114</w:t>
            </w:r>
            <w:r>
              <w:rPr>
                <w:rFonts w:hint="default"/>
                <w:color w:val="auto"/>
                <w:sz w:val="24"/>
                <w:szCs w:val="24"/>
                <w:highlight w:val="none"/>
                <w:lang w:bidi="ar"/>
              </w:rPr>
              <w:t>t/d）</w:t>
            </w:r>
            <w:r>
              <w:rPr>
                <w:rFonts w:hint="eastAsia"/>
                <w:color w:val="auto"/>
                <w:highlight w:val="none"/>
                <w:lang w:eastAsia="zh-CN"/>
              </w:rPr>
              <w:t>，</w:t>
            </w:r>
            <w:r>
              <w:rPr>
                <w:rFonts w:hint="eastAsia"/>
                <w:color w:val="auto"/>
                <w:sz w:val="24"/>
                <w:szCs w:val="32"/>
                <w:highlight w:val="none"/>
                <w:lang w:val="en-US" w:eastAsia="zh-CN"/>
              </w:rPr>
              <w:t>其中水的损耗为30.78t/a（0.1026t/d），拉丝油的损耗为3.42t/a（0.0114t/d）。</w:t>
            </w:r>
          </w:p>
          <w:p>
            <w:pPr>
              <w:pStyle w:val="1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eastAsia="宋体"/>
                <w:color w:val="auto"/>
                <w:sz w:val="24"/>
                <w:szCs w:val="32"/>
                <w:highlight w:val="none"/>
                <w:lang w:eastAsia="zh-CN"/>
              </w:rPr>
            </w:pPr>
            <w:r>
              <w:rPr>
                <w:rFonts w:hint="eastAsia"/>
                <w:color w:val="auto"/>
                <w:kern w:val="2"/>
                <w:sz w:val="24"/>
                <w:szCs w:val="32"/>
                <w:highlight w:val="none"/>
              </w:rPr>
              <w:t>项目每半年把拉丝油池底部含盐分高的拉丝油抽取，</w:t>
            </w:r>
            <w:r>
              <w:rPr>
                <w:rFonts w:hint="default"/>
                <w:color w:val="auto"/>
                <w:kern w:val="2"/>
                <w:sz w:val="24"/>
                <w:szCs w:val="32"/>
                <w:highlight w:val="none"/>
              </w:rPr>
              <w:t>项目拉丝油废液的产生量为拉丝液用量的1</w:t>
            </w:r>
            <w:r>
              <w:rPr>
                <w:rFonts w:hint="eastAsia"/>
                <w:color w:val="auto"/>
                <w:kern w:val="2"/>
                <w:sz w:val="24"/>
                <w:szCs w:val="32"/>
                <w:highlight w:val="none"/>
                <w:lang w:val="en-US" w:eastAsia="zh-CN"/>
              </w:rPr>
              <w:t>0</w:t>
            </w:r>
            <w:r>
              <w:rPr>
                <w:rFonts w:hint="default"/>
                <w:color w:val="auto"/>
                <w:kern w:val="2"/>
                <w:sz w:val="24"/>
                <w:szCs w:val="32"/>
                <w:highlight w:val="none"/>
              </w:rPr>
              <w:t>%，拉丝液</w:t>
            </w:r>
            <w:r>
              <w:rPr>
                <w:rFonts w:hint="eastAsia"/>
                <w:color w:val="auto"/>
                <w:kern w:val="2"/>
                <w:sz w:val="24"/>
                <w:szCs w:val="32"/>
                <w:highlight w:val="none"/>
              </w:rPr>
              <w:t>总</w:t>
            </w:r>
            <w:r>
              <w:rPr>
                <w:rFonts w:hint="default"/>
                <w:color w:val="auto"/>
                <w:kern w:val="2"/>
                <w:sz w:val="24"/>
                <w:szCs w:val="32"/>
                <w:highlight w:val="none"/>
              </w:rPr>
              <w:t>量为38t，则拉丝油废液产生量为</w:t>
            </w:r>
            <w:r>
              <w:rPr>
                <w:rFonts w:hint="eastAsia"/>
                <w:color w:val="auto"/>
                <w:kern w:val="2"/>
                <w:sz w:val="24"/>
                <w:szCs w:val="32"/>
                <w:highlight w:val="none"/>
                <w:lang w:val="en-US" w:eastAsia="zh-CN"/>
              </w:rPr>
              <w:t>3.8</w:t>
            </w:r>
            <w:r>
              <w:rPr>
                <w:rFonts w:hint="default"/>
                <w:color w:val="auto"/>
                <w:kern w:val="2"/>
                <w:sz w:val="24"/>
                <w:szCs w:val="32"/>
                <w:highlight w:val="none"/>
              </w:rPr>
              <w:t>t/a</w:t>
            </w:r>
            <w:r>
              <w:rPr>
                <w:rFonts w:hint="eastAsia"/>
                <w:color w:val="auto"/>
                <w:kern w:val="2"/>
                <w:sz w:val="24"/>
                <w:szCs w:val="32"/>
                <w:highlight w:val="none"/>
                <w:lang w:eastAsia="zh-CN"/>
              </w:rPr>
              <w:t>、</w:t>
            </w:r>
            <w:r>
              <w:rPr>
                <w:rFonts w:hint="eastAsia"/>
                <w:color w:val="auto"/>
                <w:kern w:val="2"/>
                <w:sz w:val="24"/>
                <w:szCs w:val="32"/>
                <w:highlight w:val="none"/>
                <w:lang w:val="en-US" w:eastAsia="zh-CN"/>
              </w:rPr>
              <w:t>0.013t/d</w:t>
            </w:r>
            <w:r>
              <w:rPr>
                <w:rFonts w:hint="eastAsia"/>
                <w:color w:val="auto"/>
                <w:kern w:val="2"/>
                <w:sz w:val="24"/>
                <w:szCs w:val="32"/>
                <w:highlight w:val="none"/>
              </w:rPr>
              <w:t>（</w:t>
            </w:r>
            <w:r>
              <w:rPr>
                <w:rFonts w:hint="eastAsia"/>
                <w:color w:val="auto"/>
                <w:kern w:val="2"/>
                <w:sz w:val="24"/>
                <w:szCs w:val="32"/>
                <w:highlight w:val="none"/>
                <w:lang w:val="en-US" w:eastAsia="zh-CN"/>
              </w:rPr>
              <w:t>1.9</w:t>
            </w:r>
            <w:r>
              <w:rPr>
                <w:rFonts w:hint="default"/>
                <w:color w:val="auto"/>
                <w:kern w:val="2"/>
                <w:sz w:val="24"/>
                <w:szCs w:val="32"/>
                <w:highlight w:val="none"/>
              </w:rPr>
              <w:t>t/</w:t>
            </w:r>
            <w:r>
              <w:rPr>
                <w:rFonts w:hint="eastAsia"/>
                <w:color w:val="auto"/>
                <w:kern w:val="2"/>
                <w:sz w:val="24"/>
                <w:szCs w:val="32"/>
                <w:highlight w:val="none"/>
              </w:rPr>
              <w:t>次</w:t>
            </w:r>
            <w:r>
              <w:rPr>
                <w:rFonts w:hint="eastAsia"/>
                <w:color w:val="auto"/>
                <w:kern w:val="2"/>
                <w:sz w:val="24"/>
                <w:szCs w:val="32"/>
                <w:highlight w:val="none"/>
                <w:lang w:eastAsia="zh-CN"/>
              </w:rPr>
              <w:t>），</w:t>
            </w:r>
            <w:r>
              <w:rPr>
                <w:rFonts w:hint="eastAsia"/>
                <w:color w:val="auto"/>
                <w:sz w:val="24"/>
                <w:szCs w:val="32"/>
                <w:highlight w:val="none"/>
                <w:lang w:val="en-US" w:eastAsia="zh-CN"/>
              </w:rPr>
              <w:t>其中水为3.42t/a（0.0114t/d），拉丝油为0.38t/a（0.0013t/d）。</w:t>
            </w:r>
          </w:p>
          <w:p>
            <w:pPr>
              <w:keepNext w:val="0"/>
              <w:keepLines w:val="0"/>
              <w:suppressLineNumbers w:val="0"/>
              <w:spacing w:before="0" w:beforeAutospacing="0" w:after="0" w:afterAutospacing="0" w:line="360" w:lineRule="auto"/>
              <w:ind w:left="0" w:right="0" w:firstLine="482"/>
              <w:rPr>
                <w:rFonts w:hint="default"/>
                <w:b/>
                <w:bCs/>
                <w:color w:val="auto"/>
                <w:sz w:val="24"/>
                <w:highlight w:val="none"/>
                <w:lang w:bidi="ar"/>
              </w:rPr>
            </w:pPr>
            <w:r>
              <w:rPr>
                <w:rFonts w:hint="default"/>
                <w:b/>
                <w:bCs/>
                <w:color w:val="auto"/>
                <w:sz w:val="24"/>
                <w:highlight w:val="none"/>
                <w:lang w:bidi="ar"/>
              </w:rPr>
              <w:t>4）喷淋塔用水</w:t>
            </w:r>
          </w:p>
          <w:p>
            <w:pPr>
              <w:keepNext w:val="0"/>
              <w:keepLines w:val="0"/>
              <w:suppressLineNumbers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本项目设置了一套</w:t>
            </w:r>
            <w:r>
              <w:rPr>
                <w:rFonts w:hint="eastAsia"/>
                <w:color w:val="auto"/>
                <w:sz w:val="24"/>
                <w:highlight w:val="none"/>
              </w:rPr>
              <w:t>喷淋塔</w:t>
            </w:r>
            <w:r>
              <w:rPr>
                <w:rFonts w:hint="default"/>
                <w:color w:val="auto"/>
                <w:sz w:val="24"/>
                <w:highlight w:val="none"/>
              </w:rPr>
              <w:t>处理</w:t>
            </w:r>
            <w:r>
              <w:rPr>
                <w:rFonts w:hint="eastAsia"/>
                <w:color w:val="auto"/>
                <w:sz w:val="24"/>
                <w:highlight w:val="none"/>
                <w:lang w:val="en-US" w:eastAsia="zh-CN"/>
              </w:rPr>
              <w:t>退火工序、</w:t>
            </w:r>
            <w:r>
              <w:rPr>
                <w:rFonts w:hint="eastAsia"/>
                <w:color w:val="auto"/>
                <w:sz w:val="24"/>
                <w:highlight w:val="none"/>
              </w:rPr>
              <w:t>热浸锡</w:t>
            </w:r>
            <w:r>
              <w:rPr>
                <w:rFonts w:hint="default"/>
                <w:color w:val="auto"/>
                <w:sz w:val="24"/>
                <w:highlight w:val="none"/>
              </w:rPr>
              <w:t>工序</w:t>
            </w:r>
            <w:r>
              <w:rPr>
                <w:rFonts w:hint="eastAsia"/>
                <w:color w:val="auto"/>
                <w:sz w:val="24"/>
                <w:highlight w:val="none"/>
              </w:rPr>
              <w:t>产生的</w:t>
            </w:r>
            <w:r>
              <w:rPr>
                <w:rFonts w:hint="default"/>
                <w:color w:val="auto"/>
                <w:sz w:val="24"/>
                <w:highlight w:val="none"/>
              </w:rPr>
              <w:t>废气，</w:t>
            </w:r>
            <w:r>
              <w:rPr>
                <w:rFonts w:hint="eastAsia"/>
                <w:color w:val="auto"/>
                <w:sz w:val="24"/>
                <w:highlight w:val="none"/>
              </w:rPr>
              <w:t>喷淋塔配套水箱储水量为1.5m</w:t>
            </w:r>
            <w:r>
              <w:rPr>
                <w:rFonts w:hint="eastAsia"/>
                <w:color w:val="auto"/>
                <w:sz w:val="24"/>
                <w:highlight w:val="none"/>
                <w:vertAlign w:val="superscript"/>
              </w:rPr>
              <w:t>3</w:t>
            </w:r>
            <w:r>
              <w:rPr>
                <w:rFonts w:hint="eastAsia"/>
                <w:color w:val="auto"/>
                <w:sz w:val="24"/>
                <w:highlight w:val="none"/>
              </w:rPr>
              <w:t>，</w:t>
            </w:r>
            <w:r>
              <w:rPr>
                <w:rFonts w:hint="eastAsia" w:ascii="Times New Roman" w:hAnsi="Times New Roman" w:eastAsia="宋体" w:cs="Times New Roman"/>
                <w:color w:val="auto"/>
                <w:sz w:val="24"/>
                <w:szCs w:val="24"/>
                <w:highlight w:val="none"/>
                <w:lang w:val="en-US" w:eastAsia="zh-CN"/>
              </w:rPr>
              <w:t>DA001排放口设计风量为5600m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/h，根据《简明通风设计手册》（孙一坚主编）第527页表10-48“各种吸收装置的技术经济比较”，喷淋塔气液比为0.1~1.0L/m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，喷淋塔循环水量按气液比1L/m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计算，喷淋塔的循环水量</w:t>
            </w:r>
            <w:r>
              <w:rPr>
                <w:rFonts w:hint="eastAsia"/>
                <w:color w:val="auto"/>
                <w:sz w:val="24"/>
                <w:highlight w:val="none"/>
              </w:rPr>
              <w:t>为5</w:t>
            </w:r>
            <w:r>
              <w:rPr>
                <w:rFonts w:hint="eastAsia"/>
                <w:color w:val="auto"/>
                <w:sz w:val="24"/>
                <w:highlight w:val="none"/>
                <w:lang w:val="en-US" w:eastAsia="zh-CN"/>
              </w:rPr>
              <w:t>.6</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/h</w:t>
            </w:r>
            <w:r>
              <w:rPr>
                <w:rFonts w:hint="eastAsia"/>
                <w:color w:val="auto"/>
                <w:highlight w:val="none"/>
                <w:lang w:eastAsia="zh-CN"/>
              </w:rPr>
              <w:t>。</w:t>
            </w:r>
            <w:r>
              <w:rPr>
                <w:rFonts w:hint="eastAsia" w:ascii="Times New Roman" w:hAnsi="Times New Roman" w:eastAsia="宋体" w:cs="Times New Roman"/>
                <w:color w:val="auto"/>
                <w:sz w:val="24"/>
                <w:szCs w:val="24"/>
                <w:highlight w:val="none"/>
                <w:lang w:val="en-US" w:eastAsia="zh-CN"/>
              </w:rPr>
              <w:t>参考</w:t>
            </w:r>
            <w:r>
              <w:rPr>
                <w:rFonts w:hint="default"/>
                <w:color w:val="auto"/>
                <w:sz w:val="24"/>
                <w:highlight w:val="none"/>
              </w:rPr>
              <w:t>《建筑给水排水设计标准》（GB50015-2019）3.11.14，</w:t>
            </w:r>
            <w:r>
              <w:rPr>
                <w:rFonts w:hint="eastAsia"/>
                <w:color w:val="auto"/>
                <w:sz w:val="24"/>
                <w:highlight w:val="none"/>
                <w:lang w:val="en-US" w:eastAsia="zh-CN"/>
              </w:rPr>
              <w:t>喷淋塔</w:t>
            </w:r>
            <w:r>
              <w:rPr>
                <w:rFonts w:hint="default"/>
                <w:color w:val="auto"/>
                <w:sz w:val="24"/>
                <w:highlight w:val="none"/>
              </w:rPr>
              <w:t>补充水量应按循环水量的1~2%计算</w:t>
            </w:r>
            <w:r>
              <w:rPr>
                <w:rFonts w:hint="eastAsia"/>
                <w:color w:val="auto"/>
                <w:sz w:val="24"/>
                <w:highlight w:val="none"/>
                <w:lang w:eastAsia="zh-CN"/>
              </w:rPr>
              <w:t>（</w:t>
            </w:r>
            <w:r>
              <w:rPr>
                <w:rFonts w:hint="eastAsia"/>
                <w:color w:val="auto"/>
                <w:sz w:val="24"/>
                <w:highlight w:val="none"/>
                <w:lang w:val="en-US" w:eastAsia="zh-CN"/>
              </w:rPr>
              <w:t>本项目取2%</w:t>
            </w:r>
            <w:r>
              <w:rPr>
                <w:rFonts w:hint="eastAsia"/>
                <w:color w:val="auto"/>
                <w:sz w:val="24"/>
                <w:highlight w:val="none"/>
                <w:lang w:eastAsia="zh-CN"/>
              </w:rPr>
              <w:t>）</w:t>
            </w:r>
            <w:r>
              <w:rPr>
                <w:rFonts w:hint="eastAsia" w:ascii="Times New Roman" w:hAnsi="Times New Roman" w:eastAsia="宋体" w:cs="Times New Roman"/>
                <w:color w:val="auto"/>
                <w:sz w:val="24"/>
                <w:szCs w:val="24"/>
                <w:highlight w:val="none"/>
                <w:lang w:val="en-US" w:eastAsia="zh-CN"/>
              </w:rPr>
              <w:t>，</w:t>
            </w:r>
            <w:r>
              <w:rPr>
                <w:rFonts w:hint="eastAsia"/>
                <w:color w:val="auto"/>
                <w:sz w:val="24"/>
                <w:highlight w:val="none"/>
              </w:rPr>
              <w:t>废气处理设施年运行300天，每天运行</w:t>
            </w:r>
            <w:r>
              <w:rPr>
                <w:rFonts w:hint="default"/>
                <w:color w:val="auto"/>
                <w:sz w:val="24"/>
                <w:highlight w:val="none"/>
              </w:rPr>
              <w:t>22</w:t>
            </w:r>
            <w:r>
              <w:rPr>
                <w:rFonts w:hint="eastAsia"/>
                <w:color w:val="auto"/>
                <w:sz w:val="24"/>
                <w:highlight w:val="none"/>
              </w:rPr>
              <w:t>小时，则喷淋塔补充水量为</w:t>
            </w:r>
            <w:r>
              <w:rPr>
                <w:rFonts w:hint="eastAsia"/>
                <w:color w:val="auto"/>
                <w:sz w:val="24"/>
                <w:highlight w:val="none"/>
                <w:lang w:val="en-US" w:eastAsia="zh-CN"/>
              </w:rPr>
              <w:t>2.464</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/d（</w:t>
            </w:r>
            <w:r>
              <w:rPr>
                <w:rFonts w:hint="eastAsia"/>
                <w:color w:val="auto"/>
                <w:sz w:val="24"/>
                <w:highlight w:val="none"/>
                <w:lang w:val="en-US" w:eastAsia="zh-CN"/>
              </w:rPr>
              <w:t>739.2</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p>
          <w:p>
            <w:pPr>
              <w:keepNext w:val="0"/>
              <w:keepLines w:val="0"/>
              <w:suppressLineNumbers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lang w:bidi="ar"/>
              </w:rPr>
              <w:t>喷淋塔用水定期捞渣后循环使用，</w:t>
            </w:r>
            <w:r>
              <w:rPr>
                <w:rFonts w:hint="default"/>
                <w:color w:val="auto"/>
                <w:sz w:val="24"/>
                <w:szCs w:val="24"/>
                <w:highlight w:val="none"/>
              </w:rPr>
              <w:t>随着喷淋塔用水的循环使用，水中的盐分逐渐堆积。因此，项目每半年更换一次喷淋用水。</w:t>
            </w:r>
            <w:r>
              <w:rPr>
                <w:rFonts w:hint="default"/>
                <w:color w:val="auto"/>
                <w:sz w:val="24"/>
                <w:highlight w:val="none"/>
              </w:rPr>
              <w:t>喷淋塔更换废水产生量为3m</w:t>
            </w:r>
            <w:r>
              <w:rPr>
                <w:rFonts w:hint="eastAsia"/>
                <w:color w:val="auto"/>
                <w:sz w:val="24"/>
                <w:highlight w:val="none"/>
                <w:vertAlign w:val="superscript"/>
                <w:lang w:val="en-US" w:eastAsia="zh-CN"/>
              </w:rPr>
              <w:t>3</w:t>
            </w:r>
            <w:r>
              <w:rPr>
                <w:rFonts w:hint="default"/>
                <w:color w:val="auto"/>
                <w:sz w:val="24"/>
                <w:highlight w:val="none"/>
              </w:rPr>
              <w:t>/a、0.01m</w:t>
            </w:r>
            <w:r>
              <w:rPr>
                <w:rFonts w:hint="default"/>
                <w:color w:val="auto"/>
                <w:sz w:val="24"/>
                <w:highlight w:val="none"/>
                <w:vertAlign w:val="superscript"/>
              </w:rPr>
              <w:t>3</w:t>
            </w:r>
            <w:r>
              <w:rPr>
                <w:rFonts w:hint="default"/>
                <w:color w:val="auto"/>
                <w:sz w:val="24"/>
                <w:highlight w:val="none"/>
              </w:rPr>
              <w:t>/d</w:t>
            </w:r>
            <w:r>
              <w:rPr>
                <w:rFonts w:hint="default"/>
                <w:color w:val="auto"/>
                <w:sz w:val="24"/>
                <w:szCs w:val="24"/>
                <w:highlight w:val="none"/>
              </w:rPr>
              <w:t>。</w:t>
            </w:r>
            <w:r>
              <w:rPr>
                <w:rFonts w:hint="default"/>
                <w:color w:val="auto"/>
                <w:sz w:val="24"/>
                <w:highlight w:val="none"/>
              </w:rPr>
              <w:t>根据《国家危险废物名录》（</w:t>
            </w:r>
            <w:r>
              <w:rPr>
                <w:rFonts w:hint="default"/>
                <w:bCs/>
                <w:color w:val="auto"/>
                <w:sz w:val="24"/>
                <w:highlight w:val="none"/>
              </w:rPr>
              <w:t>2021年版</w:t>
            </w:r>
            <w:r>
              <w:rPr>
                <w:rFonts w:hint="default"/>
                <w:color w:val="auto"/>
                <w:sz w:val="24"/>
                <w:highlight w:val="none"/>
              </w:rPr>
              <w:t>），喷淋塔更换废水属于HW</w:t>
            </w:r>
            <w:r>
              <w:rPr>
                <w:rFonts w:hint="eastAsia"/>
                <w:color w:val="auto"/>
                <w:sz w:val="24"/>
                <w:highlight w:val="none"/>
                <w:lang w:val="en-US" w:eastAsia="zh-CN"/>
              </w:rPr>
              <w:t>09</w:t>
            </w:r>
            <w:r>
              <w:rPr>
                <w:rFonts w:hint="eastAsia" w:ascii="Times New Roman" w:hAnsi="Times New Roman" w:eastAsia="宋体" w:cs="Times New Roman"/>
                <w:b w:val="0"/>
                <w:bCs w:val="0"/>
                <w:color w:val="auto"/>
                <w:kern w:val="2"/>
                <w:sz w:val="24"/>
                <w:szCs w:val="24"/>
                <w:highlight w:val="none"/>
                <w:lang w:val="en-US" w:eastAsia="zh-CN" w:bidi="ar-SA"/>
              </w:rPr>
              <w:t>油/水、烃/水混合物或乳化液，危废代码为900-007-09</w:t>
            </w:r>
            <w:r>
              <w:rPr>
                <w:rFonts w:hint="default"/>
                <w:color w:val="auto"/>
                <w:sz w:val="24"/>
                <w:highlight w:val="none"/>
              </w:rPr>
              <w:t>。喷淋塔更换废水</w:t>
            </w:r>
            <w:r>
              <w:rPr>
                <w:rFonts w:hint="default"/>
                <w:color w:val="auto"/>
                <w:sz w:val="24"/>
                <w:szCs w:val="20"/>
                <w:highlight w:val="none"/>
              </w:rPr>
              <w:t>用塑料桶盛装，</w:t>
            </w:r>
            <w:r>
              <w:rPr>
                <w:rFonts w:hint="default"/>
                <w:color w:val="auto"/>
                <w:sz w:val="24"/>
                <w:highlight w:val="none"/>
              </w:rPr>
              <w:t>在厂区危险废物暂存间暂存，定期交由有资质单位回收处理，不外排。</w:t>
            </w:r>
          </w:p>
          <w:p>
            <w:pPr>
              <w:keepNext w:val="0"/>
              <w:keepLines w:val="0"/>
              <w:suppressLineNumbers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5）冷却塔用水</w:t>
            </w:r>
          </w:p>
          <w:p>
            <w:pPr>
              <w:pStyle w:val="2"/>
              <w:keepNext w:val="0"/>
              <w:keepLines w:val="0"/>
              <w:suppressLineNumbers w:val="0"/>
              <w:spacing w:before="0" w:beforeAutospacing="0" w:after="0" w:afterAutospacing="0" w:line="360" w:lineRule="auto"/>
              <w:ind w:left="0" w:right="0" w:firstLine="480"/>
              <w:rPr>
                <w:rFonts w:hint="default" w:ascii="Times New Roman" w:cs="Times New Roman"/>
                <w:color w:val="auto"/>
                <w:highlight w:val="none"/>
              </w:rPr>
            </w:pPr>
            <w:r>
              <w:rPr>
                <w:rFonts w:hint="default" w:ascii="Times New Roman" w:cs="Times New Roman"/>
                <w:color w:val="auto"/>
                <w:highlight w:val="none"/>
              </w:rPr>
              <w:t>根据建设单位提供的资料，</w:t>
            </w:r>
            <w:r>
              <w:rPr>
                <w:rFonts w:ascii="Times New Roman" w:cs="Times New Roman"/>
                <w:color w:val="auto"/>
                <w:highlight w:val="none"/>
              </w:rPr>
              <w:t>工件冷拉过程中，铜线受到变形及摩擦的作用而发热，连续拉丝，热能会被不断的积累，可使铜丝加热到比较高的温度，降低铜线的力学性能。</w:t>
            </w:r>
            <w:r>
              <w:rPr>
                <w:rFonts w:hint="default" w:ascii="Times New Roman" w:cs="Times New Roman"/>
                <w:color w:val="auto"/>
                <w:highlight w:val="none"/>
              </w:rPr>
              <w:t>项目设置了2台冷却塔为</w:t>
            </w:r>
            <w:r>
              <w:rPr>
                <w:rFonts w:hint="eastAsia" w:ascii="Times New Roman" w:cs="Times New Roman"/>
                <w:color w:val="auto"/>
                <w:highlight w:val="none"/>
                <w:lang w:val="en-US" w:eastAsia="zh-CN"/>
              </w:rPr>
              <w:t>铜线和</w:t>
            </w:r>
            <w:r>
              <w:rPr>
                <w:rFonts w:hint="default" w:ascii="Times New Roman" w:cs="Times New Roman"/>
                <w:color w:val="auto"/>
                <w:highlight w:val="none"/>
              </w:rPr>
              <w:t>拉丝设备冷却降温，冷却方式为间接冷却。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4"/>
                <w:highlight w:val="none"/>
              </w:rPr>
            </w:pPr>
            <w:r>
              <w:rPr>
                <w:rFonts w:hint="default" w:ascii="Times New Roman" w:hAnsi="Times New Roman" w:eastAsia="宋体" w:cs="Times New Roman"/>
                <w:color w:val="auto"/>
                <w:sz w:val="24"/>
                <w:highlight w:val="none"/>
              </w:rPr>
              <w:t>冷却用水为普通的自来水，无需添加矿物油、乳化液等冷却剂。拉丝工序配套2台冷却塔，单台循环水量20m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/h，每天工作22小时，年工作300天，则冷却塔总循环水量为880m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/d（26.4万m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/a）。冷却方式为间接冷却，冷却水循环使用，不外排。参考《</w:t>
            </w:r>
            <w:r>
              <w:rPr>
                <w:rFonts w:hint="eastAsia" w:ascii="Times New Roman" w:hAnsi="Times New Roman" w:eastAsia="宋体" w:cs="Times New Roman"/>
                <w:color w:val="auto"/>
                <w:sz w:val="24"/>
                <w:highlight w:val="none"/>
              </w:rPr>
              <w:t>工业循环冷却水处理设计规范》（GB/T 50050-2017）中 5.0.7~5.0.8 所知，闭式系统的补充水量不宜大于循环水量的 1%，补充水系统设计流量宜为循环水量的0.5%~1%（项目取1%）</w:t>
            </w:r>
            <w:r>
              <w:rPr>
                <w:rFonts w:hint="default" w:ascii="Times New Roman" w:hAnsi="Times New Roman" w:eastAsia="宋体" w:cs="Times New Roman"/>
                <w:color w:val="auto"/>
                <w:sz w:val="24"/>
                <w:highlight w:val="none"/>
              </w:rPr>
              <w:t>，则冷却塔需补充水量约</w:t>
            </w:r>
            <w:r>
              <w:rPr>
                <w:rFonts w:hint="eastAsia" w:ascii="Times New Roman" w:hAnsi="Times New Roman" w:eastAsia="宋体" w:cs="Times New Roman"/>
                <w:color w:val="auto"/>
                <w:sz w:val="24"/>
                <w:highlight w:val="none"/>
                <w:lang w:val="en-US" w:eastAsia="zh-CN"/>
              </w:rPr>
              <w:t>8.8</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lang w:val="en-US" w:eastAsia="zh-CN"/>
              </w:rPr>
              <w:t>2640</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/a）</w:t>
            </w:r>
            <w:r>
              <w:rPr>
                <w:rFonts w:hint="default"/>
                <w:color w:val="auto"/>
                <w:sz w:val="24"/>
                <w:highlight w:val="none"/>
              </w:rPr>
              <w:t>。</w:t>
            </w:r>
          </w:p>
          <w:p>
            <w:pPr>
              <w:keepNext w:val="0"/>
              <w:keepLines w:val="0"/>
              <w:suppressLineNumbers w:val="0"/>
              <w:adjustRightInd w:val="0"/>
              <w:snapToGrid w:val="0"/>
              <w:spacing w:before="0" w:beforeAutospacing="0" w:after="0" w:afterAutospacing="0" w:line="360" w:lineRule="auto"/>
              <w:ind w:left="0" w:right="0" w:firstLine="482"/>
              <w:rPr>
                <w:rFonts w:hint="default"/>
                <w:color w:val="auto"/>
                <w:highlight w:val="none"/>
              </w:rPr>
            </w:pPr>
            <w:r>
              <w:rPr>
                <w:rFonts w:hint="default"/>
                <w:b/>
                <w:color w:val="auto"/>
                <w:sz w:val="24"/>
                <w:highlight w:val="none"/>
              </w:rPr>
              <w:t>（2）生活用水</w:t>
            </w:r>
          </w:p>
          <w:p>
            <w:pPr>
              <w:keepNext w:val="0"/>
              <w:keepLines w:val="0"/>
              <w:suppressLineNumbers w:val="0"/>
              <w:adjustRightInd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项目拟定员30人，员工不在项目内食宿，根据广东省《用水定额</w:t>
            </w:r>
            <w:r>
              <w:rPr>
                <w:rFonts w:hint="eastAsia"/>
                <w:color w:val="auto"/>
                <w:sz w:val="24"/>
                <w:highlight w:val="none"/>
                <w:lang w:val="en-US" w:eastAsia="zh-CN"/>
              </w:rPr>
              <w:t xml:space="preserve"> 第3部分：生活</w:t>
            </w:r>
            <w:r>
              <w:rPr>
                <w:rFonts w:hint="default"/>
                <w:color w:val="auto"/>
                <w:sz w:val="24"/>
                <w:highlight w:val="none"/>
              </w:rPr>
              <w:t>》（DB44/T1461.3-2021），本项目员工生活用水量按“机关事业单位办公楼（无食堂和浴室）”中的先进值用水定额10m</w:t>
            </w:r>
            <w:r>
              <w:rPr>
                <w:rFonts w:hint="default"/>
                <w:color w:val="auto"/>
                <w:sz w:val="24"/>
                <w:highlight w:val="none"/>
                <w:vertAlign w:val="superscript"/>
              </w:rPr>
              <w:t>3</w:t>
            </w:r>
            <w:r>
              <w:rPr>
                <w:rFonts w:hint="default"/>
                <w:color w:val="auto"/>
                <w:sz w:val="24"/>
                <w:highlight w:val="none"/>
              </w:rPr>
              <w:t>/（人·a）进行核算，则员工生活用水量为300m</w:t>
            </w:r>
            <w:r>
              <w:rPr>
                <w:rFonts w:hint="default"/>
                <w:color w:val="auto"/>
                <w:sz w:val="24"/>
                <w:highlight w:val="none"/>
                <w:vertAlign w:val="superscript"/>
              </w:rPr>
              <w:t>3</w:t>
            </w:r>
            <w:r>
              <w:rPr>
                <w:rFonts w:hint="default"/>
                <w:color w:val="auto"/>
                <w:sz w:val="24"/>
                <w:highlight w:val="none"/>
              </w:rPr>
              <w:t>/a（1m</w:t>
            </w:r>
            <w:r>
              <w:rPr>
                <w:rFonts w:hint="default"/>
                <w:color w:val="auto"/>
                <w:sz w:val="24"/>
                <w:highlight w:val="none"/>
                <w:vertAlign w:val="superscript"/>
              </w:rPr>
              <w:t>3</w:t>
            </w:r>
            <w:r>
              <w:rPr>
                <w:rFonts w:hint="default"/>
                <w:color w:val="auto"/>
                <w:sz w:val="24"/>
                <w:highlight w:val="none"/>
              </w:rPr>
              <w:t>/d）（按年工作300天计）。</w:t>
            </w:r>
          </w:p>
          <w:p>
            <w:pPr>
              <w:keepNext w:val="0"/>
              <w:keepLines w:val="0"/>
              <w:suppressLineNumbers w:val="0"/>
              <w:tabs>
                <w:tab w:val="left" w:pos="9210"/>
              </w:tabs>
              <w:spacing w:before="0" w:beforeAutospacing="0" w:after="0" w:afterAutospacing="0" w:line="360" w:lineRule="auto"/>
              <w:ind w:left="0" w:right="0" w:firstLine="482"/>
              <w:rPr>
                <w:rFonts w:hint="default"/>
                <w:b/>
                <w:color w:val="auto"/>
                <w:sz w:val="24"/>
                <w:highlight w:val="none"/>
              </w:rPr>
            </w:pPr>
            <w:r>
              <w:rPr>
                <w:rFonts w:hint="default"/>
                <w:b/>
                <w:color w:val="auto"/>
                <w:sz w:val="24"/>
                <w:highlight w:val="none"/>
              </w:rPr>
              <w:t>二、排水情况</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项目所在园区已实行雨污分流，雨水通过地面雨水口流入厂区雨水管道，就近排入市政雨水管网。</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1）退火机冷却水经一体化处理设施处理</w:t>
            </w:r>
            <w:r>
              <w:rPr>
                <w:rFonts w:hint="eastAsia"/>
                <w:color w:val="auto"/>
                <w:kern w:val="2"/>
                <w:sz w:val="24"/>
                <w:szCs w:val="24"/>
                <w:highlight w:val="none"/>
                <w:lang w:eastAsia="zh-CN"/>
              </w:rPr>
              <w:t>（</w:t>
            </w:r>
            <w:r>
              <w:rPr>
                <w:rFonts w:hint="eastAsia"/>
                <w:color w:val="auto"/>
                <w:kern w:val="2"/>
                <w:sz w:val="24"/>
                <w:szCs w:val="24"/>
                <w:highlight w:val="none"/>
                <w:lang w:val="en-US" w:eastAsia="zh-CN"/>
              </w:rPr>
              <w:t>日处理规模为1t</w:t>
            </w:r>
            <w:r>
              <w:rPr>
                <w:rFonts w:hint="eastAsia"/>
                <w:color w:val="auto"/>
                <w:kern w:val="2"/>
                <w:sz w:val="24"/>
                <w:szCs w:val="24"/>
                <w:highlight w:val="none"/>
                <w:lang w:eastAsia="zh-CN"/>
              </w:rPr>
              <w:t>）</w:t>
            </w:r>
            <w:r>
              <w:rPr>
                <w:rFonts w:hint="default"/>
                <w:color w:val="auto"/>
                <w:sz w:val="24"/>
                <w:highlight w:val="none"/>
              </w:rPr>
              <w:t>后回用退火机冷却水槽</w:t>
            </w:r>
            <w:r>
              <w:rPr>
                <w:rFonts w:hint="eastAsia"/>
                <w:color w:val="auto"/>
                <w:sz w:val="24"/>
                <w:highlight w:val="none"/>
              </w:rPr>
              <w:t>，不外排。</w:t>
            </w:r>
          </w:p>
          <w:p>
            <w:pPr>
              <w:keepNext w:val="0"/>
              <w:keepLines w:val="0"/>
              <w:suppressLineNumbers w:val="0"/>
              <w:spacing w:before="0" w:beforeAutospacing="0" w:after="0" w:afterAutospacing="0" w:line="360" w:lineRule="auto"/>
              <w:ind w:left="0" w:right="0" w:firstLine="480"/>
              <w:jc w:val="both"/>
              <w:rPr>
                <w:rFonts w:hint="default"/>
                <w:color w:val="auto"/>
                <w:sz w:val="24"/>
                <w:highlight w:val="none"/>
              </w:rPr>
            </w:pPr>
            <w:r>
              <w:rPr>
                <w:rFonts w:hint="eastAsia"/>
                <w:color w:val="auto"/>
                <w:sz w:val="24"/>
                <w:highlight w:val="none"/>
              </w:rPr>
              <w:t>2）</w:t>
            </w:r>
            <w:r>
              <w:rPr>
                <w:rFonts w:hint="default"/>
                <w:color w:val="auto"/>
                <w:sz w:val="24"/>
                <w:szCs w:val="24"/>
                <w:highlight w:val="none"/>
              </w:rPr>
              <w:t>项目工件在进行</w:t>
            </w:r>
            <w:r>
              <w:rPr>
                <w:rFonts w:hint="eastAsia"/>
                <w:color w:val="auto"/>
                <w:sz w:val="24"/>
                <w:szCs w:val="24"/>
                <w:highlight w:val="none"/>
                <w:lang w:val="en-US" w:eastAsia="zh-CN"/>
              </w:rPr>
              <w:t>热浸锡</w:t>
            </w:r>
            <w:r>
              <w:rPr>
                <w:rFonts w:hint="default"/>
                <w:color w:val="auto"/>
                <w:sz w:val="24"/>
                <w:szCs w:val="24"/>
                <w:highlight w:val="none"/>
              </w:rPr>
              <w:t>工序前，需要进行一道清洁工序</w:t>
            </w:r>
            <w:r>
              <w:rPr>
                <w:rFonts w:hint="eastAsia"/>
                <w:color w:val="auto"/>
                <w:sz w:val="24"/>
                <w:szCs w:val="24"/>
                <w:highlight w:val="none"/>
              </w:rPr>
              <w:t>。</w:t>
            </w:r>
            <w:r>
              <w:rPr>
                <w:rFonts w:hint="default"/>
                <w:color w:val="auto"/>
                <w:sz w:val="24"/>
                <w:szCs w:val="24"/>
                <w:highlight w:val="none"/>
              </w:rPr>
              <w:t>用</w:t>
            </w:r>
            <w:r>
              <w:rPr>
                <w:rFonts w:hint="default"/>
                <w:color w:val="auto"/>
                <w:sz w:val="24"/>
                <w:highlight w:val="none"/>
              </w:rPr>
              <w:t>助焊剂和水进行调配成助焊剂溶液，</w:t>
            </w:r>
            <w:r>
              <w:rPr>
                <w:rFonts w:hint="eastAsia"/>
                <w:color w:val="auto"/>
                <w:sz w:val="24"/>
                <w:highlight w:val="none"/>
              </w:rPr>
              <w:t>配好的助焊剂溶液倒在助焊剂槽中，放入毛毡进行浸</w:t>
            </w:r>
            <w:r>
              <w:rPr>
                <w:rFonts w:hint="eastAsia"/>
                <w:color w:val="auto"/>
                <w:sz w:val="24"/>
                <w:highlight w:val="none"/>
                <w:lang w:val="en-US" w:eastAsia="zh-CN"/>
              </w:rPr>
              <w:t>湿</w:t>
            </w:r>
            <w:r>
              <w:rPr>
                <w:rFonts w:hint="eastAsia"/>
                <w:color w:val="auto"/>
                <w:sz w:val="24"/>
                <w:highlight w:val="none"/>
              </w:rPr>
              <w:t>，</w:t>
            </w:r>
            <w:r>
              <w:rPr>
                <w:rFonts w:hint="default"/>
                <w:color w:val="auto"/>
                <w:sz w:val="24"/>
                <w:szCs w:val="24"/>
                <w:highlight w:val="none"/>
              </w:rPr>
              <w:t>铜线经牵引装置从毛毡中间穿过从而接触助焊剂溶液。</w:t>
            </w:r>
            <w:r>
              <w:rPr>
                <w:rFonts w:hint="eastAsia"/>
                <w:color w:val="auto"/>
                <w:sz w:val="24"/>
                <w:szCs w:val="24"/>
                <w:highlight w:val="none"/>
                <w:lang w:val="en-US" w:eastAsia="zh-CN"/>
              </w:rPr>
              <w:t>5%的助焊剂溶液（0.9t/a）被毛毡吸附，废毛毡</w:t>
            </w:r>
            <w:r>
              <w:rPr>
                <w:rFonts w:hint="default"/>
                <w:color w:val="auto"/>
                <w:kern w:val="2"/>
                <w:sz w:val="24"/>
                <w:szCs w:val="24"/>
                <w:highlight w:val="none"/>
              </w:rPr>
              <w:t>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r>
              <w:rPr>
                <w:rFonts w:hint="eastAsia"/>
                <w:color w:val="auto"/>
                <w:kern w:val="2"/>
                <w:sz w:val="24"/>
                <w:szCs w:val="24"/>
                <w:highlight w:val="none"/>
                <w:lang w:eastAsia="zh-CN"/>
              </w:rPr>
              <w:t>；</w:t>
            </w:r>
            <w:r>
              <w:rPr>
                <w:rFonts w:hint="eastAsia"/>
                <w:color w:val="auto"/>
                <w:kern w:val="2"/>
                <w:sz w:val="24"/>
                <w:szCs w:val="24"/>
                <w:highlight w:val="none"/>
                <w:lang w:val="en-US" w:eastAsia="zh-CN"/>
              </w:rPr>
              <w:t>95%的助焊剂溶液（17.1t/a）粘附在铜线上，</w:t>
            </w:r>
            <w:r>
              <w:rPr>
                <w:rFonts w:hint="eastAsia"/>
                <w:color w:val="auto"/>
                <w:sz w:val="24"/>
                <w:szCs w:val="24"/>
                <w:highlight w:val="none"/>
                <w:lang w:val="en-US" w:eastAsia="zh-CN"/>
              </w:rPr>
              <w:t>进入锡炉后全部</w:t>
            </w:r>
            <w:r>
              <w:rPr>
                <w:rFonts w:hint="eastAsia"/>
                <w:color w:val="auto"/>
                <w:sz w:val="24"/>
                <w:szCs w:val="24"/>
                <w:highlight w:val="none"/>
                <w:lang w:val="en-US" w:eastAsia="zh-CN" w:bidi="ar"/>
              </w:rPr>
              <w:t>蒸发</w:t>
            </w:r>
            <w:r>
              <w:rPr>
                <w:rFonts w:hint="eastAsia"/>
                <w:color w:val="auto"/>
                <w:sz w:val="24"/>
                <w:szCs w:val="24"/>
                <w:highlight w:val="none"/>
                <w:lang w:eastAsia="zh-CN"/>
              </w:rPr>
              <w:t>，</w:t>
            </w:r>
            <w:r>
              <w:rPr>
                <w:rFonts w:hint="eastAsia"/>
                <w:color w:val="auto"/>
                <w:sz w:val="24"/>
                <w:highlight w:val="none"/>
                <w:lang w:eastAsia="zh-CN"/>
              </w:rPr>
              <w:t>不外排</w:t>
            </w:r>
            <w:r>
              <w:rPr>
                <w:rFonts w:hint="eastAsia"/>
                <w:color w:val="auto"/>
                <w:sz w:val="24"/>
                <w:highlight w:val="none"/>
              </w:rPr>
              <w:t>。</w:t>
            </w:r>
          </w:p>
          <w:p>
            <w:pPr>
              <w:keepNext w:val="0"/>
              <w:keepLines w:val="0"/>
              <w:suppressLineNumbers w:val="0"/>
              <w:spacing w:before="0" w:beforeAutospacing="0" w:after="0" w:afterAutospacing="0" w:line="360" w:lineRule="auto"/>
              <w:ind w:left="0" w:right="0" w:firstLine="480"/>
              <w:rPr>
                <w:rFonts w:hint="default"/>
                <w:color w:val="auto"/>
                <w:highlight w:val="none"/>
              </w:rPr>
            </w:pPr>
            <w:r>
              <w:rPr>
                <w:rFonts w:hint="eastAsia"/>
                <w:color w:val="auto"/>
                <w:sz w:val="24"/>
                <w:highlight w:val="none"/>
                <w:lang w:val="en-US" w:eastAsia="zh-CN"/>
              </w:rPr>
              <w:t>3</w:t>
            </w:r>
            <w:r>
              <w:rPr>
                <w:rFonts w:hint="default"/>
                <w:color w:val="auto"/>
                <w:sz w:val="24"/>
                <w:highlight w:val="none"/>
              </w:rPr>
              <w:t>）</w:t>
            </w:r>
            <w:r>
              <w:rPr>
                <w:rFonts w:hint="default"/>
                <w:color w:val="auto"/>
                <w:sz w:val="24"/>
                <w:szCs w:val="32"/>
                <w:highlight w:val="none"/>
              </w:rPr>
              <w:t>调配后的拉丝油循环使用，</w:t>
            </w:r>
            <w:r>
              <w:rPr>
                <w:rFonts w:hint="eastAsia"/>
                <w:color w:val="auto"/>
                <w:kern w:val="2"/>
                <w:sz w:val="24"/>
                <w:szCs w:val="32"/>
                <w:highlight w:val="none"/>
              </w:rPr>
              <w:t>项目每半年把拉丝油池底部含盐分高的拉丝油抽取，</w:t>
            </w:r>
            <w:r>
              <w:rPr>
                <w:rFonts w:hint="default"/>
                <w:color w:val="auto"/>
                <w:kern w:val="2"/>
                <w:sz w:val="24"/>
                <w:szCs w:val="32"/>
                <w:highlight w:val="none"/>
              </w:rPr>
              <w:t>项目拉丝油废液的产生量为拉丝液用量的1</w:t>
            </w:r>
            <w:r>
              <w:rPr>
                <w:rFonts w:hint="eastAsia"/>
                <w:color w:val="auto"/>
                <w:kern w:val="2"/>
                <w:sz w:val="24"/>
                <w:szCs w:val="32"/>
                <w:highlight w:val="none"/>
                <w:lang w:val="en-US" w:eastAsia="zh-CN"/>
              </w:rPr>
              <w:t>0</w:t>
            </w:r>
            <w:r>
              <w:rPr>
                <w:rFonts w:hint="default"/>
                <w:color w:val="auto"/>
                <w:kern w:val="2"/>
                <w:sz w:val="24"/>
                <w:szCs w:val="32"/>
                <w:highlight w:val="none"/>
              </w:rPr>
              <w:t>%，拉丝油废液产生量为</w:t>
            </w:r>
            <w:r>
              <w:rPr>
                <w:rFonts w:hint="eastAsia"/>
                <w:color w:val="auto"/>
                <w:kern w:val="2"/>
                <w:sz w:val="24"/>
                <w:szCs w:val="32"/>
                <w:highlight w:val="none"/>
                <w:lang w:val="en-US" w:eastAsia="zh-CN"/>
              </w:rPr>
              <w:t>3.8</w:t>
            </w:r>
            <w:r>
              <w:rPr>
                <w:rFonts w:hint="default"/>
                <w:color w:val="auto"/>
                <w:kern w:val="2"/>
                <w:sz w:val="24"/>
                <w:szCs w:val="32"/>
                <w:highlight w:val="none"/>
              </w:rPr>
              <w:t>t/a</w:t>
            </w:r>
            <w:r>
              <w:rPr>
                <w:rFonts w:hint="eastAsia"/>
                <w:color w:val="auto"/>
                <w:kern w:val="2"/>
                <w:sz w:val="24"/>
                <w:szCs w:val="32"/>
                <w:highlight w:val="none"/>
                <w:lang w:eastAsia="zh-CN"/>
              </w:rPr>
              <w:t>、</w:t>
            </w:r>
            <w:r>
              <w:rPr>
                <w:rFonts w:hint="eastAsia"/>
                <w:color w:val="auto"/>
                <w:kern w:val="2"/>
                <w:sz w:val="24"/>
                <w:szCs w:val="32"/>
                <w:highlight w:val="none"/>
                <w:lang w:val="en-US" w:eastAsia="zh-CN"/>
              </w:rPr>
              <w:t>0.013t/d</w:t>
            </w:r>
            <w:r>
              <w:rPr>
                <w:rFonts w:hint="eastAsia"/>
                <w:color w:val="auto"/>
                <w:kern w:val="2"/>
                <w:sz w:val="24"/>
                <w:szCs w:val="32"/>
                <w:highlight w:val="none"/>
              </w:rPr>
              <w:t>（</w:t>
            </w:r>
            <w:r>
              <w:rPr>
                <w:rFonts w:hint="eastAsia"/>
                <w:color w:val="auto"/>
                <w:kern w:val="2"/>
                <w:sz w:val="24"/>
                <w:szCs w:val="32"/>
                <w:highlight w:val="none"/>
                <w:lang w:val="en-US" w:eastAsia="zh-CN"/>
              </w:rPr>
              <w:t>1.9</w:t>
            </w:r>
            <w:r>
              <w:rPr>
                <w:rFonts w:hint="default"/>
                <w:color w:val="auto"/>
                <w:kern w:val="2"/>
                <w:sz w:val="24"/>
                <w:szCs w:val="32"/>
                <w:highlight w:val="none"/>
              </w:rPr>
              <w:t>t/</w:t>
            </w:r>
            <w:r>
              <w:rPr>
                <w:rFonts w:hint="eastAsia"/>
                <w:color w:val="auto"/>
                <w:kern w:val="2"/>
                <w:sz w:val="24"/>
                <w:szCs w:val="32"/>
                <w:highlight w:val="none"/>
              </w:rPr>
              <w:t>次</w:t>
            </w:r>
            <w:r>
              <w:rPr>
                <w:rFonts w:hint="eastAsia"/>
                <w:color w:val="auto"/>
                <w:kern w:val="2"/>
                <w:sz w:val="24"/>
                <w:szCs w:val="32"/>
                <w:highlight w:val="none"/>
                <w:lang w:eastAsia="zh-CN"/>
              </w:rPr>
              <w:t>），</w:t>
            </w:r>
            <w:r>
              <w:rPr>
                <w:rFonts w:hint="eastAsia"/>
                <w:color w:val="auto"/>
                <w:sz w:val="24"/>
                <w:szCs w:val="32"/>
                <w:highlight w:val="none"/>
                <w:lang w:val="en-US" w:eastAsia="zh-CN"/>
              </w:rPr>
              <w:t>其中水为3.42t/a（0.0114t/d），拉丝油为0.38t/a（0.0013t/d），</w:t>
            </w:r>
            <w:r>
              <w:rPr>
                <w:rFonts w:hint="default"/>
                <w:color w:val="auto"/>
                <w:sz w:val="24"/>
                <w:szCs w:val="32"/>
                <w:highlight w:val="none"/>
              </w:rPr>
              <w:t>产生的废拉丝油</w:t>
            </w:r>
            <w:r>
              <w:rPr>
                <w:rFonts w:hint="default"/>
                <w:color w:val="auto"/>
                <w:sz w:val="24"/>
                <w:highlight w:val="none"/>
              </w:rPr>
              <w:t>定期交由有资质单位处置，不外排。</w:t>
            </w:r>
          </w:p>
          <w:p>
            <w:pPr>
              <w:keepNext w:val="0"/>
              <w:keepLines w:val="0"/>
              <w:suppressLineNumbers w:val="0"/>
              <w:spacing w:before="0" w:beforeAutospacing="0" w:after="0" w:afterAutospacing="0" w:line="360" w:lineRule="auto"/>
              <w:ind w:left="0" w:right="0" w:firstLine="480"/>
              <w:rPr>
                <w:rFonts w:hint="default"/>
                <w:color w:val="auto"/>
                <w:sz w:val="24"/>
                <w:szCs w:val="32"/>
                <w:highlight w:val="none"/>
              </w:rPr>
            </w:pPr>
            <w:r>
              <w:rPr>
                <w:rFonts w:hint="eastAsia"/>
                <w:color w:val="auto"/>
                <w:sz w:val="24"/>
                <w:szCs w:val="32"/>
                <w:highlight w:val="none"/>
                <w:lang w:val="en-US" w:eastAsia="zh-CN"/>
              </w:rPr>
              <w:t>4</w:t>
            </w:r>
            <w:r>
              <w:rPr>
                <w:rFonts w:hint="default"/>
                <w:color w:val="auto"/>
                <w:sz w:val="24"/>
                <w:szCs w:val="32"/>
                <w:highlight w:val="none"/>
              </w:rPr>
              <w:t>）喷淋塔用水循环使用，更换废水</w:t>
            </w:r>
            <w:r>
              <w:rPr>
                <w:rFonts w:hint="default" w:ascii="Times New Roman" w:hAnsi="Times New Roman" w:cs="Times New Roman"/>
                <w:color w:val="auto"/>
                <w:sz w:val="24"/>
                <w:szCs w:val="32"/>
                <w:highlight w:val="none"/>
              </w:rPr>
              <w:t>量为3m³/a，</w:t>
            </w:r>
            <w:r>
              <w:rPr>
                <w:rFonts w:hint="default"/>
                <w:color w:val="auto"/>
                <w:sz w:val="24"/>
                <w:szCs w:val="32"/>
                <w:highlight w:val="none"/>
              </w:rPr>
              <w:t>定期交由有资质单位</w:t>
            </w:r>
            <w:r>
              <w:rPr>
                <w:rFonts w:hint="eastAsia"/>
                <w:color w:val="auto"/>
                <w:sz w:val="24"/>
                <w:szCs w:val="32"/>
                <w:highlight w:val="none"/>
                <w:lang w:val="en-US" w:eastAsia="zh-CN"/>
              </w:rPr>
              <w:t>处置</w:t>
            </w:r>
            <w:r>
              <w:rPr>
                <w:rFonts w:hint="default"/>
                <w:color w:val="auto"/>
                <w:sz w:val="24"/>
                <w:szCs w:val="32"/>
                <w:highlight w:val="none"/>
              </w:rPr>
              <w:t>，不外排。</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eastAsia"/>
                <w:color w:val="auto"/>
                <w:sz w:val="24"/>
                <w:szCs w:val="32"/>
                <w:highlight w:val="none"/>
                <w:lang w:val="en-US" w:eastAsia="zh-CN"/>
              </w:rPr>
              <w:t>5</w:t>
            </w:r>
            <w:r>
              <w:rPr>
                <w:rFonts w:hint="default"/>
                <w:color w:val="auto"/>
                <w:sz w:val="24"/>
                <w:szCs w:val="32"/>
                <w:highlight w:val="none"/>
              </w:rPr>
              <w:t>）冷却塔</w:t>
            </w:r>
            <w:r>
              <w:rPr>
                <w:rFonts w:hint="default"/>
                <w:color w:val="auto"/>
                <w:sz w:val="24"/>
                <w:highlight w:val="none"/>
              </w:rPr>
              <w:t>间接冷却水循环使用，不外排。</w:t>
            </w:r>
          </w:p>
          <w:p>
            <w:pPr>
              <w:keepNext w:val="0"/>
              <w:keepLines w:val="0"/>
              <w:suppressLineNumbers w:val="0"/>
              <w:tabs>
                <w:tab w:val="left" w:pos="9210"/>
              </w:tabs>
              <w:spacing w:before="0" w:beforeAutospacing="0" w:after="0" w:afterAutospacing="0" w:line="360" w:lineRule="auto"/>
              <w:ind w:left="0" w:right="0" w:firstLine="480"/>
              <w:rPr>
                <w:rFonts w:hint="default"/>
                <w:bCs/>
                <w:color w:val="auto"/>
                <w:sz w:val="24"/>
                <w:szCs w:val="24"/>
                <w:highlight w:val="none"/>
              </w:rPr>
            </w:pPr>
            <w:r>
              <w:rPr>
                <w:rFonts w:hint="eastAsia"/>
                <w:color w:val="auto"/>
                <w:sz w:val="24"/>
                <w:highlight w:val="none"/>
                <w:lang w:val="en-US" w:eastAsia="zh-CN"/>
              </w:rPr>
              <w:t>6</w:t>
            </w:r>
            <w:r>
              <w:rPr>
                <w:rFonts w:hint="default"/>
                <w:color w:val="auto"/>
                <w:sz w:val="24"/>
                <w:highlight w:val="none"/>
              </w:rPr>
              <w:t>）生活污水：生活污水排放系数按80%计，项目生活污水排放量为240m</w:t>
            </w:r>
            <w:r>
              <w:rPr>
                <w:rFonts w:hint="default"/>
                <w:color w:val="auto"/>
                <w:sz w:val="24"/>
                <w:highlight w:val="none"/>
                <w:vertAlign w:val="superscript"/>
              </w:rPr>
              <w:t>3</w:t>
            </w:r>
            <w:r>
              <w:rPr>
                <w:rFonts w:hint="default"/>
                <w:color w:val="auto"/>
                <w:sz w:val="24"/>
                <w:highlight w:val="none"/>
              </w:rPr>
              <w:t>/a（0.8m</w:t>
            </w:r>
            <w:r>
              <w:rPr>
                <w:rFonts w:hint="default"/>
                <w:color w:val="auto"/>
                <w:sz w:val="24"/>
                <w:highlight w:val="none"/>
                <w:vertAlign w:val="superscript"/>
              </w:rPr>
              <w:t>3</w:t>
            </w:r>
            <w:r>
              <w:rPr>
                <w:rFonts w:hint="default"/>
                <w:color w:val="auto"/>
                <w:sz w:val="24"/>
                <w:highlight w:val="none"/>
              </w:rPr>
              <w:t>/d）。生活污水经</w:t>
            </w:r>
            <w:r>
              <w:rPr>
                <w:rFonts w:hint="eastAsia"/>
                <w:color w:val="auto"/>
                <w:sz w:val="24"/>
                <w:highlight w:val="none"/>
              </w:rPr>
              <w:t>三级</w:t>
            </w:r>
            <w:r>
              <w:rPr>
                <w:rFonts w:hint="default"/>
                <w:color w:val="auto"/>
                <w:sz w:val="24"/>
                <w:highlight w:val="none"/>
              </w:rPr>
              <w:t>化粪池预处理后经市政污水管网引至杨侨镇生活污水处理厂进行进一步处理，处理达标后排入南蛇沥。</w:t>
            </w:r>
            <w:r>
              <w:rPr>
                <w:rFonts w:hint="default"/>
                <w:bCs/>
                <w:color w:val="auto"/>
                <w:sz w:val="24"/>
                <w:szCs w:val="24"/>
                <w:highlight w:val="none"/>
              </w:rPr>
              <w:t>项目水平衡情况见下图。</w:t>
            </w:r>
          </w:p>
          <w:p>
            <w:pPr>
              <w:pStyle w:val="2"/>
              <w:keepNext w:val="0"/>
              <w:keepLines w:val="0"/>
              <w:suppressLineNumbers w:val="0"/>
              <w:spacing w:before="0" w:beforeAutospacing="0" w:after="0" w:afterAutospacing="0"/>
              <w:ind w:left="0" w:right="0" w:firstLine="0" w:firstLineChars="0"/>
              <w:jc w:val="center"/>
              <w:rPr>
                <w:rFonts w:hint="default" w:ascii="Times New Roman" w:cs="Times New Roman"/>
                <w:b/>
                <w:bCs/>
                <w:color w:val="auto"/>
                <w:kern w:val="2"/>
                <w:highlight w:val="none"/>
              </w:rPr>
            </w:pPr>
            <w:r>
              <w:rPr>
                <w:rFonts w:hint="default" w:ascii="Times New Roman" w:cs="Times New Roman"/>
                <w:b/>
                <w:bCs/>
                <w:color w:val="auto"/>
                <w:highlight w:val="none"/>
              </w:rPr>
              <w:object>
                <v:shape id="_x0000_i1025" o:spt="75" type="#_x0000_t75" style="height:347.85pt;width:438.3pt;" o:ole="t" filled="f" o:preferrelative="t" stroked="f" coordsize="21600,21600">
                  <v:path/>
                  <v:fill on="f" focussize="0,0"/>
                  <v:stroke on="f"/>
                  <v:imagedata r:id="rId22" o:title=""/>
                  <o:lock v:ext="edit" aspectratio="f"/>
                  <w10:wrap type="none"/>
                  <w10:anchorlock/>
                </v:shape>
                <o:OLEObject Type="Embed" ProgID="Visio.Drawing.15" ShapeID="_x0000_i1025" DrawAspect="Content" ObjectID="_1468075725" r:id="rId21">
                  <o:LockedField>false</o:LockedField>
                </o:OLEObject>
              </w:object>
            </w:r>
            <w:r>
              <w:rPr>
                <w:rFonts w:hint="default" w:ascii="Times New Roman" w:cs="Times New Roman"/>
                <w:b/>
                <w:bCs/>
                <w:color w:val="auto"/>
                <w:highlight w:val="none"/>
              </w:rPr>
              <w:t>图2-1  项目水平衡图  单位：m</w:t>
            </w:r>
            <w:r>
              <w:rPr>
                <w:rFonts w:hint="default" w:ascii="Times New Roman" w:cs="Times New Roman"/>
                <w:b/>
                <w:bCs/>
                <w:color w:val="auto"/>
                <w:highlight w:val="none"/>
                <w:vertAlign w:val="superscript"/>
              </w:rPr>
              <w:t>3</w:t>
            </w:r>
            <w:r>
              <w:rPr>
                <w:rFonts w:hint="default" w:ascii="Times New Roman" w:cs="Times New Roman"/>
                <w:b/>
                <w:bCs/>
                <w:color w:val="auto"/>
                <w:highlight w:val="none"/>
              </w:rPr>
              <w:t>/d</w:t>
            </w:r>
          </w:p>
          <w:p>
            <w:pPr>
              <w:keepNext w:val="0"/>
              <w:keepLines w:val="0"/>
              <w:suppressLineNumbers w:val="0"/>
              <w:spacing w:before="0" w:beforeAutospacing="0" w:after="0" w:afterAutospacing="0" w:line="360" w:lineRule="auto"/>
              <w:ind w:left="0" w:right="0" w:firstLine="482"/>
              <w:rPr>
                <w:rFonts w:hint="default"/>
                <w:color w:val="auto"/>
                <w:sz w:val="24"/>
                <w:highlight w:val="none"/>
              </w:rPr>
            </w:pPr>
            <w:r>
              <w:rPr>
                <w:rFonts w:hint="default"/>
                <w:b/>
                <w:color w:val="auto"/>
                <w:sz w:val="24"/>
                <w:highlight w:val="none"/>
                <w:lang w:bidi="ar"/>
              </w:rPr>
              <w:t>7、项目能耗情况</w:t>
            </w:r>
          </w:p>
          <w:p>
            <w:pPr>
              <w:keepNext w:val="0"/>
              <w:keepLines w:val="0"/>
              <w:suppressLineNumbers w:val="0"/>
              <w:spacing w:before="0" w:beforeAutospacing="0" w:after="0" w:afterAutospacing="0" w:line="360" w:lineRule="auto"/>
              <w:ind w:left="0" w:right="0" w:firstLine="480"/>
              <w:rPr>
                <w:rFonts w:hint="default"/>
                <w:color w:val="auto"/>
                <w:sz w:val="24"/>
                <w:highlight w:val="none"/>
                <w:lang w:bidi="ar"/>
              </w:rPr>
            </w:pPr>
            <w:r>
              <w:rPr>
                <w:rFonts w:hint="default"/>
                <w:color w:val="auto"/>
                <w:sz w:val="24"/>
                <w:highlight w:val="none"/>
                <w:lang w:bidi="ar"/>
              </w:rPr>
              <w:t>项目用电由当地供电局统一供应，主要用于照明、设备运行等，不设备用发电机。项目用电量约为300万kW·h/a。</w:t>
            </w:r>
          </w:p>
          <w:p>
            <w:pPr>
              <w:keepNext w:val="0"/>
              <w:keepLines w:val="0"/>
              <w:suppressLineNumbers w:val="0"/>
              <w:spacing w:before="0" w:beforeAutospacing="0" w:after="0" w:afterAutospacing="0" w:line="360" w:lineRule="auto"/>
              <w:ind w:left="0" w:right="0" w:firstLine="482"/>
              <w:rPr>
                <w:rFonts w:hint="default"/>
                <w:b/>
                <w:color w:val="auto"/>
                <w:sz w:val="24"/>
                <w:highlight w:val="none"/>
              </w:rPr>
            </w:pPr>
            <w:r>
              <w:rPr>
                <w:rFonts w:hint="default"/>
                <w:b/>
                <w:bCs/>
                <w:color w:val="auto"/>
                <w:sz w:val="24"/>
                <w:highlight w:val="none"/>
              </w:rPr>
              <w:t>8、</w:t>
            </w:r>
            <w:r>
              <w:rPr>
                <w:rFonts w:hint="default"/>
                <w:b/>
                <w:color w:val="auto"/>
                <w:sz w:val="24"/>
                <w:highlight w:val="none"/>
                <w:lang w:bidi="ar"/>
              </w:rPr>
              <w:t>项目工作制度及劳动定员</w:t>
            </w:r>
          </w:p>
          <w:p>
            <w:pPr>
              <w:keepNext w:val="0"/>
              <w:keepLines w:val="0"/>
              <w:suppressLineNumbers w:val="0"/>
              <w:spacing w:before="0" w:beforeAutospacing="0" w:after="0" w:afterAutospacing="0" w:line="360" w:lineRule="auto"/>
              <w:ind w:left="0" w:right="0" w:firstLine="480"/>
              <w:rPr>
                <w:rFonts w:hint="default"/>
                <w:color w:val="auto"/>
                <w:sz w:val="24"/>
                <w:highlight w:val="none"/>
                <w:lang w:bidi="ar"/>
              </w:rPr>
            </w:pPr>
            <w:r>
              <w:rPr>
                <w:rFonts w:hint="default"/>
                <w:color w:val="auto"/>
                <w:sz w:val="24"/>
                <w:highlight w:val="none"/>
                <w:lang w:bidi="ar"/>
              </w:rPr>
              <w:t>项目员工人数为30人，</w:t>
            </w:r>
            <w:r>
              <w:rPr>
                <w:rFonts w:hint="default"/>
                <w:color w:val="auto"/>
                <w:sz w:val="24"/>
                <w:highlight w:val="none"/>
              </w:rPr>
              <w:t>不在项目内食宿，全年工作300天，每天两班，每班11小时</w:t>
            </w:r>
            <w:r>
              <w:rPr>
                <w:rFonts w:hint="eastAsia"/>
                <w:color w:val="auto"/>
                <w:sz w:val="24"/>
                <w:szCs w:val="24"/>
                <w:highlight w:val="none"/>
                <w:lang w:eastAsia="zh-CN"/>
              </w:rPr>
              <w:t>（</w:t>
            </w:r>
            <w:r>
              <w:rPr>
                <w:rFonts w:hint="eastAsia"/>
                <w:color w:val="auto"/>
                <w:sz w:val="24"/>
                <w:szCs w:val="24"/>
                <w:highlight w:val="none"/>
                <w:lang w:val="en-US" w:eastAsia="zh-CN"/>
              </w:rPr>
              <w:t>7</w:t>
            </w:r>
            <w:r>
              <w:rPr>
                <w:rFonts w:hint="eastAsia"/>
                <w:color w:val="auto"/>
                <w:sz w:val="24"/>
                <w:szCs w:val="24"/>
                <w:highlight w:val="none"/>
              </w:rPr>
              <w:t>:00~1</w:t>
            </w:r>
            <w:r>
              <w:rPr>
                <w:rFonts w:hint="default"/>
                <w:color w:val="auto"/>
                <w:sz w:val="24"/>
                <w:szCs w:val="24"/>
                <w:highlight w:val="none"/>
              </w:rPr>
              <w:t>8</w:t>
            </w:r>
            <w:r>
              <w:rPr>
                <w:rFonts w:hint="eastAsia"/>
                <w:color w:val="auto"/>
                <w:sz w:val="24"/>
                <w:szCs w:val="24"/>
                <w:highlight w:val="none"/>
              </w:rPr>
              <w:t>:00、1</w:t>
            </w:r>
            <w:r>
              <w:rPr>
                <w:rFonts w:hint="default"/>
                <w:color w:val="auto"/>
                <w:sz w:val="24"/>
                <w:szCs w:val="24"/>
                <w:highlight w:val="none"/>
              </w:rPr>
              <w:t>9</w:t>
            </w:r>
            <w:r>
              <w:rPr>
                <w:rFonts w:hint="eastAsia"/>
                <w:color w:val="auto"/>
                <w:sz w:val="24"/>
                <w:szCs w:val="24"/>
                <w:highlight w:val="none"/>
              </w:rPr>
              <w:t>:00~</w:t>
            </w:r>
            <w:r>
              <w:rPr>
                <w:rFonts w:hint="eastAsia"/>
                <w:color w:val="auto"/>
                <w:sz w:val="24"/>
                <w:szCs w:val="24"/>
                <w:highlight w:val="none"/>
                <w:lang w:val="en-US" w:eastAsia="zh-CN"/>
              </w:rPr>
              <w:t>6</w:t>
            </w:r>
            <w:r>
              <w:rPr>
                <w:rFonts w:hint="eastAsia"/>
                <w:color w:val="auto"/>
                <w:sz w:val="24"/>
                <w:szCs w:val="24"/>
                <w:highlight w:val="none"/>
              </w:rPr>
              <w:t>:00）</w:t>
            </w:r>
            <w:r>
              <w:rPr>
                <w:rFonts w:hint="default"/>
                <w:color w:val="auto"/>
                <w:sz w:val="24"/>
                <w:szCs w:val="24"/>
                <w:highlight w:val="none"/>
              </w:rPr>
              <w:t>。</w:t>
            </w:r>
          </w:p>
          <w:p>
            <w:pPr>
              <w:keepNext w:val="0"/>
              <w:keepLines w:val="0"/>
              <w:suppressLineNumbers w:val="0"/>
              <w:spacing w:before="0" w:beforeAutospacing="0" w:after="0" w:afterAutospacing="0" w:line="360" w:lineRule="auto"/>
              <w:ind w:left="0" w:right="0" w:firstLine="482"/>
              <w:rPr>
                <w:rFonts w:hint="default"/>
                <w:b/>
                <w:snapToGrid w:val="0"/>
                <w:color w:val="auto"/>
                <w:sz w:val="24"/>
                <w:highlight w:val="none"/>
              </w:rPr>
            </w:pPr>
            <w:r>
              <w:rPr>
                <w:rFonts w:hint="default"/>
                <w:b/>
                <w:bCs/>
                <w:color w:val="auto"/>
                <w:sz w:val="24"/>
                <w:highlight w:val="none"/>
              </w:rPr>
              <w:t>9、</w:t>
            </w:r>
            <w:r>
              <w:rPr>
                <w:rFonts w:hint="default"/>
                <w:b/>
                <w:snapToGrid w:val="0"/>
                <w:color w:val="auto"/>
                <w:sz w:val="24"/>
                <w:highlight w:val="none"/>
              </w:rPr>
              <w:t>四至关系情况</w:t>
            </w:r>
          </w:p>
          <w:p>
            <w:pPr>
              <w:keepNext w:val="0"/>
              <w:keepLines w:val="0"/>
              <w:suppressLineNumbers w:val="0"/>
              <w:spacing w:before="0" w:beforeAutospacing="0" w:after="0" w:afterAutospacing="0" w:line="360" w:lineRule="auto"/>
              <w:ind w:left="0" w:right="0"/>
              <w:rPr>
                <w:rFonts w:hint="default"/>
                <w:color w:val="auto"/>
                <w:highlight w:val="none"/>
              </w:rPr>
            </w:pPr>
            <w:r>
              <w:rPr>
                <w:rFonts w:hint="default"/>
                <w:color w:val="auto"/>
                <w:spacing w:val="-2"/>
                <w:sz w:val="24"/>
                <w:highlight w:val="none"/>
                <w:lang w:bidi="ar"/>
              </w:rPr>
              <w:t>惠州市铜鑫新材料科技</w:t>
            </w:r>
            <w:r>
              <w:rPr>
                <w:rFonts w:hint="default"/>
                <w:bCs/>
                <w:color w:val="auto"/>
                <w:sz w:val="24"/>
                <w:szCs w:val="24"/>
                <w:highlight w:val="none"/>
              </w:rPr>
              <w:t>有限公司位于广东省惠州市博罗县杨侨镇双杨路万洋众创城A12栋1楼</w:t>
            </w:r>
            <w:r>
              <w:rPr>
                <w:rFonts w:hint="eastAsia"/>
                <w:color w:val="auto"/>
                <w:spacing w:val="-2"/>
                <w:sz w:val="24"/>
                <w:highlight w:val="none"/>
                <w:lang w:bidi="ar"/>
              </w:rPr>
              <w:t>。A12栋2~5楼为</w:t>
            </w:r>
            <w:r>
              <w:rPr>
                <w:rFonts w:hint="default"/>
                <w:color w:val="auto"/>
                <w:spacing w:val="-2"/>
                <w:sz w:val="24"/>
                <w:szCs w:val="24"/>
                <w:highlight w:val="none"/>
                <w:lang w:bidi="ar"/>
              </w:rPr>
              <w:t>广东省柏斯泰高科技有限公司</w:t>
            </w:r>
            <w:r>
              <w:rPr>
                <w:rFonts w:hint="eastAsia"/>
                <w:color w:val="auto"/>
                <w:spacing w:val="-2"/>
                <w:sz w:val="24"/>
                <w:szCs w:val="24"/>
                <w:highlight w:val="none"/>
                <w:lang w:bidi="ar"/>
              </w:rPr>
              <w:t>。</w:t>
            </w:r>
            <w:r>
              <w:rPr>
                <w:rFonts w:hint="default"/>
                <w:color w:val="auto"/>
                <w:spacing w:val="-2"/>
                <w:sz w:val="24"/>
                <w:highlight w:val="none"/>
                <w:lang w:bidi="ar"/>
              </w:rPr>
              <w:t>项目东面</w:t>
            </w:r>
            <w:r>
              <w:rPr>
                <w:rFonts w:hint="eastAsia"/>
                <w:color w:val="auto"/>
                <w:spacing w:val="-2"/>
                <w:sz w:val="24"/>
                <w:highlight w:val="none"/>
                <w:lang w:bidi="ar"/>
              </w:rPr>
              <w:t>10m</w:t>
            </w:r>
            <w:r>
              <w:rPr>
                <w:rFonts w:hint="default"/>
                <w:color w:val="auto"/>
                <w:spacing w:val="-2"/>
                <w:sz w:val="24"/>
                <w:highlight w:val="none"/>
                <w:lang w:bidi="ar"/>
              </w:rPr>
              <w:t>为园区A9栋厂房，北面</w:t>
            </w:r>
            <w:r>
              <w:rPr>
                <w:rFonts w:hint="eastAsia"/>
                <w:color w:val="auto"/>
                <w:spacing w:val="-2"/>
                <w:sz w:val="24"/>
                <w:highlight w:val="none"/>
                <w:lang w:bidi="ar"/>
              </w:rPr>
              <w:t>10m</w:t>
            </w:r>
            <w:r>
              <w:rPr>
                <w:rFonts w:hint="default"/>
                <w:color w:val="auto"/>
                <w:spacing w:val="-2"/>
                <w:sz w:val="24"/>
                <w:highlight w:val="none"/>
                <w:lang w:bidi="ar"/>
              </w:rPr>
              <w:t>为园区内A10-11栋厂房，西面</w:t>
            </w:r>
            <w:r>
              <w:rPr>
                <w:rFonts w:hint="eastAsia"/>
                <w:color w:val="auto"/>
                <w:spacing w:val="-2"/>
                <w:sz w:val="24"/>
                <w:highlight w:val="none"/>
                <w:lang w:bidi="ar"/>
              </w:rPr>
              <w:t>40m</w:t>
            </w:r>
            <w:r>
              <w:rPr>
                <w:rFonts w:hint="default"/>
                <w:color w:val="auto"/>
                <w:spacing w:val="-2"/>
                <w:sz w:val="24"/>
                <w:highlight w:val="none"/>
                <w:lang w:bidi="ar"/>
              </w:rPr>
              <w:t>为惠州市久盟电子公司，南面</w:t>
            </w:r>
            <w:r>
              <w:rPr>
                <w:rFonts w:hint="eastAsia"/>
                <w:color w:val="auto"/>
                <w:spacing w:val="-2"/>
                <w:sz w:val="24"/>
                <w:highlight w:val="none"/>
                <w:lang w:bidi="ar"/>
              </w:rPr>
              <w:t>20m</w:t>
            </w:r>
            <w:r>
              <w:rPr>
                <w:rFonts w:hint="default"/>
                <w:color w:val="auto"/>
                <w:spacing w:val="-2"/>
                <w:sz w:val="24"/>
                <w:highlight w:val="none"/>
                <w:lang w:bidi="ar"/>
              </w:rPr>
              <w:t>为</w:t>
            </w:r>
            <w:r>
              <w:rPr>
                <w:rFonts w:hint="eastAsia"/>
                <w:color w:val="auto"/>
                <w:spacing w:val="-2"/>
                <w:sz w:val="24"/>
                <w:highlight w:val="none"/>
                <w:lang w:bidi="ar"/>
              </w:rPr>
              <w:t>惠州市</w:t>
            </w:r>
            <w:r>
              <w:rPr>
                <w:rFonts w:hint="default"/>
                <w:color w:val="auto"/>
                <w:spacing w:val="-2"/>
                <w:sz w:val="24"/>
                <w:highlight w:val="none"/>
                <w:lang w:bidi="ar"/>
              </w:rPr>
              <w:t>深宏包装材料有限公司。</w:t>
            </w:r>
          </w:p>
          <w:p>
            <w:pPr>
              <w:keepNext w:val="0"/>
              <w:keepLines w:val="0"/>
              <w:suppressLineNumbers w:val="0"/>
              <w:adjustRightInd w:val="0"/>
              <w:snapToGrid w:val="0"/>
              <w:spacing w:before="0" w:beforeAutospacing="0" w:after="0" w:afterAutospacing="0" w:line="360" w:lineRule="auto"/>
              <w:ind w:left="0" w:right="0" w:firstLine="482"/>
              <w:rPr>
                <w:rFonts w:hint="default"/>
                <w:b/>
                <w:bCs/>
                <w:snapToGrid w:val="0"/>
                <w:color w:val="auto"/>
                <w:sz w:val="24"/>
                <w:highlight w:val="none"/>
              </w:rPr>
            </w:pPr>
            <w:r>
              <w:rPr>
                <w:rFonts w:hint="default"/>
                <w:b/>
                <w:bCs/>
                <w:snapToGrid w:val="0"/>
                <w:color w:val="auto"/>
                <w:sz w:val="24"/>
                <w:highlight w:val="none"/>
              </w:rPr>
              <w:t>10、项目平面布置情况</w:t>
            </w:r>
          </w:p>
          <w:p>
            <w:pPr>
              <w:keepNext w:val="0"/>
              <w:keepLines w:val="0"/>
              <w:widowControl/>
              <w:suppressLineNumbers w:val="0"/>
              <w:spacing w:before="0" w:beforeAutospacing="0" w:after="0" w:afterAutospacing="0" w:line="360" w:lineRule="auto"/>
              <w:ind w:left="0" w:right="0" w:firstLine="472"/>
              <w:rPr>
                <w:rFonts w:hint="default"/>
                <w:color w:val="auto"/>
                <w:spacing w:val="-2"/>
                <w:sz w:val="24"/>
                <w:highlight w:val="none"/>
                <w:lang w:bidi="ar"/>
              </w:rPr>
            </w:pPr>
            <w:r>
              <w:rPr>
                <w:rFonts w:hint="default"/>
                <w:color w:val="auto"/>
                <w:spacing w:val="-2"/>
                <w:sz w:val="24"/>
                <w:highlight w:val="none"/>
                <w:lang w:bidi="ar"/>
              </w:rPr>
              <w:t>生产车间包括大拉丝区、中拉丝区、小拉丝区、退火区和</w:t>
            </w:r>
            <w:r>
              <w:rPr>
                <w:rFonts w:hint="eastAsia"/>
                <w:color w:val="auto"/>
                <w:spacing w:val="-2"/>
                <w:sz w:val="24"/>
                <w:highlight w:val="none"/>
                <w:lang w:val="en-US" w:eastAsia="zh-CN" w:bidi="ar"/>
              </w:rPr>
              <w:t>热浸锡</w:t>
            </w:r>
            <w:r>
              <w:rPr>
                <w:rFonts w:hint="default"/>
                <w:color w:val="auto"/>
                <w:spacing w:val="-2"/>
                <w:sz w:val="24"/>
                <w:highlight w:val="none"/>
                <w:lang w:bidi="ar"/>
              </w:rPr>
              <w:t>区；办公区、原料仓库和成品仓库，危废暂存间和</w:t>
            </w:r>
            <w:r>
              <w:rPr>
                <w:rFonts w:hint="eastAsia"/>
                <w:color w:val="auto"/>
                <w:spacing w:val="-2"/>
                <w:sz w:val="24"/>
                <w:highlight w:val="none"/>
                <w:lang w:bidi="ar"/>
              </w:rPr>
              <w:t>一般固废间</w:t>
            </w:r>
            <w:r>
              <w:rPr>
                <w:rFonts w:hint="default"/>
                <w:color w:val="auto"/>
                <w:spacing w:val="-2"/>
                <w:sz w:val="24"/>
                <w:highlight w:val="none"/>
                <w:lang w:bidi="ar"/>
              </w:rPr>
              <w:t>。</w:t>
            </w:r>
          </w:p>
          <w:p>
            <w:pPr>
              <w:keepNext w:val="0"/>
              <w:keepLines w:val="0"/>
              <w:widowControl/>
              <w:suppressLineNumbers w:val="0"/>
              <w:spacing w:before="0" w:beforeAutospacing="0" w:after="0" w:afterAutospacing="0" w:line="360" w:lineRule="auto"/>
              <w:ind w:left="0" w:right="0" w:firstLine="472"/>
              <w:rPr>
                <w:rFonts w:hint="default"/>
                <w:color w:val="auto"/>
                <w:sz w:val="24"/>
                <w:szCs w:val="24"/>
                <w:highlight w:val="none"/>
              </w:rPr>
            </w:pPr>
            <w:r>
              <w:rPr>
                <w:rFonts w:hint="default"/>
                <w:color w:val="auto"/>
                <w:spacing w:val="-2"/>
                <w:sz w:val="24"/>
                <w:highlight w:val="none"/>
                <w:lang w:bidi="ar"/>
              </w:rPr>
              <w:t>生产车间呈“7”字型，车间东北面为大拉丝区和物料暂存区，车间东南面为中拉丝区、退火区和小拉区，车间西南面为</w:t>
            </w:r>
            <w:r>
              <w:rPr>
                <w:rFonts w:hint="eastAsia"/>
                <w:color w:val="auto"/>
                <w:spacing w:val="-2"/>
                <w:sz w:val="24"/>
                <w:highlight w:val="none"/>
                <w:lang w:bidi="ar"/>
              </w:rPr>
              <w:t>一般固废间</w:t>
            </w:r>
            <w:r>
              <w:rPr>
                <w:rFonts w:hint="default"/>
                <w:color w:val="auto"/>
                <w:spacing w:val="-2"/>
                <w:sz w:val="24"/>
                <w:highlight w:val="none"/>
                <w:lang w:bidi="ar"/>
              </w:rPr>
              <w:t>、危废间，车间西北面为锡炉、成品仓库、原料仓库和办公室。项目生产功能区分区明确，布局合理，总平面布置做到了人流物流分流、方便生产和办公。</w:t>
            </w:r>
          </w:p>
          <w:p>
            <w:pPr>
              <w:keepNext w:val="0"/>
              <w:keepLines w:val="0"/>
              <w:widowControl/>
              <w:suppressLineNumbers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项目平面布置图见附图2。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32" w:hRule="atLeast"/>
          <w:jc w:val="center"/>
        </w:trPr>
        <w:tc>
          <w:tcPr>
            <w:tcW w:w="595"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工艺流程和产排污环节</w:t>
            </w:r>
          </w:p>
        </w:tc>
        <w:tc>
          <w:tcPr>
            <w:tcW w:w="8419" w:type="dxa"/>
          </w:tcPr>
          <w:p>
            <w:pPr>
              <w:pStyle w:val="73"/>
              <w:keepNext w:val="0"/>
              <w:keepLines w:val="0"/>
              <w:suppressLineNumbers w:val="0"/>
              <w:spacing w:before="156" w:beforeAutospacing="0" w:after="0" w:afterAutospacing="0"/>
              <w:ind w:left="0" w:right="0" w:firstLine="482" w:firstLineChars="200"/>
              <w:jc w:val="both"/>
              <w:rPr>
                <w:rFonts w:hint="default" w:ascii="Times New Roman" w:hAnsi="Times New Roman" w:eastAsia="宋体" w:cs="Times New Roman"/>
                <w:b/>
                <w:bCs/>
                <w:color w:val="auto"/>
                <w:highlight w:val="none"/>
              </w:rPr>
            </w:pPr>
            <w:bookmarkStart w:id="1" w:name="_MON_1687958930"/>
            <w:bookmarkEnd w:id="1"/>
            <w:r>
              <w:rPr>
                <w:rFonts w:hint="default" w:ascii="Times New Roman" w:hAnsi="Times New Roman" w:eastAsia="宋体" w:cs="Times New Roman"/>
                <w:b/>
                <w:bCs/>
                <w:color w:val="auto"/>
                <w:highlight w:val="none"/>
              </w:rPr>
              <w:t>裸铜线生</w:t>
            </w:r>
            <w:r>
              <w:rPr>
                <w:rFonts w:hint="eastAsia" w:ascii="Times New Roman" w:hAnsi="Times New Roman" w:eastAsia="宋体" w:cs="Times New Roman"/>
                <w:b/>
                <w:bCs/>
                <w:color w:val="auto"/>
                <w:highlight w:val="none"/>
              </w:rPr>
              <w:t>产</w:t>
            </w:r>
            <w:r>
              <w:rPr>
                <w:rFonts w:hint="default" w:ascii="Times New Roman" w:hAnsi="Times New Roman" w:eastAsia="宋体" w:cs="Times New Roman"/>
                <w:b/>
                <w:bCs/>
                <w:color w:val="auto"/>
                <w:highlight w:val="none"/>
              </w:rPr>
              <w:t>工艺流程图如下：</w:t>
            </w:r>
          </w:p>
          <w:p>
            <w:pPr>
              <w:pStyle w:val="73"/>
              <w:keepNext w:val="0"/>
              <w:keepLines w:val="0"/>
              <w:suppressLineNumbers w:val="0"/>
              <w:spacing w:before="156"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object>
                <v:shape id="_x0000_i1026" o:spt="75" type="#_x0000_t75" style="height:294.5pt;width:438.4pt;" o:ole="t" filled="f" o:preferrelative="t" stroked="f" coordsize="21600,21600">
                  <v:path/>
                  <v:fill on="f" focussize="0,0"/>
                  <v:stroke on="f"/>
                  <v:imagedata r:id="rId24" o:title=""/>
                  <o:lock v:ext="edit" aspectratio="f"/>
                  <w10:wrap type="none"/>
                  <w10:anchorlock/>
                </v:shape>
                <o:OLEObject Type="Embed" ProgID="Visio.Drawing.15" ShapeID="_x0000_i1026" DrawAspect="Content" ObjectID="_1468075726" r:id="rId23">
                  <o:LockedField>false</o:LockedField>
                </o:OLEObject>
              </w:object>
            </w:r>
            <w:r>
              <w:rPr>
                <w:rFonts w:hint="default" w:ascii="Times New Roman" w:hAnsi="Times New Roman" w:eastAsia="宋体" w:cs="Times New Roman"/>
                <w:b/>
                <w:bCs/>
                <w:color w:val="auto"/>
                <w:highlight w:val="none"/>
              </w:rPr>
              <w:t>图2-2  裸铜线生</w:t>
            </w:r>
            <w:r>
              <w:rPr>
                <w:rFonts w:hint="eastAsia" w:ascii="Times New Roman" w:hAnsi="Times New Roman" w:eastAsia="宋体" w:cs="Times New Roman"/>
                <w:b/>
                <w:bCs/>
                <w:color w:val="auto"/>
                <w:highlight w:val="none"/>
              </w:rPr>
              <w:t>产</w:t>
            </w:r>
            <w:r>
              <w:rPr>
                <w:rFonts w:hint="default" w:ascii="Times New Roman" w:hAnsi="Times New Roman" w:eastAsia="宋体" w:cs="Times New Roman"/>
                <w:b/>
                <w:bCs/>
                <w:color w:val="auto"/>
                <w:highlight w:val="none"/>
              </w:rPr>
              <w:t>工艺流程图</w:t>
            </w:r>
            <w:bookmarkStart w:id="2" w:name="_MON_1688557751"/>
            <w:bookmarkEnd w:id="2"/>
          </w:p>
          <w:p>
            <w:pPr>
              <w:keepNext w:val="0"/>
              <w:keepLines w:val="0"/>
              <w:suppressLineNumbers w:val="0"/>
              <w:adjustRightInd w:val="0"/>
              <w:snapToGrid w:val="0"/>
              <w:spacing w:before="0" w:beforeAutospacing="0" w:after="0" w:afterAutospacing="0" w:line="360" w:lineRule="auto"/>
              <w:ind w:left="0" w:right="0" w:firstLine="482"/>
              <w:rPr>
                <w:rFonts w:hint="default"/>
                <w:b/>
                <w:bCs/>
                <w:color w:val="auto"/>
                <w:sz w:val="24"/>
                <w:highlight w:val="none"/>
                <w:lang w:bidi="ar"/>
              </w:rPr>
            </w:pPr>
            <w:r>
              <w:rPr>
                <w:rFonts w:hint="eastAsia"/>
                <w:b/>
                <w:bCs/>
                <w:color w:val="auto"/>
                <w:sz w:val="24"/>
                <w:highlight w:val="none"/>
                <w:lang w:bidi="ar"/>
              </w:rPr>
              <w:t>裸铜线生产工艺说明：</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textAlignment w:val="auto"/>
              <w:rPr>
                <w:rFonts w:hint="default"/>
                <w:color w:val="auto"/>
                <w:sz w:val="24"/>
                <w:highlight w:val="none"/>
              </w:rPr>
            </w:pPr>
            <w:r>
              <w:rPr>
                <w:rFonts w:hint="default"/>
                <w:b/>
                <w:bCs/>
                <w:color w:val="auto"/>
                <w:sz w:val="24"/>
                <w:highlight w:val="none"/>
              </w:rPr>
              <w:t>1）大拉丝、中拉丝、小拉丝：</w:t>
            </w:r>
            <w:r>
              <w:rPr>
                <w:rFonts w:hint="default"/>
                <w:color w:val="auto"/>
                <w:sz w:val="24"/>
                <w:highlight w:val="none"/>
              </w:rPr>
              <w:t>拉丝工序主要使用不同规格的拉丝机，将粗铜线经牵引装置牵引通过拉丝机中的模具，使粗铜线横截面积减少，逐渐拉制成所需尺寸的细线。</w:t>
            </w:r>
            <w:r>
              <w:rPr>
                <w:rFonts w:hint="eastAsia"/>
                <w:color w:val="auto"/>
                <w:sz w:val="24"/>
                <w:highlight w:val="none"/>
              </w:rPr>
              <w:t>项目使用的铜杆直径为约为8.0mm，大拉机将8.0mm直径的铜杆拉制成2.6mm直径的铜线。中拉机将2.6mm直径的铜线拉制成0.6~0.8mm直径的铜线。小拉机将0.8mm直径的铜线拉制成0.4~0.25mm直径的铜线。</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color w:val="auto"/>
                <w:sz w:val="24"/>
                <w:szCs w:val="24"/>
                <w:highlight w:val="none"/>
                <w:lang w:bidi="ar"/>
              </w:rPr>
            </w:pPr>
            <w:r>
              <w:rPr>
                <w:rFonts w:hint="eastAsia"/>
                <w:color w:val="auto"/>
                <w:sz w:val="24"/>
                <w:highlight w:val="none"/>
              </w:rPr>
              <w:t>项目拉丝过程需先将拉丝油和自来水在拉丝油池中配置成拉丝液，然后通过拉丝油池配套水泵及输送管将拉丝液输送到拉丝机中，拉丝机内部泵头将拉丝液喷洒在铜线上，进行直接接触冷却润滑，避免设备损坏和铜线断线，喷洒出的拉丝液落入拉丝机底部，又经回流管回流至拉丝油池，循环使用，项目每半年把拉丝油池底部</w:t>
            </w:r>
            <w:r>
              <w:rPr>
                <w:rFonts w:hint="eastAsia"/>
                <w:color w:val="auto"/>
                <w:sz w:val="24"/>
                <w:highlight w:val="none"/>
                <w:lang w:val="en-US" w:eastAsia="zh-CN"/>
              </w:rPr>
              <w:t>10%</w:t>
            </w:r>
            <w:r>
              <w:rPr>
                <w:rFonts w:hint="eastAsia"/>
                <w:color w:val="auto"/>
                <w:sz w:val="24"/>
                <w:highlight w:val="none"/>
              </w:rPr>
              <w:t>含盐分高的拉丝油抽取。该工序</w:t>
            </w:r>
            <w:r>
              <w:rPr>
                <w:rFonts w:hint="default"/>
                <w:color w:val="auto"/>
                <w:sz w:val="24"/>
                <w:highlight w:val="none"/>
              </w:rPr>
              <w:t>产生噪声、</w:t>
            </w:r>
            <w:r>
              <w:rPr>
                <w:rFonts w:hint="eastAsia"/>
                <w:color w:val="auto"/>
                <w:sz w:val="24"/>
                <w:highlight w:val="none"/>
                <w:lang w:val="en-US" w:eastAsia="zh-CN"/>
              </w:rPr>
              <w:t>含油</w:t>
            </w:r>
            <w:r>
              <w:rPr>
                <w:rFonts w:hint="default"/>
                <w:color w:val="auto"/>
                <w:sz w:val="24"/>
                <w:highlight w:val="none"/>
              </w:rPr>
              <w:t>废铜线</w:t>
            </w:r>
            <w:r>
              <w:rPr>
                <w:rFonts w:hint="eastAsia"/>
                <w:color w:val="auto"/>
                <w:sz w:val="24"/>
                <w:highlight w:val="none"/>
                <w:lang w:eastAsia="zh-CN"/>
              </w:rPr>
              <w:t>（</w:t>
            </w:r>
            <w:r>
              <w:rPr>
                <w:rFonts w:hint="eastAsia"/>
                <w:color w:val="auto"/>
                <w:sz w:val="24"/>
                <w:highlight w:val="none"/>
                <w:lang w:val="en-US" w:eastAsia="zh-CN"/>
              </w:rPr>
              <w:t>废铜线粘附拉丝油</w:t>
            </w:r>
            <w:r>
              <w:rPr>
                <w:rFonts w:hint="eastAsia"/>
                <w:color w:val="auto"/>
                <w:sz w:val="24"/>
                <w:highlight w:val="none"/>
                <w:lang w:eastAsia="zh-CN"/>
              </w:rPr>
              <w:t>）</w:t>
            </w:r>
            <w:r>
              <w:rPr>
                <w:rFonts w:hint="default"/>
                <w:color w:val="auto"/>
                <w:sz w:val="24"/>
                <w:highlight w:val="none"/>
              </w:rPr>
              <w:t>、边角料</w:t>
            </w:r>
            <w:r>
              <w:rPr>
                <w:rFonts w:hint="eastAsia"/>
                <w:color w:val="auto"/>
                <w:sz w:val="24"/>
                <w:highlight w:val="none"/>
                <w:lang w:eastAsia="zh-CN"/>
              </w:rPr>
              <w:t>（</w:t>
            </w:r>
            <w:r>
              <w:rPr>
                <w:rFonts w:hint="eastAsia"/>
                <w:color w:val="auto"/>
                <w:sz w:val="24"/>
                <w:highlight w:val="none"/>
                <w:lang w:val="en-US" w:eastAsia="zh-CN"/>
              </w:rPr>
              <w:t>铜线首端和末端，不粘附拉丝油</w:t>
            </w:r>
            <w:r>
              <w:rPr>
                <w:rFonts w:hint="eastAsia"/>
                <w:color w:val="auto"/>
                <w:sz w:val="24"/>
                <w:highlight w:val="none"/>
                <w:lang w:eastAsia="zh-CN"/>
              </w:rPr>
              <w:t>）</w:t>
            </w:r>
            <w:r>
              <w:rPr>
                <w:rFonts w:hint="default"/>
                <w:color w:val="auto"/>
                <w:sz w:val="24"/>
                <w:highlight w:val="none"/>
              </w:rPr>
              <w:t>、废拉丝油包装桶、拉丝油废液</w:t>
            </w:r>
            <w:r>
              <w:rPr>
                <w:rFonts w:hint="default"/>
                <w:color w:val="auto"/>
                <w:sz w:val="24"/>
                <w:szCs w:val="24"/>
                <w:highlight w:val="none"/>
                <w:lang w:bidi="ar"/>
              </w:rPr>
              <w:t>。</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eastAsia="宋体"/>
                <w:color w:val="auto"/>
                <w:sz w:val="24"/>
                <w:szCs w:val="24"/>
                <w:highlight w:val="none"/>
                <w:lang w:val="en-US" w:eastAsia="zh-CN" w:bidi="ar"/>
              </w:rPr>
            </w:pPr>
            <w:r>
              <w:rPr>
                <w:rFonts w:hint="default"/>
                <w:color w:val="auto"/>
                <w:sz w:val="24"/>
                <w:szCs w:val="24"/>
                <w:highlight w:val="none"/>
                <w:lang w:bidi="ar"/>
              </w:rPr>
              <w:t>根据建设单位提供的资料，工件冷拉过程中，铜线受到变形及摩擦的作用而发热，连续拉丝，热能会被不断的积累，可使铜丝加热到比较高的温度，降低铜线的力学性能。因此项目设置了两个冷却水池为拉丝工序的拉丝油和拉丝设备冷却降温。</w:t>
            </w:r>
            <w:r>
              <w:rPr>
                <w:rFonts w:hint="eastAsia"/>
                <w:color w:val="auto"/>
                <w:sz w:val="24"/>
                <w:szCs w:val="24"/>
                <w:highlight w:val="none"/>
                <w:lang w:val="en-US" w:eastAsia="zh-CN" w:bidi="ar"/>
              </w:rPr>
              <w:t>冷却水循环使用，不外排。</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textAlignment w:val="auto"/>
              <w:rPr>
                <w:rFonts w:hint="default"/>
                <w:color w:val="auto"/>
                <w:sz w:val="24"/>
                <w:highlight w:val="none"/>
              </w:rPr>
            </w:pPr>
            <w:r>
              <w:rPr>
                <w:rFonts w:hint="default"/>
                <w:b/>
                <w:bCs/>
                <w:color w:val="auto"/>
                <w:sz w:val="24"/>
                <w:highlight w:val="none"/>
              </w:rPr>
              <w:t>2）收线：</w:t>
            </w:r>
            <w:r>
              <w:rPr>
                <w:rFonts w:hint="default"/>
                <w:color w:val="auto"/>
                <w:sz w:val="24"/>
                <w:highlight w:val="none"/>
              </w:rPr>
              <w:t>经牵引装置利用收线盘收线成卷，该工序产生噪声。</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textAlignment w:val="auto"/>
              <w:rPr>
                <w:rFonts w:hint="default"/>
                <w:color w:val="auto"/>
                <w:sz w:val="24"/>
                <w:highlight w:val="none"/>
              </w:rPr>
            </w:pPr>
            <w:r>
              <w:rPr>
                <w:rFonts w:hint="default"/>
                <w:b/>
                <w:bCs/>
                <w:color w:val="auto"/>
                <w:sz w:val="24"/>
                <w:highlight w:val="none"/>
              </w:rPr>
              <w:t>3）退火、冷却：</w:t>
            </w:r>
            <w:r>
              <w:rPr>
                <w:rFonts w:hint="default"/>
                <w:color w:val="auto"/>
                <w:sz w:val="24"/>
                <w:highlight w:val="none"/>
              </w:rPr>
              <w:t>铜线加工过程需要进</w:t>
            </w:r>
            <w:r>
              <w:rPr>
                <w:rFonts w:hint="default"/>
                <w:color w:val="auto"/>
                <w:sz w:val="24"/>
                <w:szCs w:val="24"/>
                <w:highlight w:val="none"/>
              </w:rPr>
              <w:t>行退火加工，</w:t>
            </w:r>
            <w:r>
              <w:rPr>
                <w:rFonts w:hint="eastAsia"/>
                <w:color w:val="auto"/>
                <w:sz w:val="24"/>
                <w:szCs w:val="24"/>
                <w:highlight w:val="none"/>
              </w:rPr>
              <w:t>使用电能，</w:t>
            </w:r>
            <w:r>
              <w:rPr>
                <w:rFonts w:hint="default"/>
                <w:color w:val="auto"/>
                <w:sz w:val="24"/>
                <w:szCs w:val="24"/>
                <w:highlight w:val="none"/>
              </w:rPr>
              <w:t>将退</w:t>
            </w:r>
            <w:r>
              <w:rPr>
                <w:rFonts w:hint="default"/>
                <w:color w:val="auto"/>
                <w:sz w:val="24"/>
                <w:highlight w:val="none"/>
              </w:rPr>
              <w:t>火机内的温度加热到465℃左右</w:t>
            </w:r>
            <w:r>
              <w:rPr>
                <w:rFonts w:hint="eastAsia"/>
                <w:color w:val="auto"/>
                <w:sz w:val="24"/>
                <w:highlight w:val="none"/>
              </w:rPr>
              <w:t>。</w:t>
            </w:r>
            <w:r>
              <w:rPr>
                <w:rFonts w:hint="default"/>
                <w:color w:val="auto"/>
                <w:sz w:val="24"/>
                <w:highlight w:val="none"/>
              </w:rPr>
              <w:t>将铜线经牵引装置牵引通过退火机</w:t>
            </w:r>
            <w:r>
              <w:rPr>
                <w:rFonts w:hint="eastAsia"/>
                <w:color w:val="auto"/>
                <w:sz w:val="24"/>
                <w:highlight w:val="none"/>
              </w:rPr>
              <w:t>，并保持一定时间（约 6s），附着在物料的拉丝液经过高温蒸发。</w:t>
            </w:r>
            <w:r>
              <w:rPr>
                <w:rFonts w:hint="default"/>
                <w:color w:val="auto"/>
                <w:sz w:val="24"/>
                <w:highlight w:val="none"/>
                <w:lang w:bidi="ar"/>
              </w:rPr>
              <w:t>此过程会产生</w:t>
            </w:r>
            <w:r>
              <w:rPr>
                <w:rFonts w:hint="eastAsia"/>
                <w:color w:val="auto"/>
                <w:sz w:val="24"/>
                <w:szCs w:val="24"/>
                <w:highlight w:val="none"/>
                <w:lang w:val="en-US" w:eastAsia="zh-CN"/>
              </w:rPr>
              <w:t>非甲烷总烃</w:t>
            </w:r>
            <w:r>
              <w:rPr>
                <w:rFonts w:hint="eastAsia"/>
                <w:color w:val="auto"/>
                <w:highlight w:val="none"/>
                <w:lang w:eastAsia="zh-CN"/>
              </w:rPr>
              <w:t>、</w:t>
            </w:r>
            <w:r>
              <w:rPr>
                <w:rFonts w:hint="default"/>
                <w:color w:val="auto"/>
                <w:sz w:val="24"/>
                <w:szCs w:val="24"/>
                <w:highlight w:val="none"/>
              </w:rPr>
              <w:t>废抗氧化剂包装桶</w:t>
            </w:r>
            <w:r>
              <w:rPr>
                <w:rFonts w:hint="default"/>
                <w:color w:val="auto"/>
                <w:sz w:val="24"/>
                <w:highlight w:val="none"/>
              </w:rPr>
              <w:t>。</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color w:val="auto"/>
                <w:sz w:val="24"/>
                <w:highlight w:val="none"/>
              </w:rPr>
            </w:pPr>
            <w:r>
              <w:rPr>
                <w:rFonts w:hint="default"/>
                <w:color w:val="auto"/>
                <w:sz w:val="24"/>
                <w:highlight w:val="none"/>
              </w:rPr>
              <w:t>退火目的：是降低硬度，消除残余应力，稳定尺寸，减少变形与裂纹倾向；细化晶粒，调整组织，消除组织缺陷；均匀材料组织和成分，改善材料性能或为以后热处理做组织准备。</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color w:val="auto"/>
                <w:sz w:val="24"/>
                <w:szCs w:val="24"/>
                <w:highlight w:val="none"/>
              </w:rPr>
            </w:pPr>
            <w:r>
              <w:rPr>
                <w:rFonts w:hint="default"/>
                <w:color w:val="auto"/>
                <w:sz w:val="24"/>
                <w:highlight w:val="none"/>
              </w:rPr>
              <w:t>退火后的铜线经牵引装置进入生产线上的冷却水槽进行</w:t>
            </w:r>
            <w:r>
              <w:rPr>
                <w:rFonts w:hint="eastAsia"/>
                <w:color w:val="auto"/>
                <w:sz w:val="24"/>
                <w:highlight w:val="none"/>
              </w:rPr>
              <w:t>直接</w:t>
            </w:r>
            <w:r>
              <w:rPr>
                <w:rFonts w:hint="default"/>
                <w:color w:val="auto"/>
                <w:sz w:val="24"/>
                <w:highlight w:val="none"/>
              </w:rPr>
              <w:t>冷却，</w:t>
            </w:r>
            <w:r>
              <w:rPr>
                <w:rFonts w:hint="eastAsia"/>
                <w:color w:val="auto"/>
                <w:sz w:val="24"/>
                <w:highlight w:val="none"/>
              </w:rPr>
              <w:t>冷却水槽中加入抗氧化剂，抗氧化剂起到防氧化生锈作用。</w:t>
            </w:r>
            <w:r>
              <w:rPr>
                <w:rFonts w:hint="eastAsia"/>
                <w:color w:val="auto"/>
                <w:sz w:val="24"/>
                <w:highlight w:val="none"/>
                <w:lang w:val="en-US" w:eastAsia="zh-CN"/>
              </w:rPr>
              <w:t>退后冷却后铜线经过牵引装置进行收线，不需要进行烘干，可成为裸铜线产品或成为镀锡铜线的半成品。</w:t>
            </w:r>
            <w:r>
              <w:rPr>
                <w:rFonts w:hint="default" w:ascii="Times New Roman" w:hAnsi="Times New Roman" w:eastAsia="宋体" w:cs="Times New Roman"/>
                <w:color w:val="auto"/>
                <w:sz w:val="24"/>
                <w:highlight w:val="none"/>
                <w:lang w:val="en-US" w:eastAsia="zh-CN"/>
              </w:rPr>
              <w:t>退火机冷却水</w:t>
            </w:r>
            <w:r>
              <w:rPr>
                <w:rFonts w:hint="eastAsia" w:ascii="Times New Roman" w:hAnsi="Times New Roman" w:eastAsia="宋体" w:cs="Times New Roman"/>
                <w:color w:val="auto"/>
                <w:sz w:val="24"/>
                <w:highlight w:val="none"/>
                <w:lang w:val="en-US" w:eastAsia="zh-CN"/>
              </w:rPr>
              <w:t>每天经冷却水池冷却后经过一体化冷却水处理设施处理后回用，废水处理频率为一天一次。高温铜线经过含抗氧化剂的冷却水直接冷却过程中</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抗氧化剂因高温挥发产生非甲烷总烃。</w:t>
            </w:r>
            <w:r>
              <w:rPr>
                <w:rFonts w:hint="eastAsia"/>
                <w:color w:val="auto"/>
                <w:sz w:val="24"/>
                <w:highlight w:val="none"/>
              </w:rPr>
              <w:t>一体化</w:t>
            </w:r>
            <w:r>
              <w:rPr>
                <w:rFonts w:hint="eastAsia"/>
                <w:color w:val="auto"/>
                <w:sz w:val="24"/>
                <w:highlight w:val="none"/>
                <w:lang w:val="en-US" w:eastAsia="zh-CN"/>
              </w:rPr>
              <w:t>冷却水</w:t>
            </w:r>
            <w:r>
              <w:rPr>
                <w:rFonts w:hint="default"/>
                <w:color w:val="auto"/>
                <w:sz w:val="24"/>
                <w:highlight w:val="none"/>
              </w:rPr>
              <w:t>处理</w:t>
            </w:r>
            <w:r>
              <w:rPr>
                <w:rFonts w:hint="eastAsia"/>
                <w:color w:val="auto"/>
                <w:sz w:val="24"/>
                <w:highlight w:val="none"/>
                <w:lang w:val="en-US" w:eastAsia="zh-CN"/>
              </w:rPr>
              <w:t>设施会</w:t>
            </w:r>
            <w:r>
              <w:rPr>
                <w:rFonts w:hint="default"/>
                <w:color w:val="auto"/>
                <w:sz w:val="24"/>
                <w:szCs w:val="24"/>
                <w:highlight w:val="none"/>
              </w:rPr>
              <w:t>产生废污泥</w:t>
            </w:r>
            <w:r>
              <w:rPr>
                <w:rFonts w:hint="default"/>
                <w:bCs/>
                <w:color w:val="auto"/>
                <w:sz w:val="24"/>
                <w:szCs w:val="24"/>
                <w:highlight w:val="none"/>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default"/>
                <w:color w:val="auto"/>
                <w:sz w:val="24"/>
                <w:highlight w:val="none"/>
                <w:lang w:bidi="ar"/>
              </w:rPr>
            </w:pPr>
            <w:r>
              <w:rPr>
                <w:rFonts w:hint="default"/>
                <w:b/>
                <w:bCs/>
                <w:color w:val="auto"/>
                <w:sz w:val="24"/>
                <w:highlight w:val="none"/>
                <w:lang w:bidi="ar"/>
              </w:rPr>
              <w:t>4</w:t>
            </w:r>
            <w:r>
              <w:rPr>
                <w:rFonts w:hint="eastAsia"/>
                <w:b/>
                <w:bCs/>
                <w:color w:val="auto"/>
                <w:sz w:val="24"/>
                <w:highlight w:val="none"/>
                <w:lang w:bidi="ar"/>
              </w:rPr>
              <w:t>）检验包装入库：</w:t>
            </w:r>
            <w:r>
              <w:rPr>
                <w:rFonts w:hint="eastAsia"/>
                <w:color w:val="auto"/>
                <w:sz w:val="24"/>
                <w:highlight w:val="none"/>
                <w:lang w:bidi="ar"/>
              </w:rPr>
              <w:t>成品经检验包装后，放入仓库等待出货。该工序会产生废包装材料。</w:t>
            </w:r>
          </w:p>
          <w:p>
            <w:pPr>
              <w:keepNext w:val="0"/>
              <w:keepLines w:val="0"/>
              <w:suppressLineNumbers w:val="0"/>
              <w:spacing w:before="0" w:beforeAutospacing="0" w:after="0" w:afterAutospacing="0"/>
              <w:ind w:left="0" w:right="0" w:firstLine="482"/>
              <w:rPr>
                <w:rFonts w:hint="default"/>
                <w:color w:val="auto"/>
                <w:highlight w:val="none"/>
              </w:rPr>
            </w:pPr>
            <w:r>
              <w:rPr>
                <w:rFonts w:hint="eastAsia"/>
                <w:b/>
                <w:bCs/>
                <w:color w:val="auto"/>
                <w:sz w:val="24"/>
                <w:szCs w:val="24"/>
                <w:highlight w:val="none"/>
                <w:lang w:val="en-US" w:eastAsia="zh-CN"/>
              </w:rPr>
              <w:t>镀锡</w:t>
            </w:r>
            <w:r>
              <w:rPr>
                <w:rFonts w:hint="default"/>
                <w:b/>
                <w:bCs/>
                <w:color w:val="auto"/>
                <w:sz w:val="24"/>
                <w:szCs w:val="24"/>
                <w:highlight w:val="none"/>
              </w:rPr>
              <w:t>铜线生产工艺流程图如下：</w:t>
            </w:r>
          </w:p>
          <w:p>
            <w:pPr>
              <w:keepNext w:val="0"/>
              <w:keepLines w:val="0"/>
              <w:suppressLineNumbers w:val="0"/>
              <w:spacing w:before="0" w:beforeAutospacing="0" w:after="0" w:afterAutospacing="0" w:line="360" w:lineRule="auto"/>
              <w:ind w:left="0" w:right="0" w:firstLine="0" w:firstLineChars="0"/>
              <w:jc w:val="center"/>
              <w:rPr>
                <w:rFonts w:hint="default"/>
                <w:b/>
                <w:bCs/>
                <w:color w:val="auto"/>
                <w:sz w:val="24"/>
                <w:szCs w:val="24"/>
                <w:highlight w:val="none"/>
              </w:rPr>
            </w:pPr>
            <w:r>
              <w:rPr>
                <w:rFonts w:hint="default"/>
                <w:color w:val="auto"/>
                <w:highlight w:val="none"/>
              </w:rPr>
              <w:object>
                <v:shape id="_x0000_i1027" o:spt="75" type="#_x0000_t75" style="height:186.7pt;width:428.9pt;" o:ole="t" filled="f" o:preferrelative="t" stroked="f" coordsize="21600,21600">
                  <v:path/>
                  <v:fill on="f" focussize="0,0"/>
                  <v:stroke on="f"/>
                  <v:imagedata r:id="rId26" cropbottom="3206f" o:title=""/>
                  <o:lock v:ext="edit" aspectratio="t"/>
                  <w10:wrap type="none"/>
                  <w10:anchorlock/>
                </v:shape>
                <o:OLEObject Type="Embed" ProgID="Visio.Drawing.15" ShapeID="_x0000_i1027" DrawAspect="Content" ObjectID="_1468075727" r:id="rId25">
                  <o:LockedField>false</o:LockedField>
                </o:OLEObject>
              </w:object>
            </w:r>
            <w:r>
              <w:rPr>
                <w:rFonts w:hint="default"/>
                <w:b/>
                <w:bCs/>
                <w:color w:val="auto"/>
                <w:sz w:val="24"/>
                <w:szCs w:val="24"/>
                <w:highlight w:val="none"/>
              </w:rPr>
              <w:t>图2-3  镀锡</w:t>
            </w:r>
            <w:r>
              <w:rPr>
                <w:rFonts w:hint="eastAsia"/>
                <w:b/>
                <w:bCs/>
                <w:color w:val="auto"/>
                <w:sz w:val="24"/>
                <w:szCs w:val="24"/>
                <w:highlight w:val="none"/>
                <w:lang w:eastAsia="zh-CN"/>
              </w:rPr>
              <w:t>（</w:t>
            </w:r>
            <w:r>
              <w:rPr>
                <w:rFonts w:hint="eastAsia"/>
                <w:b/>
                <w:bCs/>
                <w:color w:val="auto"/>
                <w:sz w:val="24"/>
                <w:szCs w:val="24"/>
                <w:highlight w:val="none"/>
                <w:lang w:val="en-US" w:eastAsia="zh-CN"/>
              </w:rPr>
              <w:t>热浸锡</w:t>
            </w:r>
            <w:r>
              <w:rPr>
                <w:rFonts w:hint="eastAsia"/>
                <w:b/>
                <w:bCs/>
                <w:color w:val="auto"/>
                <w:sz w:val="24"/>
                <w:szCs w:val="24"/>
                <w:highlight w:val="none"/>
                <w:lang w:eastAsia="zh-CN"/>
              </w:rPr>
              <w:t>）</w:t>
            </w:r>
            <w:r>
              <w:rPr>
                <w:rFonts w:hint="default"/>
                <w:b/>
                <w:bCs/>
                <w:color w:val="auto"/>
                <w:sz w:val="24"/>
                <w:szCs w:val="24"/>
                <w:highlight w:val="none"/>
              </w:rPr>
              <w:t>铜线生</w:t>
            </w:r>
            <w:r>
              <w:rPr>
                <w:rFonts w:hint="eastAsia"/>
                <w:b/>
                <w:bCs/>
                <w:color w:val="auto"/>
                <w:sz w:val="24"/>
                <w:szCs w:val="24"/>
                <w:highlight w:val="none"/>
              </w:rPr>
              <w:t>产</w:t>
            </w:r>
            <w:r>
              <w:rPr>
                <w:rFonts w:hint="default"/>
                <w:b/>
                <w:bCs/>
                <w:color w:val="auto"/>
                <w:sz w:val="24"/>
                <w:szCs w:val="24"/>
                <w:highlight w:val="none"/>
              </w:rPr>
              <w:t>工艺流程图</w:t>
            </w:r>
          </w:p>
          <w:p>
            <w:pPr>
              <w:keepNext w:val="0"/>
              <w:keepLines w:val="0"/>
              <w:suppressLineNumbers w:val="0"/>
              <w:spacing w:before="0" w:beforeAutospacing="0" w:after="0" w:afterAutospacing="0" w:line="360" w:lineRule="auto"/>
              <w:ind w:left="0" w:right="0" w:firstLine="482"/>
              <w:rPr>
                <w:rFonts w:hint="default"/>
                <w:b/>
                <w:bCs/>
                <w:color w:val="auto"/>
                <w:sz w:val="24"/>
                <w:szCs w:val="24"/>
                <w:highlight w:val="none"/>
              </w:rPr>
            </w:pPr>
            <w:r>
              <w:rPr>
                <w:rFonts w:hint="eastAsia"/>
                <w:b/>
                <w:bCs/>
                <w:color w:val="auto"/>
                <w:sz w:val="24"/>
                <w:szCs w:val="24"/>
                <w:highlight w:val="none"/>
                <w:lang w:val="en-US" w:eastAsia="zh-CN"/>
              </w:rPr>
              <w:t>镀锡铜线生产工</w:t>
            </w:r>
            <w:r>
              <w:rPr>
                <w:rFonts w:hint="default"/>
                <w:b/>
                <w:bCs/>
                <w:color w:val="auto"/>
                <w:sz w:val="24"/>
                <w:szCs w:val="24"/>
                <w:highlight w:val="none"/>
              </w:rPr>
              <w:t>艺说明：</w:t>
            </w:r>
          </w:p>
          <w:p>
            <w:pPr>
              <w:pStyle w:val="124"/>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rPr>
            </w:pPr>
            <w:r>
              <w:rPr>
                <w:rFonts w:hint="eastAsia"/>
                <w:b/>
                <w:bCs/>
                <w:color w:val="auto"/>
                <w:sz w:val="24"/>
                <w:szCs w:val="24"/>
                <w:highlight w:val="none"/>
                <w:lang w:val="en-US" w:eastAsia="zh-CN"/>
              </w:rPr>
              <w:t>1</w:t>
            </w:r>
            <w:r>
              <w:rPr>
                <w:rFonts w:hint="default"/>
                <w:b/>
                <w:bCs/>
                <w:color w:val="auto"/>
                <w:sz w:val="24"/>
                <w:szCs w:val="24"/>
                <w:highlight w:val="none"/>
              </w:rPr>
              <w:t>）清洁、</w:t>
            </w:r>
            <w:r>
              <w:rPr>
                <w:rFonts w:hint="eastAsia"/>
                <w:b/>
                <w:bCs/>
                <w:color w:val="auto"/>
                <w:sz w:val="24"/>
                <w:szCs w:val="24"/>
                <w:highlight w:val="none"/>
              </w:rPr>
              <w:t>热浸</w:t>
            </w:r>
            <w:r>
              <w:rPr>
                <w:rFonts w:hint="default"/>
                <w:b/>
                <w:bCs/>
                <w:color w:val="auto"/>
                <w:sz w:val="24"/>
                <w:szCs w:val="24"/>
                <w:highlight w:val="none"/>
              </w:rPr>
              <w:t>锡：</w:t>
            </w:r>
            <w:r>
              <w:rPr>
                <w:rFonts w:hint="default"/>
                <w:color w:val="auto"/>
                <w:sz w:val="24"/>
                <w:szCs w:val="24"/>
                <w:highlight w:val="none"/>
              </w:rPr>
              <w:t>用</w:t>
            </w:r>
            <w:r>
              <w:rPr>
                <w:rFonts w:hint="default"/>
                <w:color w:val="auto"/>
                <w:sz w:val="24"/>
                <w:highlight w:val="none"/>
              </w:rPr>
              <w:t>助焊剂和水进行调配成助焊剂溶液，</w:t>
            </w:r>
            <w:r>
              <w:rPr>
                <w:rFonts w:hint="eastAsia"/>
                <w:color w:val="auto"/>
                <w:sz w:val="24"/>
                <w:highlight w:val="none"/>
              </w:rPr>
              <w:t>配好的助焊剂溶液倒在助焊剂槽中，放入毛毡进行浸润，</w:t>
            </w:r>
            <w:r>
              <w:rPr>
                <w:rFonts w:hint="default"/>
                <w:color w:val="auto"/>
                <w:sz w:val="24"/>
                <w:szCs w:val="24"/>
                <w:highlight w:val="none"/>
              </w:rPr>
              <w:t>铜线经牵引装置从毛毡中间穿过从而接触助焊剂溶液。目的是为了对退火后的铜线进行清洁（常温），也是为了达到更好的焊接效果，</w:t>
            </w:r>
          </w:p>
          <w:p>
            <w:pPr>
              <w:keepNext w:val="0"/>
              <w:keepLines w:val="0"/>
              <w:suppressLineNumbers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铜线利用牵引装置经过锡炉进行</w:t>
            </w:r>
            <w:r>
              <w:rPr>
                <w:rFonts w:hint="eastAsia"/>
                <w:color w:val="auto"/>
                <w:sz w:val="24"/>
                <w:szCs w:val="24"/>
                <w:highlight w:val="none"/>
                <w:lang w:val="en-US" w:eastAsia="zh-CN"/>
              </w:rPr>
              <w:t>热浸锡</w:t>
            </w:r>
            <w:r>
              <w:rPr>
                <w:rFonts w:hint="default"/>
                <w:color w:val="auto"/>
                <w:sz w:val="24"/>
                <w:szCs w:val="24"/>
                <w:highlight w:val="none"/>
              </w:rPr>
              <w:t>，使得铜线表面附着一层锡，目的是为了防氧化生锈作用。项目镀锡采用热</w:t>
            </w:r>
            <w:r>
              <w:rPr>
                <w:rFonts w:hint="eastAsia"/>
                <w:color w:val="auto"/>
                <w:sz w:val="24"/>
                <w:szCs w:val="24"/>
                <w:highlight w:val="none"/>
              </w:rPr>
              <w:t>浸</w:t>
            </w:r>
            <w:r>
              <w:rPr>
                <w:rFonts w:hint="default"/>
                <w:color w:val="auto"/>
                <w:sz w:val="24"/>
                <w:szCs w:val="24"/>
                <w:highlight w:val="none"/>
              </w:rPr>
              <w:t>锡工艺，属物理加工过程，不直接用电参与锡金属材料的转移，不属于电镀工艺。锡炉恒温控制在240~270℃左右，通过加温使用锡锭熔化，工件通过引线滚轮牵引通过锡炉，完成</w:t>
            </w:r>
            <w:r>
              <w:rPr>
                <w:rFonts w:hint="eastAsia"/>
                <w:color w:val="auto"/>
                <w:sz w:val="24"/>
                <w:szCs w:val="24"/>
                <w:highlight w:val="none"/>
              </w:rPr>
              <w:t>浸</w:t>
            </w:r>
            <w:r>
              <w:rPr>
                <w:rFonts w:hint="default"/>
                <w:color w:val="auto"/>
                <w:sz w:val="24"/>
                <w:szCs w:val="24"/>
                <w:highlight w:val="none"/>
              </w:rPr>
              <w:t>锡。清洁工序会产生噪声、废助焊剂包装桶、</w:t>
            </w:r>
            <w:r>
              <w:rPr>
                <w:rFonts w:hint="eastAsia"/>
                <w:color w:val="auto"/>
                <w:sz w:val="24"/>
                <w:szCs w:val="24"/>
                <w:highlight w:val="none"/>
                <w:lang w:eastAsia="zh-CN"/>
              </w:rPr>
              <w:t>含助焊剂废毛毡</w:t>
            </w:r>
            <w:r>
              <w:rPr>
                <w:rFonts w:hint="default"/>
                <w:color w:val="auto"/>
                <w:sz w:val="24"/>
                <w:szCs w:val="24"/>
                <w:highlight w:val="none"/>
              </w:rPr>
              <w:t>。</w:t>
            </w:r>
            <w:r>
              <w:rPr>
                <w:rFonts w:hint="eastAsia"/>
                <w:color w:val="auto"/>
                <w:sz w:val="24"/>
                <w:szCs w:val="24"/>
                <w:highlight w:val="none"/>
              </w:rPr>
              <w:t>热浸</w:t>
            </w:r>
            <w:r>
              <w:rPr>
                <w:rFonts w:hint="default"/>
                <w:color w:val="auto"/>
                <w:sz w:val="24"/>
                <w:szCs w:val="24"/>
                <w:highlight w:val="none"/>
              </w:rPr>
              <w:t>锡工序</w:t>
            </w:r>
            <w:r>
              <w:rPr>
                <w:rFonts w:hint="eastAsia"/>
                <w:color w:val="auto"/>
                <w:sz w:val="24"/>
                <w:szCs w:val="24"/>
                <w:highlight w:val="none"/>
                <w:lang w:val="en-US" w:eastAsia="zh-CN"/>
              </w:rPr>
              <w:t>因使用助焊剂</w:t>
            </w:r>
            <w:r>
              <w:rPr>
                <w:rFonts w:hint="default"/>
                <w:color w:val="auto"/>
                <w:sz w:val="24"/>
                <w:szCs w:val="24"/>
                <w:highlight w:val="none"/>
              </w:rPr>
              <w:t>会产生非甲烷总烃、锡及其化合物和锡渣。</w:t>
            </w:r>
          </w:p>
          <w:p>
            <w:pPr>
              <w:keepNext w:val="0"/>
              <w:keepLines w:val="0"/>
              <w:suppressLineNumbers w:val="0"/>
              <w:spacing w:before="0" w:beforeAutospacing="0" w:after="0" w:afterAutospacing="0" w:line="360" w:lineRule="auto"/>
              <w:ind w:left="0" w:right="0" w:firstLine="482"/>
              <w:rPr>
                <w:rFonts w:hint="default"/>
                <w:color w:val="auto"/>
                <w:sz w:val="24"/>
                <w:highlight w:val="none"/>
              </w:rPr>
            </w:pPr>
            <w:r>
              <w:rPr>
                <w:rFonts w:hint="eastAsia"/>
                <w:b/>
                <w:bCs/>
                <w:color w:val="auto"/>
                <w:sz w:val="24"/>
                <w:highlight w:val="none"/>
                <w:lang w:val="en-US" w:eastAsia="zh-CN"/>
              </w:rPr>
              <w:t>2</w:t>
            </w:r>
            <w:r>
              <w:rPr>
                <w:rFonts w:hint="default"/>
                <w:b/>
                <w:bCs/>
                <w:color w:val="auto"/>
                <w:sz w:val="24"/>
                <w:highlight w:val="none"/>
              </w:rPr>
              <w:t>）光亮、防锈：</w:t>
            </w:r>
            <w:r>
              <w:rPr>
                <w:rFonts w:hint="eastAsia"/>
                <w:b w:val="0"/>
                <w:bCs w:val="0"/>
                <w:color w:val="auto"/>
                <w:sz w:val="24"/>
                <w:highlight w:val="none"/>
                <w:lang w:val="en-US" w:eastAsia="zh-CN"/>
              </w:rPr>
              <w:t>热浸锡后迅速在铜线表面形成一层锡膜，不需要进行烘干或晾干。</w:t>
            </w:r>
            <w:r>
              <w:rPr>
                <w:rFonts w:hint="default"/>
                <w:color w:val="auto"/>
                <w:sz w:val="24"/>
                <w:highlight w:val="none"/>
              </w:rPr>
              <w:t>铜线经牵引装置时</w:t>
            </w:r>
            <w:r>
              <w:rPr>
                <w:rFonts w:hint="eastAsia"/>
                <w:color w:val="auto"/>
                <w:sz w:val="24"/>
                <w:highlight w:val="none"/>
              </w:rPr>
              <w:t>，牵引装置上方导</w:t>
            </w:r>
            <w:r>
              <w:rPr>
                <w:rFonts w:hint="default"/>
                <w:color w:val="auto"/>
                <w:sz w:val="24"/>
                <w:highlight w:val="none"/>
              </w:rPr>
              <w:t>轴油</w:t>
            </w:r>
            <w:r>
              <w:rPr>
                <w:rFonts w:hint="eastAsia"/>
                <w:color w:val="auto"/>
                <w:sz w:val="24"/>
                <w:highlight w:val="none"/>
              </w:rPr>
              <w:t>管</w:t>
            </w:r>
            <w:r>
              <w:rPr>
                <w:rFonts w:hint="default"/>
                <w:color w:val="auto"/>
                <w:sz w:val="24"/>
                <w:highlight w:val="none"/>
              </w:rPr>
              <w:t>将导</w:t>
            </w:r>
            <w:r>
              <w:rPr>
                <w:rFonts w:hint="default"/>
                <w:color w:val="auto"/>
                <w:sz w:val="24"/>
                <w:szCs w:val="24"/>
                <w:highlight w:val="none"/>
              </w:rPr>
              <w:t>轴油</w:t>
            </w:r>
            <w:r>
              <w:rPr>
                <w:rFonts w:hint="eastAsia"/>
                <w:color w:val="auto"/>
                <w:sz w:val="24"/>
                <w:szCs w:val="24"/>
                <w:highlight w:val="none"/>
              </w:rPr>
              <w:t>滴</w:t>
            </w:r>
            <w:r>
              <w:rPr>
                <w:rFonts w:hint="default"/>
                <w:color w:val="auto"/>
                <w:sz w:val="24"/>
                <w:highlight w:val="none"/>
              </w:rPr>
              <w:t>涂于</w:t>
            </w:r>
            <w:r>
              <w:rPr>
                <w:rFonts w:hint="eastAsia"/>
                <w:color w:val="auto"/>
                <w:sz w:val="24"/>
                <w:highlight w:val="none"/>
                <w:lang w:val="en-US" w:eastAsia="zh-CN"/>
              </w:rPr>
              <w:t>铜</w:t>
            </w:r>
            <w:r>
              <w:rPr>
                <w:rFonts w:hint="default"/>
                <w:color w:val="auto"/>
                <w:sz w:val="24"/>
                <w:highlight w:val="none"/>
              </w:rPr>
              <w:t>线表面，可以起到增加</w:t>
            </w:r>
            <w:r>
              <w:rPr>
                <w:rFonts w:hint="eastAsia"/>
                <w:color w:val="auto"/>
                <w:sz w:val="24"/>
                <w:highlight w:val="none"/>
                <w:lang w:val="en-US" w:eastAsia="zh-CN"/>
              </w:rPr>
              <w:t>铜</w:t>
            </w:r>
            <w:r>
              <w:rPr>
                <w:rFonts w:hint="default"/>
                <w:color w:val="auto"/>
                <w:sz w:val="24"/>
                <w:highlight w:val="none"/>
              </w:rPr>
              <w:t>线的光亮度和防锈的作用。该工序产生废导轴油包装桶</w:t>
            </w:r>
            <w:r>
              <w:rPr>
                <w:rFonts w:hint="eastAsia"/>
                <w:color w:val="auto"/>
                <w:sz w:val="24"/>
                <w:highlight w:val="none"/>
                <w:lang w:eastAsia="zh-CN"/>
              </w:rPr>
              <w:t>、</w:t>
            </w:r>
            <w:r>
              <w:rPr>
                <w:rFonts w:hint="eastAsia"/>
                <w:color w:val="auto"/>
                <w:sz w:val="24"/>
                <w:highlight w:val="none"/>
                <w:lang w:val="en-US" w:eastAsia="zh-CN"/>
              </w:rPr>
              <w:t>废导轴油</w:t>
            </w:r>
            <w:r>
              <w:rPr>
                <w:rFonts w:hint="default"/>
                <w:color w:val="auto"/>
                <w:sz w:val="24"/>
                <w:highlight w:val="none"/>
              </w:rPr>
              <w:t>。</w:t>
            </w:r>
          </w:p>
          <w:p>
            <w:pPr>
              <w:keepNext w:val="0"/>
              <w:keepLines w:val="0"/>
              <w:suppressLineNumbers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项目</w:t>
            </w:r>
            <w:r>
              <w:rPr>
                <w:rFonts w:hint="default"/>
                <w:color w:val="auto"/>
                <w:sz w:val="24"/>
                <w:highlight w:val="none"/>
              </w:rPr>
              <w:t>光亮、防锈工序后</w:t>
            </w:r>
            <w:r>
              <w:rPr>
                <w:rFonts w:hint="default"/>
                <w:color w:val="auto"/>
                <w:sz w:val="24"/>
                <w:szCs w:val="24"/>
                <w:highlight w:val="none"/>
              </w:rPr>
              <w:t>，即可得到成品的镀锡铜线。</w:t>
            </w:r>
          </w:p>
          <w:p>
            <w:pPr>
              <w:keepNext w:val="0"/>
              <w:keepLines w:val="0"/>
              <w:suppressLineNumbers w:val="0"/>
              <w:spacing w:before="0" w:beforeAutospacing="0" w:after="0" w:afterAutospacing="0" w:line="360" w:lineRule="auto"/>
              <w:ind w:left="0" w:right="0" w:firstLine="482"/>
              <w:rPr>
                <w:rFonts w:hint="default"/>
                <w:color w:val="auto"/>
                <w:sz w:val="24"/>
                <w:szCs w:val="24"/>
                <w:highlight w:val="none"/>
              </w:rPr>
            </w:pPr>
            <w:r>
              <w:rPr>
                <w:rFonts w:hint="eastAsia"/>
                <w:b/>
                <w:bCs/>
                <w:color w:val="auto"/>
                <w:sz w:val="24"/>
                <w:highlight w:val="none"/>
                <w:lang w:val="en-US" w:eastAsia="zh-CN"/>
              </w:rPr>
              <w:t>3</w:t>
            </w:r>
            <w:r>
              <w:rPr>
                <w:rFonts w:hint="default"/>
                <w:b/>
                <w:bCs/>
                <w:color w:val="auto"/>
                <w:sz w:val="24"/>
                <w:highlight w:val="none"/>
              </w:rPr>
              <w:t>）收线：</w:t>
            </w:r>
            <w:r>
              <w:rPr>
                <w:rFonts w:hint="default"/>
                <w:color w:val="auto"/>
                <w:sz w:val="24"/>
                <w:highlight w:val="none"/>
              </w:rPr>
              <w:t>经牵引装置利用收线盘收线成卷，该工序产生噪声。</w:t>
            </w:r>
          </w:p>
          <w:p>
            <w:pPr>
              <w:keepNext w:val="0"/>
              <w:keepLines w:val="0"/>
              <w:suppressLineNumbers w:val="0"/>
              <w:spacing w:before="0" w:beforeAutospacing="0" w:after="0" w:afterAutospacing="0" w:line="360" w:lineRule="auto"/>
              <w:ind w:left="0" w:right="0" w:firstLine="482"/>
              <w:rPr>
                <w:rFonts w:hint="default"/>
                <w:color w:val="auto"/>
                <w:sz w:val="24"/>
                <w:highlight w:val="none"/>
              </w:rPr>
            </w:pPr>
            <w:r>
              <w:rPr>
                <w:rFonts w:hint="eastAsia"/>
                <w:b/>
                <w:bCs/>
                <w:color w:val="auto"/>
                <w:sz w:val="24"/>
                <w:highlight w:val="none"/>
                <w:lang w:val="en-US" w:eastAsia="zh-CN"/>
              </w:rPr>
              <w:t>4</w:t>
            </w:r>
            <w:r>
              <w:rPr>
                <w:rFonts w:hint="default"/>
                <w:b/>
                <w:bCs/>
                <w:color w:val="auto"/>
                <w:sz w:val="24"/>
                <w:highlight w:val="none"/>
              </w:rPr>
              <w:t>）检验包装入库：</w:t>
            </w:r>
            <w:r>
              <w:rPr>
                <w:rFonts w:hint="default"/>
                <w:color w:val="auto"/>
                <w:sz w:val="24"/>
                <w:highlight w:val="none"/>
              </w:rPr>
              <w:t>成品经检验包装后，放入仓库等待出货。该工序会产生废包装材料。</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4"/>
                <w:szCs w:val="24"/>
                <w:highlight w:val="none"/>
              </w:rPr>
            </w:pPr>
            <w:r>
              <w:rPr>
                <w:rFonts w:hint="default"/>
                <w:b/>
                <w:bCs/>
                <w:color w:val="auto"/>
                <w:sz w:val="24"/>
                <w:szCs w:val="24"/>
                <w:highlight w:val="none"/>
              </w:rPr>
              <w:t>表2-7  项目污染物产生情况</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969"/>
              <w:gridCol w:w="1529"/>
              <w:gridCol w:w="2175"/>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类别</w:t>
                  </w:r>
                </w:p>
              </w:tc>
              <w:tc>
                <w:tcPr>
                  <w:tcW w:w="143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污染工序</w:t>
                  </w:r>
                </w:p>
              </w:tc>
              <w:tc>
                <w:tcPr>
                  <w:tcW w:w="1252"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污染物</w:t>
                  </w:r>
                </w:p>
              </w:tc>
              <w:tc>
                <w:tcPr>
                  <w:tcW w:w="1875" w:type="pct"/>
                  <w:tcBorders>
                    <w:top w:val="single" w:color="auto" w:sz="4" w:space="0"/>
                    <w:left w:val="nil"/>
                    <w:bottom w:val="single" w:color="auto" w:sz="4" w:space="0"/>
                    <w:right w:val="single" w:color="auto" w:sz="4" w:space="0"/>
                  </w:tcBorders>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eastAsia"/>
                      <w:b/>
                      <w:bCs/>
                      <w:color w:val="auto"/>
                      <w:sz w:val="21"/>
                      <w:highlight w:val="none"/>
                    </w:rPr>
                    <w:t>处理措施及去向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restart"/>
                  <w:tcBorders>
                    <w:top w:val="nil"/>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废气</w:t>
                  </w:r>
                </w:p>
              </w:tc>
              <w:tc>
                <w:tcPr>
                  <w:tcW w:w="1438" w:type="pct"/>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退火</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lang w:val="en-US"/>
                    </w:rPr>
                  </w:pPr>
                  <w:r>
                    <w:rPr>
                      <w:rFonts w:hint="eastAsia"/>
                      <w:color w:val="auto"/>
                      <w:kern w:val="2"/>
                      <w:sz w:val="21"/>
                      <w:highlight w:val="none"/>
                      <w:lang w:val="en-US" w:eastAsia="zh-CN"/>
                    </w:rPr>
                    <w:t>非甲烷总烃</w:t>
                  </w:r>
                </w:p>
              </w:tc>
              <w:tc>
                <w:tcPr>
                  <w:tcW w:w="1875" w:type="pct"/>
                  <w:vMerge w:val="restart"/>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经“水喷淋+干式过滤器+二级活性炭吸附装置”处理后经25m高排气筒（DA001）高空排放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43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1438" w:type="pct"/>
                  <w:gridSpan w:val="2"/>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热浸</w:t>
                  </w:r>
                  <w:r>
                    <w:rPr>
                      <w:rFonts w:hint="default"/>
                      <w:color w:val="auto"/>
                      <w:kern w:val="2"/>
                      <w:sz w:val="21"/>
                      <w:highlight w:val="none"/>
                    </w:rPr>
                    <w:t>锡</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非甲烷总烃、锡及其化合物</w:t>
                  </w:r>
                </w:p>
              </w:tc>
              <w:tc>
                <w:tcPr>
                  <w:tcW w:w="1875" w:type="pct"/>
                  <w:vMerge w:val="continue"/>
                  <w:tcBorders>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33" w:type="pct"/>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rPr>
                    <w:t>废水</w:t>
                  </w:r>
                </w:p>
              </w:tc>
              <w:tc>
                <w:tcPr>
                  <w:tcW w:w="1438" w:type="pct"/>
                  <w:gridSpan w:val="2"/>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退火</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（冷却水槽废水）</w:t>
                  </w:r>
                </w:p>
              </w:tc>
              <w:tc>
                <w:tcPr>
                  <w:tcW w:w="1252" w:type="pct"/>
                  <w:tcBorders>
                    <w:top w:val="single" w:color="auto" w:sz="4" w:space="0"/>
                    <w:left w:val="nil"/>
                    <w:bottom w:val="single" w:color="auto" w:sz="4" w:space="0"/>
                    <w:right w:val="single" w:color="auto" w:sz="4" w:space="0"/>
                  </w:tcBorders>
                  <w:vAlign w:val="center"/>
                </w:tcPr>
                <w:p>
                  <w:pPr>
                    <w:pStyle w:val="19"/>
                    <w:keepNext w:val="0"/>
                    <w:keepLines w:val="0"/>
                    <w:suppressLineNumbers w:val="0"/>
                    <w:spacing w:before="0" w:beforeAutospacing="0" w:after="0" w:afterAutospacing="0"/>
                    <w:ind w:left="0" w:leftChars="0" w:right="0" w:firstLine="0" w:firstLineChars="0"/>
                    <w:jc w:val="center"/>
                    <w:rPr>
                      <w:rFonts w:hint="default"/>
                      <w:color w:val="auto"/>
                      <w:kern w:val="2"/>
                      <w:sz w:val="21"/>
                      <w:highlight w:val="none"/>
                    </w:rPr>
                  </w:pPr>
                  <w:r>
                    <w:rPr>
                      <w:rFonts w:hint="eastAsia"/>
                      <w:color w:val="auto"/>
                      <w:sz w:val="21"/>
                      <w:szCs w:val="21"/>
                      <w:highlight w:val="none"/>
                      <w:lang w:val="en-US" w:eastAsia="zh-CN"/>
                    </w:rPr>
                    <w:t>pH、CODc、BOD</w:t>
                  </w:r>
                  <w:r>
                    <w:rPr>
                      <w:rFonts w:hint="eastAsia"/>
                      <w:color w:val="auto"/>
                      <w:sz w:val="21"/>
                      <w:szCs w:val="21"/>
                      <w:highlight w:val="none"/>
                      <w:vertAlign w:val="subscript"/>
                      <w:lang w:val="en-US" w:eastAsia="zh-CN"/>
                    </w:rPr>
                    <w:t>5</w:t>
                  </w:r>
                  <w:r>
                    <w:rPr>
                      <w:rFonts w:hint="eastAsia"/>
                      <w:color w:val="auto"/>
                      <w:sz w:val="21"/>
                      <w:szCs w:val="21"/>
                      <w:highlight w:val="none"/>
                      <w:lang w:val="en-US" w:eastAsia="zh-CN"/>
                    </w:rPr>
                    <w:t>、氨氮、SS、TP</w:t>
                  </w:r>
                </w:p>
              </w:tc>
              <w:tc>
                <w:tcPr>
                  <w:tcW w:w="187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kern w:val="2"/>
                      <w:sz w:val="21"/>
                      <w:highlight w:val="none"/>
                      <w:lang w:val="en-US" w:eastAsia="zh-CN"/>
                    </w:rPr>
                  </w:pPr>
                  <w:r>
                    <w:rPr>
                      <w:rFonts w:hint="eastAsia"/>
                      <w:color w:val="auto"/>
                      <w:kern w:val="2"/>
                      <w:sz w:val="21"/>
                      <w:highlight w:val="none"/>
                    </w:rPr>
                    <w:t>经一体化处理设施，处理工艺为“调节池+混凝反应池+沉淀池+过滤池+清水池”，处理后</w:t>
                  </w:r>
                  <w:r>
                    <w:rPr>
                      <w:rFonts w:hint="eastAsia"/>
                      <w:color w:val="auto"/>
                      <w:kern w:val="2"/>
                      <w:sz w:val="21"/>
                      <w:highlight w:val="none"/>
                      <w:lang w:val="en-US" w:eastAsia="zh-CN"/>
                    </w:rPr>
                    <w:t>回用到退火机冷却水槽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1438" w:type="pct"/>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员工生活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w:t>
                  </w:r>
                  <w:r>
                    <w:rPr>
                      <w:rFonts w:hint="default"/>
                      <w:color w:val="auto"/>
                      <w:kern w:val="2"/>
                      <w:sz w:val="21"/>
                      <w:highlight w:val="none"/>
                    </w:rPr>
                    <w:t>生活污水</w:t>
                  </w:r>
                  <w:r>
                    <w:rPr>
                      <w:rFonts w:hint="eastAsia"/>
                      <w:color w:val="auto"/>
                      <w:kern w:val="2"/>
                      <w:sz w:val="21"/>
                      <w:highlight w:val="none"/>
                    </w:rPr>
                    <w:t>）</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COD、BOD</w:t>
                  </w:r>
                  <w:r>
                    <w:rPr>
                      <w:rFonts w:hint="default"/>
                      <w:color w:val="auto"/>
                      <w:kern w:val="2"/>
                      <w:sz w:val="21"/>
                      <w:highlight w:val="none"/>
                      <w:vertAlign w:val="subscript"/>
                    </w:rPr>
                    <w:t>5</w:t>
                  </w:r>
                  <w:r>
                    <w:rPr>
                      <w:rFonts w:hint="default"/>
                      <w:color w:val="auto"/>
                      <w:kern w:val="2"/>
                      <w:sz w:val="21"/>
                      <w:highlight w:val="none"/>
                    </w:rPr>
                    <w:t>、NH</w:t>
                  </w:r>
                  <w:r>
                    <w:rPr>
                      <w:rFonts w:hint="default"/>
                      <w:color w:val="auto"/>
                      <w:kern w:val="2"/>
                      <w:sz w:val="21"/>
                      <w:highlight w:val="none"/>
                      <w:vertAlign w:val="subscript"/>
                    </w:rPr>
                    <w:t>3</w:t>
                  </w:r>
                  <w:r>
                    <w:rPr>
                      <w:rFonts w:hint="default"/>
                      <w:color w:val="auto"/>
                      <w:kern w:val="2"/>
                      <w:sz w:val="21"/>
                      <w:highlight w:val="none"/>
                    </w:rPr>
                    <w:t>-N、SS</w:t>
                  </w:r>
                </w:p>
              </w:tc>
              <w:tc>
                <w:tcPr>
                  <w:tcW w:w="187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三级化粪池处理后排入市政污水管网纳入杨侨镇生活污水处理厂处理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restart"/>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固废</w:t>
                  </w:r>
                </w:p>
              </w:tc>
              <w:tc>
                <w:tcPr>
                  <w:tcW w:w="558" w:type="pct"/>
                  <w:vMerge w:val="restart"/>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一般工业固体废物</w:t>
                  </w:r>
                </w:p>
              </w:tc>
              <w:tc>
                <w:tcPr>
                  <w:tcW w:w="8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热浸锡</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锡渣</w:t>
                  </w:r>
                </w:p>
              </w:tc>
              <w:tc>
                <w:tcPr>
                  <w:tcW w:w="1875" w:type="pct"/>
                  <w:vMerge w:val="restart"/>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交由回收单位处理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olor w:val="auto"/>
                      <w:kern w:val="2"/>
                      <w:sz w:val="21"/>
                      <w:highlight w:val="none"/>
                      <w:lang w:val="en-US" w:eastAsia="zh-CN"/>
                    </w:rPr>
                  </w:pPr>
                  <w:r>
                    <w:rPr>
                      <w:rFonts w:hint="eastAsia"/>
                      <w:color w:val="auto"/>
                      <w:kern w:val="2"/>
                      <w:sz w:val="21"/>
                      <w:highlight w:val="none"/>
                      <w:lang w:val="en-US" w:eastAsia="zh-CN"/>
                    </w:rPr>
                    <w:t>拉丝</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边角料</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包装</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废包装材料</w:t>
                  </w:r>
                </w:p>
              </w:tc>
              <w:tc>
                <w:tcPr>
                  <w:tcW w:w="1875" w:type="pct"/>
                  <w:vMerge w:val="continue"/>
                  <w:tcBorders>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restart"/>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危险废物</w:t>
                  </w:r>
                </w:p>
              </w:tc>
              <w:tc>
                <w:tcPr>
                  <w:tcW w:w="8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设备维护保养</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kern w:val="2"/>
                      <w:sz w:val="21"/>
                      <w:highlight w:val="none"/>
                    </w:rPr>
                  </w:pPr>
                  <w:r>
                    <w:rPr>
                      <w:rFonts w:hint="default"/>
                      <w:color w:val="auto"/>
                      <w:sz w:val="21"/>
                      <w:highlight w:val="none"/>
                      <w:lang w:bidi="ar"/>
                    </w:rPr>
                    <w:t>废润滑油</w:t>
                  </w:r>
                </w:p>
              </w:tc>
              <w:tc>
                <w:tcPr>
                  <w:tcW w:w="1875" w:type="pct"/>
                  <w:vMerge w:val="restart"/>
                  <w:tcBorders>
                    <w:top w:val="single" w:color="auto" w:sz="4"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交由有危险废物处置资质的单位处置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sz w:val="21"/>
                      <w:highlight w:val="none"/>
                      <w:lang w:bidi="ar"/>
                    </w:rPr>
                    <w:t>废润滑油包装桶</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kern w:val="2"/>
                      <w:sz w:val="21"/>
                      <w:highlight w:val="none"/>
                    </w:rPr>
                    <w:t>废抹布、废手套</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拉丝</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eastAsia"/>
                      <w:color w:val="auto"/>
                      <w:kern w:val="2"/>
                      <w:sz w:val="21"/>
                      <w:highlight w:val="none"/>
                      <w:lang w:val="en-US" w:eastAsia="zh-CN"/>
                    </w:rPr>
                    <w:t>含油</w:t>
                  </w:r>
                  <w:r>
                    <w:rPr>
                      <w:rFonts w:hint="default"/>
                      <w:color w:val="auto"/>
                      <w:kern w:val="2"/>
                      <w:sz w:val="21"/>
                      <w:highlight w:val="none"/>
                    </w:rPr>
                    <w:t>废铜线</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sz w:val="21"/>
                      <w:highlight w:val="none"/>
                      <w:lang w:bidi="ar"/>
                    </w:rPr>
                    <w:t>废拉丝油包装桶</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sz w:val="21"/>
                      <w:highlight w:val="none"/>
                    </w:rPr>
                    <w:t>拉丝油废液</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光亮防锈</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kern w:val="2"/>
                      <w:sz w:val="21"/>
                      <w:highlight w:val="none"/>
                    </w:rPr>
                    <w:t>废导轴油包装桶</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kern w:val="2"/>
                      <w:sz w:val="21"/>
                      <w:highlight w:val="none"/>
                      <w:lang w:val="en-US" w:eastAsia="zh-CN"/>
                    </w:rPr>
                  </w:pPr>
                  <w:r>
                    <w:rPr>
                      <w:rFonts w:hint="eastAsia"/>
                      <w:color w:val="auto"/>
                      <w:kern w:val="2"/>
                      <w:sz w:val="21"/>
                      <w:highlight w:val="none"/>
                      <w:lang w:val="en-US" w:eastAsia="zh-CN"/>
                    </w:rPr>
                    <w:t>废导轴油</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退火、冷却</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snapToGrid w:val="0"/>
                      <w:color w:val="auto"/>
                      <w:sz w:val="21"/>
                      <w:highlight w:val="none"/>
                    </w:rPr>
                    <w:t>废抗氧化剂包装桶</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清洁</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olor w:val="auto"/>
                      <w:sz w:val="21"/>
                      <w:highlight w:val="none"/>
                      <w:lang w:eastAsia="zh-CN" w:bidi="ar"/>
                    </w:rPr>
                  </w:pPr>
                  <w:r>
                    <w:rPr>
                      <w:rFonts w:hint="eastAsia"/>
                      <w:color w:val="auto"/>
                      <w:sz w:val="21"/>
                      <w:highlight w:val="none"/>
                      <w:lang w:eastAsia="zh-CN"/>
                    </w:rPr>
                    <w:t>含助焊剂废毛毡</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kern w:val="2"/>
                      <w:sz w:val="21"/>
                      <w:highlight w:val="none"/>
                    </w:rPr>
                    <w:t>废助焊剂包装桶</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sz w:val="21"/>
                      <w:highlight w:val="none"/>
                    </w:rPr>
                    <w:t>“水喷淋+干式过滤器+二级活性炭吸附”装置</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sz w:val="21"/>
                      <w:highlight w:val="none"/>
                    </w:rPr>
                    <w:t>喷淋塔更换废水</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highlight w:val="none"/>
                      <w:lang w:bidi="ar"/>
                    </w:rPr>
                  </w:pPr>
                  <w:r>
                    <w:rPr>
                      <w:rFonts w:hint="default"/>
                      <w:color w:val="auto"/>
                      <w:kern w:val="2"/>
                      <w:sz w:val="21"/>
                      <w:highlight w:val="none"/>
                    </w:rPr>
                    <w:t>喷淋塔沉渣</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废活性炭</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vMerge w:val="continue"/>
                  <w:tcBorders>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kern w:val="2"/>
                      <w:sz w:val="21"/>
                      <w:highlight w:val="none"/>
                      <w:lang w:val="en-US" w:eastAsia="zh-CN"/>
                    </w:rPr>
                  </w:pPr>
                  <w:r>
                    <w:rPr>
                      <w:rFonts w:hint="eastAsia"/>
                      <w:color w:val="auto"/>
                      <w:kern w:val="2"/>
                      <w:sz w:val="21"/>
                      <w:highlight w:val="none"/>
                      <w:lang w:val="en-US" w:eastAsia="zh-CN"/>
                    </w:rPr>
                    <w:t>废过滤纤维网</w:t>
                  </w:r>
                </w:p>
              </w:tc>
              <w:tc>
                <w:tcPr>
                  <w:tcW w:w="1875" w:type="pct"/>
                  <w:vMerge w:val="continue"/>
                  <w:tcBorders>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58" w:type="pct"/>
                  <w:vMerge w:val="continue"/>
                  <w:tcBorders>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c>
                <w:tcPr>
                  <w:tcW w:w="880" w:type="pct"/>
                  <w:tcBorders>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一体化冷却水处理设施</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szCs w:val="21"/>
                      <w:highlight w:val="none"/>
                    </w:rPr>
                  </w:pPr>
                  <w:r>
                    <w:rPr>
                      <w:rFonts w:hint="default"/>
                      <w:color w:val="auto"/>
                      <w:kern w:val="2"/>
                      <w:sz w:val="21"/>
                      <w:szCs w:val="21"/>
                      <w:highlight w:val="none"/>
                    </w:rPr>
                    <w:t>废污泥</w:t>
                  </w:r>
                </w:p>
              </w:tc>
              <w:tc>
                <w:tcPr>
                  <w:tcW w:w="1875" w:type="pct"/>
                  <w:vMerge w:val="continue"/>
                  <w:tcBorders>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1438" w:type="pct"/>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员工生活</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生活垃圾</w:t>
                  </w:r>
                </w:p>
              </w:tc>
              <w:tc>
                <w:tcPr>
                  <w:tcW w:w="187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环卫部门清</w:t>
                  </w:r>
                  <w:r>
                    <w:rPr>
                      <w:rFonts w:hint="eastAsia"/>
                      <w:color w:val="auto"/>
                      <w:kern w:val="2"/>
                      <w:sz w:val="21"/>
                      <w:highlight w:val="none"/>
                      <w:lang w:val="en-US" w:eastAsia="zh-CN"/>
                    </w:rPr>
                    <w:t>运</w:t>
                  </w:r>
                  <w:r>
                    <w:rPr>
                      <w:rFonts w:hint="eastAsia"/>
                      <w:color w:val="auto"/>
                      <w:kern w:val="2"/>
                      <w:sz w:val="21"/>
                      <w:highlight w:val="none"/>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噪声</w:t>
                  </w:r>
                </w:p>
              </w:tc>
              <w:tc>
                <w:tcPr>
                  <w:tcW w:w="1438" w:type="pct"/>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生产</w:t>
                  </w:r>
                  <w:r>
                    <w:rPr>
                      <w:rFonts w:hint="eastAsia"/>
                      <w:color w:val="auto"/>
                      <w:kern w:val="2"/>
                      <w:sz w:val="21"/>
                      <w:highlight w:val="none"/>
                    </w:rPr>
                    <w:t>设备</w:t>
                  </w:r>
                </w:p>
              </w:tc>
              <w:tc>
                <w:tcPr>
                  <w:tcW w:w="125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default"/>
                      <w:color w:val="auto"/>
                      <w:kern w:val="2"/>
                      <w:sz w:val="21"/>
                      <w:highlight w:val="none"/>
                    </w:rPr>
                    <w:t>设备噪声</w:t>
                  </w:r>
                </w:p>
              </w:tc>
              <w:tc>
                <w:tcPr>
                  <w:tcW w:w="187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kern w:val="2"/>
                      <w:sz w:val="21"/>
                      <w:highlight w:val="none"/>
                    </w:rPr>
                  </w:pPr>
                  <w:r>
                    <w:rPr>
                      <w:rFonts w:hint="eastAsia"/>
                      <w:color w:val="auto"/>
                      <w:kern w:val="2"/>
                      <w:sz w:val="21"/>
                      <w:highlight w:val="none"/>
                    </w:rPr>
                    <w:t>降噪</w:t>
                  </w:r>
                  <w:r>
                    <w:rPr>
                      <w:rFonts w:hint="eastAsia"/>
                      <w:color w:val="auto"/>
                      <w:kern w:val="2"/>
                      <w:sz w:val="21"/>
                      <w:highlight w:val="none"/>
                      <w:lang w:eastAsia="zh-CN"/>
                    </w:rPr>
                    <w:t>、</w:t>
                  </w:r>
                  <w:r>
                    <w:rPr>
                      <w:rFonts w:hint="eastAsia"/>
                      <w:color w:val="auto"/>
                      <w:kern w:val="2"/>
                      <w:sz w:val="21"/>
                      <w:highlight w:val="none"/>
                    </w:rPr>
                    <w:t>减振、隔声</w:t>
                  </w:r>
                </w:p>
              </w:tc>
            </w:tr>
          </w:tbl>
          <w:p>
            <w:pPr>
              <w:pStyle w:val="2"/>
              <w:keepNext w:val="0"/>
              <w:keepLines w:val="0"/>
              <w:suppressLineNumbers w:val="0"/>
              <w:spacing w:before="0" w:beforeAutospacing="0" w:after="0" w:afterAutospacing="0"/>
              <w:ind w:left="0" w:right="0" w:firstLine="0" w:firstLineChars="0"/>
              <w:rPr>
                <w:rFonts w:hint="default" w:asci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56" w:hRule="atLeast"/>
          <w:jc w:val="center"/>
        </w:trPr>
        <w:tc>
          <w:tcPr>
            <w:tcW w:w="595"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bCs/>
                <w:color w:val="auto"/>
                <w:kern w:val="2"/>
                <w:sz w:val="21"/>
                <w:szCs w:val="21"/>
                <w:highlight w:val="none"/>
              </w:rPr>
              <w:t>与项目有关的原有环境污染问题</w:t>
            </w:r>
          </w:p>
        </w:tc>
        <w:tc>
          <w:tcPr>
            <w:tcW w:w="8419" w:type="dxa"/>
            <w:vAlign w:val="center"/>
          </w:tcPr>
          <w:p>
            <w:pPr>
              <w:pStyle w:val="2"/>
              <w:keepNext w:val="0"/>
              <w:keepLines w:val="0"/>
              <w:suppressLineNumbers w:val="0"/>
              <w:spacing w:before="0" w:beforeAutospacing="0" w:after="0" w:afterAutospacing="0" w:line="520" w:lineRule="exact"/>
              <w:ind w:left="0" w:right="0" w:firstLine="480"/>
              <w:jc w:val="both"/>
              <w:rPr>
                <w:rFonts w:hint="default" w:ascii="Times New Roman" w:cs="Times New Roman"/>
                <w:color w:val="auto"/>
                <w:highlight w:val="none"/>
              </w:rPr>
            </w:pPr>
            <w:r>
              <w:rPr>
                <w:rFonts w:hint="default" w:ascii="Times New Roman" w:cs="Times New Roman"/>
                <w:bCs/>
                <w:color w:val="auto"/>
                <w:highlight w:val="none"/>
              </w:rPr>
              <w:t>本项目为新建项目，无原有环境污染问题。</w:t>
            </w:r>
          </w:p>
        </w:tc>
      </w:tr>
    </w:tbl>
    <w:p>
      <w:pPr>
        <w:pStyle w:val="67"/>
        <w:rPr>
          <w:rFonts w:ascii="Times New Roman" w:hAnsi="Times New Roman"/>
          <w:snapToGrid w:val="0"/>
          <w:color w:val="auto"/>
          <w:highlight w:val="none"/>
        </w:rPr>
        <w:sectPr>
          <w:type w:val="continuous"/>
          <w:pgSz w:w="11906" w:h="16838"/>
          <w:pgMar w:top="1701" w:right="1417" w:bottom="1701" w:left="1531" w:header="851" w:footer="992" w:gutter="0"/>
          <w:cols w:space="720" w:num="1"/>
          <w:formProt w:val="0"/>
          <w:docGrid w:type="lines" w:linePitch="312" w:charSpace="0"/>
        </w:sectPr>
      </w:pPr>
    </w:p>
    <w:p>
      <w:pPr>
        <w:pStyle w:val="67"/>
        <w:outlineLvl w:val="0"/>
        <w:rPr>
          <w:rFonts w:ascii="Times New Roman" w:hAnsi="Times New Roman"/>
          <w:snapToGrid w:val="0"/>
          <w:color w:val="auto"/>
          <w:highlight w:val="none"/>
        </w:rPr>
      </w:pPr>
      <w:r>
        <w:rPr>
          <w:rFonts w:ascii="Times New Roman" w:hAnsi="Times New Roman"/>
          <w:snapToGrid w:val="0"/>
          <w:color w:val="auto"/>
          <w:highlight w:val="none"/>
        </w:rPr>
        <w:t>区域环境质量现状、环境保护目标及评价标准</w:t>
      </w:r>
    </w:p>
    <w:tbl>
      <w:tblPr>
        <w:tblStyle w:val="35"/>
        <w:tblW w:w="91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1"/>
        <w:gridCol w:w="88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06" w:hRule="atLeast"/>
          <w:jc w:val="center"/>
        </w:trPr>
        <w:tc>
          <w:tcPr>
            <w:tcW w:w="321" w:type="dxa"/>
            <w:vAlign w:val="center"/>
          </w:tcPr>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区域</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质量</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现状</w:t>
            </w:r>
          </w:p>
        </w:tc>
        <w:tc>
          <w:tcPr>
            <w:tcW w:w="8807" w:type="dxa"/>
          </w:tcPr>
          <w:p>
            <w:pPr>
              <w:pStyle w:val="49"/>
              <w:keepNext w:val="0"/>
              <w:keepLines w:val="0"/>
              <w:suppressLineNumbers w:val="0"/>
              <w:spacing w:before="156" w:beforeLines="5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1、大气环境</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1）基本污染物</w:t>
            </w:r>
          </w:p>
          <w:p>
            <w:pPr>
              <w:pStyle w:val="49"/>
              <w:keepNext w:val="0"/>
              <w:keepLines w:val="0"/>
              <w:suppressLineNumbers w:val="0"/>
              <w:spacing w:before="0" w:beforeAutospacing="0" w:after="0" w:afterAutospacing="0" w:line="360" w:lineRule="auto"/>
              <w:ind w:right="0" w:firstLine="480"/>
              <w:jc w:val="both"/>
              <w:rPr>
                <w:rFonts w:hint="default" w:ascii="Times New Roman" w:hAnsi="Times New Roman" w:cs="Times New Roman"/>
                <w:color w:val="auto"/>
                <w:sz w:val="24"/>
                <w:szCs w:val="24"/>
                <w:highlight w:val="none"/>
              </w:rPr>
            </w:pPr>
            <w:r>
              <w:rPr>
                <w:rFonts w:hint="eastAsia"/>
                <w:color w:val="auto"/>
                <w:sz w:val="24"/>
                <w:szCs w:val="32"/>
                <w:highlight w:val="none"/>
              </w:rPr>
              <w:t>项目位于惠州市博罗县杨侨镇双杨路万洋众创城</w:t>
            </w:r>
            <w:r>
              <w:rPr>
                <w:rFonts w:hint="default" w:ascii="Times New Roman" w:hAnsi="Times New Roman" w:cs="Times New Roman"/>
                <w:color w:val="auto"/>
                <w:sz w:val="24"/>
                <w:szCs w:val="32"/>
                <w:highlight w:val="none"/>
              </w:rPr>
              <w:t>A12栋。</w:t>
            </w:r>
            <w:r>
              <w:rPr>
                <w:rFonts w:hint="default" w:ascii="Times New Roman" w:hAnsi="Times New Roman" w:cs="Times New Roman"/>
                <w:color w:val="auto"/>
                <w:sz w:val="24"/>
                <w:szCs w:val="24"/>
                <w:highlight w:val="none"/>
              </w:rPr>
              <w:t>根据《2022年惠州市</w:t>
            </w:r>
            <w:r>
              <w:rPr>
                <w:rFonts w:hint="eastAsia" w:ascii="Times New Roman" w:hAnsi="Times New Roman" w:cs="Times New Roman"/>
                <w:color w:val="auto"/>
                <w:sz w:val="24"/>
                <w:szCs w:val="24"/>
                <w:highlight w:val="none"/>
                <w:lang w:val="en-US" w:eastAsia="zh-CN"/>
              </w:rPr>
              <w:t>生态</w:t>
            </w:r>
            <w:r>
              <w:rPr>
                <w:rFonts w:hint="default" w:ascii="Times New Roman" w:hAnsi="Times New Roman" w:cs="Times New Roman"/>
                <w:color w:val="auto"/>
                <w:sz w:val="24"/>
                <w:szCs w:val="24"/>
                <w:highlight w:val="none"/>
              </w:rPr>
              <w:t>环境状况公报》</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1、城市空气：</w:t>
            </w:r>
            <w:r>
              <w:rPr>
                <w:rFonts w:hint="default" w:ascii="Times New Roman" w:hAnsi="Times New Roman" w:cs="Times New Roman"/>
                <w:color w:val="auto"/>
                <w:sz w:val="24"/>
                <w:szCs w:val="24"/>
                <w:highlight w:val="none"/>
              </w:rPr>
              <w:t>2022年，全市环境空气质量保持良好。六项污染物中，二氧化硫、二氧化氮、一氧化碳、可吸入颗粒物PM</w:t>
            </w:r>
            <w:r>
              <w:rPr>
                <w:rFonts w:hint="default" w:ascii="Times New Roman" w:hAnsi="Times New Roman" w:cs="Times New Roman"/>
                <w:color w:val="auto"/>
                <w:sz w:val="24"/>
                <w:szCs w:val="24"/>
                <w:highlight w:val="none"/>
                <w:vertAlign w:val="subscript"/>
              </w:rPr>
              <w:t>10</w:t>
            </w:r>
            <w:r>
              <w:rPr>
                <w:rFonts w:hint="default" w:ascii="Times New Roman" w:hAnsi="Times New Roman" w:cs="Times New Roman"/>
                <w:color w:val="auto"/>
                <w:sz w:val="24"/>
                <w:szCs w:val="24"/>
                <w:highlight w:val="none"/>
              </w:rPr>
              <w:t>年评价浓度达到国家一级标准，细颗粒物PM</w:t>
            </w:r>
            <w:r>
              <w:rPr>
                <w:rFonts w:hint="default" w:ascii="Times New Roman" w:hAnsi="Times New Roman" w:cs="Times New Roman"/>
                <w:color w:val="auto"/>
                <w:sz w:val="24"/>
                <w:szCs w:val="24"/>
                <w:highlight w:val="none"/>
                <w:vertAlign w:val="subscript"/>
              </w:rPr>
              <w:t>2.5</w:t>
            </w:r>
            <w:r>
              <w:rPr>
                <w:rFonts w:hint="default" w:ascii="Times New Roman" w:hAnsi="Times New Roman" w:cs="Times New Roman"/>
                <w:color w:val="auto"/>
                <w:sz w:val="24"/>
                <w:szCs w:val="24"/>
                <w:highlight w:val="none"/>
              </w:rPr>
              <w:t>和臭氧年评价浓度达到国家二级标准。</w:t>
            </w:r>
            <w:r>
              <w:rPr>
                <w:rFonts w:hint="default" w:ascii="Times New Roman" w:hAnsi="Times New Roman" w:cs="Times New Roman"/>
                <w:color w:val="auto"/>
                <w:sz w:val="24"/>
                <w:szCs w:val="24"/>
                <w:highlight w:val="none"/>
                <w:lang w:val="en-US" w:eastAsia="zh-CN"/>
              </w:rPr>
              <w:t>2、各县区空气：2022年，各县区二氧化硫、二氧化氮、一氧化碳，可吸入颗粒物物PM</w:t>
            </w:r>
            <w:r>
              <w:rPr>
                <w:rFonts w:hint="default" w:ascii="Times New Roman" w:hAnsi="Times New Roman" w:cs="Times New Roman"/>
                <w:color w:val="auto"/>
                <w:sz w:val="24"/>
                <w:szCs w:val="24"/>
                <w:highlight w:val="none"/>
                <w:vertAlign w:val="subscript"/>
                <w:lang w:val="en-US" w:eastAsia="zh-CN"/>
              </w:rPr>
              <w:t>10</w:t>
            </w:r>
            <w:r>
              <w:rPr>
                <w:rFonts w:hint="default" w:ascii="Times New Roman" w:hAnsi="Times New Roman" w:cs="Times New Roman"/>
                <w:color w:val="auto"/>
                <w:sz w:val="24"/>
                <w:szCs w:val="24"/>
                <w:highlight w:val="none"/>
                <w:lang w:val="en-US" w:eastAsia="zh-CN"/>
              </w:rPr>
              <w:t>年评价浓度达到国家一级标准，细颗粒物</w:t>
            </w:r>
            <w:r>
              <w:rPr>
                <w:rFonts w:hint="default" w:ascii="Times New Roman" w:hAnsi="Times New Roman" w:cs="Times New Roman"/>
                <w:color w:val="auto"/>
                <w:sz w:val="24"/>
                <w:szCs w:val="24"/>
                <w:highlight w:val="none"/>
              </w:rPr>
              <w:t>PM</w:t>
            </w:r>
            <w:r>
              <w:rPr>
                <w:rFonts w:hint="default" w:ascii="Times New Roman" w:hAnsi="Times New Roman" w:cs="Times New Roman"/>
                <w:color w:val="auto"/>
                <w:sz w:val="24"/>
                <w:szCs w:val="24"/>
                <w:highlight w:val="none"/>
                <w:vertAlign w:val="subscript"/>
              </w:rPr>
              <w:t>2.5</w:t>
            </w:r>
            <w:r>
              <w:rPr>
                <w:rFonts w:hint="default" w:ascii="Times New Roman" w:hAnsi="Times New Roman" w:cs="Times New Roman"/>
                <w:color w:val="auto"/>
                <w:sz w:val="24"/>
                <w:szCs w:val="24"/>
                <w:highlight w:val="none"/>
                <w:lang w:val="en-US" w:eastAsia="zh-CN"/>
              </w:rPr>
              <w:t>和臭氧年评价浓度到国家二级标准及以上</w:t>
            </w:r>
            <w:r>
              <w:rPr>
                <w:rFonts w:hint="eastAsia"/>
                <w:color w:val="auto"/>
                <w:highlight w:val="none"/>
                <w:lang w:val="en-US" w:eastAsia="zh-CN"/>
              </w:rPr>
              <w:t>；</w:t>
            </w:r>
            <w:r>
              <w:rPr>
                <w:rFonts w:hint="default" w:ascii="Times New Roman" w:hAnsi="Times New Roman" w:cs="Times New Roman"/>
                <w:color w:val="auto"/>
                <w:sz w:val="24"/>
                <w:szCs w:val="24"/>
                <w:highlight w:val="none"/>
              </w:rPr>
              <w:t>各县区AQI达标率范围在91.8%</w:t>
            </w:r>
            <w:r>
              <w:rPr>
                <w:rFonts w:hint="eastAsia"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rPr>
              <w:t>97.3%之间</w:t>
            </w:r>
            <w:r>
              <w:rPr>
                <w:rFonts w:hint="eastAsia"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rPr>
              <w:t>综合指数范围在2.31</w:t>
            </w:r>
            <w:r>
              <w:rPr>
                <w:rFonts w:hint="eastAsia"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rPr>
              <w:t>2.70之间；首要污染物主要为臭氧。</w:t>
            </w:r>
          </w:p>
          <w:p>
            <w:pPr>
              <w:keepNext w:val="0"/>
              <w:keepLines w:val="0"/>
              <w:suppressLineNumbers w:val="0"/>
              <w:adjustRightInd w:val="0"/>
              <w:snapToGrid w:val="0"/>
              <w:spacing w:before="0" w:beforeAutospacing="0" w:after="0" w:afterAutospacing="0" w:line="240" w:lineRule="auto"/>
              <w:ind w:left="0" w:right="0"/>
              <w:jc w:val="both"/>
              <w:rPr>
                <w:rFonts w:hint="default"/>
                <w:color w:val="auto"/>
                <w:sz w:val="24"/>
                <w:szCs w:val="24"/>
                <w:highlight w:val="none"/>
              </w:rPr>
            </w:pPr>
            <w:r>
              <w:rPr>
                <w:rFonts w:hint="default"/>
                <w:color w:val="auto"/>
                <w:highlight w:val="none"/>
              </w:rPr>
              <w:drawing>
                <wp:inline distT="0" distB="0" distL="114300" distR="114300">
                  <wp:extent cx="5210810" cy="2277745"/>
                  <wp:effectExtent l="0" t="0" r="8890" b="825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27"/>
                          <a:stretch>
                            <a:fillRect/>
                          </a:stretch>
                        </pic:blipFill>
                        <pic:spPr>
                          <a:xfrm>
                            <a:off x="0" y="0"/>
                            <a:ext cx="5210810" cy="2277745"/>
                          </a:xfrm>
                          <a:prstGeom prst="rect">
                            <a:avLst/>
                          </a:prstGeom>
                          <a:noFill/>
                          <a:ln>
                            <a:noFill/>
                          </a:ln>
                        </pic:spPr>
                      </pic:pic>
                    </a:graphicData>
                  </a:graphic>
                </wp:inline>
              </w:drawing>
            </w:r>
          </w:p>
          <w:p>
            <w:pPr>
              <w:keepNext w:val="0"/>
              <w:keepLines w:val="0"/>
              <w:suppressLineNumbers w:val="0"/>
              <w:adjustRightInd w:val="0"/>
              <w:snapToGrid w:val="0"/>
              <w:spacing w:before="0" w:beforeAutospacing="0" w:after="0" w:afterAutospacing="0" w:line="360" w:lineRule="auto"/>
              <w:ind w:left="0" w:right="0" w:firstLine="482"/>
              <w:jc w:val="center"/>
              <w:rPr>
                <w:rFonts w:hint="default"/>
                <w:b/>
                <w:bCs/>
                <w:color w:val="auto"/>
                <w:sz w:val="24"/>
                <w:szCs w:val="24"/>
                <w:highlight w:val="none"/>
              </w:rPr>
            </w:pPr>
            <w:r>
              <w:rPr>
                <w:rFonts w:hint="eastAsia"/>
                <w:b/>
                <w:bCs/>
                <w:color w:val="auto"/>
                <w:sz w:val="24"/>
                <w:szCs w:val="24"/>
                <w:highlight w:val="none"/>
              </w:rPr>
              <w:t>图3-1  2022年惠州市生态环境状况公报截图（大气环境）</w:t>
            </w:r>
          </w:p>
          <w:p>
            <w:pPr>
              <w:keepNext w:val="0"/>
              <w:keepLines w:val="0"/>
              <w:pageBreakBefore w:val="0"/>
              <w:widowControl w:val="0"/>
              <w:suppressLineNumbers w:val="0"/>
              <w:kinsoku/>
              <w:wordWrap w:val="0"/>
              <w:overflowPunct/>
              <w:topLinePunct w:val="0"/>
              <w:autoSpaceDE/>
              <w:autoSpaceDN/>
              <w:bidi w:val="0"/>
              <w:spacing w:before="0" w:beforeAutospacing="0" w:after="0" w:afterAutospacing="0" w:line="360" w:lineRule="auto"/>
              <w:ind w:left="0" w:right="0" w:firstLine="480" w:firstLineChars="200"/>
              <w:jc w:val="both"/>
              <w:textAlignment w:val="auto"/>
              <w:rPr>
                <w:rFonts w:hint="default"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综上所述，</w:t>
            </w:r>
            <w:r>
              <w:rPr>
                <w:rFonts w:hint="default" w:ascii="Times New Roman" w:hAnsi="Times New Roman" w:eastAsia="宋体"/>
                <w:color w:val="auto"/>
                <w:sz w:val="24"/>
                <w:szCs w:val="24"/>
                <w:highlight w:val="none"/>
              </w:rPr>
              <w:t>项目所在区域</w:t>
            </w:r>
            <w:r>
              <w:rPr>
                <w:rFonts w:hint="eastAsia" w:ascii="Times New Roman" w:hAnsi="Times New Roman" w:eastAsia="宋体"/>
                <w:color w:val="auto"/>
                <w:sz w:val="24"/>
                <w:szCs w:val="24"/>
                <w:highlight w:val="none"/>
              </w:rPr>
              <w:t>为达标区</w:t>
            </w:r>
            <w:r>
              <w:rPr>
                <w:rFonts w:hint="default" w:ascii="Times New Roman" w:hAnsi="Times New Roman" w:eastAsia="宋体"/>
                <w:color w:val="auto"/>
                <w:sz w:val="24"/>
                <w:szCs w:val="24"/>
                <w:highlight w:val="none"/>
              </w:rPr>
              <w:t>。</w:t>
            </w:r>
          </w:p>
          <w:p>
            <w:pPr>
              <w:pStyle w:val="49"/>
              <w:keepNext w:val="0"/>
              <w:keepLines w:val="0"/>
              <w:pageBreakBefore w:val="0"/>
              <w:widowControl w:val="0"/>
              <w:suppressLineNumbers w:val="0"/>
              <w:kinsoku/>
              <w:overflowPunct/>
              <w:topLinePunct w:val="0"/>
              <w:autoSpaceDE/>
              <w:autoSpaceDN/>
              <w:bidi w:val="0"/>
              <w:spacing w:before="0" w:beforeAutospacing="0" w:after="0" w:afterAutospacing="0" w:line="360" w:lineRule="auto"/>
              <w:ind w:right="0" w:firstLine="482"/>
              <w:jc w:val="both"/>
              <w:textAlignment w:val="auto"/>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2）特征污染物</w:t>
            </w:r>
          </w:p>
          <w:p>
            <w:pPr>
              <w:pStyle w:val="4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right="0" w:firstLine="480"/>
              <w:jc w:val="both"/>
              <w:textAlignment w:val="auto"/>
              <w:rPr>
                <w:rFonts w:hint="default"/>
                <w:color w:val="auto"/>
                <w:szCs w:val="24"/>
                <w:highlight w:val="none"/>
              </w:rPr>
            </w:pPr>
            <w:r>
              <w:rPr>
                <w:rFonts w:hint="default" w:ascii="Times New Roman" w:hAnsi="Times New Roman" w:cs="Times New Roman"/>
                <w:color w:val="auto"/>
                <w:sz w:val="24"/>
                <w:szCs w:val="24"/>
                <w:highlight w:val="none"/>
              </w:rPr>
              <w:t>本项目排放的大气污染物主要非甲烷总烃和TSP。为了解本项目所在区域特征因子的质量现状，本项目引用《广东博罗县产业转移工业园区2021年度环境管理状况评估工作报告》</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公示网址：广东博罗县产业转移工业园区2021年度环境管理状况评估工作报告_重点工作_博罗县人民政府门户网站  http://www.boluo.gov.cn/bmzb/hzssthjjblfj/zwgk/qt/zdgz/content/post_4603335.html）</w:t>
            </w:r>
            <w:r>
              <w:rPr>
                <w:rFonts w:hint="default" w:ascii="Times New Roman" w:hAnsi="Times New Roman" w:cs="Times New Roman"/>
                <w:color w:val="auto"/>
                <w:sz w:val="24"/>
                <w:szCs w:val="24"/>
                <w:highlight w:val="none"/>
              </w:rPr>
              <w:t>，广东宏科检测技术有限公司于2021年11月28日~12月04日对“A1区块一中心位置”监测点位连续7天的环境空气质量监测数据（报告编号：GDHK20211127002）进行现状评价，监测点位于项目西南侧，与厂界距离约328</w:t>
            </w:r>
            <w:r>
              <w:rPr>
                <w:rFonts w:hint="eastAsia" w:ascii="Times New Roman" w:hAnsi="Times New Roman" w:cs="Times New Roman"/>
                <w:color w:val="auto"/>
                <w:sz w:val="24"/>
                <w:szCs w:val="24"/>
                <w:highlight w:val="none"/>
              </w:rPr>
              <w:t>5</w:t>
            </w:r>
            <w:r>
              <w:rPr>
                <w:rFonts w:hint="default" w:ascii="Times New Roman" w:hAnsi="Times New Roman" w:cs="Times New Roman"/>
                <w:color w:val="auto"/>
                <w:sz w:val="24"/>
                <w:szCs w:val="24"/>
                <w:highlight w:val="none"/>
              </w:rPr>
              <w:t>m＜5km，且为近3年监测数据，因此，引用数据具有可行性，具体现状监测结果见下表。</w:t>
            </w:r>
          </w:p>
          <w:p>
            <w:pPr>
              <w:pStyle w:val="106"/>
              <w:keepNext w:val="0"/>
              <w:keepLines w:val="0"/>
              <w:numPr>
                <w:ilvl w:val="0"/>
                <w:numId w:val="0"/>
              </w:numPr>
              <w:suppressLineNumbers w:val="0"/>
              <w:spacing w:before="0" w:beforeAutospacing="0" w:after="0" w:afterAutospacing="0"/>
              <w:ind w:left="0" w:right="0"/>
              <w:rPr>
                <w:rFonts w:hint="default"/>
                <w:color w:val="auto"/>
                <w:szCs w:val="24"/>
                <w:highlight w:val="none"/>
              </w:rPr>
            </w:pPr>
            <w:r>
              <w:rPr>
                <w:rFonts w:hint="default"/>
                <w:color w:val="auto"/>
                <w:szCs w:val="24"/>
                <w:highlight w:val="none"/>
              </w:rPr>
              <w:t>表3-1  监测点位基本信息</w:t>
            </w:r>
          </w:p>
          <w:tbl>
            <w:tblPr>
              <w:tblStyle w:val="3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7"/>
              <w:gridCol w:w="1843"/>
              <w:gridCol w:w="1661"/>
              <w:gridCol w:w="1523"/>
              <w:gridCol w:w="1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监测点位</w:t>
                  </w:r>
                </w:p>
              </w:tc>
              <w:tc>
                <w:tcPr>
                  <w:tcW w:w="1055"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监测因子</w:t>
                  </w:r>
                </w:p>
              </w:tc>
              <w:tc>
                <w:tcPr>
                  <w:tcW w:w="951"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监测时段</w:t>
                  </w:r>
                </w:p>
              </w:tc>
              <w:tc>
                <w:tcPr>
                  <w:tcW w:w="872"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相对厂址方位</w:t>
                  </w:r>
                </w:p>
              </w:tc>
              <w:tc>
                <w:tcPr>
                  <w:tcW w:w="977" w:type="pct"/>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相对厂界距离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A1区块一中心位置</w:t>
                  </w:r>
                </w:p>
              </w:tc>
              <w:tc>
                <w:tcPr>
                  <w:tcW w:w="1055"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TSP、非甲烷总烃</w:t>
                  </w:r>
                </w:p>
              </w:tc>
              <w:tc>
                <w:tcPr>
                  <w:tcW w:w="951"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2021年11月28日~12月04日</w:t>
                  </w:r>
                </w:p>
              </w:tc>
              <w:tc>
                <w:tcPr>
                  <w:tcW w:w="87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西南</w:t>
                  </w:r>
                </w:p>
              </w:tc>
              <w:tc>
                <w:tcPr>
                  <w:tcW w:w="977"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3285m</w:t>
                  </w:r>
                </w:p>
              </w:tc>
            </w:tr>
          </w:tbl>
          <w:p>
            <w:pPr>
              <w:pStyle w:val="106"/>
              <w:keepNext w:val="0"/>
              <w:keepLines w:val="0"/>
              <w:numPr>
                <w:ilvl w:val="0"/>
                <w:numId w:val="0"/>
              </w:numPr>
              <w:suppressLineNumbers w:val="0"/>
              <w:spacing w:before="156" w:beforeLines="50" w:beforeAutospacing="0" w:after="0" w:afterAutospacing="0"/>
              <w:ind w:left="0" w:right="0"/>
              <w:rPr>
                <w:rFonts w:hint="default"/>
                <w:color w:val="auto"/>
                <w:szCs w:val="24"/>
                <w:highlight w:val="none"/>
              </w:rPr>
            </w:pPr>
            <w:r>
              <w:rPr>
                <w:rFonts w:hint="default"/>
                <w:color w:val="auto"/>
                <w:szCs w:val="24"/>
                <w:highlight w:val="none"/>
              </w:rPr>
              <w:t>表3-2  环境质量现状（监测结果）一览表</w:t>
            </w:r>
          </w:p>
          <w:tbl>
            <w:tblPr>
              <w:tblStyle w:val="35"/>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70"/>
              <w:gridCol w:w="1382"/>
              <w:gridCol w:w="1146"/>
              <w:gridCol w:w="1409"/>
              <w:gridCol w:w="1344"/>
              <w:gridCol w:w="876"/>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2"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监测</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点位</w:t>
                  </w:r>
                </w:p>
              </w:tc>
              <w:tc>
                <w:tcPr>
                  <w:tcW w:w="555"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污染物</w:t>
                  </w:r>
                </w:p>
              </w:tc>
              <w:tc>
                <w:tcPr>
                  <w:tcW w:w="79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平均</w:t>
                  </w:r>
                </w:p>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时间</w:t>
                  </w:r>
                </w:p>
              </w:tc>
              <w:tc>
                <w:tcPr>
                  <w:tcW w:w="65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评价标准（mg/m</w:t>
                  </w:r>
                  <w:r>
                    <w:rPr>
                      <w:rFonts w:hint="default"/>
                      <w:b/>
                      <w:bCs/>
                      <w:color w:val="auto"/>
                      <w:kern w:val="2"/>
                      <w:sz w:val="21"/>
                      <w:highlight w:val="none"/>
                      <w:vertAlign w:val="superscript"/>
                    </w:rPr>
                    <w:t>3</w:t>
                  </w:r>
                  <w:r>
                    <w:rPr>
                      <w:rFonts w:hint="default"/>
                      <w:b/>
                      <w:bCs/>
                      <w:color w:val="auto"/>
                      <w:kern w:val="2"/>
                      <w:sz w:val="21"/>
                      <w:highlight w:val="none"/>
                    </w:rPr>
                    <w:t>）</w:t>
                  </w:r>
                </w:p>
              </w:tc>
              <w:tc>
                <w:tcPr>
                  <w:tcW w:w="80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监测浓度范围（mg/m</w:t>
                  </w:r>
                  <w:r>
                    <w:rPr>
                      <w:rFonts w:hint="default"/>
                      <w:b/>
                      <w:bCs/>
                      <w:color w:val="auto"/>
                      <w:kern w:val="2"/>
                      <w:sz w:val="21"/>
                      <w:highlight w:val="none"/>
                      <w:vertAlign w:val="superscript"/>
                    </w:rPr>
                    <w:t>3</w:t>
                  </w:r>
                  <w:r>
                    <w:rPr>
                      <w:rFonts w:hint="default"/>
                      <w:b/>
                      <w:bCs/>
                      <w:color w:val="auto"/>
                      <w:kern w:val="2"/>
                      <w:sz w:val="21"/>
                      <w:highlight w:val="none"/>
                    </w:rPr>
                    <w:t>）</w:t>
                  </w:r>
                </w:p>
              </w:tc>
              <w:tc>
                <w:tcPr>
                  <w:tcW w:w="769"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最大浓度占标率（%）</w:t>
                  </w:r>
                </w:p>
              </w:tc>
              <w:tc>
                <w:tcPr>
                  <w:tcW w:w="50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超标率（%）</w:t>
                  </w:r>
                </w:p>
              </w:tc>
              <w:tc>
                <w:tcPr>
                  <w:tcW w:w="39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2" w:type="pct"/>
                  <w:vMerge w:val="restar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A1区块一中心位置</w:t>
                  </w:r>
                </w:p>
              </w:tc>
              <w:tc>
                <w:tcPr>
                  <w:tcW w:w="555"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非甲烷总烃</w:t>
                  </w:r>
                </w:p>
              </w:tc>
              <w:tc>
                <w:tcPr>
                  <w:tcW w:w="79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1h均值</w:t>
                  </w:r>
                </w:p>
              </w:tc>
              <w:tc>
                <w:tcPr>
                  <w:tcW w:w="65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2.0</w:t>
                  </w:r>
                </w:p>
              </w:tc>
              <w:tc>
                <w:tcPr>
                  <w:tcW w:w="80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1.20~1.28</w:t>
                  </w:r>
                </w:p>
              </w:tc>
              <w:tc>
                <w:tcPr>
                  <w:tcW w:w="769"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64.0</w:t>
                  </w:r>
                </w:p>
              </w:tc>
              <w:tc>
                <w:tcPr>
                  <w:tcW w:w="50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w:t>
                  </w:r>
                </w:p>
              </w:tc>
              <w:tc>
                <w:tcPr>
                  <w:tcW w:w="39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2" w:type="pct"/>
                  <w:vMerge w:val="continue"/>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p>
              </w:tc>
              <w:tc>
                <w:tcPr>
                  <w:tcW w:w="555"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TSP</w:t>
                  </w:r>
                </w:p>
              </w:tc>
              <w:tc>
                <w:tcPr>
                  <w:tcW w:w="79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24小时均值</w:t>
                  </w:r>
                </w:p>
              </w:tc>
              <w:tc>
                <w:tcPr>
                  <w:tcW w:w="65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0.3</w:t>
                  </w:r>
                </w:p>
              </w:tc>
              <w:tc>
                <w:tcPr>
                  <w:tcW w:w="80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0.0138~0.169</w:t>
                  </w:r>
                </w:p>
              </w:tc>
              <w:tc>
                <w:tcPr>
                  <w:tcW w:w="769"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56.3</w:t>
                  </w:r>
                </w:p>
              </w:tc>
              <w:tc>
                <w:tcPr>
                  <w:tcW w:w="501"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w:t>
                  </w:r>
                </w:p>
              </w:tc>
              <w:tc>
                <w:tcPr>
                  <w:tcW w:w="396" w:type="pct"/>
                  <w:noWrap/>
                  <w:vAlign w:val="center"/>
                </w:tcPr>
                <w:p>
                  <w:pPr>
                    <w:keepNext w:val="0"/>
                    <w:keepLines w:val="0"/>
                    <w:suppressLineNumbers w:val="0"/>
                    <w:tabs>
                      <w:tab w:val="left" w:pos="1088"/>
                    </w:tabs>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达标</w:t>
                  </w:r>
                </w:p>
              </w:tc>
            </w:tr>
          </w:tbl>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color w:val="auto"/>
                <w:sz w:val="24"/>
                <w:szCs w:val="24"/>
                <w:highlight w:val="none"/>
              </w:rPr>
            </w:pPr>
            <w:r>
              <w:rPr>
                <w:rFonts w:hint="default"/>
                <w:color w:val="auto"/>
                <w:sz w:val="24"/>
                <w:szCs w:val="24"/>
                <w:highlight w:val="none"/>
              </w:rPr>
              <w:t>监测数据显示，监测期间TSP的浓度</w:t>
            </w:r>
            <w:r>
              <w:rPr>
                <w:rFonts w:hint="eastAsia"/>
                <w:color w:val="auto"/>
                <w:sz w:val="24"/>
                <w:szCs w:val="24"/>
                <w:highlight w:val="none"/>
                <w:lang w:val="en-US" w:eastAsia="zh-CN"/>
              </w:rPr>
              <w:t>满足</w:t>
            </w:r>
            <w:r>
              <w:rPr>
                <w:rFonts w:hint="default"/>
                <w:color w:val="auto"/>
                <w:sz w:val="24"/>
                <w:szCs w:val="24"/>
                <w:highlight w:val="none"/>
              </w:rPr>
              <w:t>《环境空气质量标准》（GB3095-2012）及其修改单的相关标准，非甲烷总烃的监测值满足</w:t>
            </w:r>
            <w:r>
              <w:rPr>
                <w:rFonts w:hint="default" w:ascii="Times New Roman" w:hAnsi="Times New Roman" w:eastAsia="宋体" w:cs="Times New Roman"/>
                <w:color w:val="auto"/>
                <w:sz w:val="24"/>
                <w:szCs w:val="24"/>
                <w:highlight w:val="none"/>
                <w:lang w:val="en-US" w:eastAsia="zh-CN"/>
              </w:rPr>
              <w:t>《大气污染物综合排放标准》</w:t>
            </w:r>
            <w:r>
              <w:rPr>
                <w:rFonts w:hint="eastAsia" w:ascii="Times New Roman" w:hAnsi="Times New Roman" w:eastAsia="宋体" w:cs="Times New Roman"/>
                <w:color w:val="auto"/>
                <w:sz w:val="24"/>
                <w:szCs w:val="24"/>
                <w:highlight w:val="none"/>
                <w:lang w:val="en-US" w:eastAsia="zh-CN"/>
              </w:rPr>
              <w:t>（GB16297-1996）中标准要求</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表</w:t>
            </w:r>
            <w:r>
              <w:rPr>
                <w:rFonts w:hint="eastAsia" w:ascii="Times New Roman" w:hAnsi="Times New Roman" w:eastAsia="宋体" w:cs="Times New Roman"/>
                <w:color w:val="auto"/>
                <w:sz w:val="24"/>
                <w:szCs w:val="24"/>
                <w:highlight w:val="none"/>
              </w:rPr>
              <w:t>明项目所在地的环境空气质量</w:t>
            </w:r>
            <w:r>
              <w:rPr>
                <w:rFonts w:hint="eastAsia" w:ascii="Times New Roman" w:hAnsi="Times New Roman" w:eastAsia="宋体" w:cs="Times New Roman"/>
                <w:color w:val="auto"/>
                <w:sz w:val="24"/>
                <w:szCs w:val="24"/>
                <w:highlight w:val="none"/>
                <w:lang w:eastAsia="zh-CN"/>
              </w:rPr>
              <w:t>良好</w:t>
            </w:r>
            <w:r>
              <w:rPr>
                <w:rFonts w:hint="default"/>
                <w:color w:val="auto"/>
                <w:sz w:val="24"/>
                <w:szCs w:val="24"/>
                <w:highlight w:val="none"/>
              </w:rPr>
              <w:t>。</w:t>
            </w:r>
          </w:p>
          <w:p>
            <w:pPr>
              <w:keepNext w:val="0"/>
              <w:keepLines w:val="0"/>
              <w:suppressLineNumbers w:val="0"/>
              <w:autoSpaceDE w:val="0"/>
              <w:autoSpaceDN w:val="0"/>
              <w:adjustRightInd w:val="0"/>
              <w:spacing w:before="0" w:beforeAutospacing="0" w:after="0" w:afterAutospacing="0" w:line="360" w:lineRule="auto"/>
              <w:ind w:left="0" w:right="0" w:firstLine="48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3）达标情况</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w:t>
            </w:r>
            <w:r>
              <w:rPr>
                <w:rFonts w:hint="default"/>
                <w:color w:val="auto"/>
                <w:kern w:val="2"/>
                <w:sz w:val="24"/>
                <w:highlight w:val="none"/>
                <w:lang w:bidi="ar"/>
              </w:rPr>
              <w:t>《惠州市环境空气质量功能区划（2021年修订）》（惠市环[2021]1号）《惠州市环境空气质量功能区划（2021年修订）》（惠市环[2021]1号）</w:t>
            </w:r>
            <w:r>
              <w:rPr>
                <w:rFonts w:hint="default" w:ascii="Times New Roman" w:hAnsi="Times New Roman" w:eastAsia="宋体" w:cs="Times New Roman"/>
                <w:color w:val="auto"/>
                <w:sz w:val="24"/>
                <w:szCs w:val="24"/>
                <w:highlight w:val="none"/>
                <w:lang w:val="en-US" w:eastAsia="zh-CN"/>
              </w:rPr>
              <w:t>，本项目所在区域属二类功能区，执行《环境空气质量标准》（GB3095-2012）及其修改单（生态环境部2018年第29号）的二级标准。</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根据上面的监测结果，TSP的浓度</w:t>
            </w:r>
            <w:r>
              <w:rPr>
                <w:rFonts w:hint="eastAsia" w:ascii="Times New Roman" w:hAnsi="Times New Roman" w:eastAsia="宋体" w:cs="Times New Roman"/>
                <w:color w:val="auto"/>
                <w:sz w:val="24"/>
                <w:szCs w:val="24"/>
                <w:highlight w:val="none"/>
                <w:lang w:val="en-US" w:eastAsia="zh-CN"/>
              </w:rPr>
              <w:t>满足</w:t>
            </w:r>
            <w:r>
              <w:rPr>
                <w:rFonts w:hint="default" w:ascii="Times New Roman" w:hAnsi="Times New Roman" w:eastAsia="宋体" w:cs="Times New Roman"/>
                <w:color w:val="auto"/>
                <w:sz w:val="24"/>
                <w:szCs w:val="24"/>
                <w:highlight w:val="none"/>
                <w:lang w:val="en-US" w:eastAsia="zh-CN"/>
              </w:rPr>
              <w:t>《环境空气质量标准》（GB3095-2012）及其修改单的相关标准，非甲烷总烃的监测值满足《大气污染物综合排放标准》</w:t>
            </w:r>
            <w:r>
              <w:rPr>
                <w:rFonts w:hint="eastAsia" w:ascii="Times New Roman" w:hAnsi="Times New Roman" w:eastAsia="宋体" w:cs="Times New Roman"/>
                <w:color w:val="auto"/>
                <w:sz w:val="24"/>
                <w:szCs w:val="24"/>
                <w:highlight w:val="none"/>
                <w:lang w:val="en-US" w:eastAsia="zh-CN"/>
              </w:rPr>
              <w:t>（GB16297-1996）中标准要求</w:t>
            </w:r>
            <w:r>
              <w:rPr>
                <w:rFonts w:hint="default" w:ascii="Times New Roman" w:hAnsi="Times New Roman" w:eastAsia="宋体" w:cs="Times New Roman"/>
                <w:color w:val="auto"/>
                <w:sz w:val="24"/>
                <w:szCs w:val="24"/>
                <w:highlight w:val="none"/>
                <w:lang w:val="en-US" w:eastAsia="zh-CN"/>
              </w:rPr>
              <w:t>。根据《</w:t>
            </w:r>
            <w:r>
              <w:rPr>
                <w:rFonts w:hint="eastAsia" w:cs="Times New Roman"/>
                <w:color w:val="auto"/>
                <w:sz w:val="24"/>
                <w:szCs w:val="24"/>
                <w:highlight w:val="none"/>
                <w:lang w:val="en-US" w:eastAsia="zh-CN"/>
              </w:rPr>
              <w:t>2022年惠州市生态环境状况公报</w:t>
            </w:r>
            <w:r>
              <w:rPr>
                <w:rFonts w:hint="default" w:ascii="Times New Roman" w:hAnsi="Times New Roman" w:eastAsia="宋体" w:cs="Times New Roman"/>
                <w:color w:val="auto"/>
                <w:sz w:val="24"/>
                <w:szCs w:val="24"/>
                <w:highlight w:val="none"/>
                <w:lang w:val="en-US" w:eastAsia="zh-CN"/>
              </w:rPr>
              <w:t>》资料显示，项目所在地环境质量符合《环境空气质量标准》（GB3095-2012）及其2018年修改单中的二级标准，</w:t>
            </w:r>
            <w:r>
              <w:rPr>
                <w:rFonts w:hint="eastAsia" w:ascii="Times New Roman" w:hAnsi="Times New Roman" w:eastAsia="宋体" w:cs="Times New Roman"/>
                <w:color w:val="auto"/>
                <w:sz w:val="24"/>
                <w:szCs w:val="24"/>
                <w:highlight w:val="none"/>
                <w:lang w:val="en-US" w:eastAsia="zh-CN"/>
              </w:rPr>
              <w:t>项目所在区域</w:t>
            </w:r>
            <w:r>
              <w:rPr>
                <w:rFonts w:hint="default" w:ascii="Times New Roman" w:hAnsi="Times New Roman" w:eastAsia="宋体" w:cs="Times New Roman"/>
                <w:color w:val="auto"/>
                <w:sz w:val="24"/>
                <w:szCs w:val="24"/>
                <w:highlight w:val="none"/>
                <w:lang w:val="en-US" w:eastAsia="zh-CN"/>
              </w:rPr>
              <w:t>为达标区域，总体环境空气质量良好。</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color w:val="auto"/>
                <w:sz w:val="24"/>
                <w:szCs w:val="24"/>
                <w:highlight w:val="none"/>
                <w:lang w:val="en-US"/>
              </w:rPr>
            </w:pPr>
          </w:p>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highlight w:val="none"/>
              </w:rPr>
            </w:pPr>
            <w:r>
              <w:rPr>
                <w:rFonts w:hint="eastAsia"/>
                <w:color w:val="auto"/>
                <w:highlight w:val="none"/>
              </w:rPr>
              <w:drawing>
                <wp:anchor distT="0" distB="0" distL="114300" distR="114300" simplePos="0" relativeHeight="251671552" behindDoc="0" locked="0" layoutInCell="1" allowOverlap="1">
                  <wp:simplePos x="0" y="0"/>
                  <wp:positionH relativeFrom="column">
                    <wp:posOffset>4715510</wp:posOffset>
                  </wp:positionH>
                  <wp:positionV relativeFrom="paragraph">
                    <wp:posOffset>90805</wp:posOffset>
                  </wp:positionV>
                  <wp:extent cx="701040" cy="680720"/>
                  <wp:effectExtent l="0" t="0" r="3810" b="5080"/>
                  <wp:wrapNone/>
                  <wp:docPr id="28" name="图片 1203" descr="558698882c635f55f193021fa13c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03" descr="558698882c635f55f193021fa13ccc7"/>
                          <pic:cNvPicPr>
                            <a:picLocks noChangeAspect="1"/>
                          </pic:cNvPicPr>
                        </pic:nvPicPr>
                        <pic:blipFill>
                          <a:blip r:embed="rId28"/>
                          <a:stretch>
                            <a:fillRect/>
                          </a:stretch>
                        </pic:blipFill>
                        <pic:spPr>
                          <a:xfrm>
                            <a:off x="0" y="0"/>
                            <a:ext cx="701040" cy="680720"/>
                          </a:xfrm>
                          <a:prstGeom prst="rect">
                            <a:avLst/>
                          </a:prstGeom>
                          <a:noFill/>
                          <a:ln>
                            <a:noFill/>
                          </a:ln>
                        </pic:spPr>
                      </pic:pic>
                    </a:graphicData>
                  </a:graphic>
                </wp:anchor>
              </w:drawing>
            </w:r>
            <w:r>
              <w:rPr>
                <w:rFonts w:hint="default" w:ascii="Times New Roman" w:cs="Times New Roman"/>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2000885</wp:posOffset>
                      </wp:positionH>
                      <wp:positionV relativeFrom="paragraph">
                        <wp:posOffset>1170940</wp:posOffset>
                      </wp:positionV>
                      <wp:extent cx="1008380" cy="351790"/>
                      <wp:effectExtent l="0" t="0" r="0" b="0"/>
                      <wp:wrapNone/>
                      <wp:docPr id="3" name="文本框 3"/>
                      <wp:cNvGraphicFramePr/>
                      <a:graphic xmlns:a="http://schemas.openxmlformats.org/drawingml/2006/main">
                        <a:graphicData uri="http://schemas.microsoft.com/office/word/2010/wordprocessingShape">
                          <wps:wsp>
                            <wps:cNvSpPr txBox="1"/>
                            <wps:spPr>
                              <a:xfrm>
                                <a:off x="3484880" y="2221865"/>
                                <a:ext cx="1008380" cy="351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80"/>
                                    <w:rPr>
                                      <w:color w:val="FF0000"/>
                                      <w:sz w:val="24"/>
                                      <w:szCs w:val="24"/>
                                      <w:shd w:val="clear" w:color="FFFFFF" w:fill="D9D9D9"/>
                                    </w:rPr>
                                  </w:pPr>
                                  <w:r>
                                    <w:rPr>
                                      <w:rFonts w:hint="eastAsia"/>
                                      <w:color w:val="FF0000"/>
                                      <w:sz w:val="24"/>
                                      <w:szCs w:val="24"/>
                                      <w:shd w:val="clear" w:color="FFFFFF" w:fill="D9D9D9"/>
                                    </w:rPr>
                                    <w:t>3285m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7.55pt;margin-top:92.2pt;height:27.7pt;width:79.4pt;z-index:251659264;mso-width-relative:page;mso-height-relative:page;" filled="f" stroked="f" coordsize="21600,21600" o:gfxdata="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0PXLttwAAAALAQAADwAAAAAA&#10;AAABACAAAAAiAAAAZHJzL2Rvd25yZXYueG1sUEsBAhQAFAAAAAgAh07iQMqIWOlIAgAAcgQAAA4A&#10;AAAAAAAAAQAgAAAAKwEAAGRycy9lMm9Eb2MueG1sUEsFBgAAAAAGAAYAWQEAAOUFAAAAAA==&#10;">
                      <v:fill on="f" focussize="0,0"/>
                      <v:stroke on="f" weight="0.5pt"/>
                      <v:imagedata o:title=""/>
                      <o:lock v:ext="edit" aspectratio="f"/>
                      <v:textbox>
                        <w:txbxContent>
                          <w:p>
                            <w:pPr>
                              <w:ind w:firstLine="480"/>
                              <w:rPr>
                                <w:color w:val="FF0000"/>
                                <w:sz w:val="24"/>
                                <w:szCs w:val="24"/>
                                <w:shd w:val="clear" w:color="FFFFFF" w:fill="D9D9D9"/>
                              </w:rPr>
                            </w:pPr>
                            <w:r>
                              <w:rPr>
                                <w:rFonts w:hint="eastAsia"/>
                                <w:color w:val="FF0000"/>
                                <w:sz w:val="24"/>
                                <w:szCs w:val="24"/>
                                <w:shd w:val="clear" w:color="FFFFFF" w:fill="D9D9D9"/>
                              </w:rPr>
                              <w:t>3285m</w:t>
                            </w:r>
                          </w:p>
                        </w:txbxContent>
                      </v:textbox>
                    </v:shape>
                  </w:pict>
                </mc:Fallback>
              </mc:AlternateContent>
            </w:r>
            <w:r>
              <w:rPr>
                <w:rFonts w:hint="default" w:ascii="Times New Roman" w:cs="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2404745</wp:posOffset>
                      </wp:positionH>
                      <wp:positionV relativeFrom="paragraph">
                        <wp:posOffset>553085</wp:posOffset>
                      </wp:positionV>
                      <wp:extent cx="711835" cy="2194560"/>
                      <wp:effectExtent l="22225" t="3175" r="27940" b="12065"/>
                      <wp:wrapNone/>
                      <wp:docPr id="49" name="直接箭头连接符 49"/>
                      <wp:cNvGraphicFramePr/>
                      <a:graphic xmlns:a="http://schemas.openxmlformats.org/drawingml/2006/main">
                        <a:graphicData uri="http://schemas.microsoft.com/office/word/2010/wordprocessingShape">
                          <wps:wsp>
                            <wps:cNvCnPr/>
                            <wps:spPr>
                              <a:xfrm flipH="1">
                                <a:off x="3585845" y="2075815"/>
                                <a:ext cx="711835" cy="2194560"/>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89.35pt;margin-top:43.55pt;height:172.8pt;width:56.05pt;z-index:251661312;mso-width-relative:page;mso-height-relative:page;" filled="f" stroked="t" coordsize="21600,21600" o:gfxdata="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CxVfdoAAAAKAQAA&#10;DwAAAAAAAAABACAAAAAiAAAAZHJzL2Rvd25yZXYueG1sUEsBAhQAFAAAAAgAh07iQKGOO9kXAgAA&#10;5QMAAA4AAAAAAAAAAQAgAAAAKQEAAGRycy9lMm9Eb2MueG1sUEsFBgAAAAAGAAYAWQEAALIFAAAA&#10;AA==&#10;">
                      <v:fill on="f" focussize="0,0"/>
                      <v:stroke weight="1.5pt" color="#FF0000 [3204]" joinstyle="round" endarrow="open"/>
                      <v:imagedata o:title=""/>
                      <o:lock v:ext="edit" aspectratio="f"/>
                    </v:shape>
                  </w:pict>
                </mc:Fallback>
              </mc:AlternateContent>
            </w:r>
            <w:r>
              <w:rPr>
                <w:rFonts w:hint="default" w:ascii="Times New Roman" w:cs="Times New Roman"/>
                <w:color w:val="auto"/>
                <w:highlight w:val="none"/>
              </w:rPr>
              <w:drawing>
                <wp:inline distT="0" distB="0" distL="114300" distR="114300">
                  <wp:extent cx="5300980" cy="3439160"/>
                  <wp:effectExtent l="0" t="0" r="13970" b="8890"/>
                  <wp:docPr id="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
                          <pic:cNvPicPr>
                            <a:picLocks noChangeAspect="1"/>
                          </pic:cNvPicPr>
                        </pic:nvPicPr>
                        <pic:blipFill>
                          <a:blip r:embed="rId29"/>
                          <a:stretch>
                            <a:fillRect/>
                          </a:stretch>
                        </pic:blipFill>
                        <pic:spPr>
                          <a:xfrm>
                            <a:off x="0" y="0"/>
                            <a:ext cx="5300980" cy="3439160"/>
                          </a:xfrm>
                          <a:prstGeom prst="rect">
                            <a:avLst/>
                          </a:prstGeom>
                          <a:noFill/>
                          <a:ln>
                            <a:noFill/>
                          </a:ln>
                        </pic:spPr>
                      </pic:pic>
                    </a:graphicData>
                  </a:graphic>
                </wp:inline>
              </w:drawing>
            </w:r>
          </w:p>
          <w:p>
            <w:pPr>
              <w:pStyle w:val="93"/>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olor w:val="auto"/>
                <w:sz w:val="24"/>
                <w:szCs w:val="24"/>
                <w:highlight w:val="none"/>
              </w:rPr>
            </w:pPr>
            <w:r>
              <w:rPr>
                <w:rFonts w:hint="default" w:ascii="Times New Roman" w:hAnsi="Times New Roman"/>
                <w:b/>
                <w:bCs/>
                <w:color w:val="auto"/>
                <w:sz w:val="24"/>
                <w:szCs w:val="24"/>
                <w:highlight w:val="none"/>
              </w:rPr>
              <w:t>图3-</w:t>
            </w:r>
            <w:r>
              <w:rPr>
                <w:rFonts w:hint="eastAsia" w:ascii="Times New Roman" w:hAnsi="Times New Roman"/>
                <w:b/>
                <w:bCs/>
                <w:color w:val="auto"/>
                <w:sz w:val="24"/>
                <w:szCs w:val="24"/>
                <w:highlight w:val="none"/>
                <w:lang w:val="en-US" w:eastAsia="zh-CN"/>
              </w:rPr>
              <w:t>2</w:t>
            </w:r>
            <w:r>
              <w:rPr>
                <w:rFonts w:hint="default" w:ascii="Times New Roman" w:hAnsi="Times New Roman"/>
                <w:b/>
                <w:bCs/>
                <w:color w:val="auto"/>
                <w:sz w:val="24"/>
                <w:szCs w:val="24"/>
                <w:highlight w:val="none"/>
              </w:rPr>
              <w:t xml:space="preserve"> 引用项目大气环境空气监测点位与本项目位置示意图</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color w:val="auto"/>
                <w:highlight w:val="none"/>
              </w:rPr>
            </w:pPr>
            <w:r>
              <w:rPr>
                <w:rFonts w:hint="default" w:ascii="Times New Roman" w:hAnsi="Times New Roman" w:cs="Times New Roman"/>
                <w:b/>
                <w:bCs/>
                <w:color w:val="auto"/>
                <w:sz w:val="24"/>
                <w:szCs w:val="24"/>
                <w:highlight w:val="none"/>
              </w:rPr>
              <w:t>2、地表水环境</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（1）区域水环境功能区划</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项目所在区域属于杨侨镇污水处理厂纳污范围，污水处理厂尾水排入南蛇沥，汇入公庄河，最终汇入东江。</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ascii="Times New Roman" w:hAnsi="Times New Roman" w:cs="Times New Roman"/>
                <w:color w:val="auto"/>
                <w:sz w:val="24"/>
                <w:szCs w:val="24"/>
                <w:highlight w:val="none"/>
              </w:rPr>
            </w:pPr>
            <w:r>
              <w:rPr>
                <w:rFonts w:hint="default"/>
                <w:color w:val="auto"/>
                <w:sz w:val="24"/>
                <w:szCs w:val="24"/>
                <w:highlight w:val="none"/>
              </w:rPr>
              <w:t>根</w:t>
            </w:r>
            <w:r>
              <w:rPr>
                <w:rFonts w:hint="default" w:ascii="Times New Roman" w:hAnsi="Times New Roman" w:cs="Times New Roman"/>
                <w:color w:val="auto"/>
                <w:sz w:val="24"/>
                <w:szCs w:val="24"/>
                <w:highlight w:val="none"/>
              </w:rPr>
              <w:t>据《广东省地表水环境功能区划》（粤环函[2011]14号），东江干流（自江西省界至东莞石龙段）水域功能为饮工农航，水质保护目标为《地表水环境质量标准》（GB3838-2002）Ⅱ类标准；公庄河（自博罗桂山糯米柏至博罗泰美段）水域功能为农用，水质保护目标为《地表水环境质量标准》（GB3838-2002）III类标准。南蛇沥未划定水域功能，根据《广东省地表水环境功能区划》（粤环[2011]14号）“各水体未列出的上游及支流的水体环境质量控制目标以保证主流的环境质量控制目标为最低要求，原则上与汇入干流的功能目标要求不能相差超过一个级别。”同时根据《关于对南蛇沥排渠及石湾镇中心排渠执行标准的复函》（惠市环函[2021]76号，南蛇沥环境质量标准按照《地表水环境质量标准》（GB3838-2002）Ⅳ类标准执行，根据《博罗县2023年水污染防治攻坚战实施方案》（博环攻坚办[2023]67号），南蛇沥现阶段水质目标为V类。综上，南蛇沥按现阶段目标V类及最终目标IV类标准执行。</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color w:val="auto"/>
                <w:sz w:val="24"/>
                <w:szCs w:val="24"/>
                <w:highlight w:val="none"/>
              </w:rPr>
            </w:pPr>
            <w:r>
              <w:rPr>
                <w:rFonts w:hint="default" w:ascii="Times New Roman" w:hAnsi="Times New Roman" w:cs="Times New Roman"/>
                <w:color w:val="auto"/>
                <w:sz w:val="24"/>
                <w:szCs w:val="24"/>
                <w:highlight w:val="none"/>
              </w:rPr>
              <w:t>根据《2022年惠州市生态环境状况公报》，2022年，水质优良比例为88.9%，其中，东江干流（惠州段）、西枝江、增江干流（惠州段）、吉隆河等4条</w:t>
            </w:r>
            <w:r>
              <w:rPr>
                <w:rFonts w:hint="default"/>
                <w:color w:val="auto"/>
                <w:sz w:val="24"/>
                <w:szCs w:val="24"/>
                <w:highlight w:val="none"/>
              </w:rPr>
              <w:t>河流水质优，淡水河、沙河、公庄河、淡澳河等4条河流水质良好，潼湖水水质为IV类。与2021年相比，水质优良比例上升11.1个百分点，其中，淡澳河水质由轻度污染好转为良好。</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东江水质可满足《地表水环境质量标准》(GB3838-2002)Ⅱ类标准；公庄河水质可满足《地表水环境质量标准》（GB3838-2002）Ⅲ类标准，表明地表水环境良好。</w:t>
            </w:r>
          </w:p>
          <w:p>
            <w:pPr>
              <w:keepNext w:val="0"/>
              <w:keepLines w:val="0"/>
              <w:widowControl/>
              <w:suppressLineNumbers w:val="0"/>
              <w:adjustRightInd w:val="0"/>
              <w:snapToGrid w:val="0"/>
              <w:spacing w:before="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（2）纳污水体质量现状</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为了解项目纳污水体的水环境质量现状，本环评引用《广东赛诺办公设备科技有限公司惠州分公司年产打印胶辊3000万条新建项目》</w:t>
            </w:r>
            <w:r>
              <w:rPr>
                <w:rFonts w:hint="eastAsia"/>
                <w:color w:val="auto"/>
                <w:sz w:val="24"/>
                <w:szCs w:val="32"/>
                <w:highlight w:val="none"/>
              </w:rPr>
              <w:t>，其审批文号为（惠市环（博罗）建[2023]103号），</w:t>
            </w:r>
            <w:r>
              <w:rPr>
                <w:rFonts w:hint="default"/>
                <w:bCs/>
                <w:color w:val="auto"/>
                <w:sz w:val="24"/>
                <w:szCs w:val="24"/>
                <w:highlight w:val="none"/>
              </w:rPr>
              <w:t>委托广东君正检测技术有限公司（报告编号：JZ2108017）于2021年8月16日~18日对南蛇沥监测断面的数据进行评价。监测点与本项目为同一个纳污水体，引用监测数据满足3年时效性要求，故本次环境质量现状评价引用的监测数据可</w:t>
            </w:r>
            <w:r>
              <w:rPr>
                <w:rFonts w:hint="eastAsia"/>
                <w:bCs/>
                <w:color w:val="auto"/>
                <w:sz w:val="24"/>
                <w:szCs w:val="24"/>
                <w:highlight w:val="none"/>
              </w:rPr>
              <w:t>反映</w:t>
            </w:r>
            <w:r>
              <w:rPr>
                <w:rFonts w:hint="default"/>
                <w:bCs/>
                <w:color w:val="auto"/>
                <w:sz w:val="24"/>
                <w:szCs w:val="24"/>
                <w:highlight w:val="none"/>
              </w:rPr>
              <w:t>项目所在区域目前的地表水环境质量现状，因此引用的数据具有可行性。</w:t>
            </w:r>
          </w:p>
          <w:p>
            <w:pPr>
              <w:keepNext w:val="0"/>
              <w:keepLines w:val="0"/>
              <w:suppressLineNumbers w:val="0"/>
              <w:adjustRightInd w:val="0"/>
              <w:snapToGrid w:val="0"/>
              <w:spacing w:before="0" w:beforeAutospacing="0" w:after="0" w:afterAutospacing="0" w:line="240" w:lineRule="auto"/>
              <w:ind w:left="0" w:right="0" w:firstLine="482"/>
              <w:jc w:val="center"/>
              <w:rPr>
                <w:rFonts w:hint="default"/>
                <w:b/>
                <w:color w:val="auto"/>
                <w:sz w:val="24"/>
                <w:szCs w:val="24"/>
                <w:highlight w:val="none"/>
              </w:rPr>
            </w:pPr>
            <w:r>
              <w:rPr>
                <w:rFonts w:hint="default"/>
                <w:b/>
                <w:color w:val="auto"/>
                <w:sz w:val="24"/>
                <w:szCs w:val="24"/>
                <w:highlight w:val="none"/>
              </w:rPr>
              <w:t>表3-3  地表水水质监测断面设置情况</w:t>
            </w:r>
          </w:p>
          <w:tbl>
            <w:tblPr>
              <w:tblStyle w:val="3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2950"/>
              <w:gridCol w:w="2740"/>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2"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b/>
                      <w:bCs/>
                      <w:color w:val="auto"/>
                      <w:kern w:val="2"/>
                      <w:sz w:val="21"/>
                      <w:highlight w:val="none"/>
                    </w:rPr>
                  </w:pPr>
                  <w:r>
                    <w:rPr>
                      <w:rFonts w:hint="default" w:ascii="Times New Roman" w:cs="Times New Roman"/>
                      <w:b/>
                      <w:bCs/>
                      <w:color w:val="auto"/>
                      <w:kern w:val="2"/>
                      <w:sz w:val="21"/>
                      <w:highlight w:val="none"/>
                    </w:rPr>
                    <w:t>断面编号</w:t>
                  </w:r>
                </w:p>
              </w:tc>
              <w:tc>
                <w:tcPr>
                  <w:tcW w:w="1687"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b/>
                      <w:bCs/>
                      <w:color w:val="auto"/>
                      <w:kern w:val="2"/>
                      <w:sz w:val="21"/>
                      <w:highlight w:val="none"/>
                    </w:rPr>
                  </w:pPr>
                  <w:r>
                    <w:rPr>
                      <w:rFonts w:hint="default" w:ascii="Times New Roman" w:cs="Times New Roman"/>
                      <w:b/>
                      <w:bCs/>
                      <w:color w:val="auto"/>
                      <w:kern w:val="2"/>
                      <w:sz w:val="21"/>
                      <w:highlight w:val="none"/>
                    </w:rPr>
                    <w:t>监测断面</w:t>
                  </w:r>
                </w:p>
              </w:tc>
              <w:tc>
                <w:tcPr>
                  <w:tcW w:w="1567"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b/>
                      <w:bCs/>
                      <w:color w:val="auto"/>
                      <w:kern w:val="2"/>
                      <w:sz w:val="21"/>
                      <w:highlight w:val="none"/>
                    </w:rPr>
                  </w:pPr>
                  <w:r>
                    <w:rPr>
                      <w:rFonts w:hint="default" w:ascii="Times New Roman" w:cs="Times New Roman"/>
                      <w:b/>
                      <w:bCs/>
                      <w:color w:val="auto"/>
                      <w:kern w:val="2"/>
                      <w:sz w:val="21"/>
                      <w:highlight w:val="none"/>
                    </w:rPr>
                    <w:t>经纬度</w:t>
                  </w:r>
                </w:p>
              </w:tc>
              <w:tc>
                <w:tcPr>
                  <w:tcW w:w="932"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b/>
                      <w:bCs/>
                      <w:color w:val="auto"/>
                      <w:kern w:val="2"/>
                      <w:sz w:val="21"/>
                      <w:highlight w:val="none"/>
                    </w:rPr>
                  </w:pPr>
                  <w:r>
                    <w:rPr>
                      <w:rFonts w:hint="default" w:ascii="Times New Roman" w:cs="Times New Roman"/>
                      <w:b/>
                      <w:bCs/>
                      <w:color w:val="auto"/>
                      <w:kern w:val="2"/>
                      <w:sz w:val="21"/>
                      <w:highlight w:val="none"/>
                    </w:rPr>
                    <w:t>对应河流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2"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kern w:val="2"/>
                      <w:sz w:val="21"/>
                      <w:highlight w:val="none"/>
                    </w:rPr>
                  </w:pPr>
                  <w:r>
                    <w:rPr>
                      <w:rFonts w:hint="default" w:ascii="Times New Roman" w:cs="Times New Roman"/>
                      <w:color w:val="auto"/>
                      <w:kern w:val="2"/>
                      <w:sz w:val="21"/>
                      <w:highlight w:val="none"/>
                    </w:rPr>
                    <w:t>W1</w:t>
                  </w:r>
                </w:p>
              </w:tc>
              <w:tc>
                <w:tcPr>
                  <w:tcW w:w="1687"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kern w:val="2"/>
                      <w:sz w:val="21"/>
                      <w:highlight w:val="none"/>
                    </w:rPr>
                  </w:pPr>
                  <w:r>
                    <w:rPr>
                      <w:rFonts w:hint="default" w:ascii="Times New Roman" w:cs="Times New Roman"/>
                      <w:color w:val="auto"/>
                      <w:kern w:val="2"/>
                      <w:sz w:val="21"/>
                      <w:highlight w:val="none"/>
                    </w:rPr>
                    <w:t>杨侨镇污水处理厂排污口下游1200m处</w:t>
                  </w:r>
                </w:p>
              </w:tc>
              <w:tc>
                <w:tcPr>
                  <w:tcW w:w="1567"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kern w:val="2"/>
                      <w:sz w:val="21"/>
                      <w:highlight w:val="none"/>
                    </w:rPr>
                  </w:pPr>
                  <w:r>
                    <w:rPr>
                      <w:rFonts w:hint="default" w:ascii="Times New Roman" w:cs="Times New Roman"/>
                      <w:color w:val="auto"/>
                      <w:kern w:val="2"/>
                      <w:sz w:val="21"/>
                      <w:highlight w:val="none"/>
                    </w:rPr>
                    <w:t>E114°28′57.437″，N23°25′19.573″</w:t>
                  </w:r>
                </w:p>
              </w:tc>
              <w:tc>
                <w:tcPr>
                  <w:tcW w:w="932" w:type="pct"/>
                  <w:vAlign w:val="center"/>
                </w:tcPr>
                <w:p>
                  <w:pPr>
                    <w:pStyle w:val="2"/>
                    <w:keepNext w:val="0"/>
                    <w:keepLines w:val="0"/>
                    <w:suppressLineNumbers w:val="0"/>
                    <w:spacing w:before="0" w:beforeAutospacing="0" w:after="0" w:afterAutospacing="0" w:line="240" w:lineRule="auto"/>
                    <w:ind w:left="0" w:right="0" w:firstLine="0" w:firstLineChars="0"/>
                    <w:jc w:val="center"/>
                    <w:rPr>
                      <w:rFonts w:hint="default" w:ascii="Times New Roman" w:cs="Times New Roman"/>
                      <w:color w:val="auto"/>
                      <w:kern w:val="2"/>
                      <w:sz w:val="21"/>
                      <w:highlight w:val="none"/>
                    </w:rPr>
                  </w:pPr>
                  <w:r>
                    <w:rPr>
                      <w:rFonts w:hint="default" w:ascii="Times New Roman" w:cs="Times New Roman"/>
                      <w:color w:val="auto"/>
                      <w:kern w:val="2"/>
                      <w:sz w:val="21"/>
                      <w:highlight w:val="none"/>
                    </w:rPr>
                    <w:t>南蛇沥</w:t>
                  </w:r>
                </w:p>
              </w:tc>
            </w:tr>
          </w:tbl>
          <w:p>
            <w:pPr>
              <w:keepNext w:val="0"/>
              <w:keepLines w:val="0"/>
              <w:widowControl/>
              <w:suppressLineNumbers w:val="0"/>
              <w:adjustRightInd w:val="0"/>
              <w:snapToGrid w:val="0"/>
              <w:spacing w:before="156" w:beforeLines="50" w:beforeAutospacing="0" w:after="0" w:afterAutospacing="0" w:line="240" w:lineRule="auto"/>
              <w:ind w:left="0" w:right="0" w:firstLine="0" w:firstLineChars="0"/>
              <w:jc w:val="center"/>
              <w:rPr>
                <w:rFonts w:hint="default"/>
                <w:b/>
                <w:bCs/>
                <w:color w:val="auto"/>
                <w:sz w:val="24"/>
                <w:szCs w:val="24"/>
                <w:highlight w:val="none"/>
              </w:rPr>
            </w:pPr>
            <w:r>
              <w:rPr>
                <w:rFonts w:hint="eastAsia"/>
                <w:color w:val="auto"/>
                <w:highlight w:val="none"/>
              </w:rPr>
              <w:drawing>
                <wp:anchor distT="0" distB="0" distL="114300" distR="114300" simplePos="0" relativeHeight="251668480" behindDoc="0" locked="0" layoutInCell="1" allowOverlap="1">
                  <wp:simplePos x="0" y="0"/>
                  <wp:positionH relativeFrom="column">
                    <wp:posOffset>4496435</wp:posOffset>
                  </wp:positionH>
                  <wp:positionV relativeFrom="paragraph">
                    <wp:posOffset>78105</wp:posOffset>
                  </wp:positionV>
                  <wp:extent cx="738505" cy="680720"/>
                  <wp:effectExtent l="0" t="0" r="4445" b="5080"/>
                  <wp:wrapNone/>
                  <wp:docPr id="101" name="图片 1203" descr="558698882c635f55f193021fa13cc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203" descr="558698882c635f55f193021fa13ccc7"/>
                          <pic:cNvPicPr>
                            <a:picLocks noChangeAspect="1"/>
                          </pic:cNvPicPr>
                        </pic:nvPicPr>
                        <pic:blipFill>
                          <a:blip r:embed="rId28"/>
                          <a:stretch>
                            <a:fillRect/>
                          </a:stretch>
                        </pic:blipFill>
                        <pic:spPr>
                          <a:xfrm>
                            <a:off x="0" y="0"/>
                            <a:ext cx="738505" cy="680720"/>
                          </a:xfrm>
                          <a:prstGeom prst="rect">
                            <a:avLst/>
                          </a:prstGeom>
                          <a:noFill/>
                          <a:ln>
                            <a:noFill/>
                          </a:ln>
                        </pic:spPr>
                      </pic:pic>
                    </a:graphicData>
                  </a:graphic>
                </wp:anchor>
              </w:drawing>
            </w:r>
            <w:r>
              <w:rPr>
                <w:rFonts w:hint="default"/>
                <w:color w:val="auto"/>
                <w:sz w:val="21"/>
                <w:highlight w:val="none"/>
              </w:rPr>
              <mc:AlternateContent>
                <mc:Choice Requires="wps">
                  <w:drawing>
                    <wp:anchor distT="0" distB="0" distL="114300" distR="114300" simplePos="0" relativeHeight="251677696" behindDoc="0" locked="0" layoutInCell="1" allowOverlap="1">
                      <wp:simplePos x="0" y="0"/>
                      <wp:positionH relativeFrom="column">
                        <wp:posOffset>2376805</wp:posOffset>
                      </wp:positionH>
                      <wp:positionV relativeFrom="paragraph">
                        <wp:posOffset>2413000</wp:posOffset>
                      </wp:positionV>
                      <wp:extent cx="126365" cy="250190"/>
                      <wp:effectExtent l="6350" t="4445" r="19685" b="12065"/>
                      <wp:wrapNone/>
                      <wp:docPr id="116" name="直线 1206"/>
                      <wp:cNvGraphicFramePr/>
                      <a:graphic xmlns:a="http://schemas.openxmlformats.org/drawingml/2006/main">
                        <a:graphicData uri="http://schemas.microsoft.com/office/word/2010/wordprocessingShape">
                          <wps:wsp>
                            <wps:cNvCnPr/>
                            <wps:spPr>
                              <a:xfrm flipH="1">
                                <a:off x="0" y="0"/>
                                <a:ext cx="126365" cy="250190"/>
                              </a:xfrm>
                              <a:prstGeom prst="line">
                                <a:avLst/>
                              </a:prstGeom>
                              <a:ln w="19050" cap="flat" cmpd="sng">
                                <a:solidFill>
                                  <a:srgbClr val="FFFF00"/>
                                </a:solidFill>
                                <a:prstDash val="solid"/>
                                <a:headEnd type="none" w="med" len="med"/>
                                <a:tailEnd type="arrow" w="med" len="med"/>
                              </a:ln>
                            </wps:spPr>
                            <wps:bodyPr upright="1"/>
                          </wps:wsp>
                        </a:graphicData>
                      </a:graphic>
                    </wp:anchor>
                  </w:drawing>
                </mc:Choice>
                <mc:Fallback>
                  <w:pict>
                    <v:line id="直线 1206" o:spid="_x0000_s1026" o:spt="20" style="position:absolute;left:0pt;flip:x;margin-left:187.15pt;margin-top:190pt;height:19.7pt;width:9.95pt;z-index:251677696;mso-width-relative:page;mso-height-relative:page;" filled="f" stroked="t" coordsize="21600,21600" o:gfxdata="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0bFNkAAAALAQAADwAAAAAAAAABACAAAAAiAAAAZHJzL2Rvd25y&#10;ZXYueG1sUEsBAhQAFAAAAAgAh07iQJXVnKn9AQAA8AMAAA4AAAAAAAAAAQAgAAAAKAEAAGRycy9l&#10;Mm9Eb2MueG1sUEsFBgAAAAAGAAYAWQEAAJcFAAAAAA==&#10;">
                      <v:fill on="f" focussize="0,0"/>
                      <v:stroke weight="1.5pt" color="#FFFF00" joinstyle="round" endarrow="open"/>
                      <v:imagedata o:title=""/>
                      <o:lock v:ext="edit" aspectratio="f"/>
                    </v:line>
                  </w:pict>
                </mc:Fallback>
              </mc:AlternateContent>
            </w:r>
            <w:r>
              <w:rPr>
                <w:rFonts w:hint="default"/>
                <w:color w:val="auto"/>
                <w:sz w:val="21"/>
                <w:highlight w:val="none"/>
              </w:rPr>
              <mc:AlternateContent>
                <mc:Choice Requires="wps">
                  <w:drawing>
                    <wp:anchor distT="0" distB="0" distL="114300" distR="114300" simplePos="0" relativeHeight="251676672" behindDoc="0" locked="0" layoutInCell="1" allowOverlap="1">
                      <wp:simplePos x="0" y="0"/>
                      <wp:positionH relativeFrom="column">
                        <wp:posOffset>2186305</wp:posOffset>
                      </wp:positionH>
                      <wp:positionV relativeFrom="paragraph">
                        <wp:posOffset>1508125</wp:posOffset>
                      </wp:positionV>
                      <wp:extent cx="2540" cy="250190"/>
                      <wp:effectExtent l="52705" t="0" r="59055" b="16510"/>
                      <wp:wrapNone/>
                      <wp:docPr id="115" name="直线 1206"/>
                      <wp:cNvGraphicFramePr/>
                      <a:graphic xmlns:a="http://schemas.openxmlformats.org/drawingml/2006/main">
                        <a:graphicData uri="http://schemas.microsoft.com/office/word/2010/wordprocessingShape">
                          <wps:wsp>
                            <wps:cNvCnPr/>
                            <wps:spPr>
                              <a:xfrm flipH="1">
                                <a:off x="0" y="0"/>
                                <a:ext cx="2540" cy="250190"/>
                              </a:xfrm>
                              <a:prstGeom prst="line">
                                <a:avLst/>
                              </a:prstGeom>
                              <a:ln w="19050" cap="flat" cmpd="sng">
                                <a:solidFill>
                                  <a:srgbClr val="FFFF00"/>
                                </a:solidFill>
                                <a:prstDash val="solid"/>
                                <a:headEnd type="none" w="med" len="med"/>
                                <a:tailEnd type="arrow" w="med" len="med"/>
                              </a:ln>
                            </wps:spPr>
                            <wps:bodyPr upright="1"/>
                          </wps:wsp>
                        </a:graphicData>
                      </a:graphic>
                    </wp:anchor>
                  </w:drawing>
                </mc:Choice>
                <mc:Fallback>
                  <w:pict>
                    <v:line id="直线 1206" o:spid="_x0000_s1026" o:spt="20" style="position:absolute;left:0pt;flip:x;margin-left:172.15pt;margin-top:118.75pt;height:19.7pt;width:0.2pt;z-index:251676672;mso-width-relative:page;mso-height-relative:page;" filled="f" stroked="t" coordsize="21600,21600" o:gfxdata="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7aufLZAAAACwEAAA8AAAAAAAAAAQAgAAAAIgAAAGRycy9kb3ducmV2&#10;LnhtbFBLAQIUABQAAAAIAIdO4kBb7iJ7+wEAAO4DAAAOAAAAAAAAAAEAIAAAACgBAABkcnMvZTJv&#10;RG9jLnhtbFBLBQYAAAAABgAGAFkBAACVBQAAAAA=&#10;">
                      <v:fill on="f" focussize="0,0"/>
                      <v:stroke weight="1.5pt" color="#FFFF00" joinstyle="round" endarrow="open"/>
                      <v:imagedata o:title=""/>
                      <o:lock v:ext="edit" aspectratio="f"/>
                    </v:line>
                  </w:pict>
                </mc:Fallback>
              </mc:AlternateContent>
            </w:r>
            <w:r>
              <w:rPr>
                <w:rFonts w:hint="default"/>
                <w:color w:val="auto"/>
                <w:sz w:val="21"/>
                <w:highlight w:val="none"/>
              </w:rPr>
              <mc:AlternateContent>
                <mc:Choice Requires="wps">
                  <w:drawing>
                    <wp:anchor distT="0" distB="0" distL="114300" distR="114300" simplePos="0" relativeHeight="251675648" behindDoc="0" locked="0" layoutInCell="1" allowOverlap="1">
                      <wp:simplePos x="0" y="0"/>
                      <wp:positionH relativeFrom="column">
                        <wp:posOffset>2684145</wp:posOffset>
                      </wp:positionH>
                      <wp:positionV relativeFrom="paragraph">
                        <wp:posOffset>3187700</wp:posOffset>
                      </wp:positionV>
                      <wp:extent cx="102235" cy="287020"/>
                      <wp:effectExtent l="8890" t="3175" r="22225" b="14605"/>
                      <wp:wrapNone/>
                      <wp:docPr id="109" name="直线 1206"/>
                      <wp:cNvGraphicFramePr/>
                      <a:graphic xmlns:a="http://schemas.openxmlformats.org/drawingml/2006/main">
                        <a:graphicData uri="http://schemas.microsoft.com/office/word/2010/wordprocessingShape">
                          <wps:wsp>
                            <wps:cNvCnPr/>
                            <wps:spPr>
                              <a:xfrm>
                                <a:off x="0" y="0"/>
                                <a:ext cx="102235" cy="287020"/>
                              </a:xfrm>
                              <a:prstGeom prst="line">
                                <a:avLst/>
                              </a:prstGeom>
                              <a:ln w="19050" cap="flat" cmpd="sng">
                                <a:solidFill>
                                  <a:srgbClr val="FFFF00"/>
                                </a:solidFill>
                                <a:prstDash val="solid"/>
                                <a:headEnd type="none" w="med" len="med"/>
                                <a:tailEnd type="arrow" w="med" len="med"/>
                              </a:ln>
                            </wps:spPr>
                            <wps:bodyPr upright="1"/>
                          </wps:wsp>
                        </a:graphicData>
                      </a:graphic>
                    </wp:anchor>
                  </w:drawing>
                </mc:Choice>
                <mc:Fallback>
                  <w:pict>
                    <v:line id="直线 1206" o:spid="_x0000_s1026" o:spt="20" style="position:absolute;left:0pt;margin-left:211.35pt;margin-top:251pt;height:22.6pt;width:8.05pt;z-index:251675648;mso-width-relative:page;mso-height-relative:page;" filled="f" stroked="t" coordsize="21600,21600" o:gfxdata="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coeY2wAAAAsBAAAPAAAAAAAAAAEAIAAAACIAAABkcnMvZG93bnJldi54&#10;bWxQSwECFAAUAAAACACHTuJAQZ1PIfcBAADmAwAADgAAAAAAAAABACAAAAAqAQAAZHJzL2Uyb0Rv&#10;Yy54bWxQSwUGAAAAAAYABgBZAQAAkwUAAAAA&#10;">
                      <v:fill on="f" focussize="0,0"/>
                      <v:stroke weight="1.5pt" color="#FFFF00" joinstyle="round" endarrow="open"/>
                      <v:imagedata o:title=""/>
                      <o:lock v:ext="edit" aspectratio="f"/>
                    </v:line>
                  </w:pict>
                </mc:Fallback>
              </mc:AlternateContent>
            </w:r>
            <w:r>
              <w:rPr>
                <w:rFonts w:hint="default"/>
                <w:color w:val="auto"/>
                <w:sz w:val="21"/>
                <w:highlight w:val="none"/>
              </w:rPr>
              <mc:AlternateContent>
                <mc:Choice Requires="wps">
                  <w:drawing>
                    <wp:anchor distT="0" distB="0" distL="114300" distR="114300" simplePos="0" relativeHeight="251669504" behindDoc="0" locked="0" layoutInCell="1" allowOverlap="1">
                      <wp:simplePos x="0" y="0"/>
                      <wp:positionH relativeFrom="column">
                        <wp:posOffset>2263140</wp:posOffset>
                      </wp:positionH>
                      <wp:positionV relativeFrom="paragraph">
                        <wp:posOffset>83820</wp:posOffset>
                      </wp:positionV>
                      <wp:extent cx="984250" cy="372110"/>
                      <wp:effectExtent l="4445" t="4445" r="478155" b="23495"/>
                      <wp:wrapNone/>
                      <wp:docPr id="30" name="圆角矩形标注 30"/>
                      <wp:cNvGraphicFramePr/>
                      <a:graphic xmlns:a="http://schemas.openxmlformats.org/drawingml/2006/main">
                        <a:graphicData uri="http://schemas.microsoft.com/office/word/2010/wordprocessingShape">
                          <wps:wsp>
                            <wps:cNvSpPr/>
                            <wps:spPr>
                              <a:xfrm>
                                <a:off x="0" y="0"/>
                                <a:ext cx="984250" cy="372110"/>
                              </a:xfrm>
                              <a:prstGeom prst="wedgeRoundRectCallout">
                                <a:avLst>
                                  <a:gd name="adj1" fmla="val 94643"/>
                                  <a:gd name="adj2" fmla="val -26051"/>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ind w:firstLine="0" w:firstLineChars="0"/>
                                    <w:rPr>
                                      <w:sz w:val="21"/>
                                    </w:rPr>
                                  </w:pPr>
                                  <w:r>
                                    <w:rPr>
                                      <w:rFonts w:hint="eastAsia"/>
                                      <w:sz w:val="21"/>
                                    </w:rPr>
                                    <w:t>项目位置</w:t>
                                  </w:r>
                                </w:p>
                              </w:txbxContent>
                            </wps:txbx>
                            <wps:bodyPr upright="1"/>
                          </wps:wsp>
                        </a:graphicData>
                      </a:graphic>
                    </wp:anchor>
                  </w:drawing>
                </mc:Choice>
                <mc:Fallback>
                  <w:pict>
                    <v:shape id="_x0000_s1026" o:spid="_x0000_s1026" o:spt="62" type="#_x0000_t62" style="position:absolute;left:0pt;margin-left:178.2pt;margin-top:6.6pt;height:29.3pt;width:77.5pt;z-index:251669504;mso-width-relative:page;mso-height-relative:page;" fillcolor="#FFFFFF" filled="t" stroked="t" coordsize="21600,21600" o:gfxdata="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zHjkJ2AAAAAkBAAAP&#10;AAAAAAAAAAEAIAAAACIAAABkcnMvZG93bnJldi54bWxQSwECFAAUAAAACACHTuJAijDikVECAAC9&#10;BAAADgAAAAAAAAABACAAAAAnAQAAZHJzL2Uyb0RvYy54bWxQSwUGAAAAAAYABgBZAQAA6gUAAAAA&#10;" adj="31243,5173,14400">
                      <v:fill on="t" focussize="0,0"/>
                      <v:stroke color="#000000" joinstyle="miter"/>
                      <v:imagedata o:title=""/>
                      <o:lock v:ext="edit" aspectratio="f"/>
                      <v:textbox>
                        <w:txbxContent>
                          <w:p>
                            <w:pPr>
                              <w:ind w:firstLine="0" w:firstLineChars="0"/>
                              <w:rPr>
                                <w:sz w:val="21"/>
                              </w:rPr>
                            </w:pPr>
                            <w:r>
                              <w:rPr>
                                <w:rFonts w:hint="eastAsia"/>
                                <w:sz w:val="21"/>
                              </w:rPr>
                              <w:t>项目位置</w:t>
                            </w:r>
                          </w:p>
                        </w:txbxContent>
                      </v:textbox>
                    </v:shape>
                  </w:pict>
                </mc:Fallback>
              </mc:AlternateContent>
            </w:r>
            <w:r>
              <w:rPr>
                <w:rFonts w:hint="default"/>
                <w:color w:val="auto"/>
                <w:sz w:val="21"/>
                <w:highlight w:val="none"/>
              </w:rPr>
              <mc:AlternateContent>
                <mc:Choice Requires="wps">
                  <w:drawing>
                    <wp:anchor distT="0" distB="0" distL="114300" distR="114300" simplePos="0" relativeHeight="251674624" behindDoc="0" locked="0" layoutInCell="1" allowOverlap="1">
                      <wp:simplePos x="0" y="0"/>
                      <wp:positionH relativeFrom="column">
                        <wp:posOffset>3634105</wp:posOffset>
                      </wp:positionH>
                      <wp:positionV relativeFrom="paragraph">
                        <wp:posOffset>120015</wp:posOffset>
                      </wp:positionV>
                      <wp:extent cx="114300" cy="104775"/>
                      <wp:effectExtent l="12700" t="12700" r="25400" b="15875"/>
                      <wp:wrapNone/>
                      <wp:docPr id="93" name="等腰三角形 93"/>
                      <wp:cNvGraphicFramePr/>
                      <a:graphic xmlns:a="http://schemas.openxmlformats.org/drawingml/2006/main">
                        <a:graphicData uri="http://schemas.microsoft.com/office/word/2010/wordprocessingShape">
                          <wps:wsp>
                            <wps:cNvSpPr/>
                            <wps:spPr>
                              <a:xfrm>
                                <a:off x="4680585" y="5734050"/>
                                <a:ext cx="114300" cy="104775"/>
                              </a:xfrm>
                              <a:prstGeom prst="triangl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86.15pt;margin-top:9.45pt;height:8.25pt;width:9pt;z-index:251674624;v-text-anchor:middle;mso-width-relative:page;mso-height-relative:page;" fillcolor="#FF0000" filled="t" stroked="t" coordsize="21600,21600" o:gfxdata="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EbjTB1wAAAAkBAAAPAAAAAAAAAAEA&#10;IAAAACIAAABkcnMvZG93bnJldi54bWxQSwECFAAUAAAACACHTuJAnrh2GYICAAD3BAAADgAAAAAA&#10;AAABACAAAAAmAQAAZHJzL2Uyb0RvYy54bWxQSwUGAAAAAAYABgBZAQAAGgYAAAAA&#10;" adj="10800">
                      <v:fill on="t" focussize="0,0"/>
                      <v:stroke weight="2pt" color="#FF0000 [2404]" joinstyle="round"/>
                      <v:imagedata o:title=""/>
                      <o:lock v:ext="edit" aspectratio="f"/>
                    </v:shape>
                  </w:pict>
                </mc:Fallback>
              </mc:AlternateContent>
            </w:r>
            <w:r>
              <w:rPr>
                <w:rFonts w:hint="default"/>
                <w:color w:val="auto"/>
                <w:sz w:val="21"/>
                <w:highlight w:val="none"/>
              </w:rPr>
              <mc:AlternateContent>
                <mc:Choice Requires="wps">
                  <w:drawing>
                    <wp:anchor distT="0" distB="0" distL="114300" distR="114300" simplePos="0" relativeHeight="251673600" behindDoc="0" locked="0" layoutInCell="1" allowOverlap="1">
                      <wp:simplePos x="0" y="0"/>
                      <wp:positionH relativeFrom="column">
                        <wp:posOffset>1617345</wp:posOffset>
                      </wp:positionH>
                      <wp:positionV relativeFrom="paragraph">
                        <wp:posOffset>2438400</wp:posOffset>
                      </wp:positionV>
                      <wp:extent cx="216535" cy="269240"/>
                      <wp:effectExtent l="7620" t="5715" r="4445" b="10795"/>
                      <wp:wrapNone/>
                      <wp:docPr id="73" name="直线 1206"/>
                      <wp:cNvGraphicFramePr/>
                      <a:graphic xmlns:a="http://schemas.openxmlformats.org/drawingml/2006/main">
                        <a:graphicData uri="http://schemas.microsoft.com/office/word/2010/wordprocessingShape">
                          <wps:wsp>
                            <wps:cNvCnPr/>
                            <wps:spPr>
                              <a:xfrm>
                                <a:off x="0" y="0"/>
                                <a:ext cx="216535" cy="269240"/>
                              </a:xfrm>
                              <a:prstGeom prst="line">
                                <a:avLst/>
                              </a:prstGeom>
                              <a:ln w="19050" cap="flat" cmpd="sng">
                                <a:solidFill>
                                  <a:srgbClr val="FFFF00"/>
                                </a:solidFill>
                                <a:prstDash val="solid"/>
                                <a:headEnd type="none" w="med" len="med"/>
                                <a:tailEnd type="arrow" w="med" len="med"/>
                              </a:ln>
                            </wps:spPr>
                            <wps:bodyPr upright="1"/>
                          </wps:wsp>
                        </a:graphicData>
                      </a:graphic>
                    </wp:anchor>
                  </w:drawing>
                </mc:Choice>
                <mc:Fallback>
                  <w:pict>
                    <v:line id="直线 1206" o:spid="_x0000_s1026" o:spt="20" style="position:absolute;left:0pt;margin-left:127.35pt;margin-top:192pt;height:21.2pt;width:17.05pt;z-index:251673600;mso-width-relative:page;mso-height-relative:page;" filled="f" stroked="t" coordsize="21600,21600" o:gfxdata="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CZyF2wAAAAsBAAAPAAAAAAAAAAEAIAAAACIAAABkcnMvZG93bnJldi54&#10;bWxQSwECFAAUAAAACACHTuJAFZhHZfcBAADlAwAADgAAAAAAAAABACAAAAAqAQAAZHJzL2Uyb0Rv&#10;Yy54bWxQSwUGAAAAAAYABgBZAQAAkwUAAAAA&#10;">
                      <v:fill on="f" focussize="0,0"/>
                      <v:stroke weight="1.5pt" color="#FFFF00" joinstyle="round" endarrow="open"/>
                      <v:imagedata o:title=""/>
                      <o:lock v:ext="edit" aspectratio="f"/>
                    </v:line>
                  </w:pict>
                </mc:Fallback>
              </mc:AlternateContent>
            </w:r>
            <w:r>
              <w:rPr>
                <w:rFonts w:hint="default"/>
                <w:color w:val="auto"/>
                <w:sz w:val="21"/>
                <w:highlight w:val="none"/>
              </w:rPr>
              <mc:AlternateContent>
                <mc:Choice Requires="wps">
                  <w:drawing>
                    <wp:anchor distT="0" distB="0" distL="114300" distR="114300" simplePos="0" relativeHeight="251672576" behindDoc="0" locked="0" layoutInCell="1" allowOverlap="1">
                      <wp:simplePos x="0" y="0"/>
                      <wp:positionH relativeFrom="column">
                        <wp:posOffset>541020</wp:posOffset>
                      </wp:positionH>
                      <wp:positionV relativeFrom="paragraph">
                        <wp:posOffset>1051560</wp:posOffset>
                      </wp:positionV>
                      <wp:extent cx="273685" cy="297815"/>
                      <wp:effectExtent l="6985" t="6350" r="5080" b="635"/>
                      <wp:wrapNone/>
                      <wp:docPr id="72" name="直接连接符 72"/>
                      <wp:cNvGraphicFramePr/>
                      <a:graphic xmlns:a="http://schemas.openxmlformats.org/drawingml/2006/main">
                        <a:graphicData uri="http://schemas.microsoft.com/office/word/2010/wordprocessingShape">
                          <wps:wsp>
                            <wps:cNvCnPr/>
                            <wps:spPr>
                              <a:xfrm>
                                <a:off x="0" y="0"/>
                                <a:ext cx="273685" cy="297815"/>
                              </a:xfrm>
                              <a:prstGeom prst="line">
                                <a:avLst/>
                              </a:prstGeom>
                              <a:ln w="19050" cap="flat" cmpd="sng">
                                <a:solidFill>
                                  <a:srgbClr val="FFFF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42.6pt;margin-top:82.8pt;height:23.45pt;width:21.55pt;z-index:251672576;mso-width-relative:page;mso-height-relative:page;" filled="f" stroked="t" coordsize="21600,21600" o:gfxdata="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jlnt9sAAAAKAQAADwAAAAAAAAABACAAAAAiAAAA&#10;ZHJzL2Rvd25yZXYueG1sUEsBAhQAFAAAAAgAh07iQH9pOpoEAgAA7AMAAA4AAAAAAAAAAQAgAAAA&#10;KgEAAGRycy9lMm9Eb2MueG1sUEsFBgAAAAAGAAYAWQEAAKAFAAAAAA==&#10;">
                      <v:fill on="f" focussize="0,0"/>
                      <v:stroke weight="1.5pt" color="#FFFF00" joinstyle="round" endarrow="open"/>
                      <v:imagedata o:title=""/>
                      <o:lock v:ext="edit" aspectratio="f"/>
                    </v:line>
                  </w:pict>
                </mc:Fallback>
              </mc:AlternateContent>
            </w:r>
            <w:r>
              <w:rPr>
                <w:rFonts w:hint="default"/>
                <w:color w:val="auto"/>
                <w:sz w:val="21"/>
                <w:highlight w:val="none"/>
              </w:rPr>
              <w:drawing>
                <wp:inline distT="0" distB="0" distL="114300" distR="114300">
                  <wp:extent cx="4962525" cy="3495675"/>
                  <wp:effectExtent l="0" t="0" r="9525" b="9525"/>
                  <wp:docPr id="92" name="图片 92" descr="1697279549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1697279549300"/>
                          <pic:cNvPicPr>
                            <a:picLocks noChangeAspect="1"/>
                          </pic:cNvPicPr>
                        </pic:nvPicPr>
                        <pic:blipFill>
                          <a:blip r:embed="rId30">
                            <a:lum bright="6000"/>
                          </a:blip>
                          <a:stretch>
                            <a:fillRect/>
                          </a:stretch>
                        </pic:blipFill>
                        <pic:spPr>
                          <a:xfrm>
                            <a:off x="0" y="0"/>
                            <a:ext cx="4962525" cy="3495675"/>
                          </a:xfrm>
                          <a:prstGeom prst="rect">
                            <a:avLst/>
                          </a:prstGeom>
                        </pic:spPr>
                      </pic:pic>
                    </a:graphicData>
                  </a:graphic>
                </wp:inline>
              </w:drawing>
            </w:r>
            <w:r>
              <w:rPr>
                <w:rFonts w:hint="default"/>
                <w:color w:val="auto"/>
                <w:sz w:val="21"/>
                <w:highlight w:val="none"/>
              </w:rPr>
              <mc:AlternateContent>
                <mc:Choice Requires="wps">
                  <w:drawing>
                    <wp:anchor distT="0" distB="0" distL="114300" distR="114300" simplePos="0" relativeHeight="251663360" behindDoc="0" locked="0" layoutInCell="1" allowOverlap="1">
                      <wp:simplePos x="0" y="0"/>
                      <wp:positionH relativeFrom="column">
                        <wp:posOffset>5013960</wp:posOffset>
                      </wp:positionH>
                      <wp:positionV relativeFrom="paragraph">
                        <wp:posOffset>176530</wp:posOffset>
                      </wp:positionV>
                      <wp:extent cx="238760" cy="24892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238760" cy="248920"/>
                              </a:xfrm>
                              <a:prstGeom prst="rect">
                                <a:avLst/>
                              </a:prstGeom>
                              <a:solidFill>
                                <a:srgbClr val="000000">
                                  <a:alpha val="0"/>
                                </a:srgbClr>
                              </a:solidFill>
                              <a:ln>
                                <a:noFill/>
                              </a:ln>
                            </wps:spPr>
                            <wps:txbx>
                              <w:txbxContent>
                                <w:p>
                                  <w:pPr>
                                    <w:ind w:firstLine="562"/>
                                    <w:rPr>
                                      <w:b/>
                                      <w:bCs/>
                                    </w:rPr>
                                  </w:pPr>
                                  <w:r>
                                    <w:rPr>
                                      <w:rFonts w:hint="eastAsia"/>
                                      <w:b/>
                                      <w:bCs/>
                                    </w:rPr>
                                    <w:t>N</w:t>
                                  </w:r>
                                </w:p>
                              </w:txbxContent>
                            </wps:txbx>
                            <wps:bodyPr upright="1"/>
                          </wps:wsp>
                        </a:graphicData>
                      </a:graphic>
                    </wp:anchor>
                  </w:drawing>
                </mc:Choice>
                <mc:Fallback>
                  <w:pict>
                    <v:shape id="_x0000_s1026" o:spid="_x0000_s1026" o:spt="202" type="#_x0000_t202" style="position:absolute;left:0pt;margin-left:394.8pt;margin-top:13.9pt;height:19.6pt;width:18.8pt;z-index:251663360;mso-width-relative:page;mso-height-relative:page;" fillcolor="#000000" filled="t" stroked="f" coordsize="21600,21600" o:gfxdata="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a5hC92QAAAAkBAAAPAAAAAAAAAAEAIAAAACIAAABk&#10;cnMvZG93bnJldi54bWxQSwECFAAUAAAACACHTuJA7LRrOcwBAACXAwAADgAAAAAAAAABACAAAAAo&#10;AQAAZHJzL2Uyb0RvYy54bWxQSwUGAAAAAAYABgBZAQAAZgUAAAAA&#10;">
                      <v:fill on="t" opacity="0f" focussize="0,0"/>
                      <v:stroke on="f"/>
                      <v:imagedata o:title=""/>
                      <o:lock v:ext="edit" aspectratio="f"/>
                      <v:textbox>
                        <w:txbxContent>
                          <w:p>
                            <w:pPr>
                              <w:ind w:firstLine="562"/>
                              <w:rPr>
                                <w:b/>
                                <w:bCs/>
                              </w:rPr>
                            </w:pPr>
                            <w:r>
                              <w:rPr>
                                <w:rFonts w:hint="eastAsia"/>
                                <w:b/>
                                <w:bCs/>
                              </w:rPr>
                              <w:t>N</w:t>
                            </w:r>
                          </w:p>
                        </w:txbxContent>
                      </v:textbox>
                    </v:shape>
                  </w:pict>
                </mc:Fallback>
              </mc:AlternateContent>
            </w:r>
            <w:r>
              <w:rPr>
                <w:rFonts w:hint="default"/>
                <w:color w:val="auto"/>
                <w:sz w:val="21"/>
                <w:highlight w:val="none"/>
              </w:rPr>
              <mc:AlternateContent>
                <mc:Choice Requires="wps">
                  <w:drawing>
                    <wp:anchor distT="0" distB="0" distL="114300" distR="114300" simplePos="0" relativeHeight="251662336" behindDoc="0" locked="0" layoutInCell="1" allowOverlap="1">
                      <wp:simplePos x="0" y="0"/>
                      <wp:positionH relativeFrom="column">
                        <wp:posOffset>5149850</wp:posOffset>
                      </wp:positionH>
                      <wp:positionV relativeFrom="paragraph">
                        <wp:posOffset>376555</wp:posOffset>
                      </wp:positionV>
                      <wp:extent cx="8255" cy="352425"/>
                      <wp:effectExtent l="47625" t="0" r="58420" b="9525"/>
                      <wp:wrapNone/>
                      <wp:docPr id="102" name="直接连接符 102"/>
                      <wp:cNvGraphicFramePr/>
                      <a:graphic xmlns:a="http://schemas.openxmlformats.org/drawingml/2006/main">
                        <a:graphicData uri="http://schemas.microsoft.com/office/word/2010/wordprocessingShape">
                          <wps:wsp>
                            <wps:cNvCnPr/>
                            <wps:spPr>
                              <a:xfrm flipV="1">
                                <a:off x="0" y="0"/>
                                <a:ext cx="8255" cy="352425"/>
                              </a:xfrm>
                              <a:prstGeom prst="line">
                                <a:avLst/>
                              </a:prstGeom>
                              <a:ln w="19050" cap="flat" cmpd="sng">
                                <a:solidFill>
                                  <a:srgbClr val="000000"/>
                                </a:solidFill>
                                <a:prstDash val="solid"/>
                                <a:headEnd type="none" w="med" len="med"/>
                                <a:tailEnd type="arrow" w="med" len="med"/>
                              </a:ln>
                            </wps:spPr>
                            <wps:bodyPr/>
                          </wps:wsp>
                        </a:graphicData>
                      </a:graphic>
                    </wp:anchor>
                  </w:drawing>
                </mc:Choice>
                <mc:Fallback>
                  <w:pict>
                    <v:line id="_x0000_s1026" o:spid="_x0000_s1026" o:spt="20" style="position:absolute;left:0pt;flip:y;margin-left:405.5pt;margin-top:29.65pt;height:27.75pt;width:0.65pt;z-index:251662336;mso-width-relative:page;mso-height-relative:page;" filled="f" stroked="t" coordsize="21600,21600" o:gfxdata="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Vbvt7XAAAACgEAAA8AAAAAAAAAAQAgAAAAIgAAAGRycy9kb3ducmV2&#10;LnhtbFBLAQIUABQAAAAIAIdO4kD+xU7l/QEAAOoDAAAOAAAAAAAAAAEAIAAAACYBAABkcnMvZTJv&#10;RG9jLnhtbFBLBQYAAAAABgAGAFkBAACVBQAAAAA=&#10;">
                      <v:fill on="f" focussize="0,0"/>
                      <v:stroke weight="1.5pt" color="#000000" joinstyle="round" endarrow="open"/>
                      <v:imagedata o:title=""/>
                      <o:lock v:ext="edit" aspectratio="f"/>
                    </v:line>
                  </w:pict>
                </mc:Fallback>
              </mc:AlternateContent>
            </w:r>
          </w:p>
          <w:p>
            <w:pPr>
              <w:keepNext w:val="0"/>
              <w:keepLines w:val="0"/>
              <w:widowControl/>
              <w:suppressLineNumbers w:val="0"/>
              <w:adjustRightInd w:val="0"/>
              <w:snapToGrid w:val="0"/>
              <w:spacing w:before="0" w:beforeAutospacing="0" w:after="0" w:afterAutospacing="0" w:line="360" w:lineRule="auto"/>
              <w:ind w:left="0" w:right="0" w:firstLine="0" w:firstLineChars="0"/>
              <w:jc w:val="center"/>
              <w:rPr>
                <w:rFonts w:hint="default"/>
                <w:b/>
                <w:bCs/>
                <w:color w:val="auto"/>
                <w:highlight w:val="none"/>
              </w:rPr>
            </w:pPr>
            <w:r>
              <w:rPr>
                <w:rFonts w:hint="default"/>
                <w:b/>
                <w:bCs/>
                <w:color w:val="auto"/>
                <w:sz w:val="24"/>
                <w:szCs w:val="24"/>
                <w:highlight w:val="none"/>
              </w:rPr>
              <w:t>图3-</w:t>
            </w:r>
            <w:r>
              <w:rPr>
                <w:rFonts w:hint="eastAsia"/>
                <w:b/>
                <w:bCs/>
                <w:color w:val="auto"/>
                <w:sz w:val="24"/>
                <w:szCs w:val="24"/>
                <w:highlight w:val="none"/>
                <w:lang w:val="en-US" w:eastAsia="zh-CN"/>
              </w:rPr>
              <w:t>3</w:t>
            </w:r>
            <w:r>
              <w:rPr>
                <w:rFonts w:hint="default"/>
                <w:b/>
                <w:bCs/>
                <w:color w:val="auto"/>
                <w:sz w:val="24"/>
                <w:szCs w:val="24"/>
                <w:highlight w:val="none"/>
              </w:rPr>
              <w:t xml:space="preserve">  引用地表水环境监测点位示意图</w:t>
            </w:r>
          </w:p>
          <w:p>
            <w:pPr>
              <w:pStyle w:val="2"/>
              <w:keepNext w:val="0"/>
              <w:keepLines w:val="0"/>
              <w:suppressLineNumbers w:val="0"/>
              <w:spacing w:before="0" w:beforeAutospacing="0" w:after="0" w:afterAutospacing="0"/>
              <w:ind w:left="0" w:right="0" w:firstLine="482"/>
              <w:jc w:val="center"/>
              <w:rPr>
                <w:rFonts w:hint="default" w:ascii="Times New Roman" w:cs="Times New Roman"/>
                <w:b/>
                <w:bCs/>
                <w:color w:val="auto"/>
                <w:szCs w:val="32"/>
                <w:highlight w:val="none"/>
              </w:rPr>
            </w:pPr>
          </w:p>
          <w:p>
            <w:pPr>
              <w:pStyle w:val="2"/>
              <w:keepNext w:val="0"/>
              <w:keepLines w:val="0"/>
              <w:suppressLineNumbers w:val="0"/>
              <w:spacing w:before="0" w:beforeAutospacing="0" w:after="0" w:afterAutospacing="0"/>
              <w:ind w:left="0" w:right="0" w:firstLine="482"/>
              <w:jc w:val="center"/>
              <w:rPr>
                <w:rFonts w:hint="default" w:ascii="Times New Roman" w:cs="Times New Roman"/>
                <w:b/>
                <w:bCs/>
                <w:color w:val="auto"/>
                <w:szCs w:val="32"/>
                <w:highlight w:val="none"/>
              </w:rPr>
            </w:pPr>
            <w:r>
              <w:rPr>
                <w:rFonts w:hint="default" w:ascii="Times New Roman" w:cs="Times New Roman"/>
                <w:b/>
                <w:bCs/>
                <w:color w:val="auto"/>
                <w:szCs w:val="32"/>
                <w:highlight w:val="none"/>
              </w:rPr>
              <w:t>表3-4  地表水现状监测数据  单位：mg/L，PH为无量纲</w:t>
            </w:r>
          </w:p>
          <w:tbl>
            <w:tblPr>
              <w:tblStyle w:val="3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930"/>
              <w:gridCol w:w="780"/>
              <w:gridCol w:w="675"/>
              <w:gridCol w:w="735"/>
              <w:gridCol w:w="795"/>
              <w:gridCol w:w="795"/>
              <w:gridCol w:w="735"/>
              <w:gridCol w:w="645"/>
              <w:gridCol w:w="780"/>
              <w:gridCol w:w="555"/>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监测时间</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水温</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pH</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DO</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COD</w:t>
                  </w:r>
                  <w:r>
                    <w:rPr>
                      <w:rFonts w:hint="default"/>
                      <w:b/>
                      <w:color w:val="auto"/>
                      <w:kern w:val="2"/>
                      <w:sz w:val="21"/>
                      <w:highlight w:val="none"/>
                      <w:vertAlign w:val="subscript"/>
                    </w:rPr>
                    <w:t>Cr</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BOD</w:t>
                  </w:r>
                  <w:r>
                    <w:rPr>
                      <w:rFonts w:hint="default"/>
                      <w:b/>
                      <w:color w:val="auto"/>
                      <w:kern w:val="2"/>
                      <w:sz w:val="21"/>
                      <w:highlight w:val="none"/>
                      <w:vertAlign w:val="subscript"/>
                    </w:rPr>
                    <w:t>5</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NH</w:t>
                  </w:r>
                  <w:r>
                    <w:rPr>
                      <w:rFonts w:hint="default"/>
                      <w:b/>
                      <w:color w:val="auto"/>
                      <w:kern w:val="2"/>
                      <w:sz w:val="21"/>
                      <w:highlight w:val="none"/>
                      <w:vertAlign w:val="subscript"/>
                    </w:rPr>
                    <w:t>3</w:t>
                  </w:r>
                  <w:r>
                    <w:rPr>
                      <w:rFonts w:hint="default"/>
                      <w:b/>
                      <w:color w:val="auto"/>
                      <w:kern w:val="2"/>
                      <w:sz w:val="21"/>
                      <w:highlight w:val="none"/>
                    </w:rPr>
                    <w:t>-N</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TP</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LAS</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挥发酚</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石油类</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2021.8.16</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24.2</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6.68</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5.8</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15</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4.0</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0.671</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0.13</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&lt;0.05</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&lt;0.0003</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0.27</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2021.8.17</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23.8</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6.71</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6.2</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11</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3.1</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0.762</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0.14</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&lt;0.05</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&lt;0.0003</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0.17</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2021.8.18</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24.6</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6.65</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5.9</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17</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4.7</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0.591</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0.14</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&lt;0.05</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&lt;0.0003</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0.20</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平均值</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24.2</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6.68</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5.97</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14.33</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3.93</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0.67</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0.14</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0.05</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0.0003</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0.21</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color w:val="auto"/>
                      <w:sz w:val="21"/>
                      <w:highlight w:val="none"/>
                    </w:rPr>
                    <w:t>（GB3838-2002）</w:t>
                  </w:r>
                  <w:r>
                    <w:rPr>
                      <w:rFonts w:hint="default"/>
                      <w:color w:val="auto"/>
                      <w:sz w:val="21"/>
                      <w:highlight w:val="none"/>
                    </w:rPr>
                    <w:fldChar w:fldCharType="begin"/>
                  </w:r>
                  <w:r>
                    <w:rPr>
                      <w:rFonts w:hint="default"/>
                      <w:color w:val="auto"/>
                      <w:sz w:val="21"/>
                      <w:highlight w:val="none"/>
                    </w:rPr>
                    <w:instrText xml:space="preserve"> = 4 \* ROMAN \* MERGEFORMAT </w:instrText>
                  </w:r>
                  <w:r>
                    <w:rPr>
                      <w:rFonts w:hint="default"/>
                      <w:color w:val="auto"/>
                      <w:sz w:val="21"/>
                      <w:highlight w:val="none"/>
                    </w:rPr>
                    <w:fldChar w:fldCharType="separate"/>
                  </w:r>
                  <w:r>
                    <w:rPr>
                      <w:rFonts w:hint="default"/>
                      <w:color w:val="auto"/>
                      <w:sz w:val="21"/>
                      <w:highlight w:val="none"/>
                    </w:rPr>
                    <w:t>V</w:t>
                  </w:r>
                  <w:r>
                    <w:rPr>
                      <w:rFonts w:hint="default"/>
                      <w:color w:val="auto"/>
                      <w:sz w:val="21"/>
                      <w:highlight w:val="none"/>
                    </w:rPr>
                    <w:fldChar w:fldCharType="end"/>
                  </w:r>
                  <w:r>
                    <w:rPr>
                      <w:rFonts w:hint="default"/>
                      <w:color w:val="auto"/>
                      <w:sz w:val="21"/>
                      <w:highlight w:val="none"/>
                    </w:rPr>
                    <w:t>类标准</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周平均最大温升≤1周平均最大温降≤1</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6~9</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≤40</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≤10</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≤2.0</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≤0.4</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≤1.0</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标准指数</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0.05</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0.24</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0.36</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0.39</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0.34</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0.34</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0.17</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0.003</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0.21</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9"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达标情况</w:t>
                  </w:r>
                </w:p>
              </w:tc>
              <w:tc>
                <w:tcPr>
                  <w:tcW w:w="53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3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45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42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36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4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31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c>
                <w:tcPr>
                  <w:tcW w:w="3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达标</w:t>
                  </w:r>
                </w:p>
              </w:tc>
            </w:tr>
          </w:tbl>
          <w:p>
            <w:pPr>
              <w:keepNext w:val="0"/>
              <w:keepLines w:val="0"/>
              <w:suppressLineNumbers w:val="0"/>
              <w:adjustRightInd w:val="0"/>
              <w:snapToGrid w:val="0"/>
              <w:spacing w:before="156" w:beforeLines="50" w:beforeAutospacing="0" w:after="0" w:afterAutospacing="0" w:line="360" w:lineRule="auto"/>
              <w:ind w:left="0" w:right="0" w:firstLine="482"/>
              <w:jc w:val="both"/>
              <w:rPr>
                <w:rFonts w:hint="default"/>
                <w:b/>
                <w:color w:val="auto"/>
                <w:sz w:val="24"/>
                <w:szCs w:val="24"/>
                <w:highlight w:val="none"/>
              </w:rPr>
            </w:pPr>
            <w:r>
              <w:rPr>
                <w:rFonts w:hint="default"/>
                <w:b/>
                <w:color w:val="auto"/>
                <w:sz w:val="24"/>
                <w:szCs w:val="24"/>
                <w:highlight w:val="none"/>
              </w:rPr>
              <w:t>（3）达标性分析</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highlight w:val="none"/>
              </w:rPr>
            </w:pPr>
            <w:r>
              <w:rPr>
                <w:rFonts w:hint="default"/>
                <w:bCs/>
                <w:color w:val="auto"/>
                <w:sz w:val="24"/>
                <w:szCs w:val="24"/>
                <w:highlight w:val="none"/>
              </w:rPr>
              <w:t>根据上表监测结果可知，南蛇沥各项监测指标均可满足《地表水环境质量标准》（GB3838-2002）</w:t>
            </w:r>
            <w:r>
              <w:rPr>
                <w:rFonts w:hint="default" w:ascii="Times New Roman" w:hAnsi="Times New Roman" w:cs="Times New Roman"/>
                <w:b w:val="0"/>
                <w:bCs/>
                <w:color w:val="auto"/>
                <w:sz w:val="24"/>
                <w:szCs w:val="24"/>
                <w:highlight w:val="none"/>
                <w:lang w:val="en-US" w:eastAsia="zh-CN"/>
              </w:rPr>
              <w:fldChar w:fldCharType="begin"/>
            </w:r>
            <w:r>
              <w:rPr>
                <w:rFonts w:hint="default" w:ascii="Times New Roman" w:hAnsi="Times New Roman" w:cs="Times New Roman"/>
                <w:b w:val="0"/>
                <w:bCs/>
                <w:color w:val="auto"/>
                <w:sz w:val="24"/>
                <w:szCs w:val="24"/>
                <w:highlight w:val="none"/>
                <w:lang w:val="en-US" w:eastAsia="zh-CN"/>
              </w:rPr>
              <w:instrText xml:space="preserve"> = 4 \* ROMAN \* MERGEFORMAT </w:instrText>
            </w:r>
            <w:r>
              <w:rPr>
                <w:rFonts w:hint="default" w:ascii="Times New Roman" w:hAnsi="Times New Roman" w:cs="Times New Roman"/>
                <w:b w:val="0"/>
                <w:bCs/>
                <w:color w:val="auto"/>
                <w:sz w:val="24"/>
                <w:szCs w:val="24"/>
                <w:highlight w:val="none"/>
                <w:lang w:val="en-US" w:eastAsia="zh-CN"/>
              </w:rPr>
              <w:fldChar w:fldCharType="separate"/>
            </w:r>
            <w:r>
              <w:rPr>
                <w:rFonts w:hint="default" w:ascii="Times New Roman" w:hAnsi="Times New Roman" w:cs="Times New Roman"/>
                <w:b w:val="0"/>
                <w:bCs/>
                <w:color w:val="auto"/>
                <w:sz w:val="24"/>
                <w:szCs w:val="24"/>
                <w:highlight w:val="none"/>
                <w:lang w:val="en-US" w:eastAsia="zh-CN"/>
              </w:rPr>
              <w:t>V</w:t>
            </w:r>
            <w:r>
              <w:rPr>
                <w:rFonts w:hint="default" w:ascii="Times New Roman" w:hAnsi="Times New Roman" w:cs="Times New Roman"/>
                <w:b w:val="0"/>
                <w:bCs/>
                <w:color w:val="auto"/>
                <w:sz w:val="24"/>
                <w:szCs w:val="24"/>
                <w:highlight w:val="none"/>
                <w:lang w:val="en-US" w:eastAsia="zh-CN"/>
              </w:rPr>
              <w:fldChar w:fldCharType="end"/>
            </w:r>
            <w:r>
              <w:rPr>
                <w:rFonts w:hint="default"/>
                <w:bCs/>
                <w:color w:val="auto"/>
                <w:sz w:val="24"/>
                <w:szCs w:val="24"/>
                <w:highlight w:val="none"/>
              </w:rPr>
              <w:t>类标准限值要求。</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3、声环境</w:t>
            </w:r>
          </w:p>
          <w:p>
            <w:pPr>
              <w:pStyle w:val="49"/>
              <w:keepNext w:val="0"/>
              <w:keepLines w:val="0"/>
              <w:suppressLineNumbers w:val="0"/>
              <w:spacing w:before="0" w:beforeAutospacing="0" w:after="0" w:afterAutospacing="0" w:line="360" w:lineRule="auto"/>
              <w:ind w:right="0" w:firstLine="480"/>
              <w:jc w:val="both"/>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kern w:val="2"/>
                <w:sz w:val="24"/>
                <w:szCs w:val="24"/>
                <w:highlight w:val="none"/>
                <w:lang w:val="zh-CN"/>
              </w:rPr>
              <w:t>本项目厂界</w:t>
            </w:r>
            <w:r>
              <w:rPr>
                <w:rFonts w:hint="default" w:ascii="Times New Roman" w:hAnsi="Times New Roman" w:cs="Times New Roman"/>
                <w:color w:val="auto"/>
                <w:sz w:val="24"/>
                <w:szCs w:val="24"/>
                <w:highlight w:val="none"/>
                <w:lang w:val="zh-CN"/>
              </w:rPr>
              <w:t>外50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lang w:val="zh-CN"/>
              </w:rPr>
              <w:t>范围内无声环境保护目标，无需开展声环境质量现状调查。</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4、生态环境</w:t>
            </w:r>
          </w:p>
          <w:p>
            <w:pPr>
              <w:keepNext w:val="0"/>
              <w:keepLines w:val="0"/>
              <w:suppressLineNumbers w:val="0"/>
              <w:tabs>
                <w:tab w:val="left" w:pos="0"/>
              </w:tabs>
              <w:autoSpaceDE w:val="0"/>
              <w:autoSpaceDN w:val="0"/>
              <w:adjustRightInd w:val="0"/>
              <w:snapToGrid w:val="0"/>
              <w:spacing w:before="0" w:beforeAutospacing="0" w:after="0" w:afterAutospacing="0" w:line="360" w:lineRule="auto"/>
              <w:ind w:left="0" w:right="0" w:firstLine="480"/>
              <w:jc w:val="both"/>
              <w:textAlignment w:val="baseline"/>
              <w:rPr>
                <w:rFonts w:hint="default"/>
                <w:color w:val="auto"/>
                <w:sz w:val="24"/>
                <w:szCs w:val="24"/>
                <w:highlight w:val="none"/>
              </w:rPr>
            </w:pPr>
            <w:r>
              <w:rPr>
                <w:rFonts w:hint="default"/>
                <w:color w:val="auto"/>
                <w:sz w:val="24"/>
                <w:szCs w:val="24"/>
                <w:highlight w:val="none"/>
              </w:rPr>
              <w:t>本项目无新增用地，无需进行生态现状调查。</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5、电磁辐射</w:t>
            </w:r>
          </w:p>
          <w:p>
            <w:pPr>
              <w:pStyle w:val="49"/>
              <w:keepNext w:val="0"/>
              <w:keepLines w:val="0"/>
              <w:suppressLineNumbers w:val="0"/>
              <w:spacing w:before="0" w:beforeAutospacing="0" w:after="0" w:afterAutospacing="0" w:line="360" w:lineRule="auto"/>
              <w:ind w:right="0" w:firstLine="480"/>
              <w:jc w:val="both"/>
              <w:rPr>
                <w:rFonts w:hint="default" w:ascii="Times New Roman" w:hAnsi="Times New Roman" w:cs="Times New Roman"/>
                <w:b/>
                <w:bCs/>
                <w:color w:val="auto"/>
                <w:sz w:val="24"/>
                <w:szCs w:val="24"/>
                <w:highlight w:val="none"/>
              </w:rPr>
            </w:pPr>
            <w:r>
              <w:rPr>
                <w:rFonts w:hint="default" w:ascii="Times New Roman" w:hAnsi="Times New Roman" w:cs="Times New Roman"/>
                <w:color w:val="auto"/>
                <w:sz w:val="24"/>
                <w:szCs w:val="24"/>
                <w:highlight w:val="none"/>
              </w:rPr>
              <w:t>项目不涉及电磁辐射类项目，故不进行电磁辐射类现状监测与评价。</w:t>
            </w:r>
          </w:p>
          <w:p>
            <w:pPr>
              <w:pStyle w:val="49"/>
              <w:keepNext w:val="0"/>
              <w:keepLines w:val="0"/>
              <w:suppressLineNumbers w:val="0"/>
              <w:spacing w:before="0" w:beforeAutospacing="0" w:after="0" w:afterAutospacing="0" w:line="360" w:lineRule="auto"/>
              <w:ind w:right="0" w:firstLine="482"/>
              <w:jc w:val="both"/>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6、地下水、土壤</w:t>
            </w:r>
          </w:p>
          <w:p>
            <w:pPr>
              <w:pStyle w:val="49"/>
              <w:keepNext w:val="0"/>
              <w:keepLines w:val="0"/>
              <w:suppressLineNumbers w:val="0"/>
              <w:spacing w:before="0" w:beforeAutospacing="0" w:after="0" w:afterAutospacing="0" w:line="360" w:lineRule="auto"/>
              <w:ind w:right="0" w:firstLine="480"/>
              <w:jc w:val="both"/>
              <w:rPr>
                <w:rFonts w:hint="default" w:ascii="Times New Roman" w:hAnsi="Times New Roman" w:cs="Times New Roman"/>
                <w:color w:val="auto"/>
                <w:sz w:val="24"/>
                <w:szCs w:val="24"/>
                <w:highlight w:val="none"/>
              </w:rPr>
            </w:pPr>
            <w:r>
              <w:rPr>
                <w:rFonts w:hint="eastAsia" w:ascii="Times New Roman" w:hAnsi="Times New Roman" w:eastAsia="宋体"/>
                <w:color w:val="auto"/>
                <w:sz w:val="24"/>
                <w:szCs w:val="32"/>
                <w:highlight w:val="none"/>
              </w:rPr>
              <w:t>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321" w:type="dxa"/>
            <w:vAlign w:val="center"/>
          </w:tcPr>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保护</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目标</w:t>
            </w:r>
          </w:p>
        </w:tc>
        <w:tc>
          <w:tcPr>
            <w:tcW w:w="8807" w:type="dxa"/>
          </w:tcPr>
          <w:p>
            <w:pPr>
              <w:keepNext w:val="0"/>
              <w:keepLines w:val="0"/>
              <w:suppressLineNumbers w:val="0"/>
              <w:adjustRightInd w:val="0"/>
              <w:snapToGrid w:val="0"/>
              <w:spacing w:before="156" w:beforeLines="50" w:beforeAutospacing="0" w:after="0" w:afterAutospacing="0" w:line="360" w:lineRule="auto"/>
              <w:ind w:left="0" w:right="0" w:firstLine="482"/>
              <w:rPr>
                <w:rFonts w:hint="default"/>
                <w:b/>
                <w:color w:val="auto"/>
                <w:sz w:val="24"/>
                <w:highlight w:val="none"/>
              </w:rPr>
            </w:pPr>
            <w:r>
              <w:rPr>
                <w:rFonts w:hint="default"/>
                <w:b/>
                <w:color w:val="auto"/>
                <w:sz w:val="24"/>
                <w:highlight w:val="none"/>
              </w:rPr>
              <w:t>1、大气环境</w:t>
            </w: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项目厂界外500米范围内的大气环境保护目标详见下表。</w:t>
            </w: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p>
          <w:p>
            <w:pPr>
              <w:pStyle w:val="106"/>
              <w:keepNext w:val="0"/>
              <w:keepLines w:val="0"/>
              <w:numPr>
                <w:ilvl w:val="0"/>
                <w:numId w:val="0"/>
              </w:numPr>
              <w:suppressLineNumbers w:val="0"/>
              <w:spacing w:before="0" w:beforeAutospacing="0" w:after="0" w:afterAutospacing="0"/>
              <w:ind w:left="0" w:right="0"/>
              <w:rPr>
                <w:rFonts w:hint="default"/>
                <w:color w:val="auto"/>
                <w:highlight w:val="none"/>
              </w:rPr>
            </w:pPr>
            <w:r>
              <w:rPr>
                <w:rFonts w:hint="default"/>
                <w:color w:val="auto"/>
                <w:szCs w:val="24"/>
                <w:highlight w:val="none"/>
              </w:rPr>
              <w:t xml:space="preserve">表3-5  </w:t>
            </w:r>
            <w:r>
              <w:rPr>
                <w:rFonts w:hint="default"/>
                <w:color w:val="auto"/>
                <w:highlight w:val="none"/>
              </w:rPr>
              <w:t>项目大气环境保护目标</w:t>
            </w:r>
          </w:p>
          <w:tbl>
            <w:tblPr>
              <w:tblStyle w:val="3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1185"/>
              <w:gridCol w:w="1234"/>
              <w:gridCol w:w="841"/>
              <w:gridCol w:w="799"/>
              <w:gridCol w:w="766"/>
              <w:gridCol w:w="890"/>
              <w:gridCol w:w="1014"/>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28"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bidi="ar"/>
                    </w:rPr>
                  </w:pPr>
                  <w:r>
                    <w:rPr>
                      <w:rFonts w:hint="default" w:ascii="Times New Roman" w:hAnsi="Times New Roman" w:cs="Times New Roman"/>
                      <w:b/>
                      <w:color w:val="auto"/>
                      <w:sz w:val="21"/>
                      <w:szCs w:val="21"/>
                      <w:highlight w:val="none"/>
                      <w:lang w:bidi="ar"/>
                    </w:rPr>
                    <w:t>保护</w:t>
                  </w:r>
                </w:p>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lang w:bidi="ar"/>
                    </w:rPr>
                    <w:t>目标</w:t>
                  </w:r>
                </w:p>
              </w:tc>
              <w:tc>
                <w:tcPr>
                  <w:tcW w:w="1384" w:type="pct"/>
                  <w:gridSpan w:val="2"/>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bidi="ar"/>
                    </w:rPr>
                  </w:pPr>
                  <w:r>
                    <w:rPr>
                      <w:rFonts w:hint="eastAsia" w:ascii="Times New Roman" w:hAnsi="Times New Roman" w:cs="Times New Roman"/>
                      <w:b/>
                      <w:color w:val="auto"/>
                      <w:sz w:val="21"/>
                      <w:szCs w:val="21"/>
                      <w:highlight w:val="none"/>
                      <w:lang w:bidi="ar"/>
                    </w:rPr>
                    <w:t>中心地理位置</w:t>
                  </w:r>
                </w:p>
              </w:tc>
              <w:tc>
                <w:tcPr>
                  <w:tcW w:w="481"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保护对象</w:t>
                  </w:r>
                </w:p>
              </w:tc>
              <w:tc>
                <w:tcPr>
                  <w:tcW w:w="457"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保护内容</w:t>
                  </w:r>
                </w:p>
              </w:tc>
              <w:tc>
                <w:tcPr>
                  <w:tcW w:w="438"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环境功能区</w:t>
                  </w:r>
                </w:p>
              </w:tc>
              <w:tc>
                <w:tcPr>
                  <w:tcW w:w="509"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相对厂址方位</w:t>
                  </w:r>
                </w:p>
              </w:tc>
              <w:tc>
                <w:tcPr>
                  <w:tcW w:w="580"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相对厂界距离/m</w:t>
                  </w:r>
                </w:p>
              </w:tc>
              <w:tc>
                <w:tcPr>
                  <w:tcW w:w="620"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产污车间至敏感点距离/m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28"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lang w:bidi="ar"/>
                    </w:rPr>
                  </w:pPr>
                </w:p>
              </w:tc>
              <w:tc>
                <w:tcPr>
                  <w:tcW w:w="678"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
                      <w:color w:val="auto"/>
                      <w:sz w:val="21"/>
                      <w:highlight w:val="none"/>
                      <w:lang w:bidi="ar"/>
                    </w:rPr>
                  </w:pPr>
                  <w:r>
                    <w:rPr>
                      <w:rFonts w:hint="eastAsia"/>
                      <w:b/>
                      <w:color w:val="auto"/>
                      <w:sz w:val="21"/>
                      <w:highlight w:val="none"/>
                      <w:lang w:bidi="ar"/>
                    </w:rPr>
                    <w:t>经度</w:t>
                  </w:r>
                </w:p>
              </w:tc>
              <w:tc>
                <w:tcPr>
                  <w:tcW w:w="706"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
                      <w:color w:val="auto"/>
                      <w:sz w:val="21"/>
                      <w:highlight w:val="none"/>
                      <w:lang w:bidi="ar"/>
                    </w:rPr>
                  </w:pPr>
                  <w:r>
                    <w:rPr>
                      <w:rFonts w:hint="eastAsia"/>
                      <w:b/>
                      <w:color w:val="auto"/>
                      <w:sz w:val="21"/>
                      <w:highlight w:val="none"/>
                      <w:lang w:bidi="ar"/>
                    </w:rPr>
                    <w:t>纬度</w:t>
                  </w:r>
                </w:p>
              </w:tc>
              <w:tc>
                <w:tcPr>
                  <w:tcW w:w="481"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457"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438"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509"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580"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c>
                <w:tcPr>
                  <w:tcW w:w="620"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老围村</w:t>
                  </w:r>
                </w:p>
              </w:tc>
              <w:tc>
                <w:tcPr>
                  <w:tcW w:w="678"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bidi="ar"/>
                    </w:rPr>
                  </w:pPr>
                  <w:r>
                    <w:rPr>
                      <w:rFonts w:hint="eastAsia"/>
                      <w:color w:val="auto"/>
                      <w:sz w:val="21"/>
                      <w:szCs w:val="21"/>
                      <w:highlight w:val="none"/>
                      <w:lang w:val="en-US" w:eastAsia="zh-CN"/>
                    </w:rPr>
                    <w:t>E</w:t>
                  </w:r>
                  <w:r>
                    <w:rPr>
                      <w:rFonts w:hint="default"/>
                      <w:bCs/>
                      <w:color w:val="auto"/>
                      <w:sz w:val="21"/>
                      <w:highlight w:val="none"/>
                      <w:lang w:bidi="ar"/>
                    </w:rPr>
                    <w:t>114°30′7.473″</w:t>
                  </w:r>
                </w:p>
              </w:tc>
              <w:tc>
                <w:tcPr>
                  <w:tcW w:w="706"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bidi="ar"/>
                    </w:rPr>
                  </w:pPr>
                  <w:r>
                    <w:rPr>
                      <w:rFonts w:hint="eastAsia" w:ascii="Times New Roman" w:hAnsi="Times New Roman" w:eastAsia="宋体" w:cs="Times New Roman"/>
                      <w:color w:val="auto"/>
                      <w:sz w:val="21"/>
                      <w:szCs w:val="21"/>
                      <w:highlight w:val="none"/>
                      <w:lang w:val="en-US" w:eastAsia="zh-CN"/>
                    </w:rPr>
                    <w:t>N</w:t>
                  </w:r>
                  <w:r>
                    <w:rPr>
                      <w:rFonts w:hint="default"/>
                      <w:bCs/>
                      <w:color w:val="auto"/>
                      <w:sz w:val="21"/>
                      <w:highlight w:val="none"/>
                      <w:lang w:bidi="ar"/>
                    </w:rPr>
                    <w:t>23°27′55.94</w:t>
                  </w:r>
                  <w:r>
                    <w:rPr>
                      <w:rFonts w:hint="eastAsia"/>
                      <w:bCs/>
                      <w:color w:val="auto"/>
                      <w:sz w:val="21"/>
                      <w:highlight w:val="none"/>
                      <w:lang w:bidi="ar"/>
                    </w:rPr>
                    <w:t>2</w:t>
                  </w:r>
                  <w:r>
                    <w:rPr>
                      <w:rFonts w:hint="default"/>
                      <w:bCs/>
                      <w:color w:val="auto"/>
                      <w:sz w:val="21"/>
                      <w:highlight w:val="none"/>
                      <w:lang w:bidi="ar"/>
                    </w:rPr>
                    <w:t>″</w:t>
                  </w:r>
                </w:p>
              </w:tc>
              <w:tc>
                <w:tcPr>
                  <w:tcW w:w="481"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居</w:t>
                  </w:r>
                  <w:r>
                    <w:rPr>
                      <w:rFonts w:hint="eastAsia" w:ascii="Times New Roman" w:hAnsi="Times New Roman" w:cs="Times New Roman"/>
                      <w:bCs/>
                      <w:color w:val="auto"/>
                      <w:sz w:val="21"/>
                      <w:szCs w:val="21"/>
                      <w:highlight w:val="none"/>
                      <w:lang w:bidi="ar"/>
                    </w:rPr>
                    <w:t>民</w:t>
                  </w:r>
                </w:p>
              </w:tc>
              <w:tc>
                <w:tcPr>
                  <w:tcW w:w="457"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人群，约150人</w:t>
                  </w:r>
                </w:p>
              </w:tc>
              <w:tc>
                <w:tcPr>
                  <w:tcW w:w="438" w:type="pct"/>
                  <w:vMerge w:val="restar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环境空气功能区二类区</w:t>
                  </w:r>
                </w:p>
              </w:tc>
              <w:tc>
                <w:tcPr>
                  <w:tcW w:w="509"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东</w:t>
                  </w:r>
                </w:p>
              </w:tc>
              <w:tc>
                <w:tcPr>
                  <w:tcW w:w="580"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3</w:t>
                  </w:r>
                  <w:r>
                    <w:rPr>
                      <w:rFonts w:hint="eastAsia" w:ascii="Times New Roman" w:hAnsi="Times New Roman" w:cs="Times New Roman"/>
                      <w:bCs/>
                      <w:color w:val="auto"/>
                      <w:sz w:val="21"/>
                      <w:szCs w:val="21"/>
                      <w:highlight w:val="none"/>
                      <w:lang w:bidi="ar"/>
                    </w:rPr>
                    <w:t>5</w:t>
                  </w:r>
                  <w:r>
                    <w:rPr>
                      <w:rFonts w:hint="default" w:ascii="Times New Roman" w:hAnsi="Times New Roman" w:cs="Times New Roman"/>
                      <w:bCs/>
                      <w:color w:val="auto"/>
                      <w:sz w:val="21"/>
                      <w:szCs w:val="21"/>
                      <w:highlight w:val="none"/>
                      <w:lang w:bidi="ar"/>
                    </w:rPr>
                    <w:t>0</w:t>
                  </w:r>
                </w:p>
              </w:tc>
              <w:tc>
                <w:tcPr>
                  <w:tcW w:w="620"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bidi="ar"/>
                    </w:rPr>
                  </w:pPr>
                  <w:r>
                    <w:rPr>
                      <w:rFonts w:hint="eastAsia" w:ascii="Times New Roman" w:hAnsi="Times New Roman" w:cs="Times New Roman"/>
                      <w:bCs/>
                      <w:color w:val="auto"/>
                      <w:sz w:val="21"/>
                      <w:szCs w:val="21"/>
                      <w:highlight w:val="none"/>
                      <w:lang w:val="en-US" w:eastAsia="zh-CN" w:bidi="ar"/>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Times New Roman" w:hAnsi="Times New Roman" w:eastAsia="宋体" w:cs="Times New Roman"/>
                      <w:bCs/>
                      <w:color w:val="auto"/>
                      <w:sz w:val="21"/>
                      <w:szCs w:val="21"/>
                      <w:highlight w:val="none"/>
                      <w:lang w:val="en-US" w:eastAsia="zh-CN" w:bidi="ar"/>
                    </w:rPr>
                  </w:pPr>
                  <w:r>
                    <w:rPr>
                      <w:rFonts w:hint="default" w:ascii="Times New Roman" w:hAnsi="Times New Roman" w:cs="Times New Roman"/>
                      <w:bCs/>
                      <w:color w:val="auto"/>
                      <w:sz w:val="21"/>
                      <w:szCs w:val="21"/>
                      <w:highlight w:val="none"/>
                      <w:lang w:bidi="ar"/>
                    </w:rPr>
                    <w:t>白木坑</w:t>
                  </w:r>
                  <w:r>
                    <w:rPr>
                      <w:rFonts w:hint="eastAsia"/>
                      <w:color w:val="auto"/>
                      <w:highlight w:val="none"/>
                      <w:lang w:val="en-US" w:eastAsia="zh-CN"/>
                    </w:rPr>
                    <w:t>村</w:t>
                  </w:r>
                </w:p>
              </w:tc>
              <w:tc>
                <w:tcPr>
                  <w:tcW w:w="678"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bidi="ar"/>
                    </w:rPr>
                  </w:pPr>
                  <w:r>
                    <w:rPr>
                      <w:rFonts w:hint="eastAsia" w:ascii="Times New Roman" w:hAnsi="Times New Roman" w:eastAsia="宋体" w:cs="Times New Roman"/>
                      <w:color w:val="auto"/>
                      <w:sz w:val="21"/>
                      <w:szCs w:val="21"/>
                      <w:highlight w:val="none"/>
                      <w:lang w:val="en-US" w:eastAsia="zh-CN"/>
                    </w:rPr>
                    <w:t>E</w:t>
                  </w:r>
                  <w:r>
                    <w:rPr>
                      <w:rFonts w:hint="default"/>
                      <w:bCs/>
                      <w:color w:val="auto"/>
                      <w:sz w:val="21"/>
                      <w:highlight w:val="none"/>
                      <w:lang w:bidi="ar"/>
                    </w:rPr>
                    <w:t>114°29′36.265″</w:t>
                  </w:r>
                </w:p>
              </w:tc>
              <w:tc>
                <w:tcPr>
                  <w:tcW w:w="706" w:type="pct"/>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bidi="ar"/>
                    </w:rPr>
                  </w:pPr>
                  <w:r>
                    <w:rPr>
                      <w:rFonts w:hint="eastAsia" w:ascii="Times New Roman" w:hAnsi="Times New Roman" w:eastAsia="宋体" w:cs="Times New Roman"/>
                      <w:color w:val="auto"/>
                      <w:sz w:val="21"/>
                      <w:szCs w:val="21"/>
                      <w:highlight w:val="none"/>
                      <w:lang w:val="en-US" w:eastAsia="zh-CN"/>
                    </w:rPr>
                    <w:t>N</w:t>
                  </w:r>
                  <w:r>
                    <w:rPr>
                      <w:rFonts w:hint="default"/>
                      <w:bCs/>
                      <w:color w:val="auto"/>
                      <w:sz w:val="21"/>
                      <w:highlight w:val="none"/>
                      <w:lang w:bidi="ar"/>
                    </w:rPr>
                    <w:t>23°27′55.16</w:t>
                  </w:r>
                  <w:r>
                    <w:rPr>
                      <w:rFonts w:hint="eastAsia"/>
                      <w:bCs/>
                      <w:color w:val="auto"/>
                      <w:sz w:val="21"/>
                      <w:highlight w:val="none"/>
                      <w:lang w:bidi="ar"/>
                    </w:rPr>
                    <w:t>3</w:t>
                  </w:r>
                  <w:r>
                    <w:rPr>
                      <w:rFonts w:hint="default"/>
                      <w:bCs/>
                      <w:color w:val="auto"/>
                      <w:sz w:val="21"/>
                      <w:highlight w:val="none"/>
                      <w:lang w:bidi="ar"/>
                    </w:rPr>
                    <w:t>″</w:t>
                  </w:r>
                </w:p>
              </w:tc>
              <w:tc>
                <w:tcPr>
                  <w:tcW w:w="481"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居</w:t>
                  </w:r>
                  <w:r>
                    <w:rPr>
                      <w:rFonts w:hint="eastAsia" w:ascii="Times New Roman" w:hAnsi="Times New Roman" w:cs="Times New Roman"/>
                      <w:bCs/>
                      <w:color w:val="auto"/>
                      <w:sz w:val="21"/>
                      <w:szCs w:val="21"/>
                      <w:highlight w:val="none"/>
                      <w:lang w:bidi="ar"/>
                    </w:rPr>
                    <w:t>民</w:t>
                  </w:r>
                </w:p>
              </w:tc>
              <w:tc>
                <w:tcPr>
                  <w:tcW w:w="457"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人群，约350人</w:t>
                  </w:r>
                </w:p>
              </w:tc>
              <w:tc>
                <w:tcPr>
                  <w:tcW w:w="438" w:type="pct"/>
                  <w:vMerge w:val="continue"/>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p>
              </w:tc>
              <w:tc>
                <w:tcPr>
                  <w:tcW w:w="509"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default" w:ascii="Times New Roman" w:hAnsi="Times New Roman" w:cs="Times New Roman"/>
                      <w:bCs/>
                      <w:color w:val="auto"/>
                      <w:sz w:val="21"/>
                      <w:szCs w:val="21"/>
                      <w:highlight w:val="none"/>
                      <w:lang w:bidi="ar"/>
                    </w:rPr>
                    <w:t>西</w:t>
                  </w:r>
                  <w:r>
                    <w:rPr>
                      <w:rFonts w:hint="eastAsia" w:ascii="Times New Roman" w:hAnsi="Times New Roman" w:cs="Times New Roman"/>
                      <w:bCs/>
                      <w:color w:val="auto"/>
                      <w:sz w:val="21"/>
                      <w:szCs w:val="21"/>
                      <w:highlight w:val="none"/>
                      <w:lang w:bidi="ar"/>
                    </w:rPr>
                    <w:t>南</w:t>
                  </w:r>
                </w:p>
              </w:tc>
              <w:tc>
                <w:tcPr>
                  <w:tcW w:w="580"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bidi="ar"/>
                    </w:rPr>
                  </w:pPr>
                  <w:r>
                    <w:rPr>
                      <w:rFonts w:hint="eastAsia" w:ascii="Times New Roman" w:hAnsi="Times New Roman" w:cs="Times New Roman"/>
                      <w:bCs/>
                      <w:color w:val="auto"/>
                      <w:sz w:val="21"/>
                      <w:szCs w:val="21"/>
                      <w:highlight w:val="none"/>
                      <w:lang w:bidi="ar"/>
                    </w:rPr>
                    <w:t>372</w:t>
                  </w:r>
                </w:p>
              </w:tc>
              <w:tc>
                <w:tcPr>
                  <w:tcW w:w="620" w:type="pct"/>
                  <w:vAlign w:val="center"/>
                </w:tcPr>
                <w:p>
                  <w:pPr>
                    <w:pStyle w:val="33"/>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bidi="ar"/>
                    </w:rPr>
                  </w:pPr>
                  <w:r>
                    <w:rPr>
                      <w:rFonts w:hint="eastAsia" w:ascii="Times New Roman" w:hAnsi="Times New Roman" w:cs="Times New Roman"/>
                      <w:bCs/>
                      <w:color w:val="auto"/>
                      <w:sz w:val="21"/>
                      <w:szCs w:val="21"/>
                      <w:highlight w:val="none"/>
                      <w:lang w:val="en-US" w:eastAsia="zh-CN" w:bidi="ar"/>
                    </w:rPr>
                    <w:t>372</w:t>
                  </w:r>
                </w:p>
              </w:tc>
            </w:tr>
          </w:tbl>
          <w:p>
            <w:pPr>
              <w:keepNext w:val="0"/>
              <w:keepLines w:val="0"/>
              <w:suppressLineNumbers w:val="0"/>
              <w:adjustRightInd w:val="0"/>
              <w:snapToGrid w:val="0"/>
              <w:spacing w:before="156" w:beforeLines="50" w:beforeAutospacing="0" w:after="0" w:afterAutospacing="0" w:line="360" w:lineRule="auto"/>
              <w:ind w:left="0" w:right="0" w:firstLine="482"/>
              <w:rPr>
                <w:rFonts w:hint="default"/>
                <w:b/>
                <w:color w:val="auto"/>
                <w:sz w:val="24"/>
                <w:highlight w:val="none"/>
              </w:rPr>
            </w:pPr>
            <w:r>
              <w:rPr>
                <w:rFonts w:hint="default"/>
                <w:b/>
                <w:color w:val="auto"/>
                <w:sz w:val="24"/>
                <w:highlight w:val="none"/>
              </w:rPr>
              <w:t>2、声环境</w:t>
            </w: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项目厂界外50米范围内无声环境保护目标。</w:t>
            </w:r>
          </w:p>
          <w:p>
            <w:pPr>
              <w:keepNext w:val="0"/>
              <w:keepLines w:val="0"/>
              <w:suppressLineNumbers w:val="0"/>
              <w:adjustRightInd w:val="0"/>
              <w:snapToGrid w:val="0"/>
              <w:spacing w:before="0" w:beforeAutospacing="0" w:after="0" w:afterAutospacing="0" w:line="360" w:lineRule="auto"/>
              <w:ind w:left="0" w:right="0" w:firstLine="482"/>
              <w:rPr>
                <w:rFonts w:hint="default"/>
                <w:b/>
                <w:color w:val="auto"/>
                <w:sz w:val="24"/>
                <w:highlight w:val="none"/>
              </w:rPr>
            </w:pPr>
            <w:r>
              <w:rPr>
                <w:rFonts w:hint="default"/>
                <w:b/>
                <w:color w:val="auto"/>
                <w:sz w:val="24"/>
                <w:highlight w:val="none"/>
              </w:rPr>
              <w:t>3、地下水环境</w:t>
            </w:r>
          </w:p>
          <w:p>
            <w:pPr>
              <w:keepNext w:val="0"/>
              <w:keepLines w:val="0"/>
              <w:suppressLineNumbers w:val="0"/>
              <w:adjustRightInd w:val="0"/>
              <w:snapToGrid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项目厂界外500米范围内无地下水集中式饮用水水源和热水、矿泉水、温泉等特殊地下水资源。</w:t>
            </w:r>
          </w:p>
          <w:p>
            <w:pPr>
              <w:keepNext w:val="0"/>
              <w:keepLines w:val="0"/>
              <w:suppressLineNumbers w:val="0"/>
              <w:adjustRightInd w:val="0"/>
              <w:snapToGrid w:val="0"/>
              <w:spacing w:before="0" w:beforeAutospacing="0" w:after="0" w:afterAutospacing="0" w:line="360" w:lineRule="auto"/>
              <w:ind w:left="0" w:right="0" w:firstLine="482"/>
              <w:rPr>
                <w:rFonts w:hint="default"/>
                <w:b/>
                <w:color w:val="auto"/>
                <w:sz w:val="24"/>
                <w:highlight w:val="none"/>
              </w:rPr>
            </w:pPr>
            <w:r>
              <w:rPr>
                <w:rFonts w:hint="default"/>
                <w:b/>
                <w:color w:val="auto"/>
                <w:sz w:val="24"/>
                <w:highlight w:val="none"/>
              </w:rPr>
              <w:t>4、生态环境</w:t>
            </w:r>
          </w:p>
          <w:p>
            <w:pPr>
              <w:pStyle w:val="49"/>
              <w:keepNext w:val="0"/>
              <w:keepLines w:val="0"/>
              <w:suppressLineNumbers w:val="0"/>
              <w:spacing w:before="0" w:beforeAutospacing="0" w:after="0" w:afterAutospacing="0" w:line="360" w:lineRule="auto"/>
              <w:ind w:right="0" w:firstLine="480"/>
              <w:jc w:val="both"/>
              <w:rPr>
                <w:rFonts w:hint="default" w:ascii="Times New Roman" w:hAnsi="Times New Roman" w:cs="Times New Roman"/>
                <w:color w:val="auto"/>
                <w:highlight w:val="none"/>
              </w:rPr>
            </w:pPr>
            <w:r>
              <w:rPr>
                <w:rFonts w:hint="default" w:ascii="Times New Roman" w:hAnsi="Times New Roman" w:cs="Times New Roman"/>
                <w:color w:val="auto"/>
                <w:sz w:val="24"/>
                <w:szCs w:val="24"/>
                <w:highlight w:val="none"/>
              </w:rPr>
              <w:t>本项目无新增用地，无生态环境保护目标。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63" w:hRule="atLeast"/>
          <w:jc w:val="center"/>
        </w:trPr>
        <w:tc>
          <w:tcPr>
            <w:tcW w:w="321" w:type="dxa"/>
            <w:tcMar>
              <w:left w:w="28" w:type="dxa"/>
              <w:right w:w="28" w:type="dxa"/>
            </w:tcMar>
            <w:vAlign w:val="center"/>
          </w:tcPr>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物排</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放控</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制标</w:t>
            </w:r>
          </w:p>
          <w:p>
            <w:pPr>
              <w:pStyle w:val="50"/>
              <w:keepNext w:val="0"/>
              <w:keepLines w:val="0"/>
              <w:suppressLineNumbers w:val="0"/>
              <w:spacing w:before="0" w:beforeAutospacing="0" w:after="0" w:afterAutospacing="0" w:line="360" w:lineRule="auto"/>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准</w:t>
            </w:r>
          </w:p>
        </w:tc>
        <w:tc>
          <w:tcPr>
            <w:tcW w:w="8807" w:type="dxa"/>
          </w:tcPr>
          <w:p>
            <w:pPr>
              <w:keepNext w:val="0"/>
              <w:keepLines w:val="0"/>
              <w:pageBreakBefore w:val="0"/>
              <w:widowControl w:val="0"/>
              <w:numPr>
                <w:ilvl w:val="0"/>
                <w:numId w:val="10"/>
              </w:numPr>
              <w:suppressLineNumbers w:val="0"/>
              <w:kinsoku/>
              <w:wordWrap/>
              <w:overflowPunct/>
              <w:topLinePunct w:val="0"/>
              <w:bidi w:val="0"/>
              <w:adjustRightInd w:val="0"/>
              <w:snapToGrid w:val="0"/>
              <w:spacing w:before="0" w:beforeAutospacing="0" w:after="0" w:afterAutospacing="0" w:line="360" w:lineRule="auto"/>
              <w:ind w:left="0" w:right="0" w:firstLine="482"/>
              <w:textAlignment w:val="auto"/>
              <w:rPr>
                <w:rFonts w:hint="default"/>
                <w:b/>
                <w:color w:val="auto"/>
                <w:sz w:val="24"/>
                <w:highlight w:val="none"/>
              </w:rPr>
            </w:pPr>
            <w:r>
              <w:rPr>
                <w:rFonts w:hint="default"/>
                <w:b/>
                <w:color w:val="auto"/>
                <w:sz w:val="24"/>
                <w:highlight w:val="none"/>
              </w:rPr>
              <w:t>大气</w:t>
            </w:r>
          </w:p>
          <w:p>
            <w:pPr>
              <w:pStyle w:val="2"/>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textAlignment w:val="auto"/>
              <w:rPr>
                <w:rFonts w:hint="default" w:ascii="Times New Roman" w:cs="Times New Roman"/>
                <w:color w:val="auto"/>
                <w:highlight w:val="none"/>
              </w:rPr>
            </w:pPr>
            <w:r>
              <w:rPr>
                <w:rFonts w:hint="default" w:ascii="Times New Roman" w:cs="Times New Roman"/>
                <w:color w:val="auto"/>
                <w:highlight w:val="none"/>
              </w:rPr>
              <w:t>项目在退火工序产生</w:t>
            </w:r>
            <w:r>
              <w:rPr>
                <w:rFonts w:hint="eastAsia" w:ascii="Times New Roman" w:cs="Times New Roman"/>
                <w:color w:val="auto"/>
                <w:highlight w:val="none"/>
                <w:lang w:val="en-US" w:eastAsia="zh-CN"/>
              </w:rPr>
              <w:t>非甲烷总烃</w:t>
            </w:r>
            <w:r>
              <w:rPr>
                <w:rFonts w:hint="default" w:ascii="Times New Roman" w:cs="Times New Roman"/>
                <w:color w:val="auto"/>
                <w:highlight w:val="none"/>
              </w:rPr>
              <w:t>、</w:t>
            </w:r>
            <w:r>
              <w:rPr>
                <w:rFonts w:ascii="Times New Roman" w:cs="Times New Roman"/>
                <w:color w:val="auto"/>
                <w:highlight w:val="none"/>
              </w:rPr>
              <w:t>热浸</w:t>
            </w:r>
            <w:r>
              <w:rPr>
                <w:rFonts w:hint="default" w:ascii="Times New Roman" w:cs="Times New Roman"/>
                <w:color w:val="auto"/>
                <w:highlight w:val="none"/>
              </w:rPr>
              <w:t>锡工序产生</w:t>
            </w:r>
            <w:r>
              <w:rPr>
                <w:rFonts w:hint="eastAsia" w:ascii="Times New Roman" w:cs="Times New Roman"/>
                <w:color w:val="auto"/>
                <w:highlight w:val="none"/>
                <w:lang w:val="en-US" w:eastAsia="zh-CN"/>
              </w:rPr>
              <w:t>非甲烷总烃、</w:t>
            </w:r>
            <w:r>
              <w:rPr>
                <w:rFonts w:hint="default" w:ascii="Times New Roman" w:cs="Times New Roman"/>
                <w:color w:val="auto"/>
                <w:highlight w:val="none"/>
              </w:rPr>
              <w:t>锡及其化合物。</w:t>
            </w:r>
          </w:p>
          <w:p>
            <w:pPr>
              <w:pStyle w:val="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项目退火工序和热浸锡工序产生的挥发性有机物，以</w:t>
            </w:r>
            <w:r>
              <w:rPr>
                <w:rFonts w:hint="default" w:ascii="Times New Roman" w:hAnsi="Times New Roman" w:cs="Times New Roman"/>
                <w:color w:val="auto"/>
                <w:highlight w:val="none"/>
              </w:rPr>
              <w:t>非甲烷总烃和TVOC</w:t>
            </w:r>
            <w:r>
              <w:rPr>
                <w:rFonts w:hint="default" w:ascii="Times New Roman" w:hAnsi="Times New Roman" w:cs="Times New Roman"/>
                <w:color w:val="auto"/>
                <w:highlight w:val="none"/>
                <w:lang w:val="en-US" w:eastAsia="zh-CN"/>
              </w:rPr>
              <w:t>表征，</w:t>
            </w:r>
            <w:r>
              <w:rPr>
                <w:rFonts w:hint="default" w:ascii="Times New Roman" w:hAnsi="Times New Roman" w:cs="Times New Roman"/>
                <w:color w:val="auto"/>
                <w:highlight w:val="none"/>
              </w:rPr>
              <w:t>有组织</w:t>
            </w:r>
            <w:r>
              <w:rPr>
                <w:rFonts w:hint="default" w:ascii="Times New Roman" w:hAnsi="Times New Roman" w:cs="Times New Roman"/>
                <w:color w:val="auto"/>
                <w:highlight w:val="none"/>
                <w:lang w:val="en-US" w:eastAsia="zh-CN"/>
              </w:rPr>
              <w:t>排放</w:t>
            </w:r>
            <w:r>
              <w:rPr>
                <w:rFonts w:hint="default" w:ascii="Times New Roman" w:hAnsi="Times New Roman" w:cs="Times New Roman"/>
                <w:color w:val="auto"/>
                <w:highlight w:val="none"/>
              </w:rPr>
              <w:t>执行《固定污染源挥发性有机物综合排放标准》（DB44/2367-2022）表1挥发性有机物排放限值。厂区内</w:t>
            </w:r>
            <w:r>
              <w:rPr>
                <w:rFonts w:hint="default" w:ascii="Times New Roman" w:hAnsi="Times New Roman" w:cs="Times New Roman"/>
                <w:color w:val="auto"/>
                <w:highlight w:val="none"/>
                <w:lang w:val="en-US" w:eastAsia="zh-CN"/>
              </w:rPr>
              <w:t>非甲烷总烃</w:t>
            </w:r>
            <w:r>
              <w:rPr>
                <w:rFonts w:hint="default" w:ascii="Times New Roman" w:hAnsi="Times New Roman" w:cs="Times New Roman"/>
                <w:color w:val="auto"/>
                <w:highlight w:val="none"/>
              </w:rPr>
              <w:t>无组织排放执行《固定污染源挥发性有机物综合排放</w:t>
            </w:r>
            <w:r>
              <w:rPr>
                <w:rFonts w:hint="default" w:ascii="Times New Roman" w:hAnsi="Times New Roman" w:eastAsia="宋体" w:cs="Times New Roman"/>
                <w:color w:val="auto"/>
                <w:highlight w:val="none"/>
                <w:lang w:val="en-US" w:eastAsia="zh-CN"/>
              </w:rPr>
              <w:t>标准（DB44/2367-2022）表3厂区内VOCs无组织排放限值要求。厂界非甲烷总烃无组织排放执行广东省《大气污染物排放限值》（DB44/27-2001）第二时段无组织排放监控浓度限值。</w:t>
            </w:r>
          </w:p>
          <w:p>
            <w:pPr>
              <w:pStyle w:val="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ascii="Times New Roman" w:cs="Times New Roman"/>
                <w:color w:val="auto"/>
                <w:highlight w:val="none"/>
              </w:rPr>
            </w:pPr>
            <w:r>
              <w:rPr>
                <w:rFonts w:hint="eastAsia"/>
                <w:color w:val="auto"/>
                <w:highlight w:val="none"/>
                <w:lang w:val="en-US" w:eastAsia="zh-CN"/>
              </w:rPr>
              <w:t>项目热浸锡工序</w:t>
            </w:r>
            <w:r>
              <w:rPr>
                <w:color w:val="auto"/>
                <w:highlight w:val="none"/>
              </w:rPr>
              <w:t>产生的</w:t>
            </w:r>
            <w:r>
              <w:rPr>
                <w:rFonts w:hint="default" w:ascii="Times New Roman" w:cs="Times New Roman"/>
                <w:color w:val="auto"/>
                <w:highlight w:val="none"/>
              </w:rPr>
              <w:t>锡及其化合物</w:t>
            </w:r>
            <w:r>
              <w:rPr>
                <w:rFonts w:ascii="Times New Roman" w:cs="Times New Roman"/>
                <w:color w:val="auto"/>
                <w:highlight w:val="none"/>
              </w:rPr>
              <w:t>有组织</w:t>
            </w:r>
            <w:r>
              <w:rPr>
                <w:rFonts w:hint="default" w:ascii="Times New Roman" w:cs="Times New Roman"/>
                <w:color w:val="auto"/>
                <w:highlight w:val="none"/>
              </w:rPr>
              <w:t>执行广东省《大气污染物排放限值》（DB44/27-2001）中第二时段二级标准</w:t>
            </w:r>
            <w:r>
              <w:rPr>
                <w:rFonts w:ascii="Times New Roman" w:cs="Times New Roman"/>
                <w:color w:val="auto"/>
                <w:highlight w:val="none"/>
              </w:rPr>
              <w:t>。锡及其化合物</w:t>
            </w:r>
            <w:r>
              <w:rPr>
                <w:rFonts w:hint="eastAsia" w:ascii="Times New Roman" w:cs="Times New Roman"/>
                <w:color w:val="auto"/>
                <w:highlight w:val="none"/>
                <w:lang w:val="en-US" w:eastAsia="zh-CN"/>
              </w:rPr>
              <w:t>厂界</w:t>
            </w:r>
            <w:r>
              <w:rPr>
                <w:rFonts w:ascii="Times New Roman" w:cs="Times New Roman"/>
                <w:color w:val="auto"/>
                <w:highlight w:val="none"/>
              </w:rPr>
              <w:t>无组织执行</w:t>
            </w:r>
            <w:r>
              <w:rPr>
                <w:rFonts w:hint="default" w:ascii="Times New Roman" w:cs="Times New Roman"/>
                <w:color w:val="auto"/>
                <w:highlight w:val="none"/>
              </w:rPr>
              <w:t>广东省《大气污染物排放限值》（DB44/27-2001）中第二时段无组织排放监控点浓度限值。</w:t>
            </w:r>
          </w:p>
          <w:p>
            <w:pPr>
              <w:pStyle w:val="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lang w:val="en-US" w:eastAsia="zh-CN"/>
              </w:rPr>
              <w:t>项目退火工序和热浸锡工序产生的废气经集气罩收集，经“水喷淋+干式过滤器+二级活性炭吸附装置”处理后通过同1根25m高排气筒（DA001）排放。</w:t>
            </w:r>
          </w:p>
          <w:p>
            <w:pPr>
              <w:pStyle w:val="106"/>
              <w:keepNext w:val="0"/>
              <w:keepLines w:val="0"/>
              <w:numPr>
                <w:ilvl w:val="0"/>
                <w:numId w:val="0"/>
              </w:numPr>
              <w:suppressLineNumbers w:val="0"/>
              <w:spacing w:before="0" w:beforeAutospacing="0" w:after="0" w:afterAutospacing="0"/>
              <w:ind w:left="0" w:right="0"/>
              <w:rPr>
                <w:rFonts w:hint="default"/>
                <w:color w:val="auto"/>
                <w:szCs w:val="24"/>
                <w:highlight w:val="none"/>
              </w:rPr>
            </w:pPr>
          </w:p>
          <w:p>
            <w:pPr>
              <w:pStyle w:val="106"/>
              <w:keepNext w:val="0"/>
              <w:keepLines w:val="0"/>
              <w:numPr>
                <w:ilvl w:val="0"/>
                <w:numId w:val="0"/>
              </w:numPr>
              <w:suppressLineNumbers w:val="0"/>
              <w:spacing w:before="0" w:beforeAutospacing="0" w:after="0" w:afterAutospacing="0"/>
              <w:ind w:left="0" w:right="0"/>
              <w:rPr>
                <w:rFonts w:hint="default"/>
                <w:color w:val="auto"/>
                <w:szCs w:val="24"/>
                <w:highlight w:val="none"/>
              </w:rPr>
            </w:pPr>
          </w:p>
          <w:p>
            <w:pPr>
              <w:pStyle w:val="106"/>
              <w:keepNext w:val="0"/>
              <w:keepLines w:val="0"/>
              <w:numPr>
                <w:ilvl w:val="0"/>
                <w:numId w:val="0"/>
              </w:numPr>
              <w:suppressLineNumbers w:val="0"/>
              <w:spacing w:before="0" w:beforeAutospacing="0" w:after="0" w:afterAutospacing="0"/>
              <w:ind w:left="0" w:right="0"/>
              <w:rPr>
                <w:rFonts w:hint="default"/>
                <w:color w:val="auto"/>
                <w:szCs w:val="24"/>
                <w:highlight w:val="none"/>
              </w:rPr>
            </w:pPr>
          </w:p>
          <w:p>
            <w:pPr>
              <w:pStyle w:val="106"/>
              <w:keepNext w:val="0"/>
              <w:keepLines w:val="0"/>
              <w:numPr>
                <w:ilvl w:val="0"/>
                <w:numId w:val="0"/>
              </w:numPr>
              <w:suppressLineNumbers w:val="0"/>
              <w:spacing w:before="0" w:beforeAutospacing="0" w:after="0" w:afterAutospacing="0"/>
              <w:ind w:left="0" w:right="0"/>
              <w:rPr>
                <w:rFonts w:hint="default"/>
                <w:color w:val="auto"/>
                <w:highlight w:val="none"/>
              </w:rPr>
            </w:pPr>
            <w:r>
              <w:rPr>
                <w:rFonts w:hint="default"/>
                <w:color w:val="auto"/>
                <w:szCs w:val="24"/>
                <w:highlight w:val="none"/>
              </w:rPr>
              <w:t>表3-6  项目大气污染物</w:t>
            </w:r>
            <w:r>
              <w:rPr>
                <w:rFonts w:hint="default"/>
                <w:color w:val="auto"/>
                <w:highlight w:val="none"/>
              </w:rPr>
              <w:t xml:space="preserve">排放标准 </w:t>
            </w:r>
          </w:p>
          <w:tbl>
            <w:tblPr>
              <w:tblStyle w:val="35"/>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714"/>
              <w:gridCol w:w="1800"/>
              <w:gridCol w:w="1065"/>
              <w:gridCol w:w="910"/>
              <w:gridCol w:w="322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tcBorders>
                    <w:top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
                      <w:bCs/>
                      <w:color w:val="auto"/>
                      <w:kern w:val="2"/>
                      <w:sz w:val="21"/>
                      <w:highlight w:val="none"/>
                    </w:rPr>
                    <w:t>污染物</w:t>
                  </w:r>
                </w:p>
              </w:tc>
              <w:tc>
                <w:tcPr>
                  <w:tcW w:w="4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
                      <w:bCs/>
                      <w:color w:val="auto"/>
                      <w:kern w:val="2"/>
                      <w:sz w:val="21"/>
                      <w:highlight w:val="none"/>
                    </w:rPr>
                    <w:t>排放类型</w:t>
                  </w:r>
                </w:p>
              </w:tc>
              <w:tc>
                <w:tcPr>
                  <w:tcW w:w="10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
                      <w:bCs/>
                      <w:color w:val="auto"/>
                      <w:kern w:val="2"/>
                      <w:sz w:val="21"/>
                      <w:highlight w:val="none"/>
                    </w:rPr>
                    <w:t>最高允许排放浓度（mg/m</w:t>
                  </w:r>
                  <w:r>
                    <w:rPr>
                      <w:rFonts w:hint="default"/>
                      <w:b/>
                      <w:bCs/>
                      <w:color w:val="auto"/>
                      <w:kern w:val="2"/>
                      <w:sz w:val="21"/>
                      <w:highlight w:val="none"/>
                      <w:vertAlign w:val="superscript"/>
                    </w:rPr>
                    <w:t>3</w:t>
                  </w:r>
                  <w:r>
                    <w:rPr>
                      <w:rFonts w:hint="default"/>
                      <w:b/>
                      <w:bCs/>
                      <w:color w:val="auto"/>
                      <w:kern w:val="2"/>
                      <w:sz w:val="21"/>
                      <w:highlight w:val="none"/>
                    </w:rPr>
                    <w:t>）</w:t>
                  </w:r>
                </w:p>
              </w:tc>
              <w:tc>
                <w:tcPr>
                  <w:tcW w:w="60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eastAsia" w:ascii="Times New Roman" w:hAnsi="Times New Roman" w:eastAsia="宋体" w:cs="Times New Roman"/>
                      <w:b/>
                      <w:bCs/>
                      <w:color w:val="auto"/>
                      <w:kern w:val="2"/>
                      <w:sz w:val="21"/>
                      <w:highlight w:val="none"/>
                      <w:lang w:val="en-US" w:eastAsia="zh-CN"/>
                    </w:rPr>
                    <w:t>排放速率（kg/h）</w:t>
                  </w:r>
                </w:p>
              </w:tc>
              <w:tc>
                <w:tcPr>
                  <w:tcW w:w="52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kern w:val="2"/>
                      <w:sz w:val="21"/>
                      <w:szCs w:val="24"/>
                      <w:highlight w:val="none"/>
                    </w:rPr>
                  </w:pPr>
                  <w:r>
                    <w:rPr>
                      <w:rFonts w:hint="default"/>
                      <w:b/>
                      <w:bCs/>
                      <w:color w:val="auto"/>
                      <w:kern w:val="2"/>
                      <w:sz w:val="21"/>
                      <w:highlight w:val="none"/>
                    </w:rPr>
                    <w:t>污染物排放监控位置</w:t>
                  </w:r>
                </w:p>
              </w:tc>
              <w:tc>
                <w:tcPr>
                  <w:tcW w:w="184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执行标准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非甲烷总烃</w:t>
                  </w:r>
                </w:p>
              </w:tc>
              <w:tc>
                <w:tcPr>
                  <w:tcW w:w="408"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有组织</w:t>
                  </w:r>
                </w:p>
              </w:tc>
              <w:tc>
                <w:tcPr>
                  <w:tcW w:w="10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8</w:t>
                  </w:r>
                  <w:r>
                    <w:rPr>
                      <w:rFonts w:hint="default"/>
                      <w:color w:val="auto"/>
                      <w:kern w:val="2"/>
                      <w:sz w:val="21"/>
                      <w:highlight w:val="none"/>
                    </w:rPr>
                    <w:t>0</w:t>
                  </w:r>
                </w:p>
              </w:tc>
              <w:tc>
                <w:tcPr>
                  <w:tcW w:w="609"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w:t>
                  </w:r>
                </w:p>
              </w:tc>
              <w:tc>
                <w:tcPr>
                  <w:tcW w:w="520"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bCs/>
                      <w:color w:val="auto"/>
                      <w:kern w:val="2"/>
                      <w:sz w:val="21"/>
                      <w:highlight w:val="none"/>
                    </w:rPr>
                  </w:pPr>
                  <w:r>
                    <w:rPr>
                      <w:rFonts w:hint="default"/>
                      <w:bCs/>
                      <w:color w:val="auto"/>
                      <w:kern w:val="2"/>
                      <w:sz w:val="21"/>
                      <w:highlight w:val="none"/>
                    </w:rPr>
                    <w:t>车间或生产设施排气筒</w:t>
                  </w:r>
                </w:p>
              </w:tc>
              <w:tc>
                <w:tcPr>
                  <w:tcW w:w="1844"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bCs/>
                      <w:color w:val="auto"/>
                      <w:kern w:val="2"/>
                      <w:sz w:val="21"/>
                      <w:highlight w:val="none"/>
                    </w:rPr>
                  </w:pPr>
                  <w:r>
                    <w:rPr>
                      <w:rFonts w:hint="default"/>
                      <w:bCs/>
                      <w:color w:val="auto"/>
                      <w:kern w:val="2"/>
                      <w:sz w:val="21"/>
                      <w:highlight w:val="none"/>
                    </w:rPr>
                    <w:t>广东省《固定污染源挥发性有机物综合排放标准》（DB44/2367-2022）表1挥发性有机物排放限值</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rPr>
                    <w:t>TVOC</w:t>
                  </w:r>
                </w:p>
              </w:tc>
              <w:tc>
                <w:tcPr>
                  <w:tcW w:w="408"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2"/>
                      <w:sz w:val="21"/>
                      <w:highlight w:val="none"/>
                    </w:rPr>
                    <w:t>100</w:t>
                  </w:r>
                </w:p>
              </w:tc>
              <w:tc>
                <w:tcPr>
                  <w:tcW w:w="609" w:type="pct"/>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color w:val="auto"/>
                      <w:kern w:val="2"/>
                      <w:sz w:val="21"/>
                      <w:highlight w:val="none"/>
                      <w:lang w:val="en-US" w:eastAsia="zh-CN"/>
                    </w:rPr>
                  </w:pPr>
                  <w:r>
                    <w:rPr>
                      <w:rFonts w:hint="eastAsia"/>
                      <w:color w:val="auto"/>
                      <w:kern w:val="2"/>
                      <w:sz w:val="21"/>
                      <w:highlight w:val="none"/>
                      <w:lang w:val="en-US" w:eastAsia="zh-CN"/>
                    </w:rPr>
                    <w:t>/</w:t>
                  </w:r>
                </w:p>
              </w:tc>
              <w:tc>
                <w:tcPr>
                  <w:tcW w:w="520"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1844"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bCs/>
                      <w:color w:val="auto"/>
                      <w:kern w:val="2"/>
                      <w:sz w:val="21"/>
                      <w:highlight w:val="none"/>
                    </w:rPr>
                  </w:pP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586"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ascii="Times New Roman" w:hAnsi="Times New Roman" w:eastAsiaTheme="minorEastAsia"/>
                      <w:bCs/>
                      <w:color w:val="auto"/>
                      <w:kern w:val="2"/>
                      <w:sz w:val="21"/>
                      <w:highlight w:val="none"/>
                      <w:lang w:eastAsia="zh-CN" w:bidi="ar"/>
                    </w:rPr>
                    <w:t>锡及其化合物</w:t>
                  </w:r>
                </w:p>
              </w:tc>
              <w:tc>
                <w:tcPr>
                  <w:tcW w:w="408" w:type="pct"/>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p>
              </w:tc>
              <w:tc>
                <w:tcPr>
                  <w:tcW w:w="10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8.5</w:t>
                  </w:r>
                </w:p>
              </w:tc>
              <w:tc>
                <w:tcPr>
                  <w:tcW w:w="609" w:type="pct"/>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eastAsia"/>
                      <w:color w:val="auto"/>
                      <w:kern w:val="2"/>
                      <w:sz w:val="21"/>
                      <w:highlight w:val="none"/>
                      <w:lang w:val="en-US" w:eastAsia="zh-CN"/>
                    </w:rPr>
                    <w:t>0.48</w:t>
                  </w:r>
                </w:p>
              </w:tc>
              <w:tc>
                <w:tcPr>
                  <w:tcW w:w="520" w:type="pct"/>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1844" w:type="pct"/>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firstLine="0" w:firstLineChars="0"/>
                    <w:jc w:val="both"/>
                    <w:rPr>
                      <w:rFonts w:hint="default"/>
                      <w:bCs/>
                      <w:color w:val="auto"/>
                      <w:highlight w:val="none"/>
                    </w:rPr>
                  </w:pPr>
                  <w:r>
                    <w:rPr>
                      <w:rFonts w:hint="default" w:ascii="Times New Roman" w:hAnsi="Times New Roman" w:eastAsiaTheme="minorEastAsia"/>
                      <w:bCs/>
                      <w:color w:val="auto"/>
                      <w:kern w:val="2"/>
                      <w:sz w:val="21"/>
                      <w:highlight w:val="none"/>
                      <w:lang w:eastAsia="zh-CN" w:bidi="ar"/>
                    </w:rPr>
                    <w:t>《大气污染物排放限值》（DB44/27-2001）第二时段二级标准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非甲烷总烃</w:t>
                  </w:r>
                </w:p>
              </w:tc>
              <w:tc>
                <w:tcPr>
                  <w:tcW w:w="408"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无组织</w:t>
                  </w:r>
                </w:p>
              </w:tc>
              <w:tc>
                <w:tcPr>
                  <w:tcW w:w="103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4.0</w:t>
                  </w:r>
                </w:p>
              </w:tc>
              <w:tc>
                <w:tcPr>
                  <w:tcW w:w="609"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center"/>
                    <w:rPr>
                      <w:rFonts w:hint="eastAsia" w:eastAsia="宋体"/>
                      <w:color w:val="auto"/>
                      <w:sz w:val="21"/>
                      <w:highlight w:val="none"/>
                      <w:lang w:val="en-US" w:eastAsia="zh-CN"/>
                    </w:rPr>
                  </w:pPr>
                  <w:r>
                    <w:rPr>
                      <w:rFonts w:hint="eastAsia"/>
                      <w:color w:val="auto"/>
                      <w:sz w:val="21"/>
                      <w:highlight w:val="none"/>
                      <w:lang w:val="en-US" w:eastAsia="zh-CN"/>
                    </w:rPr>
                    <w:t>/</w:t>
                  </w:r>
                </w:p>
              </w:tc>
              <w:tc>
                <w:tcPr>
                  <w:tcW w:w="52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在厂界外设置监控点</w:t>
                  </w:r>
                </w:p>
              </w:tc>
              <w:tc>
                <w:tcPr>
                  <w:tcW w:w="1844"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广东省《大气污染物排放限值》（DB44/27-2001）第二时段无组织排放监控浓度限值</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586"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408"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103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6（监控点处1h平均浓度值）；</w:t>
                  </w:r>
                </w:p>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20（监控点处任意一次浓度值）</w:t>
                  </w:r>
                </w:p>
              </w:tc>
              <w:tc>
                <w:tcPr>
                  <w:tcW w:w="609"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center"/>
                    <w:rPr>
                      <w:rFonts w:hint="eastAsia" w:eastAsia="宋体"/>
                      <w:color w:val="auto"/>
                      <w:sz w:val="21"/>
                      <w:highlight w:val="none"/>
                      <w:lang w:val="en-US" w:eastAsia="zh-CN"/>
                    </w:rPr>
                  </w:pPr>
                  <w:r>
                    <w:rPr>
                      <w:rFonts w:hint="eastAsia"/>
                      <w:color w:val="auto"/>
                      <w:sz w:val="21"/>
                      <w:highlight w:val="none"/>
                      <w:lang w:val="en-US" w:eastAsia="zh-CN"/>
                    </w:rPr>
                    <w:t>/</w:t>
                  </w:r>
                </w:p>
              </w:tc>
              <w:tc>
                <w:tcPr>
                  <w:tcW w:w="52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在厂房外设置监控点</w:t>
                  </w:r>
                </w:p>
              </w:tc>
              <w:tc>
                <w:tcPr>
                  <w:tcW w:w="1844"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广东省《固定污染源挥发性有机物综合排放标准》（DB44/2367-2022）表3厂区内VOCs无组织排放限值</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86" w:type="pct"/>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ascii="Times New Roman" w:hAnsi="Times New Roman"/>
                      <w:color w:val="auto"/>
                      <w:sz w:val="21"/>
                      <w:highlight w:val="none"/>
                      <w:lang w:eastAsia="zh-CN" w:bidi="ar-SA"/>
                    </w:rPr>
                    <w:t>锡及其化合物</w:t>
                  </w:r>
                </w:p>
              </w:tc>
              <w:tc>
                <w:tcPr>
                  <w:tcW w:w="408" w:type="pct"/>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103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0.24</w:t>
                  </w:r>
                </w:p>
              </w:tc>
              <w:tc>
                <w:tcPr>
                  <w:tcW w:w="609"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center"/>
                    <w:rPr>
                      <w:rFonts w:hint="eastAsia" w:eastAsia="宋体"/>
                      <w:color w:val="auto"/>
                      <w:sz w:val="21"/>
                      <w:highlight w:val="none"/>
                      <w:lang w:val="en-US" w:eastAsia="zh-CN"/>
                    </w:rPr>
                  </w:pPr>
                  <w:r>
                    <w:rPr>
                      <w:rFonts w:hint="eastAsia"/>
                      <w:color w:val="auto"/>
                      <w:sz w:val="21"/>
                      <w:highlight w:val="none"/>
                      <w:lang w:val="en-US" w:eastAsia="zh-CN"/>
                    </w:rPr>
                    <w:t>/</w:t>
                  </w:r>
                </w:p>
              </w:tc>
              <w:tc>
                <w:tcPr>
                  <w:tcW w:w="520"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eastAsiaTheme="minorEastAsia"/>
                      <w:bCs/>
                      <w:color w:val="auto"/>
                      <w:kern w:val="2"/>
                      <w:sz w:val="21"/>
                      <w:highlight w:val="none"/>
                      <w:lang w:bidi="ar"/>
                    </w:rPr>
                    <w:t>厂界外浓度最高点</w:t>
                  </w:r>
                </w:p>
              </w:tc>
              <w:tc>
                <w:tcPr>
                  <w:tcW w:w="1844" w:type="pct"/>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adjustRightInd/>
                    <w:snapToGrid/>
                    <w:spacing w:before="0" w:beforeAutospacing="0" w:after="0" w:afterAutospacing="0" w:line="240" w:lineRule="auto"/>
                    <w:ind w:left="0" w:right="0" w:firstLine="0" w:firstLineChars="0"/>
                    <w:jc w:val="both"/>
                    <w:rPr>
                      <w:rFonts w:hint="default"/>
                      <w:color w:val="auto"/>
                      <w:sz w:val="21"/>
                      <w:highlight w:val="none"/>
                    </w:rPr>
                  </w:pPr>
                  <w:r>
                    <w:rPr>
                      <w:rFonts w:hint="default" w:ascii="Times New Roman" w:hAnsi="Times New Roman"/>
                      <w:color w:val="auto"/>
                      <w:sz w:val="21"/>
                      <w:highlight w:val="none"/>
                      <w:lang w:eastAsia="zh-CN" w:bidi="ar-SA"/>
                    </w:rPr>
                    <w:t>《大气污染物排放限值》（DB44/27-2001）第二时段无组织排放监控</w:t>
                  </w:r>
                  <w:r>
                    <w:rPr>
                      <w:rFonts w:hint="eastAsia" w:ascii="Times New Roman" w:hAnsi="Times New Roman"/>
                      <w:color w:val="auto"/>
                      <w:sz w:val="21"/>
                      <w:highlight w:val="none"/>
                      <w:lang w:eastAsia="zh-CN" w:bidi="ar-SA"/>
                    </w:rPr>
                    <w:t>点</w:t>
                  </w:r>
                  <w:r>
                    <w:rPr>
                      <w:rFonts w:hint="default" w:ascii="Times New Roman" w:hAnsi="Times New Roman"/>
                      <w:color w:val="auto"/>
                      <w:sz w:val="21"/>
                      <w:highlight w:val="none"/>
                      <w:lang w:eastAsia="zh-CN" w:bidi="ar-SA"/>
                    </w:rPr>
                    <w:t>浓度限值</w:t>
                  </w:r>
                </w:p>
              </w:tc>
            </w:tr>
          </w:tbl>
          <w:p>
            <w:pPr>
              <w:keepNext w:val="0"/>
              <w:keepLines w:val="0"/>
              <w:pageBreakBefore w:val="0"/>
              <w:suppressLineNumbers w:val="0"/>
              <w:kinsoku/>
              <w:autoSpaceDE/>
              <w:autoSpaceDN/>
              <w:bidi w:val="0"/>
              <w:adjustRightInd w:val="0"/>
              <w:snapToGrid w:val="0"/>
              <w:spacing w:before="0" w:beforeAutospacing="0" w:after="0" w:afterAutospacing="0" w:line="360" w:lineRule="auto"/>
              <w:ind w:left="0" w:leftChars="0" w:right="0" w:firstLine="0" w:firstLineChars="0"/>
              <w:jc w:val="both"/>
              <w:textAlignment w:val="auto"/>
              <w:rPr>
                <w:rFonts w:hint="default" w:ascii="Times New Roman" w:hAnsi="Times New Roman" w:eastAsia="宋体" w:cs="Times New Roman"/>
                <w:b w:val="0"/>
                <w:bCs/>
                <w:snapToGrid w:val="0"/>
                <w:color w:val="auto"/>
                <w:sz w:val="21"/>
                <w:szCs w:val="21"/>
                <w:highlight w:val="none"/>
                <w:lang w:val="en-US" w:eastAsia="zh-CN" w:bidi="ar-SA"/>
              </w:rPr>
            </w:pPr>
            <w:r>
              <w:rPr>
                <w:rFonts w:hint="default" w:ascii="Times New Roman" w:hAnsi="Times New Roman" w:eastAsia="宋体" w:cs="Times New Roman"/>
                <w:b w:val="0"/>
                <w:bCs/>
                <w:snapToGrid w:val="0"/>
                <w:color w:val="auto"/>
                <w:sz w:val="21"/>
                <w:szCs w:val="21"/>
                <w:highlight w:val="none"/>
                <w:lang w:val="en-US" w:eastAsia="zh-CN" w:bidi="ar-SA"/>
              </w:rPr>
              <w:t>注：</w:t>
            </w:r>
            <w:r>
              <w:rPr>
                <w:rFonts w:hint="eastAsia" w:ascii="Times New Roman" w:hAnsi="Times New Roman" w:eastAsia="宋体" w:cs="Times New Roman"/>
                <w:b w:val="0"/>
                <w:bCs/>
                <w:snapToGrid w:val="0"/>
                <w:color w:val="auto"/>
                <w:sz w:val="21"/>
                <w:szCs w:val="21"/>
                <w:highlight w:val="none"/>
                <w:lang w:val="en-US" w:eastAsia="zh-CN" w:bidi="ar-SA"/>
              </w:rPr>
              <w:t>1）</w:t>
            </w:r>
            <w:r>
              <w:rPr>
                <w:rFonts w:hint="default" w:ascii="Times New Roman" w:hAnsi="Times New Roman" w:eastAsia="宋体" w:cs="Times New Roman"/>
                <w:b w:val="0"/>
                <w:bCs/>
                <w:snapToGrid w:val="0"/>
                <w:color w:val="auto"/>
                <w:sz w:val="21"/>
                <w:szCs w:val="21"/>
                <w:highlight w:val="none"/>
                <w:lang w:val="en-US" w:eastAsia="zh-CN" w:bidi="ar-SA"/>
              </w:rPr>
              <w:t>排气筒高度处于表列两高度之间，用内插法计算其最高允许排放速率。</w:t>
            </w:r>
          </w:p>
          <w:p>
            <w:pPr>
              <w:keepNext w:val="0"/>
              <w:keepLines w:val="0"/>
              <w:pageBreakBefore w:val="0"/>
              <w:suppressLineNumbers w:val="0"/>
              <w:kinsoku/>
              <w:autoSpaceDE/>
              <w:autoSpaceDN/>
              <w:bidi w:val="0"/>
              <w:adjustRightInd w:val="0"/>
              <w:snapToGrid w:val="0"/>
              <w:spacing w:before="0" w:beforeAutospacing="0" w:after="0" w:afterAutospacing="0" w:line="360" w:lineRule="auto"/>
              <w:ind w:left="0" w:leftChars="0" w:right="0" w:firstLine="0" w:firstLineChars="0"/>
              <w:jc w:val="both"/>
              <w:textAlignment w:val="auto"/>
              <w:rPr>
                <w:rFonts w:hint="default" w:ascii="Times New Roman" w:hAnsi="Times New Roman" w:eastAsia="宋体" w:cs="Times New Roman"/>
                <w:b w:val="0"/>
                <w:bCs/>
                <w:snapToGrid w:val="0"/>
                <w:color w:val="auto"/>
                <w:sz w:val="21"/>
                <w:szCs w:val="21"/>
                <w:highlight w:val="none"/>
                <w:lang w:val="en-US" w:eastAsia="zh-CN" w:bidi="ar-SA"/>
              </w:rPr>
            </w:pPr>
            <w:r>
              <w:rPr>
                <w:rFonts w:hint="eastAsia" w:ascii="Times New Roman" w:hAnsi="Times New Roman" w:eastAsia="宋体" w:cs="Times New Roman"/>
                <w:b w:val="0"/>
                <w:bCs/>
                <w:snapToGrid w:val="0"/>
                <w:color w:val="auto"/>
                <w:sz w:val="21"/>
                <w:szCs w:val="21"/>
                <w:highlight w:val="none"/>
                <w:lang w:val="en-US" w:eastAsia="zh-CN" w:bidi="ar-SA"/>
              </w:rPr>
              <w:t>2）项目200m半径内最高建筑为50m的惠州市久盟电子科技有限公司生产车间，项目排气筒未高出200m半径范围的建筑5m以上，</w:t>
            </w:r>
            <w:r>
              <w:rPr>
                <w:rFonts w:hint="eastAsia" w:cs="Times New Roman"/>
                <w:b w:val="0"/>
                <w:bCs/>
                <w:snapToGrid w:val="0"/>
                <w:color w:val="auto"/>
                <w:sz w:val="21"/>
                <w:szCs w:val="21"/>
                <w:highlight w:val="none"/>
                <w:lang w:val="en-US" w:eastAsia="zh-CN" w:bidi="ar-SA"/>
              </w:rPr>
              <w:t>锡及其化合物</w:t>
            </w:r>
            <w:r>
              <w:rPr>
                <w:rFonts w:hint="eastAsia" w:ascii="Times New Roman" w:hAnsi="Times New Roman" w:eastAsia="宋体" w:cs="Times New Roman"/>
                <w:b w:val="0"/>
                <w:bCs/>
                <w:snapToGrid w:val="0"/>
                <w:color w:val="auto"/>
                <w:sz w:val="21"/>
                <w:szCs w:val="21"/>
                <w:highlight w:val="none"/>
                <w:lang w:val="en-US" w:eastAsia="zh-CN" w:bidi="ar-SA"/>
              </w:rPr>
              <w:t>按其高度对应的排放速率限值</w:t>
            </w:r>
            <w:r>
              <w:rPr>
                <w:rFonts w:hint="default" w:ascii="Times New Roman" w:hAnsi="Times New Roman" w:eastAsia="宋体" w:cs="Times New Roman"/>
                <w:b w:val="0"/>
                <w:bCs/>
                <w:snapToGrid w:val="0"/>
                <w:color w:val="auto"/>
                <w:sz w:val="21"/>
                <w:szCs w:val="21"/>
                <w:highlight w:val="none"/>
                <w:lang w:val="en-US" w:eastAsia="zh-CN" w:bidi="ar-SA"/>
              </w:rPr>
              <w:t>的50</w:t>
            </w:r>
            <w:r>
              <w:rPr>
                <w:rFonts w:hint="eastAsia" w:ascii="Times New Roman" w:hAnsi="Times New Roman" w:eastAsia="宋体" w:cs="Times New Roman"/>
                <w:b w:val="0"/>
                <w:bCs/>
                <w:snapToGrid w:val="0"/>
                <w:color w:val="auto"/>
                <w:sz w:val="21"/>
                <w:szCs w:val="21"/>
                <w:highlight w:val="none"/>
                <w:lang w:val="en-US" w:eastAsia="zh-CN" w:bidi="ar-SA"/>
              </w:rPr>
              <w:t>%</w:t>
            </w:r>
            <w:r>
              <w:rPr>
                <w:rFonts w:hint="default" w:ascii="Times New Roman" w:hAnsi="Times New Roman" w:eastAsia="宋体" w:cs="Times New Roman"/>
                <w:b w:val="0"/>
                <w:bCs/>
                <w:snapToGrid w:val="0"/>
                <w:color w:val="auto"/>
                <w:sz w:val="21"/>
                <w:szCs w:val="21"/>
                <w:highlight w:val="none"/>
                <w:lang w:val="en-US" w:eastAsia="zh-CN" w:bidi="ar-SA"/>
              </w:rPr>
              <w:t>执行。</w:t>
            </w:r>
          </w:p>
          <w:p>
            <w:pPr>
              <w:pStyle w:val="106"/>
              <w:keepNext w:val="0"/>
              <w:keepLines w:val="0"/>
              <w:pageBreakBefore w:val="0"/>
              <w:numPr>
                <w:ilvl w:val="0"/>
                <w:numId w:val="0"/>
              </w:numPr>
              <w:suppressLineNumbers w:val="0"/>
              <w:kinsoku/>
              <w:autoSpaceDE/>
              <w:autoSpaceDN/>
              <w:bidi w:val="0"/>
              <w:adjustRightInd w:val="0"/>
              <w:snapToGrid w:val="0"/>
              <w:spacing w:before="0" w:beforeAutospacing="0" w:after="0" w:afterAutospacing="0" w:line="360" w:lineRule="auto"/>
              <w:ind w:left="0" w:right="0"/>
              <w:jc w:val="both"/>
              <w:textAlignment w:val="auto"/>
              <w:rPr>
                <w:rFonts w:hint="default"/>
                <w:color w:val="auto"/>
                <w:sz w:val="21"/>
                <w:szCs w:val="21"/>
                <w:highlight w:val="none"/>
              </w:rPr>
            </w:pPr>
            <w:r>
              <w:rPr>
                <w:rFonts w:hint="eastAsia"/>
                <w:b w:val="0"/>
                <w:bCs/>
                <w:color w:val="auto"/>
                <w:sz w:val="21"/>
                <w:szCs w:val="21"/>
                <w:highlight w:val="none"/>
                <w:lang w:val="en-US" w:eastAsia="zh-CN"/>
              </w:rPr>
              <w:t>3）TVOC待国家污染物监测方法标准发布后实施。</w:t>
            </w:r>
          </w:p>
          <w:p>
            <w:pPr>
              <w:keepNext w:val="0"/>
              <w:keepLines w:val="0"/>
              <w:suppressLineNumbers w:val="0"/>
              <w:adjustRightInd w:val="0"/>
              <w:snapToGrid w:val="0"/>
              <w:spacing w:before="156" w:beforeLines="50" w:beforeAutospacing="0" w:after="0" w:afterAutospacing="0" w:line="360" w:lineRule="auto"/>
              <w:ind w:left="0" w:right="0" w:firstLine="482"/>
              <w:rPr>
                <w:rFonts w:hint="default"/>
                <w:b/>
                <w:color w:val="auto"/>
                <w:sz w:val="24"/>
                <w:highlight w:val="none"/>
              </w:rPr>
            </w:pPr>
            <w:r>
              <w:rPr>
                <w:rFonts w:hint="default"/>
                <w:b/>
                <w:color w:val="auto"/>
                <w:sz w:val="24"/>
                <w:highlight w:val="none"/>
              </w:rPr>
              <w:t>2、废水</w:t>
            </w:r>
          </w:p>
          <w:p>
            <w:pPr>
              <w:keepNext w:val="0"/>
              <w:keepLines w:val="0"/>
              <w:suppressLineNumbers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1）生活污水</w:t>
            </w:r>
          </w:p>
          <w:p>
            <w:pPr>
              <w:keepNext w:val="0"/>
              <w:keepLines w:val="0"/>
              <w:suppressLineNumbers w:val="0"/>
              <w:wordWrap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无生产废水排放。员工生活污水经化粪池预处理达到广东省《水污染物排放限值》（DB44/26-2001）第二时段三级标准后经市政污水管网引至杨侨镇生活污水处理厂进行进一步处理，杨侨镇生活污水处理厂尾水排放要求达到《城镇污水处理厂污染物排放标准》（GB18918-2002）一级A标准以及广东省地方标准《水污染物排放限值》（DB44/26-2001）第二时段一级标准中的较严值。处理达标后排入南蛇沥。</w:t>
            </w:r>
          </w:p>
          <w:p>
            <w:pPr>
              <w:keepNext w:val="0"/>
              <w:keepLines w:val="0"/>
              <w:suppressLineNumbers w:val="0"/>
              <w:wordWrap w:val="0"/>
              <w:spacing w:before="0" w:beforeAutospacing="0" w:after="0" w:afterAutospacing="0" w:line="360" w:lineRule="auto"/>
              <w:ind w:left="0" w:right="0" w:firstLine="480"/>
              <w:rPr>
                <w:rFonts w:hint="default"/>
                <w:color w:val="auto"/>
                <w:sz w:val="24"/>
                <w:highlight w:val="none"/>
              </w:rPr>
            </w:pPr>
          </w:p>
          <w:p>
            <w:pPr>
              <w:keepNext w:val="0"/>
              <w:keepLines w:val="0"/>
              <w:suppressLineNumbers w:val="0"/>
              <w:wordWrap w:val="0"/>
              <w:spacing w:before="0" w:beforeAutospacing="0" w:after="0" w:afterAutospacing="0" w:line="360" w:lineRule="auto"/>
              <w:ind w:left="0" w:right="0" w:firstLine="480"/>
              <w:rPr>
                <w:rFonts w:hint="default"/>
                <w:color w:val="auto"/>
                <w:sz w:val="24"/>
                <w:highlight w:val="none"/>
              </w:rPr>
            </w:pPr>
          </w:p>
          <w:p>
            <w:pPr>
              <w:pStyle w:val="33"/>
              <w:keepNext w:val="0"/>
              <w:keepLines w:val="0"/>
              <w:widowControl w:val="0"/>
              <w:suppressLineNumbers w:val="0"/>
              <w:spacing w:before="0" w:beforeAutospacing="0" w:after="0" w:afterAutospacing="0" w:line="520" w:lineRule="exact"/>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表3-</w:t>
            </w:r>
            <w:r>
              <w:rPr>
                <w:rFonts w:hint="eastAsia" w:ascii="Times New Roman" w:hAnsi="Times New Roman" w:cs="Times New Roman"/>
                <w:b/>
                <w:bCs/>
                <w:color w:val="auto"/>
                <w:highlight w:val="none"/>
                <w:lang w:val="en-US" w:eastAsia="zh-CN"/>
              </w:rPr>
              <w:t>7</w:t>
            </w:r>
            <w:r>
              <w:rPr>
                <w:rFonts w:hint="default" w:ascii="Times New Roman" w:hAnsi="Times New Roman" w:cs="Times New Roman"/>
                <w:b/>
                <w:bCs/>
                <w:color w:val="auto"/>
                <w:highlight w:val="none"/>
              </w:rPr>
              <w:t xml:space="preserve">  杨侨镇生活污水处理厂水污染物排放限值单位：pH无量纲，其他mg/L</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6"/>
              <w:gridCol w:w="1080"/>
              <w:gridCol w:w="949"/>
              <w:gridCol w:w="1016"/>
              <w:gridCol w:w="885"/>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6"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类别</w:t>
                  </w:r>
                </w:p>
              </w:tc>
              <w:tc>
                <w:tcPr>
                  <w:tcW w:w="618"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COD</w:t>
                  </w:r>
                  <w:r>
                    <w:rPr>
                      <w:rFonts w:hint="default"/>
                      <w:b/>
                      <w:bCs/>
                      <w:color w:val="auto"/>
                      <w:sz w:val="21"/>
                      <w:highlight w:val="none"/>
                      <w:vertAlign w:val="subscript"/>
                    </w:rPr>
                    <w:t>Cr</w:t>
                  </w:r>
                </w:p>
              </w:tc>
              <w:tc>
                <w:tcPr>
                  <w:tcW w:w="543"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BOD</w:t>
                  </w:r>
                  <w:r>
                    <w:rPr>
                      <w:rFonts w:hint="default"/>
                      <w:b/>
                      <w:bCs/>
                      <w:color w:val="auto"/>
                      <w:sz w:val="21"/>
                      <w:highlight w:val="none"/>
                      <w:vertAlign w:val="subscript"/>
                    </w:rPr>
                    <w:t>5</w:t>
                  </w:r>
                </w:p>
              </w:tc>
              <w:tc>
                <w:tcPr>
                  <w:tcW w:w="581"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NH</w:t>
                  </w:r>
                  <w:r>
                    <w:rPr>
                      <w:rFonts w:hint="default"/>
                      <w:b/>
                      <w:bCs/>
                      <w:color w:val="auto"/>
                      <w:sz w:val="21"/>
                      <w:highlight w:val="none"/>
                      <w:vertAlign w:val="subscript"/>
                    </w:rPr>
                    <w:t>3</w:t>
                  </w:r>
                  <w:r>
                    <w:rPr>
                      <w:rFonts w:hint="default"/>
                      <w:b/>
                      <w:bCs/>
                      <w:color w:val="auto"/>
                      <w:sz w:val="21"/>
                      <w:highlight w:val="none"/>
                    </w:rPr>
                    <w:t>-N</w:t>
                  </w:r>
                </w:p>
              </w:tc>
              <w:tc>
                <w:tcPr>
                  <w:tcW w:w="506"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SS</w:t>
                  </w:r>
                </w:p>
              </w:tc>
              <w:tc>
                <w:tcPr>
                  <w:tcW w:w="503" w:type="pct"/>
                  <w:vAlign w:val="center"/>
                </w:tcPr>
                <w:p>
                  <w:pPr>
                    <w:pStyle w:val="19"/>
                    <w:keepNext w:val="0"/>
                    <w:keepLines w:val="0"/>
                    <w:suppressLineNumbers w:val="0"/>
                    <w:adjustRightInd/>
                    <w:snapToGrid/>
                    <w:spacing w:before="0" w:beforeAutospacing="0" w:after="0" w:afterAutospacing="0"/>
                    <w:ind w:left="0" w:right="0" w:firstLine="0" w:firstLineChars="0"/>
                    <w:jc w:val="center"/>
                    <w:rPr>
                      <w:rFonts w:hint="default"/>
                      <w:b/>
                      <w:bCs/>
                      <w:color w:val="auto"/>
                      <w:sz w:val="21"/>
                      <w:highlight w:val="none"/>
                    </w:rPr>
                  </w:pPr>
                  <w:r>
                    <w:rPr>
                      <w:rFonts w:hint="default"/>
                      <w:b/>
                      <w:bCs/>
                      <w:color w:val="auto"/>
                      <w:sz w:val="21"/>
                      <w:highlight w:val="none"/>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6" w:type="pct"/>
                  <w:vAlign w:val="center"/>
                </w:tcPr>
                <w:p>
                  <w:pPr>
                    <w:keepNext w:val="0"/>
                    <w:keepLines w:val="0"/>
                    <w:suppressLineNumbers w:val="0"/>
                    <w:wordWrap w:val="0"/>
                    <w:adjustRightInd w:val="0"/>
                    <w:snapToGrid w:val="0"/>
                    <w:spacing w:before="0" w:beforeAutospacing="0" w:after="0" w:afterAutospacing="0"/>
                    <w:ind w:left="0" w:right="0" w:firstLine="0" w:firstLineChars="0"/>
                    <w:jc w:val="both"/>
                    <w:rPr>
                      <w:rFonts w:hint="default"/>
                      <w:color w:val="auto"/>
                      <w:kern w:val="2"/>
                      <w:sz w:val="21"/>
                      <w:highlight w:val="none"/>
                      <w:lang w:bidi="en-US"/>
                    </w:rPr>
                  </w:pPr>
                  <w:r>
                    <w:rPr>
                      <w:rFonts w:hint="default"/>
                      <w:color w:val="auto"/>
                      <w:kern w:val="2"/>
                      <w:sz w:val="21"/>
                      <w:highlight w:val="none"/>
                      <w:lang w:bidi="en-US"/>
                    </w:rPr>
                    <w:t>广东省地方标准《水污染物排放限值》（DB44/26-2001）的第二时段三级标准</w:t>
                  </w:r>
                </w:p>
              </w:tc>
              <w:tc>
                <w:tcPr>
                  <w:tcW w:w="61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≤500</w:t>
                  </w:r>
                </w:p>
              </w:tc>
              <w:tc>
                <w:tcPr>
                  <w:tcW w:w="54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≤300</w:t>
                  </w:r>
                </w:p>
              </w:tc>
              <w:tc>
                <w:tcPr>
                  <w:tcW w:w="58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w:t>
                  </w:r>
                </w:p>
              </w:tc>
              <w:tc>
                <w:tcPr>
                  <w:tcW w:w="50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≤400</w:t>
                  </w:r>
                </w:p>
              </w:tc>
              <w:tc>
                <w:tcPr>
                  <w:tcW w:w="50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6" w:type="pct"/>
                  <w:vAlign w:val="center"/>
                </w:tcPr>
                <w:p>
                  <w:pPr>
                    <w:keepNext w:val="0"/>
                    <w:keepLines w:val="0"/>
                    <w:suppressLineNumbers w:val="0"/>
                    <w:wordWrap w:val="0"/>
                    <w:adjustRightInd w:val="0"/>
                    <w:snapToGrid w:val="0"/>
                    <w:spacing w:before="0" w:beforeAutospacing="0" w:after="0" w:afterAutospacing="0"/>
                    <w:ind w:left="0" w:right="0" w:firstLine="0" w:firstLineChars="0"/>
                    <w:jc w:val="both"/>
                    <w:rPr>
                      <w:rFonts w:hint="default"/>
                      <w:color w:val="auto"/>
                      <w:kern w:val="2"/>
                      <w:sz w:val="21"/>
                      <w:highlight w:val="none"/>
                      <w:lang w:bidi="en-US"/>
                    </w:rPr>
                  </w:pPr>
                  <w:r>
                    <w:rPr>
                      <w:rFonts w:hint="default"/>
                      <w:color w:val="auto"/>
                      <w:kern w:val="2"/>
                      <w:sz w:val="21"/>
                      <w:highlight w:val="none"/>
                      <w:lang w:bidi="en-US"/>
                    </w:rPr>
                    <w:t>《城镇污水处理厂污染物排放标准》（GB18918-2002）一级A标准</w:t>
                  </w:r>
                </w:p>
              </w:tc>
              <w:tc>
                <w:tcPr>
                  <w:tcW w:w="61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≤50</w:t>
                  </w:r>
                </w:p>
              </w:tc>
              <w:tc>
                <w:tcPr>
                  <w:tcW w:w="54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≤10</w:t>
                  </w:r>
                </w:p>
              </w:tc>
              <w:tc>
                <w:tcPr>
                  <w:tcW w:w="58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≤5（8）</w:t>
                  </w:r>
                </w:p>
              </w:tc>
              <w:tc>
                <w:tcPr>
                  <w:tcW w:w="50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≤10</w:t>
                  </w:r>
                </w:p>
              </w:tc>
              <w:tc>
                <w:tcPr>
                  <w:tcW w:w="50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6" w:type="pct"/>
                  <w:vAlign w:val="center"/>
                </w:tcPr>
                <w:p>
                  <w:pPr>
                    <w:keepNext w:val="0"/>
                    <w:keepLines w:val="0"/>
                    <w:suppressLineNumbers w:val="0"/>
                    <w:wordWrap w:val="0"/>
                    <w:adjustRightInd w:val="0"/>
                    <w:snapToGrid w:val="0"/>
                    <w:spacing w:before="0" w:beforeAutospacing="0" w:after="0" w:afterAutospacing="0"/>
                    <w:ind w:left="0" w:right="0" w:firstLine="0" w:firstLineChars="0"/>
                    <w:jc w:val="both"/>
                    <w:rPr>
                      <w:rFonts w:hint="default"/>
                      <w:color w:val="auto"/>
                      <w:kern w:val="2"/>
                      <w:sz w:val="21"/>
                      <w:highlight w:val="none"/>
                      <w:lang w:bidi="en-US"/>
                    </w:rPr>
                  </w:pPr>
                  <w:r>
                    <w:rPr>
                      <w:rFonts w:hint="default"/>
                      <w:color w:val="auto"/>
                      <w:kern w:val="2"/>
                      <w:sz w:val="21"/>
                      <w:highlight w:val="none"/>
                      <w:lang w:bidi="en-US"/>
                    </w:rPr>
                    <w:t>广东省地方标准《水污染物排放限值》（DB44/26-2001）的第二时段一级标准</w:t>
                  </w:r>
                </w:p>
              </w:tc>
              <w:tc>
                <w:tcPr>
                  <w:tcW w:w="61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≤40</w:t>
                  </w:r>
                </w:p>
              </w:tc>
              <w:tc>
                <w:tcPr>
                  <w:tcW w:w="54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≤20</w:t>
                  </w:r>
                </w:p>
              </w:tc>
              <w:tc>
                <w:tcPr>
                  <w:tcW w:w="58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≤10</w:t>
                  </w:r>
                </w:p>
              </w:tc>
              <w:tc>
                <w:tcPr>
                  <w:tcW w:w="50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≤20</w:t>
                  </w:r>
                </w:p>
              </w:tc>
              <w:tc>
                <w:tcPr>
                  <w:tcW w:w="50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kern w:val="2"/>
                      <w:sz w:val="21"/>
                      <w:highlight w:val="none"/>
                      <w:lang w:bidi="en-US"/>
                    </w:rPr>
                  </w:pPr>
                  <w:r>
                    <w:rPr>
                      <w:rFonts w:hint="default"/>
                      <w:color w:val="auto"/>
                      <w:kern w:val="2"/>
                      <w:sz w:val="21"/>
                      <w:highlight w:val="none"/>
                      <w:lang w:bidi="en-US"/>
                    </w:rPr>
                    <w:t>杨侨镇生活污水处理厂排放标准</w:t>
                  </w:r>
                </w:p>
              </w:tc>
              <w:tc>
                <w:tcPr>
                  <w:tcW w:w="61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≤40</w:t>
                  </w:r>
                </w:p>
              </w:tc>
              <w:tc>
                <w:tcPr>
                  <w:tcW w:w="54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≤10</w:t>
                  </w:r>
                </w:p>
              </w:tc>
              <w:tc>
                <w:tcPr>
                  <w:tcW w:w="58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≤5</w:t>
                  </w:r>
                </w:p>
              </w:tc>
              <w:tc>
                <w:tcPr>
                  <w:tcW w:w="50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≤10</w:t>
                  </w:r>
                </w:p>
              </w:tc>
              <w:tc>
                <w:tcPr>
                  <w:tcW w:w="50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bidi="en-US"/>
                    </w:rPr>
                  </w:pPr>
                  <w:r>
                    <w:rPr>
                      <w:rFonts w:hint="default"/>
                      <w:color w:val="auto"/>
                      <w:kern w:val="2"/>
                      <w:sz w:val="21"/>
                      <w:highlight w:val="none"/>
                      <w:lang w:bidi="en-US"/>
                    </w:rPr>
                    <w:t>≤0.5</w:t>
                  </w:r>
                </w:p>
              </w:tc>
            </w:tr>
          </w:tbl>
          <w:p>
            <w:pPr>
              <w:keepNext w:val="0"/>
              <w:keepLines w:val="0"/>
              <w:suppressLineNumbers w:val="0"/>
              <w:tabs>
                <w:tab w:val="left" w:pos="4935"/>
              </w:tabs>
              <w:wordWrap w:val="0"/>
              <w:adjustRightInd w:val="0"/>
              <w:snapToGrid w:val="0"/>
              <w:spacing w:before="0" w:beforeAutospacing="0" w:after="0" w:afterAutospacing="0" w:line="360" w:lineRule="auto"/>
              <w:ind w:left="0" w:right="0" w:firstLine="420"/>
              <w:rPr>
                <w:rFonts w:hint="default"/>
                <w:bCs/>
                <w:color w:val="auto"/>
                <w:sz w:val="21"/>
                <w:highlight w:val="none"/>
              </w:rPr>
            </w:pPr>
            <w:r>
              <w:rPr>
                <w:rFonts w:hint="default"/>
                <w:bCs/>
                <w:color w:val="auto"/>
                <w:sz w:val="21"/>
                <w:highlight w:val="none"/>
              </w:rPr>
              <w:t>注：括号外数值为水温&gt;12℃时的控制指标，括号内数值为水温≤12℃时的控制指标。</w:t>
            </w:r>
          </w:p>
          <w:p>
            <w:pPr>
              <w:keepNext w:val="0"/>
              <w:keepLines w:val="0"/>
              <w:suppressLineNumbers w:val="0"/>
              <w:tabs>
                <w:tab w:val="left" w:pos="4935"/>
              </w:tabs>
              <w:wordWrap w:val="0"/>
              <w:adjustRightInd w:val="0"/>
              <w:snapToGrid w:val="0"/>
              <w:spacing w:before="0" w:beforeAutospacing="0" w:after="0" w:afterAutospacing="0" w:line="360" w:lineRule="auto"/>
              <w:ind w:left="0" w:right="0" w:firstLine="420"/>
              <w:rPr>
                <w:rFonts w:hint="eastAsia" w:eastAsia="宋体"/>
                <w:bCs/>
                <w:color w:val="auto"/>
                <w:sz w:val="21"/>
                <w:highlight w:val="none"/>
                <w:lang w:eastAsia="zh-CN"/>
              </w:rPr>
            </w:pPr>
            <w:r>
              <w:rPr>
                <w:rFonts w:hint="default"/>
                <w:bCs/>
                <w:color w:val="auto"/>
                <w:sz w:val="21"/>
                <w:highlight w:val="none"/>
              </w:rPr>
              <w:t>《水污染物排放限值》(DB44/26一2001)第二时段一级标准中的TP为参考磷酸盐</w:t>
            </w:r>
            <w:r>
              <w:rPr>
                <w:rFonts w:hint="eastAsia"/>
                <w:bCs/>
                <w:color w:val="auto"/>
                <w:sz w:val="21"/>
                <w:highlight w:val="none"/>
                <w:lang w:eastAsia="zh-CN"/>
              </w:rPr>
              <w:t>。</w:t>
            </w:r>
          </w:p>
          <w:p>
            <w:pPr>
              <w:keepNext w:val="0"/>
              <w:keepLines w:val="0"/>
              <w:suppressLineNumbers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2）冷却水</w:t>
            </w:r>
          </w:p>
          <w:p>
            <w:pPr>
              <w:pStyle w:val="2"/>
              <w:keepNext w:val="0"/>
              <w:keepLines w:val="0"/>
              <w:suppressLineNumbers w:val="0"/>
              <w:spacing w:before="0" w:beforeAutospacing="0" w:after="0" w:afterAutospacing="0" w:line="360" w:lineRule="auto"/>
              <w:ind w:left="0" w:right="0" w:firstLine="480"/>
              <w:rPr>
                <w:color w:val="auto"/>
                <w:sz w:val="24"/>
                <w:highlight w:val="none"/>
              </w:rPr>
            </w:pPr>
            <w:r>
              <w:rPr>
                <w:color w:val="auto"/>
                <w:sz w:val="24"/>
                <w:highlight w:val="none"/>
              </w:rPr>
              <w:t>项目退火冷却水槽直接冷却水经</w:t>
            </w:r>
            <w:r>
              <w:rPr>
                <w:rFonts w:hint="eastAsia"/>
                <w:color w:val="auto"/>
                <w:sz w:val="24"/>
                <w:highlight w:val="none"/>
              </w:rPr>
              <w:t>一体化处理设施</w:t>
            </w:r>
            <w:r>
              <w:rPr>
                <w:color w:val="auto"/>
                <w:sz w:val="24"/>
                <w:highlight w:val="none"/>
              </w:rPr>
              <w:t>处理达到《城市污水再生利用 工业用水水质》</w:t>
            </w:r>
            <w:r>
              <w:rPr>
                <w:rFonts w:hint="default" w:ascii="Times New Roman" w:hAnsi="Times New Roman" w:cs="Times New Roman"/>
                <w:color w:val="auto"/>
                <w:sz w:val="24"/>
                <w:highlight w:val="none"/>
              </w:rPr>
              <w:t>(GBT 19923-2005)敞开</w:t>
            </w:r>
            <w:r>
              <w:rPr>
                <w:color w:val="auto"/>
                <w:sz w:val="24"/>
                <w:highlight w:val="none"/>
              </w:rPr>
              <w:t>式循环冷却水系统补充水标准后</w:t>
            </w:r>
            <w:r>
              <w:rPr>
                <w:rFonts w:hint="default" w:ascii="Times New Roman" w:cs="Times New Roman"/>
                <w:color w:val="auto"/>
                <w:highlight w:val="none"/>
              </w:rPr>
              <w:t>回用退火机冷却水槽</w:t>
            </w:r>
            <w:r>
              <w:rPr>
                <w:color w:val="auto"/>
                <w:sz w:val="24"/>
                <w:highlight w:val="none"/>
              </w:rPr>
              <w:t>，不外排，具体标准限值详见下表。</w:t>
            </w:r>
          </w:p>
          <w:p>
            <w:pPr>
              <w:pStyle w:val="33"/>
              <w:keepNext w:val="0"/>
              <w:keepLines w:val="0"/>
              <w:widowControl w:val="0"/>
              <w:suppressLineNumbers w:val="0"/>
              <w:spacing w:before="0" w:beforeAutospacing="0" w:after="0" w:afterAutospacing="0" w:line="520" w:lineRule="exact"/>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表3-</w:t>
            </w:r>
            <w:r>
              <w:rPr>
                <w:rFonts w:hint="eastAsia" w:ascii="Times New Roman" w:hAnsi="Times New Roman" w:cs="Times New Roman"/>
                <w:b/>
                <w:bCs/>
                <w:color w:val="auto"/>
                <w:highlight w:val="none"/>
                <w:lang w:val="en-US" w:eastAsia="zh-CN"/>
              </w:rPr>
              <w:t>8</w:t>
            </w:r>
            <w:r>
              <w:rPr>
                <w:rFonts w:hint="default" w:ascii="Times New Roman" w:hAnsi="Times New Roman" w:cs="Times New Roman"/>
                <w:b/>
                <w:bCs/>
                <w:color w:val="auto"/>
                <w:highlight w:val="none"/>
              </w:rPr>
              <w:t xml:space="preserve">  项目冷却水回用标准一览表（摘录）单位：mg/L，pH、色度、浊度除外</w:t>
            </w:r>
          </w:p>
          <w:tbl>
            <w:tblPr>
              <w:tblStyle w:val="3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844"/>
              <w:gridCol w:w="706"/>
              <w:gridCol w:w="776"/>
              <w:gridCol w:w="784"/>
              <w:gridCol w:w="454"/>
              <w:gridCol w:w="741"/>
              <w:gridCol w:w="809"/>
              <w:gridCol w:w="826"/>
              <w:gridCol w:w="879"/>
              <w:gridCol w:w="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类别</w:t>
                  </w:r>
                </w:p>
              </w:tc>
              <w:tc>
                <w:tcPr>
                  <w:tcW w:w="48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色度</w:t>
                  </w:r>
                </w:p>
              </w:tc>
              <w:tc>
                <w:tcPr>
                  <w:tcW w:w="40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浊度</w:t>
                  </w:r>
                </w:p>
              </w:tc>
              <w:tc>
                <w:tcPr>
                  <w:tcW w:w="44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BOD</w:t>
                  </w:r>
                  <w:r>
                    <w:rPr>
                      <w:rFonts w:hint="default" w:ascii="Times New Roman" w:hAnsi="Times New Roman" w:cs="Times New Roman"/>
                      <w:b/>
                      <w:bCs/>
                      <w:color w:val="auto"/>
                      <w:sz w:val="21"/>
                      <w:szCs w:val="21"/>
                      <w:highlight w:val="none"/>
                      <w:vertAlign w:val="subscript"/>
                    </w:rPr>
                    <w:t>5</w:t>
                  </w:r>
                </w:p>
              </w:tc>
              <w:tc>
                <w:tcPr>
                  <w:tcW w:w="449"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CODcr</w:t>
                  </w:r>
                </w:p>
              </w:tc>
              <w:tc>
                <w:tcPr>
                  <w:tcW w:w="260"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SS</w:t>
                  </w:r>
                </w:p>
              </w:tc>
              <w:tc>
                <w:tcPr>
                  <w:tcW w:w="42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TP</w:t>
                  </w:r>
                </w:p>
              </w:tc>
              <w:tc>
                <w:tcPr>
                  <w:tcW w:w="46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总硬度</w:t>
                  </w:r>
                </w:p>
              </w:tc>
              <w:tc>
                <w:tcPr>
                  <w:tcW w:w="47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石油类</w:t>
                  </w:r>
                </w:p>
              </w:tc>
              <w:tc>
                <w:tcPr>
                  <w:tcW w:w="50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NH</w:t>
                  </w:r>
                  <w:r>
                    <w:rPr>
                      <w:rFonts w:hint="default" w:ascii="Times New Roman" w:hAnsi="Times New Roman" w:cs="Times New Roman"/>
                      <w:b/>
                      <w:bCs/>
                      <w:color w:val="auto"/>
                      <w:sz w:val="21"/>
                      <w:szCs w:val="21"/>
                      <w:highlight w:val="none"/>
                      <w:vertAlign w:val="subscript"/>
                    </w:rPr>
                    <w:t>3</w:t>
                  </w:r>
                  <w:r>
                    <w:rPr>
                      <w:rFonts w:hint="default" w:ascii="Times New Roman" w:hAnsi="Times New Roman" w:cs="Times New Roman"/>
                      <w:b/>
                      <w:bCs/>
                      <w:color w:val="auto"/>
                      <w:sz w:val="21"/>
                      <w:szCs w:val="21"/>
                      <w:highlight w:val="none"/>
                    </w:rPr>
                    <w:t>-N</w:t>
                  </w:r>
                </w:p>
              </w:tc>
              <w:tc>
                <w:tcPr>
                  <w:tcW w:w="351"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0"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敞开式循环</w:t>
                  </w:r>
                </w:p>
                <w:p>
                  <w:pPr>
                    <w:pStyle w:val="33"/>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冷却水系统</w:t>
                  </w:r>
                </w:p>
                <w:p>
                  <w:pPr>
                    <w:pStyle w:val="33"/>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补充水</w:t>
                  </w:r>
                </w:p>
              </w:tc>
              <w:tc>
                <w:tcPr>
                  <w:tcW w:w="48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r>
                    <w:rPr>
                      <w:rFonts w:hint="eastAsia" w:ascii="Times New Roman" w:hAnsi="Times New Roman" w:cs="Times New Roman"/>
                      <w:color w:val="auto"/>
                      <w:sz w:val="21"/>
                      <w:szCs w:val="21"/>
                      <w:highlight w:val="none"/>
                      <w:lang w:val="en-US" w:eastAsia="zh-CN"/>
                    </w:rPr>
                    <w:t>（度）</w:t>
                  </w:r>
                </w:p>
              </w:tc>
              <w:tc>
                <w:tcPr>
                  <w:tcW w:w="40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5NTU</w:t>
                  </w:r>
                </w:p>
              </w:tc>
              <w:tc>
                <w:tcPr>
                  <w:tcW w:w="44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449"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w:t>
                  </w:r>
                </w:p>
              </w:tc>
              <w:tc>
                <w:tcPr>
                  <w:tcW w:w="260"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w:t>
                  </w:r>
                </w:p>
              </w:tc>
              <w:tc>
                <w:tcPr>
                  <w:tcW w:w="424"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46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450</w:t>
                  </w:r>
                </w:p>
              </w:tc>
              <w:tc>
                <w:tcPr>
                  <w:tcW w:w="47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503"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351" w:type="pct"/>
                  <w:vAlign w:val="center"/>
                </w:tcPr>
                <w:p>
                  <w:pPr>
                    <w:pStyle w:val="33"/>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vAlign w:val="center"/>
                </w:tcPr>
                <w:p>
                  <w:pPr>
                    <w:pStyle w:val="33"/>
                    <w:keepNext w:val="0"/>
                    <w:keepLines w:val="0"/>
                    <w:widowControl w:val="0"/>
                    <w:suppressLineNumbers w:val="0"/>
                    <w:spacing w:before="0" w:beforeAutospacing="0" w:after="0" w:afterAutospacing="0"/>
                    <w:ind w:left="0"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备注：</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SS 参考“直流冷却水”水质标准。</w:t>
                  </w:r>
                </w:p>
                <w:p>
                  <w:pPr>
                    <w:pStyle w:val="33"/>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2）当敞开式循环冷却水系统换热器为铜质时，循环冷却系统中循环水的氨氮指标应小于 1 mg/l.。本项目</w:t>
                  </w:r>
                  <w:r>
                    <w:rPr>
                      <w:rFonts w:hint="eastAsia" w:ascii="Times New Roman" w:hAnsi="Times New Roman" w:cs="Times New Roman"/>
                      <w:b w:val="0"/>
                      <w:bCs w:val="0"/>
                      <w:color w:val="auto"/>
                      <w:sz w:val="21"/>
                      <w:szCs w:val="21"/>
                      <w:highlight w:val="none"/>
                    </w:rPr>
                    <w:t>循环冷却水系统换热器为</w:t>
                  </w:r>
                  <w:r>
                    <w:rPr>
                      <w:rFonts w:hint="eastAsia" w:ascii="Times New Roman" w:hAnsi="Times New Roman" w:cs="Times New Roman"/>
                      <w:b w:val="0"/>
                      <w:bCs w:val="0"/>
                      <w:color w:val="auto"/>
                      <w:sz w:val="21"/>
                      <w:szCs w:val="21"/>
                      <w:highlight w:val="none"/>
                      <w:lang w:val="en-US" w:eastAsia="zh-CN"/>
                    </w:rPr>
                    <w:t>铝质。</w:t>
                  </w:r>
                </w:p>
              </w:tc>
            </w:tr>
          </w:tbl>
          <w:p>
            <w:pPr>
              <w:keepNext w:val="0"/>
              <w:keepLines w:val="0"/>
              <w:suppressLineNumbers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3、噪声</w:t>
            </w:r>
          </w:p>
          <w:p>
            <w:pPr>
              <w:keepNext w:val="0"/>
              <w:keepLines w:val="0"/>
              <w:suppressLineNumbers w:val="0"/>
              <w:wordWrap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项目厂界噪声执行《工业企业厂界环境噪声排放标准》（GB12348-2008）2类标准（</w:t>
            </w:r>
            <w:r>
              <w:rPr>
                <w:rFonts w:hint="default"/>
                <w:color w:val="auto"/>
                <w:kern w:val="2"/>
                <w:sz w:val="24"/>
                <w:highlight w:val="none"/>
              </w:rPr>
              <w:t>昼间≤60dB（A）、夜间≤50dB（A））。</w:t>
            </w:r>
          </w:p>
          <w:p>
            <w:pPr>
              <w:keepNext w:val="0"/>
              <w:keepLines w:val="0"/>
              <w:suppressLineNumbers w:val="0"/>
              <w:spacing w:before="0" w:beforeAutospacing="0" w:after="0" w:afterAutospacing="0" w:line="360" w:lineRule="auto"/>
              <w:ind w:left="0" w:right="0" w:firstLine="482"/>
              <w:rPr>
                <w:rFonts w:hint="default"/>
                <w:b/>
                <w:bCs/>
                <w:color w:val="auto"/>
                <w:sz w:val="24"/>
                <w:highlight w:val="none"/>
              </w:rPr>
            </w:pPr>
            <w:r>
              <w:rPr>
                <w:rFonts w:hint="default"/>
                <w:b/>
                <w:bCs/>
                <w:color w:val="auto"/>
                <w:sz w:val="24"/>
                <w:highlight w:val="none"/>
              </w:rPr>
              <w:t>4、固体废物</w:t>
            </w:r>
          </w:p>
          <w:p>
            <w:pPr>
              <w:keepNext w:val="0"/>
              <w:keepLines w:val="0"/>
              <w:suppressLineNumbers w:val="0"/>
              <w:wordWrap w:val="0"/>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一般工业固体废物执行《中华人民共和国固体废物环境污染防治法》、《一般工业固体废物管理台账制定指南（试行）》（生态环境部公告2021年第82号）中的相关规定。一般工业固体废物在厂内采用库房或包装工具贮存，贮存过程应满足相应防渗漏、防雨淋、防扬尘等环境保护要求。</w:t>
            </w:r>
          </w:p>
          <w:p>
            <w:pPr>
              <w:keepNext w:val="0"/>
              <w:keepLines w:val="0"/>
              <w:suppressLineNumbers w:val="0"/>
              <w:wordWrap w:val="0"/>
              <w:spacing w:before="0" w:beforeAutospacing="0" w:after="0" w:afterAutospacing="0" w:line="360" w:lineRule="auto"/>
              <w:ind w:left="0" w:right="0" w:firstLine="480"/>
              <w:rPr>
                <w:rFonts w:hint="default"/>
                <w:color w:val="auto"/>
                <w:highlight w:val="none"/>
              </w:rPr>
            </w:pPr>
            <w:r>
              <w:rPr>
                <w:rFonts w:hint="default"/>
                <w:color w:val="auto"/>
                <w:sz w:val="24"/>
                <w:highlight w:val="none"/>
              </w:rPr>
              <w:t>危险废物执行《危险废物贮存污染控制标准》（GB18597-2023）、《危险废物识别标志设置技术规范》（HJ 1276-2022）中的相关规定。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814" w:hRule="atLeast"/>
          <w:jc w:val="center"/>
        </w:trPr>
        <w:tc>
          <w:tcPr>
            <w:tcW w:w="321" w:type="dxa"/>
            <w:vAlign w:val="center"/>
          </w:tcPr>
          <w:p>
            <w:pPr>
              <w:pStyle w:val="50"/>
              <w:keepNext w:val="0"/>
              <w:keepLines w:val="0"/>
              <w:suppressLineNumbers w:val="0"/>
              <w:spacing w:before="0" w:beforeAutospacing="0" w:after="0" w:afterAutospacing="0" w:line="360" w:lineRule="auto"/>
              <w:ind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总量</w:t>
            </w:r>
          </w:p>
          <w:p>
            <w:pPr>
              <w:pStyle w:val="50"/>
              <w:keepNext w:val="0"/>
              <w:keepLines w:val="0"/>
              <w:suppressLineNumbers w:val="0"/>
              <w:spacing w:before="0" w:beforeAutospacing="0" w:after="0" w:afterAutospacing="0" w:line="360" w:lineRule="auto"/>
              <w:ind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控制</w:t>
            </w:r>
          </w:p>
          <w:p>
            <w:pPr>
              <w:pStyle w:val="50"/>
              <w:keepNext w:val="0"/>
              <w:keepLines w:val="0"/>
              <w:suppressLineNumbers w:val="0"/>
              <w:spacing w:before="0" w:beforeAutospacing="0" w:after="0" w:afterAutospacing="0" w:line="360" w:lineRule="auto"/>
              <w:ind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指标</w:t>
            </w:r>
          </w:p>
        </w:tc>
        <w:tc>
          <w:tcPr>
            <w:tcW w:w="8807" w:type="dxa"/>
            <w:vAlign w:val="center"/>
          </w:tcPr>
          <w:p>
            <w:pPr>
              <w:pStyle w:val="123"/>
              <w:keepNext w:val="0"/>
              <w:keepLines w:val="0"/>
              <w:suppressLineNumbers w:val="0"/>
              <w:spacing w:before="0" w:beforeAutospacing="0" w:after="0" w:afterAutospacing="0" w:line="360" w:lineRule="auto"/>
              <w:ind w:left="0" w:right="0"/>
              <w:rPr>
                <w:rFonts w:hint="default"/>
                <w:color w:val="auto"/>
                <w:sz w:val="24"/>
                <w:highlight w:val="none"/>
              </w:rPr>
            </w:pPr>
            <w:r>
              <w:rPr>
                <w:rFonts w:hint="default"/>
                <w:color w:val="auto"/>
                <w:sz w:val="24"/>
                <w:highlight w:val="none"/>
              </w:rPr>
              <w:t>根据《惠州市人民政府关于印发惠州市生态环境保护“十四五”规划的通知》（惠府〔2022〕11号），污染排放总量控制指标为化学需氧量（COD</w:t>
            </w:r>
            <w:r>
              <w:rPr>
                <w:rFonts w:hint="default"/>
                <w:color w:val="auto"/>
                <w:sz w:val="24"/>
                <w:highlight w:val="none"/>
                <w:vertAlign w:val="subscript"/>
              </w:rPr>
              <w:t>Cr</w:t>
            </w:r>
            <w:r>
              <w:rPr>
                <w:rFonts w:hint="default"/>
                <w:color w:val="auto"/>
                <w:sz w:val="24"/>
                <w:highlight w:val="none"/>
              </w:rPr>
              <w:t>）、氨氮（NH</w:t>
            </w:r>
            <w:r>
              <w:rPr>
                <w:rFonts w:hint="default"/>
                <w:color w:val="auto"/>
                <w:sz w:val="24"/>
                <w:highlight w:val="none"/>
                <w:vertAlign w:val="subscript"/>
              </w:rPr>
              <w:t>3</w:t>
            </w:r>
            <w:r>
              <w:rPr>
                <w:rFonts w:hint="default"/>
                <w:color w:val="auto"/>
                <w:sz w:val="24"/>
                <w:highlight w:val="none"/>
              </w:rPr>
              <w:t>-N）、氮氧化物（NO</w:t>
            </w:r>
            <w:r>
              <w:rPr>
                <w:rFonts w:hint="default"/>
                <w:color w:val="auto"/>
                <w:sz w:val="24"/>
                <w:highlight w:val="none"/>
                <w:vertAlign w:val="subscript"/>
              </w:rPr>
              <w:t>x</w:t>
            </w:r>
            <w:r>
              <w:rPr>
                <w:rFonts w:hint="default"/>
                <w:color w:val="auto"/>
                <w:sz w:val="24"/>
                <w:highlight w:val="none"/>
              </w:rPr>
              <w:t>）、挥发性有机化合物。</w:t>
            </w:r>
          </w:p>
          <w:p>
            <w:pPr>
              <w:pStyle w:val="123"/>
              <w:keepNext w:val="0"/>
              <w:keepLines w:val="0"/>
              <w:suppressLineNumbers w:val="0"/>
              <w:spacing w:before="0" w:beforeAutospacing="0" w:after="0" w:afterAutospacing="0" w:line="360" w:lineRule="auto"/>
              <w:ind w:left="0" w:right="0"/>
              <w:rPr>
                <w:rFonts w:hint="default"/>
                <w:color w:val="auto"/>
                <w:sz w:val="24"/>
                <w:highlight w:val="none"/>
              </w:rPr>
            </w:pPr>
            <w:r>
              <w:rPr>
                <w:rFonts w:hint="default"/>
                <w:color w:val="auto"/>
                <w:sz w:val="24"/>
                <w:highlight w:val="none"/>
              </w:rPr>
              <w:t>项目污染物总量控制指标如下表。</w:t>
            </w:r>
          </w:p>
          <w:p>
            <w:pPr>
              <w:pStyle w:val="123"/>
              <w:keepNext w:val="0"/>
              <w:keepLines w:val="0"/>
              <w:suppressLineNumbers w:val="0"/>
              <w:spacing w:before="0" w:beforeAutospacing="0" w:after="0" w:afterAutospacing="0" w:line="360" w:lineRule="auto"/>
              <w:ind w:left="0" w:right="0" w:firstLine="482"/>
              <w:jc w:val="center"/>
              <w:rPr>
                <w:rFonts w:hint="default"/>
                <w:color w:val="auto"/>
                <w:highlight w:val="none"/>
              </w:rPr>
            </w:pPr>
            <w:r>
              <w:rPr>
                <w:rFonts w:hint="default"/>
                <w:b/>
                <w:bCs/>
                <w:color w:val="auto"/>
                <w:sz w:val="24"/>
                <w:szCs w:val="24"/>
                <w:highlight w:val="none"/>
              </w:rPr>
              <w:t>表3-</w:t>
            </w:r>
            <w:r>
              <w:rPr>
                <w:rFonts w:hint="eastAsia"/>
                <w:b/>
                <w:bCs/>
                <w:color w:val="auto"/>
                <w:sz w:val="24"/>
                <w:szCs w:val="24"/>
                <w:highlight w:val="none"/>
                <w:lang w:val="en-US" w:eastAsia="zh-CN"/>
              </w:rPr>
              <w:t>9</w:t>
            </w:r>
            <w:r>
              <w:rPr>
                <w:rFonts w:hint="default"/>
                <w:b/>
                <w:bCs/>
                <w:color w:val="auto"/>
                <w:sz w:val="24"/>
                <w:szCs w:val="24"/>
                <w:highlight w:val="none"/>
              </w:rPr>
              <w:t xml:space="preserve">  项目总量控制指标</w:t>
            </w:r>
          </w:p>
          <w:tbl>
            <w:tblPr>
              <w:tblStyle w:val="35"/>
              <w:tblW w:w="4997" w:type="pct"/>
              <w:jc w:val="center"/>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Layout w:type="fixed"/>
              <w:tblCellMar>
                <w:top w:w="0" w:type="dxa"/>
                <w:left w:w="108" w:type="dxa"/>
                <w:bottom w:w="0" w:type="dxa"/>
                <w:right w:w="108" w:type="dxa"/>
              </w:tblCellMar>
            </w:tblPr>
            <w:tblGrid>
              <w:gridCol w:w="689"/>
              <w:gridCol w:w="1178"/>
              <w:gridCol w:w="1276"/>
              <w:gridCol w:w="1454"/>
              <w:gridCol w:w="1265"/>
              <w:gridCol w:w="2874"/>
            </w:tblGrid>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类别</w:t>
                  </w:r>
                </w:p>
              </w:tc>
              <w:tc>
                <w:tcPr>
                  <w:tcW w:w="1404" w:type="pct"/>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污染物</w:t>
                  </w:r>
                </w:p>
              </w:tc>
              <w:tc>
                <w:tcPr>
                  <w:tcW w:w="83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总量</w:t>
                  </w:r>
                  <w:r>
                    <w:rPr>
                      <w:rFonts w:hint="eastAsia"/>
                      <w:b/>
                      <w:bCs/>
                      <w:color w:val="auto"/>
                      <w:sz w:val="21"/>
                      <w:highlight w:val="none"/>
                    </w:rPr>
                    <w:t>控制量（</w:t>
                  </w:r>
                  <w:r>
                    <w:rPr>
                      <w:rFonts w:hint="default"/>
                      <w:b/>
                      <w:bCs/>
                      <w:color w:val="auto"/>
                      <w:sz w:val="21"/>
                      <w:highlight w:val="none"/>
                    </w:rPr>
                    <w:t>t/a</w:t>
                  </w:r>
                  <w:r>
                    <w:rPr>
                      <w:rFonts w:hint="eastAsia"/>
                      <w:b/>
                      <w:bCs/>
                      <w:color w:val="auto"/>
                      <w:sz w:val="21"/>
                      <w:highlight w:val="none"/>
                    </w:rPr>
                    <w:t>）</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eastAsia"/>
                      <w:b/>
                      <w:bCs/>
                      <w:color w:val="auto"/>
                      <w:sz w:val="21"/>
                      <w:highlight w:val="none"/>
                    </w:rPr>
                    <w:t>排放限值（mg/m</w:t>
                  </w:r>
                  <w:r>
                    <w:rPr>
                      <w:rFonts w:hint="eastAsia"/>
                      <w:b/>
                      <w:bCs/>
                      <w:color w:val="auto"/>
                      <w:sz w:val="21"/>
                      <w:highlight w:val="none"/>
                      <w:vertAlign w:val="superscript"/>
                    </w:rPr>
                    <w:t>3</w:t>
                  </w:r>
                  <w:r>
                    <w:rPr>
                      <w:rFonts w:hint="eastAsia"/>
                      <w:b/>
                      <w:bCs/>
                      <w:color w:val="auto"/>
                      <w:sz w:val="21"/>
                      <w:highlight w:val="none"/>
                    </w:rPr>
                    <w:t>）</w:t>
                  </w:r>
                </w:p>
              </w:tc>
              <w:tc>
                <w:tcPr>
                  <w:tcW w:w="164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eastAsia"/>
                      <w:b/>
                      <w:bCs/>
                      <w:color w:val="auto"/>
                      <w:sz w:val="21"/>
                      <w:highlight w:val="none"/>
                    </w:rPr>
                    <w:t>说明</w:t>
                  </w: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sz w:val="21"/>
                      <w:highlight w:val="none"/>
                    </w:rPr>
                  </w:pPr>
                  <w:r>
                    <w:rPr>
                      <w:rFonts w:hint="eastAsia"/>
                      <w:color w:val="auto"/>
                      <w:sz w:val="21"/>
                      <w:highlight w:val="none"/>
                    </w:rPr>
                    <w:t>废水</w:t>
                  </w:r>
                </w:p>
              </w:tc>
              <w:tc>
                <w:tcPr>
                  <w:tcW w:w="674" w:type="pct"/>
                  <w:vMerge w:val="restar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生活污水</w:t>
                  </w:r>
                </w:p>
              </w:tc>
              <w:tc>
                <w:tcPr>
                  <w:tcW w:w="730" w:type="pct"/>
                  <w:tcBorders>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废水量</w:t>
                  </w:r>
                </w:p>
              </w:tc>
              <w:tc>
                <w:tcPr>
                  <w:tcW w:w="832" w:type="pct"/>
                  <w:tcBorders>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240</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w:t>
                  </w:r>
                </w:p>
              </w:tc>
              <w:tc>
                <w:tcPr>
                  <w:tcW w:w="1644"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sz w:val="21"/>
                      <w:highlight w:val="none"/>
                    </w:rPr>
                  </w:pPr>
                  <w:r>
                    <w:rPr>
                      <w:rFonts w:hint="default"/>
                      <w:color w:val="auto"/>
                      <w:sz w:val="21"/>
                      <w:highlight w:val="none"/>
                    </w:rPr>
                    <w:t>生活污水经三级化粪池预处理后纳入杨侨镇生活污水处理厂</w:t>
                  </w:r>
                  <w:r>
                    <w:rPr>
                      <w:rFonts w:hint="default" w:ascii="Times New Roman" w:hAnsi="Times New Roman" w:eastAsia="宋体" w:cs="Times New Roman"/>
                      <w:color w:val="auto"/>
                      <w:sz w:val="21"/>
                      <w:highlight w:val="none"/>
                    </w:rPr>
                    <w:t>，CODcr和NH</w:t>
                  </w:r>
                  <w:r>
                    <w:rPr>
                      <w:rFonts w:hint="default" w:ascii="Times New Roman" w:hAnsi="Times New Roman" w:eastAsia="宋体" w:cs="Times New Roman"/>
                      <w:color w:val="auto"/>
                      <w:sz w:val="21"/>
                      <w:highlight w:val="none"/>
                      <w:vertAlign w:val="subscript"/>
                    </w:rPr>
                    <w:t>3</w:t>
                  </w:r>
                  <w:r>
                    <w:rPr>
                      <w:rFonts w:hint="default" w:ascii="Times New Roman" w:hAnsi="Times New Roman" w:eastAsia="宋体" w:cs="Times New Roman"/>
                      <w:color w:val="auto"/>
                      <w:sz w:val="21"/>
                      <w:highlight w:val="none"/>
                    </w:rPr>
                    <w:t>-N总量指标由杨侨镇生活污水处理厂分配总量指标中核减，不另占总量指标</w:t>
                  </w:r>
                  <w:r>
                    <w:rPr>
                      <w:rFonts w:hint="eastAsia" w:ascii="Times New Roman" w:hAnsi="Times New Roman" w:eastAsia="宋体" w:cs="Times New Roman"/>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COD</w:t>
                  </w:r>
                  <w:r>
                    <w:rPr>
                      <w:rFonts w:hint="eastAsia"/>
                      <w:color w:val="auto"/>
                      <w:sz w:val="21"/>
                      <w:highlight w:val="none"/>
                      <w:vertAlign w:val="subscript"/>
                    </w:rPr>
                    <w:t>Cr</w:t>
                  </w:r>
                </w:p>
              </w:tc>
              <w:tc>
                <w:tcPr>
                  <w:tcW w:w="832" w:type="pc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0.0096</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40</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NH</w:t>
                  </w:r>
                  <w:r>
                    <w:rPr>
                      <w:rFonts w:hint="eastAsia"/>
                      <w:color w:val="auto"/>
                      <w:sz w:val="21"/>
                      <w:highlight w:val="none"/>
                      <w:vertAlign w:val="subscript"/>
                    </w:rPr>
                    <w:t>3</w:t>
                  </w:r>
                  <w:r>
                    <w:rPr>
                      <w:rFonts w:hint="eastAsia"/>
                      <w:color w:val="auto"/>
                      <w:sz w:val="21"/>
                      <w:highlight w:val="none"/>
                    </w:rPr>
                    <w:t>-N</w:t>
                  </w:r>
                </w:p>
              </w:tc>
              <w:tc>
                <w:tcPr>
                  <w:tcW w:w="832" w:type="pct"/>
                  <w:tcBorders>
                    <w:top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0.0012</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5</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restart"/>
                  <w:vAlign w:val="center"/>
                </w:tcPr>
                <w:p>
                  <w:pPr>
                    <w:keepNext w:val="0"/>
                    <w:keepLines w:val="0"/>
                    <w:suppressLineNumbers w:val="0"/>
                    <w:adjustRightInd w:val="0"/>
                    <w:snapToGrid w:val="0"/>
                    <w:spacing w:before="0" w:beforeAutospacing="0" w:after="0" w:afterAutospacing="0" w:line="240" w:lineRule="auto"/>
                    <w:ind w:left="0" w:leftChars="0" w:right="0" w:firstLine="0" w:firstLineChars="0"/>
                    <w:jc w:val="both"/>
                    <w:rPr>
                      <w:rFonts w:hint="eastAsia" w:eastAsia="宋体"/>
                      <w:color w:val="auto"/>
                      <w:sz w:val="21"/>
                      <w:highlight w:val="none"/>
                      <w:lang w:val="en-US" w:eastAsia="zh-CN"/>
                    </w:rPr>
                  </w:pPr>
                  <w:r>
                    <w:rPr>
                      <w:rFonts w:hint="eastAsia"/>
                      <w:color w:val="auto"/>
                      <w:sz w:val="21"/>
                      <w:highlight w:val="none"/>
                      <w:lang w:val="en-US" w:eastAsia="zh-CN"/>
                    </w:rPr>
                    <w:t>废气</w:t>
                  </w:r>
                </w:p>
              </w:tc>
              <w:tc>
                <w:tcPr>
                  <w:tcW w:w="674" w:type="pct"/>
                  <w:vMerge w:val="restar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锡及其化合物</w:t>
                  </w: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有组织</w:t>
                  </w:r>
                </w:p>
              </w:tc>
              <w:tc>
                <w:tcPr>
                  <w:tcW w:w="832" w:type="pct"/>
                  <w:tcBorders>
                    <w:top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color w:val="auto"/>
                      <w:sz w:val="21"/>
                      <w:highlight w:val="none"/>
                    </w:rPr>
                  </w:pPr>
                  <w:r>
                    <w:rPr>
                      <w:rFonts w:hint="eastAsia"/>
                      <w:bCs/>
                      <w:color w:val="auto"/>
                      <w:sz w:val="21"/>
                      <w:highlight w:val="none"/>
                      <w:lang w:val="en-US" w:eastAsia="zh-CN"/>
                    </w:rPr>
                    <w:t>0.001</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8.5</w:t>
                  </w:r>
                </w:p>
              </w:tc>
              <w:tc>
                <w:tcPr>
                  <w:tcW w:w="1644"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sz w:val="21"/>
                      <w:highlight w:val="none"/>
                    </w:rPr>
                  </w:pPr>
                  <w:r>
                    <w:rPr>
                      <w:rFonts w:hint="eastAsia"/>
                      <w:color w:val="auto"/>
                      <w:sz w:val="21"/>
                      <w:highlight w:val="none"/>
                    </w:rPr>
                    <w:t>锡及其化合物无需申请总量。</w:t>
                  </w: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无组织</w:t>
                  </w:r>
                </w:p>
              </w:tc>
              <w:tc>
                <w:tcPr>
                  <w:tcW w:w="832" w:type="pct"/>
                  <w:tcBorders>
                    <w:top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color w:val="auto"/>
                      <w:sz w:val="21"/>
                      <w:highlight w:val="none"/>
                    </w:rPr>
                  </w:pPr>
                  <w:r>
                    <w:rPr>
                      <w:rFonts w:hint="eastAsia"/>
                      <w:bCs/>
                      <w:color w:val="auto"/>
                      <w:sz w:val="21"/>
                      <w:highlight w:val="none"/>
                      <w:lang w:val="en-US" w:eastAsia="zh-CN"/>
                    </w:rPr>
                    <w:t>0.001</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0.24</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合计</w:t>
                  </w:r>
                </w:p>
              </w:tc>
              <w:tc>
                <w:tcPr>
                  <w:tcW w:w="832" w:type="pc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0.002</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restar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b/>
                      <w:bCs/>
                      <w:color w:val="auto"/>
                      <w:sz w:val="21"/>
                      <w:highlight w:val="none"/>
                      <w:lang w:val="en-US" w:eastAsia="zh-CN"/>
                    </w:rPr>
                  </w:pPr>
                  <w:r>
                    <w:rPr>
                      <w:rFonts w:hint="eastAsia"/>
                      <w:b w:val="0"/>
                      <w:bCs w:val="0"/>
                      <w:color w:val="auto"/>
                      <w:sz w:val="21"/>
                      <w:highlight w:val="none"/>
                      <w:lang w:val="en-US" w:eastAsia="zh-CN"/>
                    </w:rPr>
                    <w:t>VOCs</w:t>
                  </w: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有组织</w:t>
                  </w:r>
                </w:p>
              </w:tc>
              <w:tc>
                <w:tcPr>
                  <w:tcW w:w="832" w:type="pct"/>
                  <w:tcBorders>
                    <w:top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bCs/>
                      <w:color w:val="auto"/>
                      <w:sz w:val="21"/>
                      <w:highlight w:val="none"/>
                      <w:lang w:val="en-US"/>
                    </w:rPr>
                  </w:pPr>
                  <w:r>
                    <w:rPr>
                      <w:rFonts w:hint="eastAsia"/>
                      <w:bCs/>
                      <w:color w:val="auto"/>
                      <w:sz w:val="21"/>
                      <w:highlight w:val="none"/>
                      <w:lang w:val="en-US" w:eastAsia="zh-CN"/>
                    </w:rPr>
                    <w:t>0.548</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lang w:val="en-US" w:eastAsia="zh-CN"/>
                    </w:rPr>
                    <w:t>8</w:t>
                  </w:r>
                  <w:r>
                    <w:rPr>
                      <w:rFonts w:hint="eastAsia"/>
                      <w:color w:val="auto"/>
                      <w:sz w:val="21"/>
                      <w:highlight w:val="none"/>
                    </w:rPr>
                    <w:t>0</w:t>
                  </w:r>
                </w:p>
              </w:tc>
              <w:tc>
                <w:tcPr>
                  <w:tcW w:w="1644"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sz w:val="21"/>
                      <w:highlight w:val="none"/>
                    </w:rPr>
                  </w:pPr>
                  <w:r>
                    <w:rPr>
                      <w:rFonts w:hint="eastAsia"/>
                      <w:b w:val="0"/>
                      <w:bCs w:val="0"/>
                      <w:color w:val="auto"/>
                      <w:sz w:val="21"/>
                      <w:highlight w:val="none"/>
                      <w:lang w:val="en-US" w:eastAsia="zh-CN"/>
                    </w:rPr>
                    <w:t>VOCs包含非甲烷总烃，</w:t>
                  </w:r>
                  <w:r>
                    <w:rPr>
                      <w:rFonts w:hint="eastAsia"/>
                      <w:color w:val="auto"/>
                      <w:sz w:val="21"/>
                      <w:highlight w:val="none"/>
                    </w:rPr>
                    <w:t>由惠州市生态环境局博罗分局调配</w:t>
                  </w: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无组织</w:t>
                  </w:r>
                </w:p>
              </w:tc>
              <w:tc>
                <w:tcPr>
                  <w:tcW w:w="832" w:type="pct"/>
                  <w:tcBorders>
                    <w:top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240" w:lineRule="auto"/>
                    <w:ind w:left="0" w:leftChars="0" w:right="0" w:rightChars="0" w:firstLine="0" w:firstLineChars="0"/>
                    <w:jc w:val="center"/>
                    <w:rPr>
                      <w:rFonts w:hint="default"/>
                      <w:bCs/>
                      <w:color w:val="auto"/>
                      <w:sz w:val="21"/>
                      <w:highlight w:val="none"/>
                      <w:lang w:val="en-US"/>
                    </w:rPr>
                  </w:pPr>
                  <w:r>
                    <w:rPr>
                      <w:rFonts w:hint="eastAsia"/>
                      <w:bCs/>
                      <w:color w:val="auto"/>
                      <w:sz w:val="21"/>
                      <w:highlight w:val="none"/>
                      <w:lang w:val="en-US" w:eastAsia="zh-CN"/>
                    </w:rPr>
                    <w:t>0.548</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4.0</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39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674" w:type="pct"/>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c>
                <w:tcPr>
                  <w:tcW w:w="730" w:type="pct"/>
                  <w:tcBorders>
                    <w:top w:val="single" w:color="auto" w:sz="4" w:space="0"/>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合计</w:t>
                  </w:r>
                </w:p>
              </w:tc>
              <w:tc>
                <w:tcPr>
                  <w:tcW w:w="832" w:type="pct"/>
                  <w:tcBorders>
                    <w:top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1.096</w:t>
                  </w:r>
                </w:p>
              </w:tc>
              <w:tc>
                <w:tcPr>
                  <w:tcW w:w="7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w:t>
                  </w:r>
                </w:p>
              </w:tc>
              <w:tc>
                <w:tcPr>
                  <w:tcW w:w="1644"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420"/>
                    <w:jc w:val="center"/>
                    <w:rPr>
                      <w:rFonts w:hint="default"/>
                      <w:color w:val="auto"/>
                      <w:sz w:val="21"/>
                      <w:highlight w:val="none"/>
                    </w:rPr>
                  </w:pPr>
                </w:p>
              </w:tc>
            </w:tr>
          </w:tbl>
          <w:p>
            <w:pPr>
              <w:pStyle w:val="123"/>
              <w:keepNext w:val="0"/>
              <w:keepLines w:val="0"/>
              <w:suppressLineNumbers w:val="0"/>
              <w:spacing w:before="0" w:beforeAutospacing="0" w:after="0" w:afterAutospacing="0" w:line="360" w:lineRule="auto"/>
              <w:ind w:left="0" w:right="0" w:firstLine="560"/>
              <w:jc w:val="center"/>
              <w:rPr>
                <w:rFonts w:hint="default"/>
                <w:color w:val="auto"/>
                <w:highlight w:val="none"/>
              </w:rPr>
            </w:pPr>
          </w:p>
          <w:p>
            <w:pPr>
              <w:pStyle w:val="123"/>
              <w:keepNext w:val="0"/>
              <w:keepLines w:val="0"/>
              <w:suppressLineNumbers w:val="0"/>
              <w:spacing w:before="0" w:beforeAutospacing="0" w:after="0" w:afterAutospacing="0" w:line="360" w:lineRule="auto"/>
              <w:ind w:left="0" w:right="0" w:firstLine="560"/>
              <w:jc w:val="center"/>
              <w:rPr>
                <w:rFonts w:hint="default"/>
                <w:color w:val="auto"/>
                <w:highlight w:val="none"/>
              </w:rPr>
            </w:pPr>
          </w:p>
          <w:p>
            <w:pPr>
              <w:pStyle w:val="50"/>
              <w:keepNext w:val="0"/>
              <w:keepLines w:val="0"/>
              <w:suppressLineNumbers w:val="0"/>
              <w:spacing w:before="0" w:beforeAutospacing="0" w:after="0" w:afterAutospacing="0" w:line="360" w:lineRule="auto"/>
              <w:ind w:right="0" w:firstLine="360" w:firstLineChars="200"/>
              <w:jc w:val="both"/>
              <w:rPr>
                <w:rFonts w:hint="default" w:ascii="Times New Roman" w:hAnsi="Times New Roman" w:cs="Times New Roman"/>
                <w:color w:val="auto"/>
                <w:highlight w:val="none"/>
              </w:rPr>
            </w:pPr>
          </w:p>
        </w:tc>
      </w:tr>
    </w:tbl>
    <w:p>
      <w:pPr>
        <w:pStyle w:val="67"/>
        <w:rPr>
          <w:rFonts w:ascii="Times New Roman" w:hAnsi="Times New Roman"/>
          <w:snapToGrid w:val="0"/>
          <w:color w:val="auto"/>
          <w:highlight w:val="none"/>
        </w:rPr>
        <w:sectPr>
          <w:footerReference r:id="rId14" w:type="default"/>
          <w:pgSz w:w="11906" w:h="16838"/>
          <w:pgMar w:top="1417" w:right="1417" w:bottom="1417" w:left="1417" w:header="851" w:footer="992" w:gutter="0"/>
          <w:cols w:space="720" w:num="1"/>
          <w:formProt w:val="0"/>
          <w:docGrid w:type="lines" w:linePitch="312" w:charSpace="0"/>
        </w:sectPr>
      </w:pPr>
    </w:p>
    <w:p>
      <w:pPr>
        <w:widowControl/>
        <w:spacing w:before="100" w:beforeAutospacing="1" w:after="100" w:afterAutospacing="1"/>
        <w:ind w:firstLine="600"/>
        <w:jc w:val="center"/>
        <w:outlineLvl w:val="0"/>
        <w:rPr>
          <w:rFonts w:eastAsia="黑体"/>
          <w:snapToGrid w:val="0"/>
          <w:color w:val="auto"/>
          <w:sz w:val="30"/>
          <w:szCs w:val="30"/>
          <w:highlight w:val="none"/>
        </w:rPr>
      </w:pPr>
      <w:r>
        <w:rPr>
          <w:rFonts w:eastAsia="黑体"/>
          <w:snapToGrid w:val="0"/>
          <w:color w:val="auto"/>
          <w:sz w:val="30"/>
          <w:szCs w:val="30"/>
          <w:highlight w:val="none"/>
        </w:rPr>
        <w:t>四、主要环境影响和保护措施</w:t>
      </w:r>
    </w:p>
    <w:tbl>
      <w:tblPr>
        <w:tblStyle w:val="35"/>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9"/>
        <w:gridCol w:w="81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809" w:type="dxa"/>
            <w:tcMar>
              <w:left w:w="28" w:type="dxa"/>
              <w:right w:w="28" w:type="dxa"/>
            </w:tcMar>
            <w:vAlign w:val="center"/>
          </w:tcPr>
          <w:p>
            <w:pPr>
              <w:keepNext w:val="0"/>
              <w:keepLines w:val="0"/>
              <w:widowControl/>
              <w:suppressLineNumbers w:val="0"/>
              <w:adjustRightInd w:val="0"/>
              <w:snapToGrid w:val="0"/>
              <w:spacing w:before="0" w:beforeAutospacing="0" w:after="0" w:afterAutospacing="0"/>
              <w:ind w:left="0" w:right="0" w:firstLine="0" w:firstLineChars="0"/>
              <w:jc w:val="both"/>
              <w:rPr>
                <w:rFonts w:hint="default"/>
                <w:bCs/>
                <w:color w:val="auto"/>
                <w:kern w:val="2"/>
                <w:sz w:val="21"/>
                <w:highlight w:val="none"/>
              </w:rPr>
            </w:pPr>
            <w:r>
              <w:rPr>
                <w:rFonts w:hint="default"/>
                <w:color w:val="auto"/>
                <w:kern w:val="2"/>
                <w:sz w:val="21"/>
                <w:highlight w:val="none"/>
              </w:rPr>
              <w:t>施工期环境保护措施</w:t>
            </w:r>
          </w:p>
        </w:tc>
        <w:tc>
          <w:tcPr>
            <w:tcW w:w="8172" w:type="dxa"/>
            <w:vAlign w:val="center"/>
          </w:tcPr>
          <w:p>
            <w:pPr>
              <w:keepNext w:val="0"/>
              <w:keepLines w:val="0"/>
              <w:suppressLineNumbers w:val="0"/>
              <w:adjustRightInd w:val="0"/>
              <w:snapToGrid w:val="0"/>
              <w:spacing w:before="120" w:beforeLines="50" w:beforeAutospacing="0" w:after="0" w:afterAutospacing="0" w:line="360" w:lineRule="auto"/>
              <w:ind w:left="0" w:right="0" w:firstLine="480"/>
              <w:jc w:val="both"/>
              <w:rPr>
                <w:rFonts w:hint="default"/>
                <w:bCs/>
                <w:color w:val="auto"/>
                <w:spacing w:val="-10"/>
                <w:kern w:val="2"/>
                <w:sz w:val="21"/>
                <w:highlight w:val="none"/>
              </w:rPr>
            </w:pPr>
            <w:r>
              <w:rPr>
                <w:rFonts w:hint="default"/>
                <w:color w:val="auto"/>
                <w:kern w:val="2"/>
                <w:sz w:val="24"/>
                <w:szCs w:val="28"/>
                <w:highlight w:val="none"/>
              </w:rPr>
              <w:t>本项目用已建成的厂房进行建设，项目施工期对环境造成的影响主要为设备进厂安装产生的噪声及垃圾。设备安装工期短影响较小，应合理安排施工时间，避免噪声扰民；施工期产生的垃圾应及时清运。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tcMar>
              <w:left w:w="28" w:type="dxa"/>
              <w:right w:w="28" w:type="dxa"/>
            </w:tcMar>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bCs/>
                <w:color w:val="auto"/>
                <w:kern w:val="2"/>
                <w:sz w:val="21"/>
                <w:highlight w:val="none"/>
              </w:rPr>
              <w:t>运营期环境影响和保护</w:t>
            </w:r>
            <w:r>
              <w:rPr>
                <w:rFonts w:hint="default"/>
                <w:bCs/>
                <w:color w:val="auto"/>
                <w:sz w:val="21"/>
                <w:highlight w:val="none"/>
              </w:rPr>
              <w:t>措施</w:t>
            </w:r>
          </w:p>
        </w:tc>
        <w:tc>
          <w:tcPr>
            <w:tcW w:w="8172" w:type="dxa"/>
            <w:vAlign w:val="center"/>
          </w:tcPr>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一、废气</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2"/>
              <w:jc w:val="both"/>
              <w:textAlignment w:val="auto"/>
              <w:rPr>
                <w:rFonts w:hint="default"/>
                <w:b/>
                <w:bCs/>
                <w:color w:val="auto"/>
                <w:sz w:val="24"/>
                <w:szCs w:val="20"/>
                <w:highlight w:val="none"/>
              </w:rPr>
            </w:pPr>
            <w:r>
              <w:rPr>
                <w:rFonts w:hint="default"/>
                <w:b/>
                <w:bCs/>
                <w:color w:val="auto"/>
                <w:sz w:val="24"/>
                <w:szCs w:val="20"/>
                <w:highlight w:val="none"/>
              </w:rPr>
              <w:t xml:space="preserve">1、废气源强 </w:t>
            </w:r>
          </w:p>
          <w:p>
            <w:pPr>
              <w:pStyle w:val="2"/>
              <w:keepNext w:val="0"/>
              <w:keepLines w:val="0"/>
              <w:pageBreakBefore w:val="0"/>
              <w:suppressLineNumbers w:val="0"/>
              <w:kinsoku/>
              <w:wordWrap/>
              <w:overflowPunct/>
              <w:topLinePunct w:val="0"/>
              <w:bidi w:val="0"/>
              <w:spacing w:before="0" w:beforeAutospacing="0" w:after="0" w:afterAutospacing="0" w:line="360" w:lineRule="auto"/>
              <w:ind w:left="0" w:right="0" w:firstLine="482"/>
              <w:textAlignment w:val="auto"/>
              <w:rPr>
                <w:rFonts w:hint="default" w:ascii="Times New Roman" w:cs="Times New Roman"/>
                <w:b/>
                <w:bCs/>
                <w:color w:val="auto"/>
                <w:highlight w:val="none"/>
              </w:rPr>
            </w:pPr>
            <w:r>
              <w:rPr>
                <w:rFonts w:hint="default" w:ascii="Times New Roman" w:cs="Times New Roman"/>
                <w:b/>
                <w:bCs/>
                <w:color w:val="auto"/>
                <w:highlight w:val="none"/>
              </w:rPr>
              <w:t>（1）退火工序（</w:t>
            </w:r>
            <w:r>
              <w:rPr>
                <w:rFonts w:hint="eastAsia" w:ascii="Times New Roman" w:cs="Times New Roman"/>
                <w:b/>
                <w:bCs/>
                <w:color w:val="auto"/>
                <w:highlight w:val="none"/>
                <w:lang w:val="en-US" w:eastAsia="zh-CN"/>
              </w:rPr>
              <w:t>非甲烷总烃</w:t>
            </w:r>
            <w:r>
              <w:rPr>
                <w:rFonts w:hint="default" w:ascii="Times New Roman" w:cs="Times New Roman"/>
                <w:b/>
                <w:bCs/>
                <w:color w:val="auto"/>
                <w:highlight w:val="none"/>
              </w:rPr>
              <w:t>）</w:t>
            </w:r>
          </w:p>
          <w:p>
            <w:pPr>
              <w:pStyle w:val="1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cs="Times New Roman" w:eastAsiaTheme="minorEastAsia"/>
                <w:bCs/>
                <w:color w:val="auto"/>
                <w:kern w:val="2"/>
                <w:sz w:val="24"/>
                <w:szCs w:val="24"/>
                <w:highlight w:val="none"/>
                <w:lang w:val="en-US" w:eastAsia="zh-CN" w:bidi="ar-SA"/>
              </w:rPr>
            </w:pPr>
            <w:r>
              <w:rPr>
                <w:rFonts w:hint="default" w:ascii="Times New Roman" w:hAnsi="Times New Roman" w:cs="Times New Roman" w:eastAsiaTheme="minorEastAsia"/>
                <w:bCs/>
                <w:color w:val="auto"/>
                <w:kern w:val="2"/>
                <w:sz w:val="24"/>
                <w:szCs w:val="24"/>
                <w:highlight w:val="none"/>
                <w:lang w:val="en-US" w:eastAsia="zh-CN" w:bidi="ar-SA"/>
              </w:rPr>
              <w:t>项目粗铜线在拉丝后表面会残留少量拉丝液（由拉丝油和水混合而成）</w:t>
            </w:r>
            <w:r>
              <w:rPr>
                <w:rFonts w:hint="eastAsia" w:ascii="Times New Roman" w:hAnsi="Times New Roman" w:cs="Times New Roman" w:eastAsiaTheme="minorEastAsia"/>
                <w:bCs/>
                <w:color w:val="auto"/>
                <w:kern w:val="2"/>
                <w:sz w:val="24"/>
                <w:szCs w:val="24"/>
                <w:highlight w:val="none"/>
                <w:lang w:val="en-US" w:eastAsia="zh-CN" w:bidi="ar-SA"/>
              </w:rPr>
              <w:t>，</w:t>
            </w:r>
            <w:r>
              <w:rPr>
                <w:rFonts w:hint="default" w:ascii="Times New Roman" w:hAnsi="Times New Roman" w:cs="Times New Roman" w:eastAsiaTheme="minorEastAsia"/>
                <w:bCs/>
                <w:color w:val="auto"/>
                <w:kern w:val="2"/>
                <w:sz w:val="24"/>
                <w:szCs w:val="24"/>
                <w:highlight w:val="none"/>
                <w:lang w:val="en-US" w:eastAsia="zh-CN" w:bidi="ar-SA"/>
              </w:rPr>
              <w:t>在退火过程中，拉丝液中的拉丝油会随高温而挥发</w:t>
            </w:r>
            <w:r>
              <w:rPr>
                <w:rFonts w:hint="eastAsia" w:ascii="Times New Roman" w:hAnsi="Times New Roman" w:cs="Times New Roman" w:eastAsiaTheme="minorEastAsia"/>
                <w:bCs/>
                <w:color w:val="auto"/>
                <w:kern w:val="2"/>
                <w:sz w:val="24"/>
                <w:szCs w:val="24"/>
                <w:highlight w:val="none"/>
                <w:lang w:val="en-US" w:eastAsia="zh-CN" w:bidi="ar-SA"/>
              </w:rPr>
              <w:t>。高温铜线经过含抗氧化剂的冷却水直接冷却过程中抗氧化剂因高温挥发产生有机废气</w:t>
            </w:r>
            <w:r>
              <w:rPr>
                <w:rFonts w:hint="default" w:ascii="Times New Roman" w:hAnsi="Times New Roman" w:cs="Times New Roman" w:eastAsiaTheme="minorEastAsia"/>
                <w:bCs/>
                <w:color w:val="auto"/>
                <w:kern w:val="2"/>
                <w:sz w:val="24"/>
                <w:szCs w:val="24"/>
                <w:highlight w:val="none"/>
                <w:lang w:val="en-US" w:eastAsia="zh-CN" w:bidi="ar-SA"/>
              </w:rPr>
              <w:t>，主要为</w:t>
            </w:r>
            <w:r>
              <w:rPr>
                <w:rFonts w:hint="eastAsia" w:ascii="Times New Roman" w:hAnsi="Times New Roman" w:cs="Times New Roman" w:eastAsiaTheme="minorEastAsia"/>
                <w:bCs/>
                <w:color w:val="auto"/>
                <w:kern w:val="2"/>
                <w:sz w:val="24"/>
                <w:szCs w:val="24"/>
                <w:highlight w:val="none"/>
                <w:lang w:val="en-US" w:eastAsia="zh-CN" w:bidi="ar-SA"/>
              </w:rPr>
              <w:t>非甲烷总烃</w:t>
            </w:r>
            <w:r>
              <w:rPr>
                <w:rFonts w:hint="default" w:ascii="Times New Roman" w:hAnsi="Times New Roman" w:cs="Times New Roman" w:eastAsiaTheme="minorEastAsia"/>
                <w:bCs/>
                <w:color w:val="auto"/>
                <w:kern w:val="2"/>
                <w:sz w:val="24"/>
                <w:szCs w:val="24"/>
                <w:highlight w:val="none"/>
                <w:lang w:val="en-US" w:eastAsia="zh-CN" w:bidi="ar-SA"/>
              </w:rPr>
              <w:t>。</w:t>
            </w:r>
          </w:p>
          <w:p>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jc w:val="both"/>
              <w:textAlignment w:val="auto"/>
              <w:rPr>
                <w:rFonts w:hint="default" w:eastAsiaTheme="minorEastAsia"/>
                <w:bCs/>
                <w:color w:val="auto"/>
                <w:kern w:val="2"/>
                <w:sz w:val="24"/>
                <w:szCs w:val="24"/>
                <w:highlight w:val="none"/>
              </w:rPr>
            </w:pPr>
            <w:r>
              <w:rPr>
                <w:rFonts w:hint="eastAsia" w:eastAsiaTheme="minorEastAsia"/>
                <w:bCs/>
                <w:color w:val="auto"/>
                <w:kern w:val="2"/>
                <w:sz w:val="24"/>
                <w:szCs w:val="24"/>
                <w:highlight w:val="none"/>
              </w:rPr>
              <w:t>参照《排放源统计调查产排污核算方法和系数手册》（生态环境部公告2021年第24号）中“33-37，431-434机械行业系数手册—07机械加工—工段名称：机械加工—产品名称：湿式机加工件—原料名称：切削液—工艺名称：车床加工、铣床加工、刨床加工、磨床加工、镗床加工、钳床加工、钻床加工、加工中心加工、数控中心加工—规模等级：所有规模”中挥发性有机物的产污系数为5.64kg/t原料</w:t>
            </w:r>
            <w:r>
              <w:rPr>
                <w:rFonts w:hint="eastAsia" w:eastAsiaTheme="minorEastAsia"/>
                <w:bCs/>
                <w:color w:val="auto"/>
                <w:kern w:val="2"/>
                <w:sz w:val="24"/>
                <w:szCs w:val="24"/>
                <w:highlight w:val="none"/>
                <w:lang w:eastAsia="zh-CN"/>
              </w:rPr>
              <w:t>。</w:t>
            </w:r>
            <w:r>
              <w:rPr>
                <w:rFonts w:hint="eastAsia" w:eastAsiaTheme="minorEastAsia"/>
                <w:bCs/>
                <w:color w:val="auto"/>
                <w:kern w:val="2"/>
                <w:sz w:val="24"/>
                <w:szCs w:val="24"/>
                <w:highlight w:val="none"/>
                <w:lang w:val="en-US" w:eastAsia="zh-CN"/>
              </w:rPr>
              <w:t>项目</w:t>
            </w:r>
            <w:r>
              <w:rPr>
                <w:rFonts w:hint="eastAsia" w:eastAsiaTheme="minorEastAsia"/>
                <w:bCs/>
                <w:color w:val="auto"/>
                <w:kern w:val="2"/>
                <w:sz w:val="24"/>
                <w:szCs w:val="24"/>
                <w:highlight w:val="none"/>
              </w:rPr>
              <w:t>拉丝油用量3.8t，</w:t>
            </w:r>
            <w:r>
              <w:rPr>
                <w:rFonts w:hint="eastAsia" w:eastAsiaTheme="minorEastAsia"/>
                <w:bCs/>
                <w:color w:val="auto"/>
                <w:kern w:val="2"/>
                <w:sz w:val="24"/>
                <w:szCs w:val="24"/>
                <w:highlight w:val="none"/>
                <w:lang w:val="en-US" w:eastAsia="zh-CN"/>
              </w:rPr>
              <w:t>抗氧化剂用量0.025t，</w:t>
            </w:r>
            <w:r>
              <w:rPr>
                <w:rFonts w:hint="eastAsia" w:eastAsiaTheme="minorEastAsia"/>
                <w:bCs/>
                <w:color w:val="auto"/>
                <w:kern w:val="2"/>
                <w:sz w:val="24"/>
                <w:szCs w:val="24"/>
                <w:highlight w:val="none"/>
              </w:rPr>
              <w:t>则</w:t>
            </w:r>
            <w:r>
              <w:rPr>
                <w:rFonts w:hint="eastAsia" w:eastAsiaTheme="minorEastAsia"/>
                <w:bCs/>
                <w:color w:val="auto"/>
                <w:kern w:val="2"/>
                <w:sz w:val="24"/>
                <w:szCs w:val="24"/>
                <w:highlight w:val="none"/>
                <w:lang w:val="en-US" w:eastAsia="zh-CN"/>
              </w:rPr>
              <w:t>非甲烷总烃</w:t>
            </w:r>
            <w:r>
              <w:rPr>
                <w:rFonts w:hint="eastAsia" w:eastAsiaTheme="minorEastAsia"/>
                <w:bCs/>
                <w:color w:val="auto"/>
                <w:kern w:val="2"/>
                <w:sz w:val="24"/>
                <w:szCs w:val="24"/>
                <w:highlight w:val="none"/>
              </w:rPr>
              <w:t>产生量为</w:t>
            </w:r>
            <w:r>
              <w:rPr>
                <w:rFonts w:hint="eastAsia" w:eastAsiaTheme="minorEastAsia"/>
                <w:bCs/>
                <w:color w:val="auto"/>
                <w:kern w:val="2"/>
                <w:sz w:val="24"/>
                <w:szCs w:val="24"/>
                <w:highlight w:val="none"/>
                <w:lang w:val="en-US" w:eastAsia="zh-CN"/>
              </w:rPr>
              <w:t>0.0216</w:t>
            </w:r>
            <w:r>
              <w:rPr>
                <w:rFonts w:hint="eastAsia" w:eastAsiaTheme="minorEastAsia"/>
                <w:bCs/>
                <w:color w:val="auto"/>
                <w:kern w:val="2"/>
                <w:sz w:val="24"/>
                <w:szCs w:val="24"/>
                <w:highlight w:val="none"/>
              </w:rPr>
              <w:t>t/a。退火工序年运行6600h，产生速率为</w:t>
            </w:r>
            <w:r>
              <w:rPr>
                <w:rFonts w:hint="eastAsia" w:eastAsiaTheme="minorEastAsia"/>
                <w:bCs/>
                <w:color w:val="auto"/>
                <w:kern w:val="2"/>
                <w:sz w:val="24"/>
                <w:szCs w:val="24"/>
                <w:highlight w:val="none"/>
                <w:lang w:val="en-US" w:eastAsia="zh-CN"/>
              </w:rPr>
              <w:t>0.0033</w:t>
            </w:r>
            <w:r>
              <w:rPr>
                <w:rFonts w:hint="eastAsia" w:eastAsiaTheme="minorEastAsia"/>
                <w:bCs/>
                <w:color w:val="auto"/>
                <w:kern w:val="2"/>
                <w:sz w:val="24"/>
                <w:szCs w:val="24"/>
                <w:highlight w:val="none"/>
              </w:rPr>
              <w:t>kg/h。</w:t>
            </w:r>
          </w:p>
          <w:p>
            <w:pPr>
              <w:pStyle w:val="16"/>
              <w:keepNext w:val="0"/>
              <w:keepLines w:val="0"/>
              <w:pageBreakBefore w:val="0"/>
              <w:suppressLineNumbers w:val="0"/>
              <w:kinsoku/>
              <w:wordWrap/>
              <w:overflowPunct/>
              <w:topLinePunct w:val="0"/>
              <w:bidi w:val="0"/>
              <w:spacing w:before="0" w:beforeAutospacing="0" w:after="0" w:afterAutospacing="0" w:line="360" w:lineRule="auto"/>
              <w:ind w:left="0" w:right="0" w:firstLine="482"/>
              <w:textAlignment w:val="auto"/>
              <w:rPr>
                <w:rFonts w:hint="default"/>
                <w:b/>
                <w:bCs/>
                <w:color w:val="auto"/>
                <w:kern w:val="2"/>
                <w:sz w:val="24"/>
                <w:szCs w:val="24"/>
                <w:highlight w:val="none"/>
              </w:rPr>
            </w:pPr>
            <w:r>
              <w:rPr>
                <w:rFonts w:hint="default"/>
                <w:b/>
                <w:bCs/>
                <w:color w:val="auto"/>
                <w:kern w:val="2"/>
                <w:sz w:val="24"/>
                <w:szCs w:val="24"/>
                <w:highlight w:val="none"/>
              </w:rPr>
              <w:t>（2）</w:t>
            </w:r>
            <w:r>
              <w:rPr>
                <w:rFonts w:hint="eastAsia"/>
                <w:b/>
                <w:bCs/>
                <w:color w:val="auto"/>
                <w:kern w:val="2"/>
                <w:sz w:val="24"/>
                <w:szCs w:val="24"/>
                <w:highlight w:val="none"/>
              </w:rPr>
              <w:t>热浸锡</w:t>
            </w:r>
            <w:r>
              <w:rPr>
                <w:rFonts w:hint="default"/>
                <w:b/>
                <w:bCs/>
                <w:color w:val="auto"/>
                <w:kern w:val="2"/>
                <w:sz w:val="24"/>
                <w:szCs w:val="24"/>
                <w:highlight w:val="none"/>
              </w:rPr>
              <w:t>工序（非甲烷总烃、锡及其化合物）</w:t>
            </w:r>
          </w:p>
          <w:p>
            <w:pPr>
              <w:pStyle w:val="2"/>
              <w:keepNext w:val="0"/>
              <w:keepLines w:val="0"/>
              <w:pageBreakBefore w:val="0"/>
              <w:suppressLineNumbers w:val="0"/>
              <w:kinsoku/>
              <w:wordWrap/>
              <w:overflowPunct/>
              <w:topLinePunct w:val="0"/>
              <w:bidi w:val="0"/>
              <w:spacing w:before="0" w:beforeAutospacing="0" w:after="0" w:afterAutospacing="0" w:line="360" w:lineRule="auto"/>
              <w:ind w:left="0" w:right="0" w:firstLine="482"/>
              <w:textAlignment w:val="auto"/>
              <w:rPr>
                <w:rFonts w:hint="default" w:ascii="Times New Roman" w:cs="Times New Roman"/>
                <w:b/>
                <w:bCs/>
                <w:color w:val="auto"/>
                <w:highlight w:val="none"/>
              </w:rPr>
            </w:pPr>
            <w:r>
              <w:rPr>
                <w:rFonts w:hint="default" w:ascii="Times New Roman" w:cs="Times New Roman"/>
                <w:b/>
                <w:bCs/>
                <w:color w:val="auto"/>
                <w:highlight w:val="none"/>
              </w:rPr>
              <w:t>1）非甲烷总烃</w:t>
            </w:r>
          </w:p>
          <w:p>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jc w:val="both"/>
              <w:textAlignment w:val="auto"/>
              <w:rPr>
                <w:rFonts w:hint="eastAsia" w:eastAsiaTheme="minorEastAsia"/>
                <w:b/>
                <w:color w:val="auto"/>
                <w:kern w:val="2"/>
                <w:sz w:val="24"/>
                <w:szCs w:val="24"/>
                <w:highlight w:val="none"/>
                <w:lang w:eastAsia="zh-CN"/>
              </w:rPr>
            </w:pPr>
            <w:r>
              <w:rPr>
                <w:rFonts w:hint="default" w:eastAsiaTheme="minorEastAsia"/>
                <w:bCs/>
                <w:color w:val="auto"/>
                <w:kern w:val="2"/>
                <w:sz w:val="24"/>
                <w:szCs w:val="24"/>
                <w:highlight w:val="none"/>
              </w:rPr>
              <w:t>项目非甲烷总烃的产生主要来自于助焊剂中的有机成分在高温下的挥发，根据对助焊剂的成分可知，助焊剂</w:t>
            </w:r>
            <w:r>
              <w:rPr>
                <w:rFonts w:hint="default"/>
                <w:color w:val="auto"/>
                <w:kern w:val="2"/>
                <w:sz w:val="24"/>
                <w:szCs w:val="24"/>
                <w:highlight w:val="none"/>
              </w:rPr>
              <w:t>挥</w:t>
            </w:r>
            <w:r>
              <w:rPr>
                <w:rFonts w:hint="default" w:ascii="Times New Roman" w:hAnsi="Times New Roman" w:cs="Times New Roman" w:eastAsiaTheme="minorEastAsia"/>
                <w:bCs/>
                <w:color w:val="auto"/>
                <w:kern w:val="2"/>
                <w:sz w:val="24"/>
                <w:szCs w:val="24"/>
                <w:highlight w:val="none"/>
                <w:lang w:val="en-US" w:eastAsia="zh-CN" w:bidi="ar-SA"/>
              </w:rPr>
              <w:t>发性组分为醇63.5%，胺12%</w:t>
            </w:r>
            <w:r>
              <w:rPr>
                <w:rFonts w:hint="eastAsia" w:ascii="Times New Roman" w:hAnsi="Times New Roman" w:cs="Times New Roman" w:eastAsiaTheme="minorEastAsia"/>
                <w:bCs/>
                <w:color w:val="auto"/>
                <w:kern w:val="2"/>
                <w:sz w:val="24"/>
                <w:szCs w:val="24"/>
                <w:highlight w:val="none"/>
                <w:lang w:val="en-US" w:eastAsia="zh-CN" w:bidi="ar-SA"/>
              </w:rPr>
              <w:t>，挥发组分共计75.5%</w:t>
            </w:r>
            <w:r>
              <w:rPr>
                <w:rFonts w:hint="default" w:ascii="Times New Roman" w:hAnsi="Times New Roman" w:cs="Times New Roman" w:eastAsiaTheme="minorEastAsia"/>
                <w:bCs/>
                <w:color w:val="auto"/>
                <w:kern w:val="2"/>
                <w:sz w:val="24"/>
                <w:szCs w:val="24"/>
                <w:highlight w:val="none"/>
                <w:lang w:val="en-US" w:eastAsia="zh-CN" w:bidi="ar-SA"/>
              </w:rPr>
              <w:t>。</w:t>
            </w:r>
            <w:r>
              <w:rPr>
                <w:rFonts w:hint="default" w:eastAsiaTheme="minorEastAsia"/>
                <w:bCs/>
                <w:color w:val="auto"/>
                <w:kern w:val="2"/>
                <w:sz w:val="24"/>
                <w:szCs w:val="24"/>
                <w:highlight w:val="none"/>
              </w:rPr>
              <w:t>项目使用助焊剂3.6t，则非甲烷总烃产生量为2.72t/a</w:t>
            </w:r>
            <w:r>
              <w:rPr>
                <w:rFonts w:hint="eastAsia" w:eastAsiaTheme="minorEastAsia"/>
                <w:bCs/>
                <w:color w:val="auto"/>
                <w:kern w:val="2"/>
                <w:sz w:val="24"/>
                <w:szCs w:val="24"/>
                <w:highlight w:val="none"/>
                <w:lang w:eastAsia="zh-CN"/>
              </w:rPr>
              <w:t>。</w:t>
            </w:r>
          </w:p>
          <w:p>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2"/>
              <w:jc w:val="both"/>
              <w:textAlignment w:val="auto"/>
              <w:rPr>
                <w:rFonts w:hint="default" w:eastAsiaTheme="minorEastAsia"/>
                <w:b/>
                <w:color w:val="auto"/>
                <w:kern w:val="2"/>
                <w:sz w:val="24"/>
                <w:szCs w:val="24"/>
                <w:highlight w:val="none"/>
              </w:rPr>
            </w:pPr>
            <w:r>
              <w:rPr>
                <w:rFonts w:hint="default" w:eastAsiaTheme="minorEastAsia"/>
                <w:b/>
                <w:color w:val="auto"/>
                <w:kern w:val="2"/>
                <w:sz w:val="24"/>
                <w:szCs w:val="24"/>
                <w:highlight w:val="none"/>
              </w:rPr>
              <w:t>2）</w:t>
            </w:r>
            <w:r>
              <w:rPr>
                <w:rFonts w:hint="eastAsia" w:eastAsiaTheme="minorEastAsia"/>
                <w:b/>
                <w:color w:val="auto"/>
                <w:kern w:val="2"/>
                <w:sz w:val="24"/>
                <w:szCs w:val="24"/>
                <w:highlight w:val="none"/>
              </w:rPr>
              <w:t>锡及其化合物</w:t>
            </w:r>
          </w:p>
          <w:p>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jc w:val="both"/>
              <w:textAlignment w:val="auto"/>
              <w:rPr>
                <w:rFonts w:hint="default" w:eastAsiaTheme="minorEastAsia"/>
                <w:bCs/>
                <w:color w:val="auto"/>
                <w:kern w:val="2"/>
                <w:sz w:val="24"/>
                <w:szCs w:val="24"/>
                <w:highlight w:val="none"/>
              </w:rPr>
            </w:pPr>
            <w:r>
              <w:rPr>
                <w:rFonts w:hint="default" w:eastAsiaTheme="minorEastAsia"/>
                <w:bCs/>
                <w:color w:val="auto"/>
                <w:kern w:val="2"/>
                <w:sz w:val="24"/>
                <w:szCs w:val="24"/>
                <w:highlight w:val="none"/>
              </w:rPr>
              <w:t>项目</w:t>
            </w:r>
            <w:r>
              <w:rPr>
                <w:rFonts w:hint="eastAsia" w:eastAsiaTheme="minorEastAsia"/>
                <w:bCs/>
                <w:color w:val="auto"/>
                <w:kern w:val="2"/>
                <w:sz w:val="24"/>
                <w:szCs w:val="24"/>
                <w:highlight w:val="none"/>
              </w:rPr>
              <w:t>热浸锡</w:t>
            </w:r>
            <w:r>
              <w:rPr>
                <w:rFonts w:hint="default" w:eastAsiaTheme="minorEastAsia"/>
                <w:bCs/>
                <w:color w:val="auto"/>
                <w:kern w:val="2"/>
                <w:sz w:val="24"/>
                <w:szCs w:val="24"/>
                <w:highlight w:val="none"/>
              </w:rPr>
              <w:t>工序使用锡炉将无铅锡锭熔化成液态锡，然后锡炉保持一定的温度（</w:t>
            </w:r>
            <w:r>
              <w:rPr>
                <w:rFonts w:hint="default"/>
                <w:color w:val="auto"/>
                <w:sz w:val="24"/>
                <w:szCs w:val="24"/>
                <w:highlight w:val="none"/>
              </w:rPr>
              <w:t>240~270℃</w:t>
            </w:r>
            <w:r>
              <w:rPr>
                <w:rFonts w:hint="default" w:eastAsiaTheme="minorEastAsia"/>
                <w:bCs/>
                <w:color w:val="auto"/>
                <w:kern w:val="2"/>
                <w:sz w:val="24"/>
                <w:szCs w:val="24"/>
                <w:highlight w:val="none"/>
              </w:rPr>
              <w:t>），使锡保持液态，熔锡、</w:t>
            </w:r>
            <w:r>
              <w:rPr>
                <w:rFonts w:hint="eastAsia" w:ascii="Times New Roman" w:hAnsi="Times New Roman" w:cs="Times New Roman" w:eastAsiaTheme="minorEastAsia"/>
                <w:bCs/>
                <w:color w:val="auto"/>
                <w:kern w:val="2"/>
                <w:sz w:val="24"/>
                <w:szCs w:val="24"/>
                <w:highlight w:val="none"/>
                <w:lang w:val="en-US" w:eastAsia="zh-CN"/>
              </w:rPr>
              <w:t>热浸锡</w:t>
            </w:r>
            <w:r>
              <w:rPr>
                <w:rFonts w:hint="default" w:eastAsiaTheme="minorEastAsia"/>
                <w:bCs/>
                <w:color w:val="auto"/>
                <w:kern w:val="2"/>
                <w:sz w:val="24"/>
                <w:szCs w:val="24"/>
                <w:highlight w:val="none"/>
              </w:rPr>
              <w:t>工序会产生少量的烟尘，以锡及其化合物表征。</w:t>
            </w:r>
          </w:p>
          <w:p>
            <w:pPr>
              <w:pStyle w:val="17"/>
              <w:keepNext w:val="0"/>
              <w:keepLines w:val="0"/>
              <w:pageBreakBefore w:val="0"/>
              <w:suppressLineNumbers w:val="0"/>
              <w:tabs>
                <w:tab w:val="left" w:pos="0"/>
              </w:tabs>
              <w:kinsoku/>
              <w:wordWrap/>
              <w:overflowPunct/>
              <w:topLinePunct w:val="0"/>
              <w:bidi w:val="0"/>
              <w:adjustRightInd w:val="0"/>
              <w:snapToGrid w:val="0"/>
              <w:spacing w:before="0" w:beforeAutospacing="0" w:after="0" w:afterAutospacing="0" w:line="360" w:lineRule="auto"/>
              <w:ind w:left="0" w:right="0" w:firstLine="480"/>
              <w:jc w:val="both"/>
              <w:textAlignment w:val="auto"/>
              <w:rPr>
                <w:rFonts w:hint="default" w:ascii="Times New Roman" w:hAnsi="Times New Roman" w:cs="Times New Roman" w:eastAsiaTheme="minorEastAsia"/>
                <w:bCs/>
                <w:color w:val="auto"/>
                <w:kern w:val="2"/>
                <w:sz w:val="24"/>
                <w:szCs w:val="24"/>
                <w:highlight w:val="none"/>
                <w:lang w:val="en-US" w:eastAsia="zh-CN"/>
              </w:rPr>
            </w:pPr>
            <w:r>
              <w:rPr>
                <w:rFonts w:hint="eastAsia" w:ascii="Times New Roman" w:hAnsi="Times New Roman" w:cs="Times New Roman" w:eastAsiaTheme="minorEastAsia"/>
                <w:bCs/>
                <w:color w:val="auto"/>
                <w:kern w:val="2"/>
                <w:sz w:val="24"/>
                <w:szCs w:val="24"/>
                <w:highlight w:val="none"/>
              </w:rPr>
              <w:t>项目热浸锡工序使用</w:t>
            </w:r>
            <w:r>
              <w:rPr>
                <w:rFonts w:hint="default" w:eastAsiaTheme="minorEastAsia"/>
                <w:bCs/>
                <w:color w:val="auto"/>
                <w:kern w:val="2"/>
                <w:sz w:val="24"/>
                <w:szCs w:val="24"/>
                <w:highlight w:val="none"/>
              </w:rPr>
              <w:t>无铅锡锭</w:t>
            </w:r>
            <w:r>
              <w:rPr>
                <w:rFonts w:hint="eastAsia" w:eastAsiaTheme="minorEastAsia"/>
                <w:bCs/>
                <w:color w:val="auto"/>
                <w:kern w:val="2"/>
                <w:sz w:val="24"/>
                <w:szCs w:val="24"/>
                <w:highlight w:val="none"/>
                <w:lang w:eastAsia="zh-CN"/>
              </w:rPr>
              <w:t>、</w:t>
            </w:r>
            <w:r>
              <w:rPr>
                <w:rFonts w:hint="eastAsia" w:eastAsiaTheme="minorEastAsia"/>
                <w:bCs/>
                <w:color w:val="auto"/>
                <w:kern w:val="2"/>
                <w:sz w:val="24"/>
                <w:szCs w:val="24"/>
                <w:highlight w:val="none"/>
                <w:lang w:val="en-US" w:eastAsia="zh-CN"/>
              </w:rPr>
              <w:t>助焊剂</w:t>
            </w:r>
            <w:r>
              <w:rPr>
                <w:rFonts w:hint="eastAsia" w:ascii="Times New Roman" w:hAnsi="Times New Roman" w:cs="Times New Roman" w:eastAsiaTheme="minorEastAsia"/>
                <w:bCs/>
                <w:color w:val="auto"/>
                <w:kern w:val="2"/>
                <w:sz w:val="24"/>
                <w:szCs w:val="24"/>
                <w:highlight w:val="none"/>
              </w:rPr>
              <w:t>会产生焊接烟尘（锡及其化合物）。</w:t>
            </w:r>
            <w:r>
              <w:rPr>
                <w:rFonts w:hint="eastAsia" w:ascii="Times New Roman" w:hAnsi="Times New Roman" w:cs="Times New Roman" w:eastAsiaTheme="minorEastAsia"/>
                <w:bCs/>
                <w:color w:val="auto"/>
                <w:kern w:val="2"/>
                <w:sz w:val="24"/>
                <w:szCs w:val="24"/>
                <w:highlight w:val="none"/>
                <w:lang w:val="en-US" w:eastAsia="zh-CN"/>
              </w:rPr>
              <w:t>参考</w:t>
            </w:r>
            <w:r>
              <w:rPr>
                <w:rFonts w:hint="eastAsia" w:ascii="Times New Roman" w:hAnsi="Times New Roman" w:cs="Times New Roman" w:eastAsiaTheme="minorEastAsia"/>
                <w:bCs/>
                <w:color w:val="auto"/>
                <w:kern w:val="2"/>
                <w:sz w:val="24"/>
                <w:szCs w:val="24"/>
                <w:highlight w:val="none"/>
              </w:rPr>
              <w:t>《排放源统计调查产排污核算方法和系数手册》中的电子电气行业系数手册焊接工段中，使用无铅焊料（锡丝）进行手工焊，</w:t>
            </w:r>
            <w:r>
              <w:rPr>
                <w:rFonts w:hint="eastAsia" w:ascii="Times New Roman" w:hAnsi="Times New Roman" w:cs="Times New Roman" w:eastAsiaTheme="minorEastAsia"/>
                <w:bCs/>
                <w:color w:val="auto"/>
                <w:kern w:val="2"/>
                <w:sz w:val="24"/>
                <w:szCs w:val="24"/>
                <w:highlight w:val="none"/>
                <w:lang w:val="en-US" w:eastAsia="zh-CN"/>
              </w:rPr>
              <w:t>原料名称：</w:t>
            </w:r>
            <w:r>
              <w:rPr>
                <w:rFonts w:hint="eastAsia" w:eastAsiaTheme="minorEastAsia"/>
                <w:bCs/>
                <w:color w:val="auto"/>
                <w:kern w:val="2"/>
                <w:sz w:val="24"/>
                <w:szCs w:val="24"/>
                <w:highlight w:val="none"/>
                <w:lang w:val="en-US" w:eastAsia="zh-CN"/>
              </w:rPr>
              <w:t>锡丝等，含助焊剂-</w:t>
            </w:r>
            <w:r>
              <w:rPr>
                <w:rFonts w:hint="eastAsia" w:ascii="Times New Roman" w:hAnsi="Times New Roman" w:cs="Times New Roman" w:eastAsiaTheme="minorEastAsia"/>
                <w:bCs/>
                <w:color w:val="auto"/>
                <w:kern w:val="2"/>
                <w:sz w:val="24"/>
                <w:szCs w:val="24"/>
                <w:highlight w:val="none"/>
              </w:rPr>
              <w:t>颗粒物产生系数为0.4023g/kg-焊料，</w:t>
            </w:r>
            <w:r>
              <w:rPr>
                <w:rFonts w:hint="eastAsia" w:ascii="Times New Roman" w:hAnsi="Times New Roman" w:cs="Times New Roman" w:eastAsiaTheme="minorEastAsia"/>
                <w:bCs/>
                <w:color w:val="auto"/>
                <w:kern w:val="2"/>
                <w:sz w:val="24"/>
                <w:szCs w:val="24"/>
                <w:highlight w:val="none"/>
                <w:lang w:val="en-US" w:eastAsia="zh-CN"/>
              </w:rPr>
              <w:t>项目无铅</w:t>
            </w:r>
            <w:r>
              <w:rPr>
                <w:rFonts w:hint="default" w:ascii="Times New Roman" w:hAnsi="Times New Roman" w:cs="Times New Roman" w:eastAsiaTheme="minorEastAsia"/>
                <w:bCs/>
                <w:color w:val="auto"/>
                <w:kern w:val="2"/>
                <w:sz w:val="24"/>
                <w:szCs w:val="24"/>
                <w:highlight w:val="none"/>
                <w:lang w:val="en-US" w:eastAsia="zh-CN"/>
              </w:rPr>
              <w:t>锡锭</w:t>
            </w:r>
            <w:r>
              <w:rPr>
                <w:rFonts w:hint="eastAsia" w:ascii="Times New Roman" w:hAnsi="Times New Roman" w:cs="Times New Roman" w:eastAsiaTheme="minorEastAsia"/>
                <w:bCs/>
                <w:color w:val="auto"/>
                <w:kern w:val="2"/>
                <w:sz w:val="24"/>
                <w:szCs w:val="24"/>
                <w:highlight w:val="none"/>
                <w:lang w:val="en-US" w:eastAsia="zh-CN"/>
              </w:rPr>
              <w:t>用量为6.8t/a、助焊剂用量为3.6t/a，则热浸锡工序焊接烟尘（锡及其化合物）产生量0.0042t/a，该工序工作时间为6600h/a，产生速率为0.0006kg/h。</w:t>
            </w:r>
          </w:p>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default" w:eastAsiaTheme="minorEastAsia"/>
                <w:b/>
                <w:color w:val="auto"/>
                <w:kern w:val="2"/>
                <w:sz w:val="24"/>
                <w:szCs w:val="24"/>
                <w:highlight w:val="none"/>
              </w:rPr>
            </w:pPr>
            <w:r>
              <w:rPr>
                <w:rFonts w:hint="default" w:eastAsiaTheme="minorEastAsia"/>
                <w:b/>
                <w:color w:val="auto"/>
                <w:kern w:val="2"/>
                <w:sz w:val="24"/>
                <w:szCs w:val="24"/>
                <w:highlight w:val="none"/>
              </w:rPr>
              <w:t>（3）收集及风量：</w:t>
            </w:r>
          </w:p>
          <w:p>
            <w:pPr>
              <w:pStyle w:val="1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eastAsiaTheme="minorEastAsia"/>
                <w:bCs/>
                <w:color w:val="auto"/>
                <w:kern w:val="2"/>
                <w:sz w:val="24"/>
                <w:szCs w:val="24"/>
                <w:highlight w:val="none"/>
              </w:rPr>
            </w:pPr>
            <w:r>
              <w:rPr>
                <w:rFonts w:hint="default" w:eastAsiaTheme="minorEastAsia"/>
                <w:bCs/>
                <w:color w:val="auto"/>
                <w:kern w:val="2"/>
                <w:sz w:val="24"/>
                <w:szCs w:val="24"/>
                <w:highlight w:val="none"/>
              </w:rPr>
              <w:t xml:space="preserve"> 项目拟在</w:t>
            </w:r>
            <w:r>
              <w:rPr>
                <w:rFonts w:hint="eastAsia" w:eastAsiaTheme="minorEastAsia"/>
                <w:bCs/>
                <w:color w:val="auto"/>
                <w:kern w:val="2"/>
                <w:sz w:val="24"/>
                <w:szCs w:val="24"/>
                <w:highlight w:val="none"/>
              </w:rPr>
              <w:t>退火机物料出口处上方、</w:t>
            </w:r>
            <w:r>
              <w:rPr>
                <w:rFonts w:hint="default" w:eastAsiaTheme="minorEastAsia"/>
                <w:bCs/>
                <w:color w:val="auto"/>
                <w:kern w:val="2"/>
                <w:sz w:val="24"/>
                <w:szCs w:val="24"/>
                <w:highlight w:val="none"/>
              </w:rPr>
              <w:t>锡炉上方设置顶部集气罩</w:t>
            </w:r>
            <w:r>
              <w:rPr>
                <w:rFonts w:hint="eastAsia" w:ascii="Times New Roman" w:hAnsi="Times New Roman" w:cs="Times New Roman" w:eastAsiaTheme="minorEastAsia"/>
                <w:bCs/>
                <w:color w:val="auto"/>
                <w:kern w:val="2"/>
                <w:sz w:val="24"/>
                <w:szCs w:val="24"/>
                <w:highlight w:val="none"/>
                <w:lang w:val="en-US" w:eastAsia="zh-CN" w:bidi="ar-SA"/>
              </w:rPr>
              <w:t>（</w:t>
            </w:r>
            <w:r>
              <w:rPr>
                <w:rFonts w:hint="default" w:ascii="Times New Roman" w:hAnsi="Times New Roman" w:cs="Times New Roman" w:eastAsiaTheme="minorEastAsia"/>
                <w:bCs/>
                <w:color w:val="auto"/>
                <w:kern w:val="2"/>
                <w:sz w:val="24"/>
                <w:szCs w:val="24"/>
                <w:highlight w:val="none"/>
                <w:lang w:val="en-US" w:eastAsia="zh-CN" w:bidi="ar-SA"/>
              </w:rPr>
              <w:t>四侧设有围挡</w:t>
            </w:r>
            <w:r>
              <w:rPr>
                <w:rFonts w:hint="eastAsia" w:ascii="Times New Roman" w:hAnsi="Times New Roman" w:cs="Times New Roman" w:eastAsiaTheme="minorEastAsia"/>
                <w:bCs/>
                <w:color w:val="auto"/>
                <w:kern w:val="2"/>
                <w:sz w:val="24"/>
                <w:szCs w:val="24"/>
                <w:highlight w:val="none"/>
                <w:lang w:val="en-US" w:eastAsia="zh-CN" w:bidi="ar-SA"/>
              </w:rPr>
              <w:t>，保留1个操作工位面，</w:t>
            </w:r>
            <w:r>
              <w:rPr>
                <w:rFonts w:hint="default" w:ascii="Times New Roman" w:hAnsi="Times New Roman" w:cs="Times New Roman" w:eastAsiaTheme="minorEastAsia"/>
                <w:bCs/>
                <w:color w:val="auto"/>
                <w:kern w:val="2"/>
                <w:sz w:val="24"/>
                <w:szCs w:val="24"/>
                <w:highlight w:val="none"/>
                <w:lang w:val="en-US" w:eastAsia="zh-CN" w:bidi="ar-SA"/>
              </w:rPr>
              <w:t>添加物料时打开一面围挡</w:t>
            </w:r>
            <w:r>
              <w:rPr>
                <w:rFonts w:hint="eastAsia" w:ascii="Times New Roman" w:hAnsi="Times New Roman" w:cs="Times New Roman" w:eastAsiaTheme="minorEastAsia"/>
                <w:bCs/>
                <w:color w:val="auto"/>
                <w:kern w:val="2"/>
                <w:sz w:val="24"/>
                <w:szCs w:val="24"/>
                <w:highlight w:val="none"/>
                <w:lang w:val="en-US" w:eastAsia="zh-CN" w:bidi="ar-SA"/>
              </w:rPr>
              <w:t>，仅保留物料进出通道，通道敞开面小于1个操作工位面）</w:t>
            </w:r>
            <w:r>
              <w:rPr>
                <w:rFonts w:hint="default" w:ascii="Times New Roman" w:hAnsi="Times New Roman" w:cs="Times New Roman" w:eastAsiaTheme="minorEastAsia"/>
                <w:bCs/>
                <w:color w:val="auto"/>
                <w:kern w:val="2"/>
                <w:sz w:val="24"/>
                <w:szCs w:val="24"/>
                <w:highlight w:val="none"/>
                <w:lang w:val="en-US" w:eastAsia="zh-CN" w:bidi="ar-SA"/>
              </w:rPr>
              <w:t>对废气进行收集。</w:t>
            </w:r>
          </w:p>
          <w:p>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jc w:val="both"/>
              <w:textAlignment w:val="auto"/>
              <w:rPr>
                <w:rFonts w:hint="default" w:eastAsiaTheme="minorEastAsia"/>
                <w:bCs/>
                <w:color w:val="auto"/>
                <w:kern w:val="2"/>
                <w:sz w:val="24"/>
                <w:szCs w:val="24"/>
                <w:highlight w:val="none"/>
              </w:rPr>
            </w:pPr>
            <w:r>
              <w:rPr>
                <w:rFonts w:hint="default" w:eastAsiaTheme="minorEastAsia"/>
                <w:bCs/>
                <w:color w:val="auto"/>
                <w:kern w:val="2"/>
                <w:sz w:val="24"/>
                <w:szCs w:val="24"/>
                <w:highlight w:val="none"/>
              </w:rPr>
              <w:t xml:space="preserve">根据《环境工程技术手册：废气处理工程技术手册》（王纯、张殿印主编，化学工业出版社，2013年1月第1版），集气罩风量确定计算公式： </w:t>
            </w:r>
          </w:p>
          <w:p>
            <w:pPr>
              <w:keepNext w:val="0"/>
              <w:keepLines w:val="0"/>
              <w:widowControl/>
              <w:suppressLineNumbers w:val="0"/>
              <w:spacing w:before="0" w:beforeAutospacing="0" w:after="0" w:afterAutospacing="0"/>
              <w:ind w:left="0" w:right="0" w:firstLine="480"/>
              <w:jc w:val="center"/>
              <w:rPr>
                <w:rFonts w:hint="default"/>
                <w:color w:val="auto"/>
                <w:highlight w:val="none"/>
              </w:rPr>
            </w:pPr>
            <w:r>
              <w:rPr>
                <w:rFonts w:hint="default"/>
                <w:color w:val="auto"/>
                <w:sz w:val="24"/>
                <w:szCs w:val="24"/>
                <w:highlight w:val="none"/>
                <w:lang w:bidi="ar"/>
              </w:rPr>
              <w:t>Q=3600（W+B）HVx</w:t>
            </w:r>
          </w:p>
          <w:p>
            <w:pPr>
              <w:keepNext w:val="0"/>
              <w:keepLines w:val="0"/>
              <w:widowControl/>
              <w:suppressLineNumbers w:val="0"/>
              <w:spacing w:before="0" w:beforeAutospacing="0" w:after="0" w:afterAutospacing="0"/>
              <w:ind w:left="0" w:right="0" w:firstLine="480"/>
              <w:rPr>
                <w:rFonts w:hint="default" w:eastAsia="宋体"/>
                <w:color w:val="auto"/>
                <w:sz w:val="24"/>
                <w:szCs w:val="24"/>
                <w:highlight w:val="none"/>
                <w:lang w:val="en-US" w:eastAsia="zh-CN" w:bidi="ar"/>
              </w:rPr>
            </w:pPr>
            <w:r>
              <w:rPr>
                <w:rFonts w:hint="default"/>
                <w:color w:val="auto"/>
                <w:sz w:val="24"/>
                <w:szCs w:val="24"/>
                <w:highlight w:val="none"/>
                <w:lang w:bidi="ar"/>
              </w:rPr>
              <w:t>式中：</w:t>
            </w:r>
            <w:r>
              <w:rPr>
                <w:rFonts w:hint="eastAsia"/>
                <w:color w:val="auto"/>
                <w:sz w:val="24"/>
                <w:szCs w:val="24"/>
                <w:highlight w:val="none"/>
                <w:lang w:val="en-US" w:eastAsia="zh-CN" w:bidi="ar"/>
              </w:rPr>
              <w:t>Q</w:t>
            </w:r>
            <w:r>
              <w:rPr>
                <w:rFonts w:hint="default"/>
                <w:color w:val="auto"/>
                <w:sz w:val="24"/>
                <w:szCs w:val="24"/>
                <w:highlight w:val="none"/>
                <w:lang w:bidi="ar"/>
              </w:rPr>
              <w:t>——</w:t>
            </w:r>
            <w:r>
              <w:rPr>
                <w:rFonts w:hint="eastAsia"/>
                <w:color w:val="auto"/>
                <w:sz w:val="24"/>
                <w:szCs w:val="24"/>
                <w:highlight w:val="none"/>
                <w:lang w:val="en-US" w:eastAsia="zh-CN" w:bidi="ar"/>
              </w:rPr>
              <w:t>风量，m³/h</w:t>
            </w:r>
          </w:p>
          <w:p>
            <w:pPr>
              <w:keepNext w:val="0"/>
              <w:keepLines w:val="0"/>
              <w:widowControl/>
              <w:suppressLineNumbers w:val="0"/>
              <w:spacing w:before="0" w:beforeAutospacing="0" w:after="0" w:afterAutospacing="0"/>
              <w:ind w:left="0" w:right="0" w:firstLine="480"/>
              <w:rPr>
                <w:rFonts w:hint="default"/>
                <w:color w:val="auto"/>
                <w:highlight w:val="none"/>
              </w:rPr>
            </w:pPr>
            <w:r>
              <w:rPr>
                <w:rFonts w:hint="default"/>
                <w:color w:val="auto"/>
                <w:sz w:val="24"/>
                <w:szCs w:val="24"/>
                <w:highlight w:val="none"/>
                <w:lang w:bidi="ar"/>
              </w:rPr>
              <w:t xml:space="preserve">W——罩口长度，m； </w:t>
            </w:r>
          </w:p>
          <w:p>
            <w:pPr>
              <w:keepNext w:val="0"/>
              <w:keepLines w:val="0"/>
              <w:widowControl/>
              <w:suppressLineNumbers w:val="0"/>
              <w:spacing w:before="0" w:beforeAutospacing="0" w:after="0" w:afterAutospacing="0"/>
              <w:ind w:left="0" w:right="0" w:firstLine="480"/>
              <w:rPr>
                <w:rFonts w:hint="default"/>
                <w:color w:val="auto"/>
                <w:highlight w:val="none"/>
              </w:rPr>
            </w:pPr>
            <w:r>
              <w:rPr>
                <w:rFonts w:hint="default"/>
                <w:color w:val="auto"/>
                <w:sz w:val="24"/>
                <w:szCs w:val="24"/>
                <w:highlight w:val="none"/>
                <w:lang w:bidi="ar"/>
              </w:rPr>
              <w:t xml:space="preserve">B——罩口宽度，m； </w:t>
            </w:r>
          </w:p>
          <w:p>
            <w:pPr>
              <w:keepNext w:val="0"/>
              <w:keepLines w:val="0"/>
              <w:widowControl/>
              <w:suppressLineNumbers w:val="0"/>
              <w:spacing w:before="0" w:beforeAutospacing="0" w:after="0" w:afterAutospacing="0"/>
              <w:ind w:left="0" w:right="0" w:firstLine="480"/>
              <w:rPr>
                <w:rFonts w:hint="default"/>
                <w:color w:val="auto"/>
                <w:highlight w:val="none"/>
              </w:rPr>
            </w:pPr>
            <w:r>
              <w:rPr>
                <w:rFonts w:hint="default"/>
                <w:color w:val="auto"/>
                <w:sz w:val="24"/>
                <w:szCs w:val="24"/>
                <w:highlight w:val="none"/>
                <w:lang w:bidi="ar"/>
              </w:rPr>
              <w:t xml:space="preserve">H——污染源至罩口的距离，m； </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bCs/>
                <w:color w:val="auto"/>
                <w:kern w:val="2"/>
                <w:sz w:val="24"/>
                <w:szCs w:val="24"/>
                <w:highlight w:val="none"/>
              </w:rPr>
            </w:pPr>
            <w:r>
              <w:rPr>
                <w:rFonts w:hint="default"/>
                <w:color w:val="auto"/>
                <w:sz w:val="24"/>
                <w:szCs w:val="24"/>
                <w:highlight w:val="none"/>
                <w:lang w:bidi="ar"/>
              </w:rPr>
              <w:t>V</w:t>
            </w:r>
            <w:r>
              <w:rPr>
                <w:rFonts w:hint="default"/>
                <w:color w:val="auto"/>
                <w:sz w:val="16"/>
                <w:szCs w:val="16"/>
                <w:highlight w:val="none"/>
                <w:lang w:bidi="ar"/>
              </w:rPr>
              <w:t>x</w:t>
            </w:r>
            <w:r>
              <w:rPr>
                <w:rFonts w:hint="default"/>
                <w:color w:val="auto"/>
                <w:sz w:val="24"/>
                <w:szCs w:val="24"/>
                <w:highlight w:val="none"/>
                <w:lang w:bidi="ar"/>
              </w:rPr>
              <w:t>——最小控制风速，m/s，本项目污染物排放情况为以较缓慢的速度放散到</w:t>
            </w:r>
            <w:r>
              <w:rPr>
                <w:rFonts w:hint="default"/>
                <w:bCs/>
                <w:color w:val="auto"/>
                <w:kern w:val="2"/>
                <w:sz w:val="24"/>
                <w:szCs w:val="24"/>
                <w:highlight w:val="none"/>
              </w:rPr>
              <w:t>相当平静的空气中，一般取0.25~0.5m/s，本项目取0.5m/s</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eastAsiaTheme="minorEastAsia"/>
                <w:bCs/>
                <w:color w:val="auto"/>
                <w:kern w:val="2"/>
                <w:sz w:val="24"/>
                <w:szCs w:val="24"/>
                <w:highlight w:val="none"/>
              </w:rPr>
            </w:pPr>
            <w:r>
              <w:rPr>
                <w:rFonts w:hint="default" w:eastAsiaTheme="minorEastAsia"/>
                <w:bCs/>
                <w:color w:val="auto"/>
                <w:kern w:val="2"/>
                <w:sz w:val="24"/>
                <w:szCs w:val="24"/>
                <w:highlight w:val="none"/>
              </w:rPr>
              <w:t>根据建设单位提供的资料，废气集气设施参数如下表：</w:t>
            </w:r>
          </w:p>
          <w:p>
            <w:pPr>
              <w:keepNext w:val="0"/>
              <w:keepLines w:val="0"/>
              <w:suppressLineNumbers w:val="0"/>
              <w:spacing w:before="0" w:beforeAutospacing="0" w:after="0" w:afterAutospacing="0" w:line="240" w:lineRule="auto"/>
              <w:ind w:left="24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表4-1  废气集气设施风量参数表</w:t>
            </w:r>
          </w:p>
          <w:tbl>
            <w:tblPr>
              <w:tblStyle w:val="3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645"/>
              <w:gridCol w:w="1282"/>
              <w:gridCol w:w="1085"/>
              <w:gridCol w:w="996"/>
              <w:gridCol w:w="1093"/>
              <w:gridCol w:w="977"/>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9"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产污</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设备</w:t>
                  </w:r>
                </w:p>
              </w:tc>
              <w:tc>
                <w:tcPr>
                  <w:tcW w:w="406"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数量</w:t>
                  </w:r>
                </w:p>
              </w:tc>
              <w:tc>
                <w:tcPr>
                  <w:tcW w:w="2117" w:type="pct"/>
                  <w:gridSpan w:val="3"/>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集气罩设计参数</w:t>
                  </w:r>
                </w:p>
              </w:tc>
              <w:tc>
                <w:tcPr>
                  <w:tcW w:w="688"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单个集气装置风量m³/h</w:t>
                  </w:r>
                </w:p>
              </w:tc>
              <w:tc>
                <w:tcPr>
                  <w:tcW w:w="615"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集气罩设施个数</w:t>
                  </w:r>
                </w:p>
              </w:tc>
              <w:tc>
                <w:tcPr>
                  <w:tcW w:w="573"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总风量m³/h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9"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406"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80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罩口与污染源点的控制距离m</w:t>
                  </w:r>
                </w:p>
              </w:tc>
              <w:tc>
                <w:tcPr>
                  <w:tcW w:w="68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罩口</w:t>
                  </w:r>
                  <w:r>
                    <w:rPr>
                      <w:rFonts w:hint="eastAsia"/>
                      <w:b/>
                      <w:color w:val="auto"/>
                      <w:kern w:val="2"/>
                      <w:sz w:val="21"/>
                      <w:highlight w:val="none"/>
                    </w:rPr>
                    <w:t>尺寸m</w:t>
                  </w:r>
                </w:p>
              </w:tc>
              <w:tc>
                <w:tcPr>
                  <w:tcW w:w="62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
                      <w:color w:val="auto"/>
                      <w:kern w:val="2"/>
                      <w:sz w:val="21"/>
                      <w:highlight w:val="none"/>
                    </w:rPr>
                  </w:pPr>
                  <w:r>
                    <w:rPr>
                      <w:rFonts w:hint="default"/>
                      <w:b/>
                      <w:color w:val="auto"/>
                      <w:kern w:val="2"/>
                      <w:sz w:val="21"/>
                      <w:highlight w:val="none"/>
                    </w:rPr>
                    <w:t>罩口最小控制风速m/s</w:t>
                  </w:r>
                </w:p>
              </w:tc>
              <w:tc>
                <w:tcPr>
                  <w:tcW w:w="688"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615"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Cs/>
                      <w:color w:val="auto"/>
                      <w:kern w:val="2"/>
                      <w:sz w:val="21"/>
                      <w:highlight w:val="none"/>
                    </w:rPr>
                  </w:pPr>
                </w:p>
              </w:tc>
              <w:tc>
                <w:tcPr>
                  <w:tcW w:w="573"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bCs/>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599"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锡炉</w:t>
                  </w:r>
                </w:p>
              </w:tc>
              <w:tc>
                <w:tcPr>
                  <w:tcW w:w="406"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2台</w:t>
                  </w:r>
                </w:p>
              </w:tc>
              <w:tc>
                <w:tcPr>
                  <w:tcW w:w="80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0.3</w:t>
                  </w:r>
                </w:p>
              </w:tc>
              <w:tc>
                <w:tcPr>
                  <w:tcW w:w="68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长1.5m</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宽1.2m</w:t>
                  </w:r>
                </w:p>
              </w:tc>
              <w:tc>
                <w:tcPr>
                  <w:tcW w:w="62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0.5</w:t>
                  </w:r>
                </w:p>
              </w:tc>
              <w:tc>
                <w:tcPr>
                  <w:tcW w:w="68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1458</w:t>
                  </w:r>
                </w:p>
              </w:tc>
              <w:tc>
                <w:tcPr>
                  <w:tcW w:w="61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w:t>
                  </w:r>
                </w:p>
              </w:tc>
              <w:tc>
                <w:tcPr>
                  <w:tcW w:w="57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2916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599"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退火机物料出口处</w:t>
                  </w:r>
                </w:p>
              </w:tc>
              <w:tc>
                <w:tcPr>
                  <w:tcW w:w="406"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4台</w:t>
                  </w:r>
                </w:p>
              </w:tc>
              <w:tc>
                <w:tcPr>
                  <w:tcW w:w="80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0.3</w:t>
                  </w:r>
                </w:p>
              </w:tc>
              <w:tc>
                <w:tcPr>
                  <w:tcW w:w="68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长</w:t>
                  </w:r>
                  <w:r>
                    <w:rPr>
                      <w:rFonts w:hint="eastAsia"/>
                      <w:bCs/>
                      <w:color w:val="auto"/>
                      <w:kern w:val="2"/>
                      <w:sz w:val="21"/>
                      <w:highlight w:val="none"/>
                    </w:rPr>
                    <w:t>0.6</w:t>
                  </w:r>
                  <w:r>
                    <w:rPr>
                      <w:rFonts w:hint="default"/>
                      <w:bCs/>
                      <w:color w:val="auto"/>
                      <w:kern w:val="2"/>
                      <w:sz w:val="21"/>
                      <w:highlight w:val="none"/>
                    </w:rPr>
                    <w:t>m</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宽</w:t>
                  </w:r>
                  <w:r>
                    <w:rPr>
                      <w:rFonts w:hint="eastAsia"/>
                      <w:bCs/>
                      <w:color w:val="auto"/>
                      <w:kern w:val="2"/>
                      <w:sz w:val="21"/>
                      <w:highlight w:val="none"/>
                    </w:rPr>
                    <w:t>0</w:t>
                  </w:r>
                  <w:r>
                    <w:rPr>
                      <w:rFonts w:hint="default"/>
                      <w:bCs/>
                      <w:color w:val="auto"/>
                      <w:kern w:val="2"/>
                      <w:sz w:val="21"/>
                      <w:highlight w:val="none"/>
                    </w:rPr>
                    <w:t>.2m</w:t>
                  </w:r>
                </w:p>
              </w:tc>
              <w:tc>
                <w:tcPr>
                  <w:tcW w:w="62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0.5</w:t>
                  </w:r>
                </w:p>
              </w:tc>
              <w:tc>
                <w:tcPr>
                  <w:tcW w:w="68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432</w:t>
                  </w:r>
                </w:p>
              </w:tc>
              <w:tc>
                <w:tcPr>
                  <w:tcW w:w="61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4</w:t>
                  </w:r>
                </w:p>
              </w:tc>
              <w:tc>
                <w:tcPr>
                  <w:tcW w:w="57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eastAsia"/>
                      <w:bCs/>
                      <w:color w:val="auto"/>
                      <w:kern w:val="2"/>
                      <w:sz w:val="21"/>
                      <w:highlight w:val="none"/>
                    </w:rPr>
                    <w:t>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426" w:type="pct"/>
                  <w:gridSpan w:val="7"/>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eastAsia"/>
                      <w:b/>
                      <w:color w:val="auto"/>
                      <w:kern w:val="2"/>
                      <w:sz w:val="21"/>
                      <w:highlight w:val="none"/>
                    </w:rPr>
                    <w:t>合计</w:t>
                  </w:r>
                </w:p>
              </w:tc>
              <w:tc>
                <w:tcPr>
                  <w:tcW w:w="57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color w:val="auto"/>
                      <w:kern w:val="2"/>
                      <w:sz w:val="21"/>
                      <w:highlight w:val="none"/>
                    </w:rPr>
                  </w:pPr>
                  <w:r>
                    <w:rPr>
                      <w:rFonts w:hint="eastAsia"/>
                      <w:b/>
                      <w:color w:val="auto"/>
                      <w:kern w:val="2"/>
                      <w:sz w:val="21"/>
                      <w:highlight w:val="none"/>
                    </w:rPr>
                    <w:t>4644</w:t>
                  </w:r>
                </w:p>
              </w:tc>
            </w:tr>
          </w:tbl>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eastAsiaTheme="minorEastAsia"/>
                <w:bCs/>
                <w:color w:val="auto"/>
                <w:kern w:val="2"/>
                <w:sz w:val="24"/>
                <w:szCs w:val="24"/>
                <w:highlight w:val="none"/>
              </w:rPr>
            </w:pPr>
            <w:r>
              <w:rPr>
                <w:rFonts w:hint="eastAsia"/>
                <w:bCs/>
                <w:color w:val="auto"/>
                <w:kern w:val="2"/>
                <w:sz w:val="24"/>
                <w:szCs w:val="24"/>
                <w:highlight w:val="none"/>
              </w:rPr>
              <w:t>根据《吸附法工业有机废气治理工程技术规范》（HJ2026-2013）中6.1.2，治理工程的处理能力应根据废气的处理量确定，设计风量宜按照最大废气排放量的120%进行设计</w:t>
            </w:r>
            <w:r>
              <w:rPr>
                <w:rFonts w:hint="default" w:eastAsiaTheme="minorEastAsia"/>
                <w:bCs/>
                <w:color w:val="auto"/>
                <w:kern w:val="2"/>
                <w:sz w:val="24"/>
                <w:szCs w:val="24"/>
                <w:highlight w:val="none"/>
              </w:rPr>
              <w:t>，总风管设计风量为</w:t>
            </w:r>
            <w:r>
              <w:rPr>
                <w:rFonts w:hint="eastAsia" w:eastAsiaTheme="minorEastAsia"/>
                <w:bCs/>
                <w:color w:val="auto"/>
                <w:kern w:val="2"/>
                <w:sz w:val="24"/>
                <w:szCs w:val="24"/>
                <w:highlight w:val="none"/>
              </w:rPr>
              <w:t>5600</w:t>
            </w:r>
            <w:r>
              <w:rPr>
                <w:rFonts w:hint="default" w:eastAsiaTheme="minorEastAsia"/>
                <w:bCs/>
                <w:color w:val="auto"/>
                <w:kern w:val="2"/>
                <w:sz w:val="24"/>
                <w:szCs w:val="24"/>
                <w:highlight w:val="none"/>
              </w:rPr>
              <w:t>m</w:t>
            </w:r>
            <w:r>
              <w:rPr>
                <w:rFonts w:hint="default" w:eastAsiaTheme="minorEastAsia"/>
                <w:bCs/>
                <w:color w:val="auto"/>
                <w:kern w:val="2"/>
                <w:sz w:val="24"/>
                <w:szCs w:val="24"/>
                <w:highlight w:val="none"/>
                <w:vertAlign w:val="superscript"/>
              </w:rPr>
              <w:t>3</w:t>
            </w:r>
            <w:r>
              <w:rPr>
                <w:rFonts w:hint="default" w:eastAsiaTheme="minorEastAsia"/>
                <w:bCs/>
                <w:color w:val="auto"/>
                <w:kern w:val="2"/>
                <w:sz w:val="24"/>
                <w:szCs w:val="24"/>
                <w:highlight w:val="none"/>
              </w:rPr>
              <w:t>/h。</w:t>
            </w:r>
          </w:p>
          <w:p>
            <w:pPr>
              <w:pStyle w:val="2"/>
              <w:keepNext w:val="0"/>
              <w:keepLines w:val="0"/>
              <w:suppressLineNumbers w:val="0"/>
              <w:spacing w:before="0" w:beforeAutospacing="0" w:after="0" w:afterAutospacing="0"/>
              <w:ind w:left="0" w:right="0" w:firstLine="482"/>
              <w:rPr>
                <w:rFonts w:hint="default" w:ascii="Times New Roman" w:cs="Times New Roman" w:eastAsiaTheme="minorEastAsia"/>
                <w:b/>
                <w:color w:val="auto"/>
                <w:kern w:val="2"/>
                <w:highlight w:val="none"/>
              </w:rPr>
            </w:pPr>
            <w:r>
              <w:rPr>
                <w:rFonts w:hint="default" w:ascii="Times New Roman" w:cs="Times New Roman" w:eastAsiaTheme="minorEastAsia"/>
                <w:b/>
                <w:color w:val="auto"/>
                <w:kern w:val="2"/>
                <w:highlight w:val="none"/>
              </w:rPr>
              <w:t>（4）废气收集处理设施</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bCs/>
                <w:color w:val="auto"/>
                <w:kern w:val="2"/>
                <w:sz w:val="24"/>
                <w:szCs w:val="24"/>
                <w:highlight w:val="none"/>
              </w:rPr>
            </w:pPr>
            <w:r>
              <w:rPr>
                <w:rFonts w:hint="default"/>
                <w:bCs/>
                <w:color w:val="auto"/>
                <w:kern w:val="2"/>
                <w:sz w:val="24"/>
                <w:szCs w:val="24"/>
                <w:highlight w:val="none"/>
              </w:rPr>
              <w:t>项目</w:t>
            </w:r>
            <w:r>
              <w:rPr>
                <w:rFonts w:hint="eastAsia"/>
                <w:bCs/>
                <w:color w:val="auto"/>
                <w:kern w:val="2"/>
                <w:sz w:val="24"/>
                <w:szCs w:val="24"/>
                <w:highlight w:val="none"/>
              </w:rPr>
              <w:t>退火</w:t>
            </w:r>
            <w:r>
              <w:rPr>
                <w:rFonts w:hint="eastAsia"/>
                <w:bCs/>
                <w:color w:val="auto"/>
                <w:kern w:val="2"/>
                <w:sz w:val="24"/>
                <w:szCs w:val="24"/>
                <w:highlight w:val="none"/>
                <w:lang w:val="en-US" w:eastAsia="zh-CN"/>
              </w:rPr>
              <w:t>工序</w:t>
            </w:r>
            <w:r>
              <w:rPr>
                <w:rFonts w:hint="eastAsia"/>
                <w:bCs/>
                <w:color w:val="auto"/>
                <w:kern w:val="2"/>
                <w:sz w:val="24"/>
                <w:szCs w:val="24"/>
                <w:highlight w:val="none"/>
              </w:rPr>
              <w:t>、热浸锡</w:t>
            </w:r>
            <w:r>
              <w:rPr>
                <w:rFonts w:hint="eastAsia"/>
                <w:bCs/>
                <w:color w:val="auto"/>
                <w:kern w:val="2"/>
                <w:sz w:val="24"/>
                <w:szCs w:val="24"/>
                <w:highlight w:val="none"/>
                <w:lang w:val="en-US" w:eastAsia="zh-CN"/>
              </w:rPr>
              <w:t>工序</w:t>
            </w:r>
            <w:r>
              <w:rPr>
                <w:rFonts w:hint="default"/>
                <w:bCs/>
                <w:color w:val="auto"/>
                <w:kern w:val="2"/>
                <w:sz w:val="24"/>
                <w:szCs w:val="24"/>
                <w:highlight w:val="none"/>
              </w:rPr>
              <w:t>产生的废气收集后汇入“水喷淋+干式过滤器+二级活性炭吸附装置”处理后经</w:t>
            </w:r>
            <w:r>
              <w:rPr>
                <w:rFonts w:hint="eastAsia"/>
                <w:bCs/>
                <w:color w:val="auto"/>
                <w:kern w:val="2"/>
                <w:sz w:val="24"/>
                <w:szCs w:val="24"/>
                <w:highlight w:val="none"/>
              </w:rPr>
              <w:t>1根25m高</w:t>
            </w:r>
            <w:r>
              <w:rPr>
                <w:rFonts w:hint="default"/>
                <w:bCs/>
                <w:color w:val="auto"/>
                <w:kern w:val="2"/>
                <w:sz w:val="24"/>
                <w:szCs w:val="24"/>
                <w:highlight w:val="none"/>
              </w:rPr>
              <w:t>排气筒DA001排放。</w:t>
            </w:r>
          </w:p>
          <w:p>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jc w:val="both"/>
              <w:textAlignment w:val="auto"/>
              <w:rPr>
                <w:rFonts w:hint="default"/>
                <w:bCs/>
                <w:color w:val="auto"/>
                <w:kern w:val="2"/>
                <w:sz w:val="24"/>
                <w:szCs w:val="24"/>
                <w:highlight w:val="none"/>
              </w:rPr>
            </w:pPr>
            <w:r>
              <w:rPr>
                <w:rFonts w:hint="default"/>
                <w:bCs/>
                <w:color w:val="auto"/>
                <w:kern w:val="2"/>
                <w:sz w:val="24"/>
                <w:szCs w:val="24"/>
                <w:highlight w:val="none"/>
              </w:rPr>
              <w:t>根据《广东省工业源挥发性有机物减排量核算方法（试行）》表4.5-1，包围型集气设备</w:t>
            </w:r>
            <w:r>
              <w:rPr>
                <w:rFonts w:hint="eastAsia"/>
                <w:bCs/>
                <w:color w:val="auto"/>
                <w:kern w:val="2"/>
                <w:sz w:val="24"/>
                <w:szCs w:val="24"/>
                <w:highlight w:val="none"/>
              </w:rPr>
              <w:t>仅保留1个操作工作面，仅保留物料进出通道，通道敞开面小于1个操作工位面，敞开面控制风速不小于0.5m/s，收集效率取值80%。</w:t>
            </w:r>
            <w:r>
              <w:rPr>
                <w:rFonts w:hint="default"/>
                <w:bCs/>
                <w:color w:val="auto"/>
                <w:kern w:val="2"/>
                <w:sz w:val="24"/>
                <w:szCs w:val="24"/>
                <w:highlight w:val="none"/>
              </w:rPr>
              <w:t>集气效率为80%。项目</w:t>
            </w:r>
            <w:r>
              <w:rPr>
                <w:rFonts w:hint="eastAsia"/>
                <w:bCs/>
                <w:color w:val="auto"/>
                <w:kern w:val="2"/>
                <w:sz w:val="24"/>
                <w:szCs w:val="24"/>
                <w:highlight w:val="none"/>
              </w:rPr>
              <w:t>退火工序、热浸锡工序上方</w:t>
            </w:r>
            <w:r>
              <w:rPr>
                <w:rFonts w:hint="default"/>
                <w:bCs/>
                <w:color w:val="auto"/>
                <w:kern w:val="2"/>
                <w:sz w:val="24"/>
                <w:szCs w:val="24"/>
                <w:highlight w:val="none"/>
              </w:rPr>
              <w:t>设置集气罩，</w:t>
            </w:r>
            <w:r>
              <w:rPr>
                <w:rFonts w:hint="default" w:ascii="Times New Roman" w:hAnsi="Times New Roman" w:cs="Times New Roman" w:eastAsiaTheme="minorEastAsia"/>
                <w:bCs/>
                <w:color w:val="auto"/>
                <w:kern w:val="2"/>
                <w:sz w:val="24"/>
                <w:szCs w:val="24"/>
                <w:highlight w:val="none"/>
                <w:lang w:val="en-US" w:eastAsia="zh-CN" w:bidi="ar-SA"/>
              </w:rPr>
              <w:t>四侧设有围挡</w:t>
            </w:r>
            <w:r>
              <w:rPr>
                <w:rFonts w:hint="eastAsia" w:ascii="Times New Roman" w:hAnsi="Times New Roman" w:cs="Times New Roman" w:eastAsiaTheme="minorEastAsia"/>
                <w:bCs/>
                <w:color w:val="auto"/>
                <w:kern w:val="2"/>
                <w:sz w:val="24"/>
                <w:szCs w:val="24"/>
                <w:highlight w:val="none"/>
                <w:lang w:val="en-US" w:eastAsia="zh-CN" w:bidi="ar-SA"/>
              </w:rPr>
              <w:t>，保留1个操作工位面，</w:t>
            </w:r>
            <w:r>
              <w:rPr>
                <w:rFonts w:hint="default" w:ascii="Times New Roman" w:hAnsi="Times New Roman" w:cs="Times New Roman" w:eastAsiaTheme="minorEastAsia"/>
                <w:bCs/>
                <w:color w:val="auto"/>
                <w:kern w:val="2"/>
                <w:sz w:val="24"/>
                <w:szCs w:val="24"/>
                <w:highlight w:val="none"/>
                <w:lang w:val="en-US" w:eastAsia="zh-CN" w:bidi="ar-SA"/>
              </w:rPr>
              <w:t>添加物料时打开一面围挡</w:t>
            </w:r>
            <w:r>
              <w:rPr>
                <w:rFonts w:hint="eastAsia" w:ascii="Times New Roman" w:hAnsi="Times New Roman" w:cs="Times New Roman" w:eastAsiaTheme="minorEastAsia"/>
                <w:bCs/>
                <w:color w:val="auto"/>
                <w:kern w:val="2"/>
                <w:sz w:val="24"/>
                <w:szCs w:val="24"/>
                <w:highlight w:val="none"/>
                <w:lang w:val="en-US" w:eastAsia="zh-CN" w:bidi="ar-SA"/>
              </w:rPr>
              <w:t>，仅保留物料进出通道，通道敞开面小于1个操作工位面</w:t>
            </w:r>
            <w:r>
              <w:rPr>
                <w:rFonts w:hint="default"/>
                <w:bCs/>
                <w:color w:val="auto"/>
                <w:kern w:val="2"/>
                <w:sz w:val="24"/>
                <w:szCs w:val="24"/>
                <w:highlight w:val="none"/>
              </w:rPr>
              <w:t xml:space="preserve">，控制风速为0.5m/s，故项目废气收集率参照包围型集气罩收集效率，按80%计。 </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cs="Times New Roman"/>
                <w:color w:val="auto"/>
                <w:highlight w:val="none"/>
              </w:rPr>
            </w:pPr>
            <w:r>
              <w:rPr>
                <w:rFonts w:hint="eastAsia"/>
                <w:color w:val="auto"/>
                <w:sz w:val="24"/>
                <w:szCs w:val="32"/>
                <w:highlight w:val="none"/>
                <w:lang w:val="en-US" w:eastAsia="zh-CN"/>
              </w:rPr>
              <w:t>水喷淋对锡及其化合物的处理效率参考《排放源统计调查产排污核算方法和系数手册》—“33-37,431-43机械行业系数手册”中喷淋塔对焊接工序产生的颗粒物处理效率为85%，项目水喷淋对颗粒物的处理效率取85%。</w:t>
            </w:r>
          </w:p>
          <w:p>
            <w:pPr>
              <w:pStyle w:val="2"/>
              <w:keepNext w:val="0"/>
              <w:keepLines w:val="0"/>
              <w:pageBreakBefore w:val="0"/>
              <w:widowControl w:val="0"/>
              <w:suppressLineNumbers w:val="0"/>
              <w:kinsoku/>
              <w:wordWrap/>
              <w:overflowPunct/>
              <w:topLinePunct w:val="0"/>
              <w:bidi w:val="0"/>
              <w:adjustRightInd w:val="0"/>
              <w:spacing w:before="0" w:beforeAutospacing="0" w:after="0" w:afterAutospacing="0" w:line="360" w:lineRule="auto"/>
              <w:ind w:left="0" w:right="0" w:firstLine="480"/>
              <w:textAlignment w:val="auto"/>
              <w:rPr>
                <w:rFonts w:hint="default" w:ascii="Times New Roman" w:cs="Times New Roman"/>
                <w:color w:val="auto"/>
                <w:highlight w:val="none"/>
              </w:rPr>
            </w:pPr>
            <w:r>
              <w:rPr>
                <w:rFonts w:hint="default" w:ascii="Times New Roman" w:cs="Times New Roman"/>
                <w:color w:val="auto"/>
                <w:highlight w:val="none"/>
              </w:rPr>
              <w:t>参考《广东省家具制造业挥发性有机化合物废气治理技术指南》（广东省环境保护厅2014年12月22日发布，2015年1月1日实施），活性炭吸附治理效率50-80%，项目两级活性炭吸附对有机废气的处理效率保守按50%（一级）和50%（二级）计算，则本项目两级活性炭装置</w:t>
            </w:r>
            <w:r>
              <w:rPr>
                <w:rFonts w:hint="eastAsia" w:ascii="Times New Roman" w:cs="Times New Roman"/>
                <w:color w:val="auto"/>
                <w:highlight w:val="none"/>
                <w:lang w:val="en-US" w:eastAsia="zh-CN"/>
              </w:rPr>
              <w:t>对有机废气</w:t>
            </w:r>
            <w:r>
              <w:rPr>
                <w:rFonts w:hint="default" w:ascii="Times New Roman" w:cs="Times New Roman"/>
                <w:color w:val="auto"/>
                <w:highlight w:val="none"/>
              </w:rPr>
              <w:t>总处理效率为75%。</w:t>
            </w:r>
          </w:p>
          <w:p>
            <w:pPr>
              <w:pStyle w:val="6"/>
              <w:keepNext w:val="0"/>
              <w:keepLines w:val="0"/>
              <w:suppressLineNumbers w:val="0"/>
              <w:spacing w:before="0" w:beforeAutospacing="0" w:after="0" w:afterAutospacing="0"/>
              <w:ind w:left="1602" w:right="0" w:hanging="482"/>
              <w:rPr>
                <w:rFonts w:hint="default"/>
                <w:b/>
                <w:bCs/>
                <w:color w:val="auto"/>
                <w:sz w:val="24"/>
                <w:szCs w:val="24"/>
                <w:highlight w:val="none"/>
              </w:rPr>
            </w:pPr>
          </w:p>
          <w:p>
            <w:pPr>
              <w:keepNext w:val="0"/>
              <w:keepLines w:val="0"/>
              <w:suppressLineNumbers w:val="0"/>
              <w:spacing w:before="0" w:beforeAutospacing="0" w:after="0" w:afterAutospacing="0"/>
              <w:ind w:left="0" w:right="0" w:firstLine="482"/>
              <w:rPr>
                <w:rFonts w:hint="default"/>
                <w:b/>
                <w:bCs/>
                <w:color w:val="auto"/>
                <w:kern w:val="2"/>
                <w:sz w:val="24"/>
                <w:szCs w:val="24"/>
                <w:highlight w:val="none"/>
              </w:rPr>
            </w:pPr>
          </w:p>
          <w:p>
            <w:pPr>
              <w:pStyle w:val="2"/>
              <w:keepNext w:val="0"/>
              <w:keepLines w:val="0"/>
              <w:suppressLineNumbers w:val="0"/>
              <w:spacing w:before="0" w:beforeAutospacing="0" w:after="0" w:afterAutospacing="0"/>
              <w:ind w:left="0" w:right="0" w:firstLine="482"/>
              <w:rPr>
                <w:rFonts w:hint="default" w:ascii="Times New Roman" w:cs="Times New Roman"/>
                <w:b/>
                <w:bCs/>
                <w:color w:val="auto"/>
                <w:kern w:val="2"/>
                <w:highlight w:val="none"/>
              </w:rPr>
            </w:pP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sz w:val="24"/>
                <w:szCs w:val="28"/>
                <w:highlight w:val="none"/>
              </w:rPr>
            </w:pPr>
          </w:p>
        </w:tc>
      </w:tr>
    </w:tbl>
    <w:p>
      <w:pPr>
        <w:adjustRightInd w:val="0"/>
        <w:snapToGrid w:val="0"/>
        <w:jc w:val="center"/>
        <w:rPr>
          <w:bCs/>
          <w:color w:val="auto"/>
          <w:highlight w:val="none"/>
        </w:rPr>
        <w:sectPr>
          <w:pgSz w:w="11907" w:h="16840"/>
          <w:pgMar w:top="1417" w:right="1417" w:bottom="1417" w:left="1417" w:header="851" w:footer="851" w:gutter="0"/>
          <w:cols w:space="720" w:num="1"/>
          <w:docGrid w:linePitch="312" w:charSpace="0"/>
        </w:sectPr>
      </w:pP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
        <w:gridCol w:w="12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1" w:hRule="atLeast"/>
        </w:trPr>
        <w:tc>
          <w:tcPr>
            <w:tcW w:w="335" w:type="dxa"/>
          </w:tcPr>
          <w:p>
            <w:pPr>
              <w:keepNext w:val="0"/>
              <w:keepLines w:val="0"/>
              <w:suppressLineNumbers w:val="0"/>
              <w:autoSpaceDE w:val="0"/>
              <w:autoSpaceDN w:val="0"/>
              <w:adjustRightInd w:val="0"/>
              <w:spacing w:before="0" w:beforeAutospacing="0" w:after="0" w:afterAutospacing="0"/>
              <w:ind w:left="0" w:right="0" w:firstLine="0" w:firstLineChars="0"/>
              <w:jc w:val="both"/>
              <w:rPr>
                <w:rFonts w:hint="default"/>
                <w:color w:val="auto"/>
                <w:kern w:val="2"/>
                <w:sz w:val="21"/>
                <w:szCs w:val="24"/>
                <w:highlight w:val="none"/>
              </w:rPr>
            </w:pPr>
            <w:r>
              <w:rPr>
                <w:rFonts w:hint="default"/>
                <w:bCs/>
                <w:color w:val="auto"/>
                <w:kern w:val="2"/>
                <w:sz w:val="21"/>
                <w:highlight w:val="none"/>
              </w:rPr>
              <w:t>运营期环境影响和保护</w:t>
            </w:r>
            <w:r>
              <w:rPr>
                <w:rFonts w:hint="default"/>
                <w:bCs/>
                <w:color w:val="auto"/>
                <w:sz w:val="21"/>
                <w:highlight w:val="none"/>
              </w:rPr>
              <w:t>措施</w:t>
            </w:r>
          </w:p>
        </w:tc>
        <w:tc>
          <w:tcPr>
            <w:tcW w:w="1289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4"/>
                <w:szCs w:val="24"/>
                <w:highlight w:val="none"/>
              </w:rPr>
            </w:pPr>
            <w:r>
              <w:rPr>
                <w:rFonts w:hint="default"/>
                <w:b/>
                <w:color w:val="auto"/>
                <w:kern w:val="2"/>
                <w:sz w:val="24"/>
                <w:szCs w:val="24"/>
                <w:highlight w:val="none"/>
              </w:rPr>
              <w:t>表4-2  废气污染物源强核算结果一览表</w:t>
            </w:r>
          </w:p>
          <w:tbl>
            <w:tblPr>
              <w:tblStyle w:val="35"/>
              <w:tblW w:w="12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66"/>
              <w:gridCol w:w="855"/>
              <w:gridCol w:w="825"/>
              <w:gridCol w:w="870"/>
              <w:gridCol w:w="915"/>
              <w:gridCol w:w="1065"/>
              <w:gridCol w:w="1273"/>
              <w:gridCol w:w="692"/>
              <w:gridCol w:w="692"/>
              <w:gridCol w:w="664"/>
              <w:gridCol w:w="866"/>
              <w:gridCol w:w="934"/>
              <w:gridCol w:w="924"/>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w:t>
                  </w:r>
                </w:p>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形式</w:t>
                  </w:r>
                </w:p>
              </w:tc>
              <w:tc>
                <w:tcPr>
                  <w:tcW w:w="666"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产排污环节</w:t>
                  </w:r>
                </w:p>
              </w:tc>
              <w:tc>
                <w:tcPr>
                  <w:tcW w:w="855"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污染物种类</w:t>
                  </w:r>
                </w:p>
              </w:tc>
              <w:tc>
                <w:tcPr>
                  <w:tcW w:w="825"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废气量</w:t>
                  </w:r>
                  <w:r>
                    <w:rPr>
                      <w:rFonts w:hint="default"/>
                      <w:b/>
                      <w:bCs/>
                      <w:color w:val="auto"/>
                      <w:kern w:val="2"/>
                      <w:sz w:val="21"/>
                      <w:szCs w:val="18"/>
                      <w:highlight w:val="none"/>
                    </w:rPr>
                    <w:t>m</w:t>
                  </w:r>
                  <w:r>
                    <w:rPr>
                      <w:rFonts w:hint="default"/>
                      <w:b/>
                      <w:bCs/>
                      <w:color w:val="auto"/>
                      <w:kern w:val="2"/>
                      <w:sz w:val="21"/>
                      <w:szCs w:val="18"/>
                      <w:highlight w:val="none"/>
                      <w:vertAlign w:val="superscript"/>
                    </w:rPr>
                    <w:t>3</w:t>
                  </w:r>
                  <w:r>
                    <w:rPr>
                      <w:rFonts w:hint="default"/>
                      <w:b/>
                      <w:bCs/>
                      <w:color w:val="auto"/>
                      <w:kern w:val="2"/>
                      <w:sz w:val="21"/>
                      <w:szCs w:val="18"/>
                      <w:highlight w:val="none"/>
                    </w:rPr>
                    <w:t>/h</w:t>
                  </w:r>
                </w:p>
              </w:tc>
              <w:tc>
                <w:tcPr>
                  <w:tcW w:w="2850" w:type="dxa"/>
                  <w:gridSpan w:val="3"/>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产生情况</w:t>
                  </w:r>
                </w:p>
              </w:tc>
              <w:tc>
                <w:tcPr>
                  <w:tcW w:w="3321" w:type="dxa"/>
                  <w:gridSpan w:val="4"/>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治理措施</w:t>
                  </w:r>
                </w:p>
              </w:tc>
              <w:tc>
                <w:tcPr>
                  <w:tcW w:w="2724" w:type="dxa"/>
                  <w:gridSpan w:val="3"/>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排放情况</w:t>
                  </w:r>
                </w:p>
              </w:tc>
              <w:tc>
                <w:tcPr>
                  <w:tcW w:w="754"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w:t>
                  </w:r>
                </w:p>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690"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p>
              </w:tc>
              <w:tc>
                <w:tcPr>
                  <w:tcW w:w="666"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p>
              </w:tc>
              <w:tc>
                <w:tcPr>
                  <w:tcW w:w="855"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p>
              </w:tc>
              <w:tc>
                <w:tcPr>
                  <w:tcW w:w="825"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p>
              </w:tc>
              <w:tc>
                <w:tcPr>
                  <w:tcW w:w="87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产生量t/a</w:t>
                  </w:r>
                </w:p>
              </w:tc>
              <w:tc>
                <w:tcPr>
                  <w:tcW w:w="91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产生速率kg/h</w:t>
                  </w:r>
                </w:p>
              </w:tc>
              <w:tc>
                <w:tcPr>
                  <w:tcW w:w="10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产生浓度mg/m</w:t>
                  </w:r>
                  <w:r>
                    <w:rPr>
                      <w:rFonts w:hint="default"/>
                      <w:b/>
                      <w:color w:val="auto"/>
                      <w:kern w:val="2"/>
                      <w:sz w:val="21"/>
                      <w:highlight w:val="none"/>
                      <w:vertAlign w:val="superscript"/>
                    </w:rPr>
                    <w:t>3</w:t>
                  </w:r>
                </w:p>
              </w:tc>
              <w:tc>
                <w:tcPr>
                  <w:tcW w:w="127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工艺</w:t>
                  </w:r>
                </w:p>
              </w:tc>
              <w:tc>
                <w:tcPr>
                  <w:tcW w:w="69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收集效率</w:t>
                  </w:r>
                </w:p>
              </w:tc>
              <w:tc>
                <w:tcPr>
                  <w:tcW w:w="69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去除效率</w:t>
                  </w:r>
                </w:p>
              </w:tc>
              <w:tc>
                <w:tcPr>
                  <w:tcW w:w="66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是否为可行技术</w:t>
                  </w:r>
                </w:p>
              </w:tc>
              <w:tc>
                <w:tcPr>
                  <w:tcW w:w="866"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排放量t/a</w:t>
                  </w:r>
                </w:p>
              </w:tc>
              <w:tc>
                <w:tcPr>
                  <w:tcW w:w="93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排放速率kg/h</w:t>
                  </w:r>
                </w:p>
              </w:tc>
              <w:tc>
                <w:tcPr>
                  <w:tcW w:w="924"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r>
                    <w:rPr>
                      <w:rFonts w:hint="default"/>
                      <w:b/>
                      <w:color w:val="auto"/>
                      <w:kern w:val="2"/>
                      <w:sz w:val="21"/>
                      <w:highlight w:val="none"/>
                    </w:rPr>
                    <w:t>排放浓度mg/m</w:t>
                  </w:r>
                  <w:r>
                    <w:rPr>
                      <w:rFonts w:hint="default"/>
                      <w:b/>
                      <w:color w:val="auto"/>
                      <w:kern w:val="2"/>
                      <w:sz w:val="21"/>
                      <w:highlight w:val="none"/>
                      <w:vertAlign w:val="superscript"/>
                    </w:rPr>
                    <w:t>3</w:t>
                  </w:r>
                </w:p>
              </w:tc>
              <w:tc>
                <w:tcPr>
                  <w:tcW w:w="754"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color w:val="auto"/>
                      <w:kern w:val="2"/>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DA001</w:t>
                  </w:r>
                </w:p>
              </w:tc>
              <w:tc>
                <w:tcPr>
                  <w:tcW w:w="666" w:type="dxa"/>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退火、</w:t>
                  </w:r>
                  <w:r>
                    <w:rPr>
                      <w:rFonts w:hint="eastAsia"/>
                      <w:bCs/>
                      <w:color w:val="auto"/>
                      <w:sz w:val="21"/>
                      <w:highlight w:val="none"/>
                    </w:rPr>
                    <w:t>热浸</w:t>
                  </w:r>
                  <w:r>
                    <w:rPr>
                      <w:rFonts w:hint="default"/>
                      <w:bCs/>
                      <w:color w:val="auto"/>
                      <w:sz w:val="21"/>
                      <w:highlight w:val="none"/>
                    </w:rPr>
                    <w:t>锡</w:t>
                  </w:r>
                </w:p>
              </w:tc>
              <w:tc>
                <w:tcPr>
                  <w:tcW w:w="855" w:type="dxa"/>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非甲烷总烃</w:t>
                  </w:r>
                </w:p>
              </w:tc>
              <w:tc>
                <w:tcPr>
                  <w:tcW w:w="82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rPr>
                    <w:t>5600</w:t>
                  </w:r>
                </w:p>
              </w:tc>
              <w:tc>
                <w:tcPr>
                  <w:tcW w:w="870"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2.1933 </w:t>
                  </w:r>
                </w:p>
              </w:tc>
              <w:tc>
                <w:tcPr>
                  <w:tcW w:w="91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0.3323 </w:t>
                  </w:r>
                </w:p>
              </w:tc>
              <w:tc>
                <w:tcPr>
                  <w:tcW w:w="106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59.3420 </w:t>
                  </w:r>
                </w:p>
              </w:tc>
              <w:tc>
                <w:tcPr>
                  <w:tcW w:w="1273"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水喷淋+干式过滤器+二级活性炭吸附装置</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80%</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rPr>
                    <w:t>75</w:t>
                  </w:r>
                  <w:r>
                    <w:rPr>
                      <w:rFonts w:hint="default"/>
                      <w:bCs/>
                      <w:color w:val="auto"/>
                      <w:sz w:val="21"/>
                      <w:highlight w:val="none"/>
                    </w:rPr>
                    <w:t>%</w:t>
                  </w:r>
                </w:p>
              </w:tc>
              <w:tc>
                <w:tcPr>
                  <w:tcW w:w="66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是</w:t>
                  </w:r>
                </w:p>
              </w:tc>
              <w:tc>
                <w:tcPr>
                  <w:tcW w:w="866"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0.5483 </w:t>
                  </w:r>
                </w:p>
              </w:tc>
              <w:tc>
                <w:tcPr>
                  <w:tcW w:w="93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0.0831 </w:t>
                  </w:r>
                </w:p>
              </w:tc>
              <w:tc>
                <w:tcPr>
                  <w:tcW w:w="92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14.8355 </w:t>
                  </w:r>
                </w:p>
              </w:tc>
              <w:tc>
                <w:tcPr>
                  <w:tcW w:w="75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p>
              </w:tc>
              <w:tc>
                <w:tcPr>
                  <w:tcW w:w="666"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p>
              </w:tc>
              <w:tc>
                <w:tcPr>
                  <w:tcW w:w="855"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p>
              </w:tc>
              <w:tc>
                <w:tcPr>
                  <w:tcW w:w="82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870"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0.5483 </w:t>
                  </w:r>
                </w:p>
              </w:tc>
              <w:tc>
                <w:tcPr>
                  <w:tcW w:w="91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0.0831 </w:t>
                  </w:r>
                </w:p>
              </w:tc>
              <w:tc>
                <w:tcPr>
                  <w:tcW w:w="106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w:t>
                  </w:r>
                </w:p>
              </w:tc>
              <w:tc>
                <w:tcPr>
                  <w:tcW w:w="1273"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6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866"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0.5483 </w:t>
                  </w:r>
                </w:p>
              </w:tc>
              <w:tc>
                <w:tcPr>
                  <w:tcW w:w="93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0.0831 </w:t>
                  </w:r>
                </w:p>
              </w:tc>
              <w:tc>
                <w:tcPr>
                  <w:tcW w:w="92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w:t>
                  </w:r>
                </w:p>
              </w:tc>
              <w:tc>
                <w:tcPr>
                  <w:tcW w:w="75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highlight w:val="none"/>
                    </w:rPr>
                  </w:pPr>
                </w:p>
              </w:tc>
              <w:tc>
                <w:tcPr>
                  <w:tcW w:w="666" w:type="dxa"/>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rPr>
                    <w:t>热浸</w:t>
                  </w:r>
                  <w:r>
                    <w:rPr>
                      <w:rFonts w:hint="default"/>
                      <w:bCs/>
                      <w:color w:val="auto"/>
                      <w:sz w:val="21"/>
                      <w:highlight w:val="none"/>
                    </w:rPr>
                    <w:t>锡</w:t>
                  </w:r>
                </w:p>
              </w:tc>
              <w:tc>
                <w:tcPr>
                  <w:tcW w:w="855" w:type="dxa"/>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锡及其化合物</w:t>
                  </w:r>
                </w:p>
              </w:tc>
              <w:tc>
                <w:tcPr>
                  <w:tcW w:w="82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rPr>
                    <w:t>5600</w:t>
                  </w:r>
                </w:p>
              </w:tc>
              <w:tc>
                <w:tcPr>
                  <w:tcW w:w="870"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0.0034 </w:t>
                  </w:r>
                </w:p>
              </w:tc>
              <w:tc>
                <w:tcPr>
                  <w:tcW w:w="91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0.0005 </w:t>
                  </w:r>
                </w:p>
              </w:tc>
              <w:tc>
                <w:tcPr>
                  <w:tcW w:w="106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0.09</w:t>
                  </w:r>
                  <w:r>
                    <w:rPr>
                      <w:rFonts w:hint="eastAsia" w:cs="Times New Roman"/>
                      <w:bCs/>
                      <w:color w:val="auto"/>
                      <w:sz w:val="21"/>
                      <w:highlight w:val="none"/>
                      <w:lang w:val="en-US" w:eastAsia="zh-CN"/>
                    </w:rPr>
                    <w:t>20</w:t>
                  </w:r>
                  <w:r>
                    <w:rPr>
                      <w:rFonts w:hint="eastAsia" w:ascii="Times New Roman" w:hAnsi="Times New Roman" w:eastAsia="宋体" w:cs="Times New Roman"/>
                      <w:bCs/>
                      <w:color w:val="auto"/>
                      <w:sz w:val="21"/>
                      <w:highlight w:val="none"/>
                      <w:lang w:val="en-US" w:eastAsia="zh-CN"/>
                    </w:rPr>
                    <w:t xml:space="preserve"> </w:t>
                  </w:r>
                </w:p>
              </w:tc>
              <w:tc>
                <w:tcPr>
                  <w:tcW w:w="1273"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水喷淋+干式过滤器+二级活性炭吸附装置</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80%</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8</w:t>
                  </w:r>
                  <w:r>
                    <w:rPr>
                      <w:rFonts w:hint="eastAsia"/>
                      <w:bCs/>
                      <w:color w:val="auto"/>
                      <w:sz w:val="21"/>
                      <w:highlight w:val="none"/>
                    </w:rPr>
                    <w:t>5</w:t>
                  </w:r>
                  <w:r>
                    <w:rPr>
                      <w:rFonts w:hint="default"/>
                      <w:bCs/>
                      <w:color w:val="auto"/>
                      <w:sz w:val="21"/>
                      <w:highlight w:val="none"/>
                    </w:rPr>
                    <w:t>%</w:t>
                  </w:r>
                </w:p>
              </w:tc>
              <w:tc>
                <w:tcPr>
                  <w:tcW w:w="66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是</w:t>
                  </w:r>
                </w:p>
              </w:tc>
              <w:tc>
                <w:tcPr>
                  <w:tcW w:w="866"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0.000</w:t>
                  </w:r>
                  <w:r>
                    <w:rPr>
                      <w:rFonts w:hint="eastAsia" w:cs="Times New Roman"/>
                      <w:bCs/>
                      <w:color w:val="auto"/>
                      <w:sz w:val="21"/>
                      <w:highlight w:val="none"/>
                      <w:lang w:val="en-US" w:eastAsia="zh-CN"/>
                    </w:rPr>
                    <w:t>5</w:t>
                  </w:r>
                </w:p>
              </w:tc>
              <w:tc>
                <w:tcPr>
                  <w:tcW w:w="93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0.0001 </w:t>
                  </w:r>
                </w:p>
              </w:tc>
              <w:tc>
                <w:tcPr>
                  <w:tcW w:w="92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cs="Times New Roman"/>
                      <w:bCs/>
                      <w:color w:val="auto"/>
                      <w:sz w:val="21"/>
                      <w:highlight w:val="none"/>
                      <w:lang w:val="en-US" w:eastAsia="zh-CN"/>
                    </w:rPr>
                    <w:t>0.0136</w:t>
                  </w:r>
                </w:p>
              </w:tc>
              <w:tc>
                <w:tcPr>
                  <w:tcW w:w="75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90"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p>
              </w:tc>
              <w:tc>
                <w:tcPr>
                  <w:tcW w:w="666"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p>
              </w:tc>
              <w:tc>
                <w:tcPr>
                  <w:tcW w:w="855" w:type="dxa"/>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p>
              </w:tc>
              <w:tc>
                <w:tcPr>
                  <w:tcW w:w="82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870"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0.0008 </w:t>
                  </w:r>
                </w:p>
              </w:tc>
              <w:tc>
                <w:tcPr>
                  <w:tcW w:w="91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 xml:space="preserve">0.0001 </w:t>
                  </w:r>
                </w:p>
              </w:tc>
              <w:tc>
                <w:tcPr>
                  <w:tcW w:w="1065"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rPr>
                  </w:pPr>
                  <w:r>
                    <w:rPr>
                      <w:rFonts w:hint="eastAsia" w:ascii="Times New Roman" w:hAnsi="Times New Roman" w:eastAsia="宋体" w:cs="Times New Roman"/>
                      <w:bCs/>
                      <w:color w:val="auto"/>
                      <w:sz w:val="21"/>
                      <w:highlight w:val="none"/>
                      <w:lang w:val="en-US" w:eastAsia="zh-CN"/>
                    </w:rPr>
                    <w:t>/</w:t>
                  </w:r>
                </w:p>
              </w:tc>
              <w:tc>
                <w:tcPr>
                  <w:tcW w:w="1273"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92"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6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866"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0.0008 </w:t>
                  </w:r>
                </w:p>
              </w:tc>
              <w:tc>
                <w:tcPr>
                  <w:tcW w:w="93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 xml:space="preserve">0.0001 </w:t>
                  </w:r>
                </w:p>
              </w:tc>
              <w:tc>
                <w:tcPr>
                  <w:tcW w:w="92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highlight w:val="none"/>
                      <w:lang w:val="en-US" w:eastAsia="zh-CN"/>
                    </w:rPr>
                  </w:pPr>
                  <w:r>
                    <w:rPr>
                      <w:rFonts w:hint="eastAsia" w:ascii="Times New Roman" w:hAnsi="Times New Roman" w:eastAsia="宋体" w:cs="Times New Roman"/>
                      <w:bCs/>
                      <w:color w:val="auto"/>
                      <w:sz w:val="21"/>
                      <w:highlight w:val="none"/>
                      <w:lang w:val="en-US" w:eastAsia="zh-CN"/>
                    </w:rPr>
                    <w:t>/</w:t>
                  </w:r>
                </w:p>
              </w:tc>
              <w:tc>
                <w:tcPr>
                  <w:tcW w:w="754"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无组织</w:t>
                  </w:r>
                </w:p>
              </w:tc>
            </w:tr>
          </w:tbl>
          <w:p>
            <w:pPr>
              <w:keepNext w:val="0"/>
              <w:keepLines w:val="0"/>
              <w:suppressLineNumbers w:val="0"/>
              <w:autoSpaceDE w:val="0"/>
              <w:autoSpaceDN w:val="0"/>
              <w:adjustRightInd w:val="0"/>
              <w:spacing w:before="0" w:beforeAutospacing="0" w:after="0" w:afterAutospacing="0"/>
              <w:ind w:left="0" w:right="0" w:firstLine="420"/>
              <w:jc w:val="both"/>
              <w:rPr>
                <w:rFonts w:hint="default"/>
                <w:color w:val="auto"/>
                <w:kern w:val="2"/>
                <w:sz w:val="21"/>
                <w:szCs w:val="24"/>
                <w:highlight w:val="none"/>
              </w:rPr>
            </w:pPr>
          </w:p>
        </w:tc>
      </w:tr>
    </w:tbl>
    <w:p>
      <w:pPr>
        <w:rPr>
          <w:color w:val="auto"/>
          <w:highlight w:val="none"/>
        </w:rPr>
        <w:sectPr>
          <w:pgSz w:w="16840" w:h="11907" w:orient="landscape"/>
          <w:pgMar w:top="1531" w:right="1701" w:bottom="1531" w:left="2127" w:header="851" w:footer="851" w:gutter="0"/>
          <w:cols w:space="720" w:num="1"/>
          <w:docGrid w:linePitch="312" w:charSpace="0"/>
        </w:sectPr>
      </w:pPr>
    </w:p>
    <w:tbl>
      <w:tblPr>
        <w:tblStyle w:val="3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6"/>
        <w:gridCol w:w="84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3" w:hRule="atLeast"/>
          <w:jc w:val="center"/>
        </w:trPr>
        <w:tc>
          <w:tcPr>
            <w:tcW w:w="282" w:type="pct"/>
            <w:tcMar>
              <w:left w:w="28" w:type="dxa"/>
              <w:right w:w="28" w:type="dxa"/>
            </w:tcMar>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kern w:val="2"/>
                <w:sz w:val="21"/>
                <w:highlight w:val="none"/>
              </w:rPr>
            </w:pPr>
            <w:r>
              <w:rPr>
                <w:rFonts w:hint="default"/>
                <w:bCs/>
                <w:color w:val="auto"/>
                <w:kern w:val="2"/>
                <w:sz w:val="21"/>
                <w:highlight w:val="none"/>
              </w:rPr>
              <w:t>运营期环境影响和保护</w:t>
            </w:r>
            <w:r>
              <w:rPr>
                <w:rFonts w:hint="default"/>
                <w:bCs/>
                <w:color w:val="auto"/>
                <w:sz w:val="21"/>
                <w:highlight w:val="none"/>
              </w:rPr>
              <w:t>措施</w:t>
            </w:r>
          </w:p>
        </w:tc>
        <w:tc>
          <w:tcPr>
            <w:tcW w:w="4717" w:type="pct"/>
            <w:vAlign w:val="center"/>
          </w:tcPr>
          <w:p>
            <w:pPr>
              <w:keepNext w:val="0"/>
              <w:keepLines w:val="0"/>
              <w:widowControl/>
              <w:suppressLineNumbers w:val="0"/>
              <w:spacing w:before="120" w:beforeLines="50" w:beforeAutospacing="0" w:after="0" w:afterAutospacing="0" w:line="360" w:lineRule="auto"/>
              <w:ind w:left="0" w:right="0" w:firstLine="482"/>
              <w:rPr>
                <w:rFonts w:hint="default"/>
                <w:b/>
                <w:bCs/>
                <w:color w:val="auto"/>
                <w:kern w:val="2"/>
                <w:sz w:val="24"/>
                <w:szCs w:val="24"/>
                <w:highlight w:val="none"/>
              </w:rPr>
            </w:pPr>
            <w:r>
              <w:rPr>
                <w:rFonts w:hint="default"/>
                <w:b/>
                <w:bCs/>
                <w:color w:val="auto"/>
                <w:kern w:val="2"/>
                <w:sz w:val="24"/>
                <w:szCs w:val="24"/>
                <w:highlight w:val="none"/>
              </w:rPr>
              <w:t>2、排放口基本情况</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kern w:val="2"/>
                <w:sz w:val="24"/>
                <w:szCs w:val="24"/>
                <w:highlight w:val="none"/>
              </w:rPr>
              <w:t>项目排放口基本情况见下表。</w:t>
            </w:r>
          </w:p>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4"/>
                <w:szCs w:val="24"/>
                <w:highlight w:val="none"/>
              </w:rPr>
            </w:pPr>
            <w:r>
              <w:rPr>
                <w:rFonts w:hint="default"/>
                <w:b/>
                <w:bCs/>
                <w:color w:val="auto"/>
                <w:kern w:val="2"/>
                <w:sz w:val="24"/>
                <w:szCs w:val="24"/>
                <w:highlight w:val="none"/>
              </w:rPr>
              <w:t>表4-3  项目排放口基本情况一览表</w:t>
            </w:r>
          </w:p>
          <w:tbl>
            <w:tblPr>
              <w:tblStyle w:val="35"/>
              <w:tblW w:w="8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722"/>
              <w:gridCol w:w="1155"/>
              <w:gridCol w:w="1230"/>
              <w:gridCol w:w="1307"/>
              <w:gridCol w:w="505"/>
              <w:gridCol w:w="599"/>
              <w:gridCol w:w="530"/>
              <w:gridCol w:w="953"/>
              <w:gridCol w:w="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编号</w:t>
                  </w:r>
                </w:p>
              </w:tc>
              <w:tc>
                <w:tcPr>
                  <w:tcW w:w="722"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排放口名称</w:t>
                  </w:r>
                </w:p>
              </w:tc>
              <w:tc>
                <w:tcPr>
                  <w:tcW w:w="1155"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污染物种类</w:t>
                  </w:r>
                </w:p>
              </w:tc>
              <w:tc>
                <w:tcPr>
                  <w:tcW w:w="2537" w:type="dxa"/>
                  <w:gridSpan w:val="2"/>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排放口地理坐标</w:t>
                  </w:r>
                </w:p>
              </w:tc>
              <w:tc>
                <w:tcPr>
                  <w:tcW w:w="1104" w:type="dxa"/>
                  <w:gridSpan w:val="2"/>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排气筒</w:t>
                  </w:r>
                </w:p>
              </w:tc>
              <w:tc>
                <w:tcPr>
                  <w:tcW w:w="530"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排气温度/℃</w:t>
                  </w:r>
                </w:p>
              </w:tc>
              <w:tc>
                <w:tcPr>
                  <w:tcW w:w="953"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eastAsia"/>
                      <w:b/>
                      <w:bCs/>
                      <w:color w:val="auto"/>
                      <w:kern w:val="2"/>
                      <w:sz w:val="21"/>
                      <w:szCs w:val="24"/>
                      <w:highlight w:val="none"/>
                    </w:rPr>
                  </w:pPr>
                  <w:r>
                    <w:rPr>
                      <w:rFonts w:hint="eastAsia"/>
                      <w:b/>
                      <w:bCs/>
                      <w:color w:val="auto"/>
                      <w:kern w:val="2"/>
                      <w:sz w:val="21"/>
                      <w:szCs w:val="24"/>
                      <w:highlight w:val="none"/>
                    </w:rPr>
                    <w:t>烟气</w:t>
                  </w:r>
                </w:p>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eastAsia"/>
                      <w:b/>
                      <w:bCs/>
                      <w:color w:val="auto"/>
                      <w:kern w:val="2"/>
                      <w:sz w:val="21"/>
                      <w:szCs w:val="24"/>
                      <w:highlight w:val="none"/>
                    </w:rPr>
                    <w:t>流速（m/s）</w:t>
                  </w:r>
                </w:p>
              </w:tc>
              <w:tc>
                <w:tcPr>
                  <w:tcW w:w="428" w:type="dxa"/>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p>
              </w:tc>
              <w:tc>
                <w:tcPr>
                  <w:tcW w:w="722"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p>
              </w:tc>
              <w:tc>
                <w:tcPr>
                  <w:tcW w:w="1155"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p>
              </w:tc>
              <w:tc>
                <w:tcPr>
                  <w:tcW w:w="1230"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经度</w:t>
                  </w:r>
                </w:p>
              </w:tc>
              <w:tc>
                <w:tcPr>
                  <w:tcW w:w="1307"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纬度</w:t>
                  </w:r>
                </w:p>
              </w:tc>
              <w:tc>
                <w:tcPr>
                  <w:tcW w:w="505"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高度/m</w:t>
                  </w:r>
                </w:p>
              </w:tc>
              <w:tc>
                <w:tcPr>
                  <w:tcW w:w="599"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b/>
                      <w:bCs/>
                      <w:color w:val="auto"/>
                      <w:kern w:val="2"/>
                      <w:sz w:val="21"/>
                      <w:szCs w:val="24"/>
                      <w:highlight w:val="none"/>
                    </w:rPr>
                  </w:pPr>
                  <w:r>
                    <w:rPr>
                      <w:rFonts w:hint="default"/>
                      <w:b/>
                      <w:bCs/>
                      <w:color w:val="auto"/>
                      <w:kern w:val="2"/>
                      <w:sz w:val="21"/>
                      <w:szCs w:val="24"/>
                      <w:highlight w:val="none"/>
                    </w:rPr>
                    <w:t>出口内径/m</w:t>
                  </w:r>
                </w:p>
              </w:tc>
              <w:tc>
                <w:tcPr>
                  <w:tcW w:w="530"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953"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428" w:type="dxa"/>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DA001</w:t>
                  </w:r>
                </w:p>
              </w:tc>
              <w:tc>
                <w:tcPr>
                  <w:tcW w:w="722"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废气排放口</w:t>
                  </w:r>
                </w:p>
              </w:tc>
              <w:tc>
                <w:tcPr>
                  <w:tcW w:w="1155"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非甲烷总烃、锡及其化合物</w:t>
                  </w:r>
                </w:p>
              </w:tc>
              <w:tc>
                <w:tcPr>
                  <w:tcW w:w="123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E114°29'51.816"</w:t>
                  </w:r>
                </w:p>
              </w:tc>
              <w:tc>
                <w:tcPr>
                  <w:tcW w:w="1307"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N23°27'57.714"</w:t>
                  </w:r>
                </w:p>
              </w:tc>
              <w:tc>
                <w:tcPr>
                  <w:tcW w:w="505"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25</w:t>
                  </w:r>
                </w:p>
              </w:tc>
              <w:tc>
                <w:tcPr>
                  <w:tcW w:w="599" w:type="dxa"/>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eastAsia" w:eastAsia="宋体"/>
                      <w:bCs/>
                      <w:color w:val="auto"/>
                      <w:sz w:val="21"/>
                      <w:highlight w:val="none"/>
                      <w:lang w:val="en-US" w:eastAsia="zh-CN"/>
                    </w:rPr>
                  </w:pPr>
                  <w:r>
                    <w:rPr>
                      <w:rFonts w:hint="default"/>
                      <w:bCs/>
                      <w:color w:val="auto"/>
                      <w:sz w:val="21"/>
                      <w:highlight w:val="none"/>
                    </w:rPr>
                    <w:t>0.3</w:t>
                  </w:r>
                  <w:r>
                    <w:rPr>
                      <w:rFonts w:hint="eastAsia"/>
                      <w:bCs/>
                      <w:color w:val="auto"/>
                      <w:sz w:val="21"/>
                      <w:highlight w:val="none"/>
                      <w:lang w:val="en-US" w:eastAsia="zh-CN"/>
                    </w:rPr>
                    <w:t>6</w:t>
                  </w:r>
                </w:p>
              </w:tc>
              <w:tc>
                <w:tcPr>
                  <w:tcW w:w="530"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25</w:t>
                  </w:r>
                </w:p>
              </w:tc>
              <w:tc>
                <w:tcPr>
                  <w:tcW w:w="953" w:type="dxa"/>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lang w:val="en-US"/>
                    </w:rPr>
                  </w:pPr>
                  <w:r>
                    <w:rPr>
                      <w:rFonts w:hint="eastAsia"/>
                      <w:color w:val="auto"/>
                      <w:kern w:val="2"/>
                      <w:sz w:val="21"/>
                      <w:szCs w:val="24"/>
                      <w:highlight w:val="none"/>
                      <w:lang w:val="en-US" w:eastAsia="zh-CN"/>
                    </w:rPr>
                    <w:t>15.29</w:t>
                  </w:r>
                </w:p>
              </w:tc>
              <w:tc>
                <w:tcPr>
                  <w:tcW w:w="428"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一般排放口</w:t>
                  </w:r>
                </w:p>
              </w:tc>
            </w:tr>
          </w:tbl>
          <w:p>
            <w:pPr>
              <w:keepNext w:val="0"/>
              <w:keepLines w:val="0"/>
              <w:widowControl/>
              <w:suppressLineNumbers w:val="0"/>
              <w:spacing w:before="120" w:beforeLines="50" w:beforeAutospacing="0" w:after="0" w:afterAutospacing="0" w:line="360" w:lineRule="auto"/>
              <w:ind w:left="0" w:right="0" w:firstLine="482"/>
              <w:rPr>
                <w:rFonts w:hint="default"/>
                <w:color w:val="auto"/>
                <w:highlight w:val="none"/>
              </w:rPr>
            </w:pPr>
            <w:r>
              <w:rPr>
                <w:rFonts w:hint="default"/>
                <w:b/>
                <w:bCs/>
                <w:color w:val="auto"/>
                <w:kern w:val="2"/>
                <w:sz w:val="24"/>
                <w:szCs w:val="24"/>
                <w:highlight w:val="none"/>
              </w:rPr>
              <w:t>3、监测要求</w:t>
            </w:r>
          </w:p>
          <w:p>
            <w:pPr>
              <w:keepNext w:val="0"/>
              <w:keepLines w:val="0"/>
              <w:suppressLineNumbers w:val="0"/>
              <w:adjustRightInd w:val="0"/>
              <w:spacing w:before="0" w:beforeAutospacing="0" w:after="0" w:afterAutospacing="0" w:line="360" w:lineRule="auto"/>
              <w:ind w:left="0" w:right="0" w:firstLine="440"/>
              <w:rPr>
                <w:rFonts w:hint="default"/>
                <w:color w:val="auto"/>
                <w:highlight w:val="none"/>
              </w:rPr>
            </w:pPr>
            <w:r>
              <w:rPr>
                <w:rFonts w:hint="default"/>
                <w:bCs/>
                <w:color w:val="auto"/>
                <w:spacing w:val="-10"/>
                <w:sz w:val="24"/>
                <w:szCs w:val="24"/>
                <w:highlight w:val="none"/>
              </w:rPr>
              <w:t>根据《固定污染源排污许可分类管理名录（2019年版）》（部令第11号），</w:t>
            </w:r>
            <w:r>
              <w:rPr>
                <w:rFonts w:hint="eastAsia"/>
                <w:bCs/>
                <w:color w:val="auto"/>
                <w:spacing w:val="-10"/>
                <w:sz w:val="24"/>
                <w:szCs w:val="24"/>
                <w:highlight w:val="none"/>
              </w:rPr>
              <w:t>项目</w:t>
            </w:r>
            <w:r>
              <w:rPr>
                <w:rFonts w:hint="default"/>
                <w:bCs/>
                <w:color w:val="auto"/>
                <w:spacing w:val="-10"/>
                <w:sz w:val="24"/>
                <w:szCs w:val="24"/>
                <w:highlight w:val="none"/>
              </w:rPr>
              <w:t>属于登记管理类排污单位，参照《排污单位自行监测技术指南 总则》（HJ819-2017），项目运营期废气监测计划如下。</w:t>
            </w:r>
          </w:p>
          <w:p>
            <w:pPr>
              <w:keepNext w:val="0"/>
              <w:keepLines w:val="0"/>
              <w:widowControl/>
              <w:suppressLineNumbers w:val="0"/>
              <w:adjustRightInd w:val="0"/>
              <w:spacing w:before="0" w:beforeAutospacing="0" w:after="0" w:afterAutospacing="0" w:line="240" w:lineRule="auto"/>
              <w:ind w:left="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表4-4  监测要求一览表</w:t>
            </w:r>
          </w:p>
          <w:tbl>
            <w:tblPr>
              <w:tblStyle w:val="3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
              <w:gridCol w:w="1037"/>
              <w:gridCol w:w="1034"/>
              <w:gridCol w:w="963"/>
              <w:gridCol w:w="1194"/>
              <w:gridCol w:w="904"/>
              <w:gridCol w:w="2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0" w:type="pct"/>
                  <w:gridSpan w:val="2"/>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监测点位</w:t>
                  </w:r>
                </w:p>
              </w:tc>
              <w:tc>
                <w:tcPr>
                  <w:tcW w:w="627" w:type="pct"/>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因子</w:t>
                  </w:r>
                </w:p>
              </w:tc>
              <w:tc>
                <w:tcPr>
                  <w:tcW w:w="584" w:type="pct"/>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频率</w:t>
                  </w:r>
                </w:p>
              </w:tc>
              <w:tc>
                <w:tcPr>
                  <w:tcW w:w="2808" w:type="pct"/>
                  <w:gridSpan w:val="3"/>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编号</w:t>
                  </w:r>
                </w:p>
              </w:tc>
              <w:tc>
                <w:tcPr>
                  <w:tcW w:w="62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名称</w:t>
                  </w:r>
                </w:p>
              </w:tc>
              <w:tc>
                <w:tcPr>
                  <w:tcW w:w="627"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p>
              </w:tc>
              <w:tc>
                <w:tcPr>
                  <w:tcW w:w="584"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最高允许</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排放浓度</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mg/m</w:t>
                  </w:r>
                  <w:r>
                    <w:rPr>
                      <w:rFonts w:hint="default"/>
                      <w:b/>
                      <w:bCs/>
                      <w:color w:val="auto"/>
                      <w:kern w:val="2"/>
                      <w:sz w:val="21"/>
                      <w:szCs w:val="24"/>
                      <w:highlight w:val="none"/>
                      <w:vertAlign w:val="superscript"/>
                    </w:rPr>
                    <w:t>3</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最高允许排放速率kg/h</w:t>
                  </w:r>
                </w:p>
              </w:tc>
              <w:tc>
                <w:tcPr>
                  <w:tcW w:w="1535"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DA001</w:t>
                  </w:r>
                </w:p>
              </w:tc>
              <w:tc>
                <w:tcPr>
                  <w:tcW w:w="628" w:type="pct"/>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废气排放口</w:t>
                  </w:r>
                </w:p>
              </w:tc>
              <w:tc>
                <w:tcPr>
                  <w:tcW w:w="627"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非甲烷总烃</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eastAsiaTheme="minorEastAsia"/>
                      <w:bCs/>
                      <w:color w:val="auto"/>
                      <w:kern w:val="2"/>
                      <w:sz w:val="21"/>
                      <w:highlight w:val="none"/>
                      <w:lang w:bidi="ar"/>
                    </w:rPr>
                    <w:t>1次/半年</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80</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w:t>
                  </w:r>
                </w:p>
              </w:tc>
              <w:tc>
                <w:tcPr>
                  <w:tcW w:w="1535"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szCs w:val="24"/>
                      <w:highlight w:val="none"/>
                    </w:rPr>
                  </w:pPr>
                  <w:r>
                    <w:rPr>
                      <w:rFonts w:hint="default"/>
                      <w:color w:val="auto"/>
                      <w:kern w:val="2"/>
                      <w:sz w:val="21"/>
                      <w:highlight w:val="none"/>
                    </w:rPr>
                    <w:t>《固定污染源挥发性有机物综合排放标准》（DB44/2367-2022）表1挥发性有机物排放限值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8"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7" w:type="pct"/>
                  <w:vAlign w:val="center"/>
                </w:tcPr>
                <w:p>
                  <w:pPr>
                    <w:pStyle w:val="109"/>
                    <w:keepNext w:val="0"/>
                    <w:keepLines w:val="0"/>
                    <w:suppressLineNumbers w:val="0"/>
                    <w:spacing w:before="0" w:beforeAutospacing="0" w:after="0" w:afterAutospacing="0" w:line="240" w:lineRule="auto"/>
                    <w:ind w:left="0" w:right="0" w:firstLine="0" w:firstLineChars="0"/>
                    <w:rPr>
                      <w:rFonts w:hint="default" w:eastAsia="宋体"/>
                      <w:b w:val="0"/>
                      <w:color w:val="auto"/>
                      <w:szCs w:val="24"/>
                      <w:highlight w:val="none"/>
                    </w:rPr>
                  </w:pPr>
                  <w:r>
                    <w:rPr>
                      <w:rFonts w:hint="eastAsia" w:eastAsia="宋体"/>
                      <w:b w:val="0"/>
                      <w:color w:val="auto"/>
                      <w:szCs w:val="24"/>
                      <w:highlight w:val="none"/>
                    </w:rPr>
                    <w:t>TVOC</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1次/年</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eastAsia"/>
                      <w:color w:val="auto"/>
                      <w:kern w:val="2"/>
                      <w:sz w:val="21"/>
                      <w:szCs w:val="24"/>
                      <w:highlight w:val="none"/>
                    </w:rPr>
                    <w:t>100</w:t>
                  </w:r>
                </w:p>
              </w:tc>
              <w:tc>
                <w:tcPr>
                  <w:tcW w:w="548" w:type="pct"/>
                  <w:vAlign w:val="center"/>
                </w:tcPr>
                <w:p>
                  <w:pPr>
                    <w:keepNext w:val="0"/>
                    <w:keepLines w:val="0"/>
                    <w:suppressLineNumbers w:val="0"/>
                    <w:spacing w:before="0" w:beforeAutospacing="0" w:after="0" w:afterAutospacing="0" w:line="240" w:lineRule="auto"/>
                    <w:ind w:left="0" w:right="0" w:firstLine="420"/>
                    <w:jc w:val="center"/>
                    <w:rPr>
                      <w:rFonts w:hint="default"/>
                      <w:color w:val="auto"/>
                      <w:kern w:val="2"/>
                      <w:sz w:val="21"/>
                      <w:szCs w:val="24"/>
                      <w:highlight w:val="none"/>
                    </w:rPr>
                  </w:pPr>
                  <w:r>
                    <w:rPr>
                      <w:rFonts w:hint="eastAsia"/>
                      <w:color w:val="auto"/>
                      <w:kern w:val="2"/>
                      <w:sz w:val="21"/>
                      <w:szCs w:val="24"/>
                      <w:highlight w:val="none"/>
                    </w:rPr>
                    <w:t>/</w:t>
                  </w:r>
                </w:p>
              </w:tc>
              <w:tc>
                <w:tcPr>
                  <w:tcW w:w="1535"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szCs w:val="24"/>
                      <w:highlight w:val="none"/>
                    </w:rPr>
                  </w:pPr>
                  <w:r>
                    <w:rPr>
                      <w:rFonts w:hint="eastAsia"/>
                      <w:color w:val="auto"/>
                      <w:kern w:val="2"/>
                      <w:sz w:val="21"/>
                      <w:szCs w:val="24"/>
                      <w:highlight w:val="none"/>
                    </w:rPr>
                    <w:t>广东省《固定污染源挥发性有机物综合排放标准》（DB44/2367-2022）表1标准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8"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7"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锡及其化合物</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1次/年</w:t>
                  </w:r>
                </w:p>
              </w:tc>
              <w:tc>
                <w:tcPr>
                  <w:tcW w:w="724" w:type="pct"/>
                  <w:vAlign w:val="center"/>
                </w:tcPr>
                <w:p>
                  <w:pPr>
                    <w:pStyle w:val="115"/>
                    <w:keepNext w:val="0"/>
                    <w:keepLines w:val="0"/>
                    <w:suppressLineNumbers w:val="0"/>
                    <w:adjustRightInd/>
                    <w:spacing w:before="0" w:beforeAutospacing="0" w:after="0" w:afterAutospacing="0" w:line="240" w:lineRule="auto"/>
                    <w:ind w:left="0" w:right="0" w:firstLine="0" w:firstLineChars="0"/>
                    <w:rPr>
                      <w:rFonts w:hint="default" w:ascii="Times New Roman" w:hAnsi="Times New Roman"/>
                      <w:color w:val="auto"/>
                      <w:kern w:val="2"/>
                      <w:sz w:val="21"/>
                      <w:szCs w:val="24"/>
                      <w:highlight w:val="none"/>
                      <w:lang w:eastAsia="zh-CN"/>
                    </w:rPr>
                  </w:pPr>
                  <w:r>
                    <w:rPr>
                      <w:rFonts w:hint="default" w:ascii="Times New Roman" w:hAnsi="Times New Roman" w:eastAsiaTheme="minorEastAsia"/>
                      <w:bCs/>
                      <w:color w:val="auto"/>
                      <w:kern w:val="2"/>
                      <w:sz w:val="21"/>
                      <w:highlight w:val="none"/>
                      <w:lang w:eastAsia="zh-CN" w:bidi="ar"/>
                    </w:rPr>
                    <w:t>8.5</w:t>
                  </w:r>
                </w:p>
              </w:tc>
              <w:tc>
                <w:tcPr>
                  <w:tcW w:w="548"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eastAsiaTheme="minorEastAsia"/>
                      <w:bCs/>
                      <w:color w:val="auto"/>
                      <w:kern w:val="2"/>
                      <w:sz w:val="21"/>
                      <w:highlight w:val="none"/>
                      <w:lang w:bidi="ar"/>
                    </w:rPr>
                  </w:pPr>
                  <w:r>
                    <w:rPr>
                      <w:rFonts w:hint="default" w:eastAsiaTheme="minorEastAsia"/>
                      <w:bCs/>
                      <w:color w:val="auto"/>
                      <w:kern w:val="2"/>
                      <w:sz w:val="21"/>
                      <w:highlight w:val="none"/>
                      <w:lang w:bidi="ar"/>
                    </w:rPr>
                    <w:t>0.48</w:t>
                  </w:r>
                </w:p>
              </w:tc>
              <w:tc>
                <w:tcPr>
                  <w:tcW w:w="1535" w:type="pct"/>
                  <w:vAlign w:val="center"/>
                </w:tcPr>
                <w:p>
                  <w:pPr>
                    <w:keepNext w:val="0"/>
                    <w:keepLines w:val="0"/>
                    <w:suppressLineNumbers w:val="0"/>
                    <w:spacing w:before="0" w:beforeAutospacing="0" w:after="0" w:afterAutospacing="0" w:line="240" w:lineRule="auto"/>
                    <w:ind w:left="0" w:right="0" w:firstLine="0" w:firstLineChars="0"/>
                    <w:jc w:val="both"/>
                    <w:rPr>
                      <w:rFonts w:hint="default"/>
                      <w:color w:val="auto"/>
                      <w:kern w:val="2"/>
                      <w:sz w:val="21"/>
                      <w:szCs w:val="24"/>
                      <w:highlight w:val="none"/>
                    </w:rPr>
                  </w:pPr>
                  <w:r>
                    <w:rPr>
                      <w:rFonts w:hint="default"/>
                      <w:color w:val="auto"/>
                      <w:sz w:val="21"/>
                      <w:highlight w:val="none"/>
                    </w:rPr>
                    <w:t>广东省《大气污染物排放限值》（DB44/27-2001）中第二时段二级标准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无组织废气</w:t>
                  </w:r>
                </w:p>
              </w:tc>
              <w:tc>
                <w:tcPr>
                  <w:tcW w:w="628" w:type="pct"/>
                  <w:vMerge w:val="restart"/>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r>
                    <w:rPr>
                      <w:rFonts w:hint="default"/>
                      <w:color w:val="auto"/>
                      <w:kern w:val="2"/>
                      <w:sz w:val="21"/>
                      <w:szCs w:val="24"/>
                      <w:highlight w:val="none"/>
                    </w:rPr>
                    <w:t>厂界</w:t>
                  </w:r>
                </w:p>
              </w:tc>
              <w:tc>
                <w:tcPr>
                  <w:tcW w:w="627"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非甲烷总烃</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Theme="minorEastAsia"/>
                      <w:color w:val="auto"/>
                      <w:sz w:val="21"/>
                      <w:highlight w:val="none"/>
                    </w:rPr>
                  </w:pPr>
                  <w:r>
                    <w:rPr>
                      <w:rFonts w:hint="default" w:eastAsiaTheme="minorEastAsia"/>
                      <w:color w:val="auto"/>
                      <w:sz w:val="21"/>
                      <w:highlight w:val="none"/>
                    </w:rPr>
                    <w:t>1次/年</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Theme="minorEastAsia"/>
                      <w:color w:val="auto"/>
                      <w:sz w:val="21"/>
                      <w:highlight w:val="none"/>
                    </w:rPr>
                  </w:pPr>
                  <w:r>
                    <w:rPr>
                      <w:rFonts w:hint="default" w:eastAsiaTheme="minorEastAsia"/>
                      <w:color w:val="auto"/>
                      <w:sz w:val="21"/>
                      <w:highlight w:val="none"/>
                    </w:rPr>
                    <w:t>4.0</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Theme="minorEastAsia"/>
                      <w:color w:val="auto"/>
                      <w:sz w:val="21"/>
                      <w:highlight w:val="none"/>
                    </w:rPr>
                  </w:pPr>
                  <w:r>
                    <w:rPr>
                      <w:rFonts w:hint="default" w:eastAsiaTheme="minorEastAsia"/>
                      <w:color w:val="auto"/>
                      <w:sz w:val="21"/>
                      <w:highlight w:val="none"/>
                    </w:rPr>
                    <w:t>/</w:t>
                  </w:r>
                </w:p>
              </w:tc>
              <w:tc>
                <w:tcPr>
                  <w:tcW w:w="1535" w:type="pct"/>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sz w:val="21"/>
                      <w:highlight w:val="none"/>
                    </w:rPr>
                    <w:t>广东省《大气污染物排放限值》（DB44/27-2001）第二时段无组织排放监控浓度限值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8"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7"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eastAsiaTheme="minorEastAsia"/>
                      <w:color w:val="auto"/>
                      <w:sz w:val="21"/>
                      <w:highlight w:val="none"/>
                    </w:rPr>
                  </w:pPr>
                  <w:r>
                    <w:rPr>
                      <w:rFonts w:hint="default" w:eastAsiaTheme="minorEastAsia"/>
                      <w:color w:val="auto"/>
                      <w:sz w:val="21"/>
                      <w:highlight w:val="none"/>
                    </w:rPr>
                    <w:t>锡及其化合物</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1次/年</w:t>
                  </w:r>
                </w:p>
              </w:tc>
              <w:tc>
                <w:tcPr>
                  <w:tcW w:w="724"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eastAsiaTheme="minorEastAsia"/>
                      <w:bCs/>
                      <w:color w:val="auto"/>
                      <w:kern w:val="2"/>
                      <w:sz w:val="21"/>
                      <w:highlight w:val="none"/>
                      <w:lang w:bidi="ar"/>
                    </w:rPr>
                    <w:t>0.24</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w:t>
                  </w:r>
                </w:p>
              </w:tc>
              <w:tc>
                <w:tcPr>
                  <w:tcW w:w="1535"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8" w:type="pct"/>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rPr>
                    <w:t>厂区内</w:t>
                  </w:r>
                </w:p>
              </w:tc>
              <w:tc>
                <w:tcPr>
                  <w:tcW w:w="627" w:type="pct"/>
                  <w:vMerge w:val="restar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eastAsiaTheme="minorEastAsia"/>
                      <w:color w:val="auto"/>
                      <w:sz w:val="21"/>
                      <w:highlight w:val="none"/>
                    </w:rPr>
                  </w:pPr>
                  <w:r>
                    <w:rPr>
                      <w:rFonts w:hint="default" w:eastAsiaTheme="minorEastAsia"/>
                      <w:color w:val="auto"/>
                      <w:sz w:val="21"/>
                      <w:highlight w:val="none"/>
                    </w:rPr>
                    <w:t>非甲烷总烃</w:t>
                  </w: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1次/年</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6</w:t>
                  </w:r>
                  <w:r>
                    <w:rPr>
                      <w:rFonts w:hint="eastAsia"/>
                      <w:color w:val="auto"/>
                      <w:sz w:val="21"/>
                      <w:highlight w:val="none"/>
                    </w:rPr>
                    <w:t>（</w:t>
                  </w:r>
                  <w:r>
                    <w:rPr>
                      <w:rFonts w:hint="default"/>
                      <w:color w:val="auto"/>
                      <w:sz w:val="21"/>
                      <w:highlight w:val="none"/>
                    </w:rPr>
                    <w:t>厂区内监控点处1h平均浓度值</w:t>
                  </w:r>
                  <w:r>
                    <w:rPr>
                      <w:rFonts w:hint="eastAsia"/>
                      <w:color w:val="auto"/>
                      <w:sz w:val="21"/>
                      <w:highlight w:val="none"/>
                    </w:rPr>
                    <w:t>）</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w:t>
                  </w:r>
                </w:p>
              </w:tc>
              <w:tc>
                <w:tcPr>
                  <w:tcW w:w="1535" w:type="pct"/>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广东省《固定污染源挥发性有机物综合排放标准》（DB44/2367-2022）中表3厂区内 VOCs 无组织排放限值要求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351" w:type="pct"/>
                  <w:vMerge w:val="continue"/>
                  <w:vAlign w:val="center"/>
                </w:tcPr>
                <w:p>
                  <w:pPr>
                    <w:keepNext w:val="0"/>
                    <w:keepLines w:val="0"/>
                    <w:suppressLineNumbers w:val="0"/>
                    <w:spacing w:before="0" w:beforeAutospacing="0" w:after="0" w:afterAutospacing="0" w:line="240" w:lineRule="auto"/>
                    <w:ind w:left="0" w:right="0" w:firstLine="0" w:firstLineChars="0"/>
                    <w:jc w:val="center"/>
                    <w:textAlignment w:val="baseline"/>
                    <w:rPr>
                      <w:rFonts w:hint="default"/>
                      <w:color w:val="auto"/>
                      <w:kern w:val="2"/>
                      <w:sz w:val="21"/>
                      <w:szCs w:val="24"/>
                      <w:highlight w:val="none"/>
                    </w:rPr>
                  </w:pPr>
                </w:p>
              </w:tc>
              <w:tc>
                <w:tcPr>
                  <w:tcW w:w="628"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627"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c>
                <w:tcPr>
                  <w:tcW w:w="58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1次/年</w:t>
                  </w:r>
                </w:p>
              </w:tc>
              <w:tc>
                <w:tcPr>
                  <w:tcW w:w="724"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20</w:t>
                  </w:r>
                  <w:r>
                    <w:rPr>
                      <w:rFonts w:hint="eastAsia"/>
                      <w:color w:val="auto"/>
                      <w:sz w:val="21"/>
                      <w:highlight w:val="none"/>
                    </w:rPr>
                    <w:t>（</w:t>
                  </w:r>
                  <w:r>
                    <w:rPr>
                      <w:rFonts w:hint="default"/>
                      <w:color w:val="auto"/>
                      <w:sz w:val="21"/>
                      <w:highlight w:val="none"/>
                    </w:rPr>
                    <w:t>厂区内监控点处任意一次浓度值</w:t>
                  </w:r>
                  <w:r>
                    <w:rPr>
                      <w:rFonts w:hint="eastAsia"/>
                      <w:color w:val="auto"/>
                      <w:sz w:val="21"/>
                      <w:highlight w:val="none"/>
                    </w:rPr>
                    <w:t>）</w:t>
                  </w:r>
                </w:p>
              </w:tc>
              <w:tc>
                <w:tcPr>
                  <w:tcW w:w="548"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w:t>
                  </w:r>
                </w:p>
              </w:tc>
              <w:tc>
                <w:tcPr>
                  <w:tcW w:w="1535" w:type="pct"/>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rPr>
                  </w:pP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b/>
                <w:bCs/>
                <w:color w:val="auto"/>
                <w:kern w:val="2"/>
                <w:sz w:val="24"/>
                <w:szCs w:val="24"/>
                <w:highlight w:val="none"/>
              </w:rPr>
            </w:pPr>
            <w:r>
              <w:rPr>
                <w:rFonts w:hint="default"/>
                <w:b/>
                <w:bCs/>
                <w:color w:val="auto"/>
                <w:kern w:val="2"/>
                <w:sz w:val="24"/>
                <w:szCs w:val="24"/>
                <w:highlight w:val="none"/>
              </w:rPr>
              <w:t>4、非正常工况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b/>
                <w:bCs/>
                <w:color w:val="auto"/>
                <w:kern w:val="2"/>
                <w:sz w:val="24"/>
                <w:szCs w:val="24"/>
                <w:highlight w:val="none"/>
              </w:rPr>
            </w:pPr>
            <w:r>
              <w:rPr>
                <w:rFonts w:hint="default"/>
                <w:bCs/>
                <w:snapToGrid w:val="0"/>
                <w:color w:val="auto"/>
                <w:sz w:val="24"/>
                <w:szCs w:val="24"/>
                <w:highlight w:val="none"/>
                <w:lang w:bidi="ar"/>
              </w:rPr>
              <w:t>非正常情况指生产过程中生产设备开停、检修、工艺设备运转异常等非正常工况下的污染物排放，以及污染物排放控制达不到应有效率等情况下的排放。本次评价废气非正常工况排放为主要考虑项目废气治理措施出现故障状态下的排放，即去除效率为</w:t>
            </w:r>
            <w:r>
              <w:rPr>
                <w:rFonts w:hint="eastAsia"/>
                <w:bCs/>
                <w:snapToGrid w:val="0"/>
                <w:color w:val="auto"/>
                <w:sz w:val="24"/>
                <w:szCs w:val="24"/>
                <w:highlight w:val="none"/>
                <w:lang w:bidi="ar"/>
              </w:rPr>
              <w:t>20%</w:t>
            </w:r>
            <w:r>
              <w:rPr>
                <w:rFonts w:hint="default"/>
                <w:bCs/>
                <w:snapToGrid w:val="0"/>
                <w:color w:val="auto"/>
                <w:sz w:val="24"/>
                <w:szCs w:val="24"/>
                <w:highlight w:val="none"/>
                <w:lang w:bidi="ar"/>
              </w:rPr>
              <w:t>的排放。本项目废气非正常工况具体见下表</w:t>
            </w:r>
            <w:r>
              <w:rPr>
                <w:rFonts w:hint="eastAsia"/>
                <w:bCs/>
                <w:snapToGrid w:val="0"/>
                <w:color w:val="auto"/>
                <w:sz w:val="24"/>
                <w:szCs w:val="24"/>
                <w:highlight w:val="none"/>
                <w:lang w:bidi="ar"/>
              </w:rPr>
              <w:t>。</w:t>
            </w:r>
          </w:p>
          <w:p>
            <w:pPr>
              <w:keepNext w:val="0"/>
              <w:keepLines w:val="0"/>
              <w:widowControl/>
              <w:suppressLineNumbers w:val="0"/>
              <w:adjustRightInd w:val="0"/>
              <w:spacing w:before="0" w:beforeAutospacing="0" w:after="0" w:afterAutospacing="0" w:line="240" w:lineRule="auto"/>
              <w:ind w:left="0" w:right="0" w:firstLine="482"/>
              <w:jc w:val="center"/>
              <w:rPr>
                <w:rFonts w:hint="default"/>
                <w:b/>
                <w:bCs/>
                <w:color w:val="auto"/>
                <w:kern w:val="2"/>
                <w:sz w:val="24"/>
                <w:szCs w:val="24"/>
                <w:highlight w:val="none"/>
              </w:rPr>
            </w:pPr>
            <w:r>
              <w:rPr>
                <w:rFonts w:hint="default"/>
                <w:b/>
                <w:bCs/>
                <w:color w:val="auto"/>
                <w:kern w:val="2"/>
                <w:sz w:val="24"/>
                <w:szCs w:val="24"/>
                <w:highlight w:val="none"/>
              </w:rPr>
              <w:t>表4-5  非正常工况大气污染物一览表</w:t>
            </w:r>
          </w:p>
          <w:tbl>
            <w:tblPr>
              <w:tblStyle w:val="36"/>
              <w:tblW w:w="8386" w:type="dxa"/>
              <w:tblInd w:w="-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021"/>
              <w:gridCol w:w="892"/>
              <w:gridCol w:w="658"/>
              <w:gridCol w:w="835"/>
              <w:gridCol w:w="850"/>
              <w:gridCol w:w="865"/>
              <w:gridCol w:w="475"/>
              <w:gridCol w:w="480"/>
              <w:gridCol w:w="73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非正常排放源</w:t>
                  </w:r>
                </w:p>
              </w:tc>
              <w:tc>
                <w:tcPr>
                  <w:tcW w:w="60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污染物名称</w:t>
                  </w:r>
                </w:p>
              </w:tc>
              <w:tc>
                <w:tcPr>
                  <w:tcW w:w="531"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非正常工况</w:t>
                  </w:r>
                </w:p>
              </w:tc>
              <w:tc>
                <w:tcPr>
                  <w:tcW w:w="39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废气量</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m</w:t>
                  </w:r>
                  <w:r>
                    <w:rPr>
                      <w:rFonts w:hint="default"/>
                      <w:b/>
                      <w:bCs/>
                      <w:color w:val="auto"/>
                      <w:kern w:val="2"/>
                      <w:sz w:val="21"/>
                      <w:szCs w:val="24"/>
                      <w:highlight w:val="none"/>
                      <w:vertAlign w:val="superscript"/>
                    </w:rPr>
                    <w:t>3</w:t>
                  </w:r>
                  <w:r>
                    <w:rPr>
                      <w:rFonts w:hint="default"/>
                      <w:b/>
                      <w:bCs/>
                      <w:color w:val="auto"/>
                      <w:kern w:val="2"/>
                      <w:sz w:val="21"/>
                      <w:szCs w:val="24"/>
                      <w:highlight w:val="none"/>
                    </w:rPr>
                    <w:t>/h</w:t>
                  </w:r>
                </w:p>
              </w:tc>
              <w:tc>
                <w:tcPr>
                  <w:tcW w:w="497"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源强kg/h</w:t>
                  </w:r>
                </w:p>
              </w:tc>
              <w:tc>
                <w:tcPr>
                  <w:tcW w:w="506"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排放</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浓度mg/m</w:t>
                  </w:r>
                  <w:r>
                    <w:rPr>
                      <w:rFonts w:hint="default"/>
                      <w:b/>
                      <w:bCs/>
                      <w:color w:val="auto"/>
                      <w:kern w:val="2"/>
                      <w:sz w:val="21"/>
                      <w:szCs w:val="24"/>
                      <w:highlight w:val="none"/>
                      <w:vertAlign w:val="superscript"/>
                    </w:rPr>
                    <w:t>3</w:t>
                  </w:r>
                </w:p>
              </w:tc>
              <w:tc>
                <w:tcPr>
                  <w:tcW w:w="515"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eastAsia"/>
                      <w:b/>
                      <w:bCs/>
                      <w:color w:val="auto"/>
                      <w:kern w:val="2"/>
                      <w:sz w:val="21"/>
                      <w:szCs w:val="24"/>
                      <w:highlight w:val="none"/>
                    </w:rPr>
                    <w:t>排放量</w:t>
                  </w:r>
                  <w:r>
                    <w:rPr>
                      <w:rFonts w:hint="eastAsia"/>
                      <w:b/>
                      <w:bCs/>
                      <w:color w:val="auto"/>
                      <w:kern w:val="2"/>
                      <w:sz w:val="21"/>
                      <w:szCs w:val="24"/>
                      <w:highlight w:val="none"/>
                      <w:lang w:val="en-US" w:eastAsia="zh-CN"/>
                    </w:rPr>
                    <w:t>kg</w:t>
                  </w:r>
                  <w:r>
                    <w:rPr>
                      <w:rFonts w:hint="eastAsia"/>
                      <w:b/>
                      <w:bCs/>
                      <w:color w:val="auto"/>
                      <w:kern w:val="2"/>
                      <w:sz w:val="21"/>
                      <w:szCs w:val="24"/>
                      <w:highlight w:val="none"/>
                    </w:rPr>
                    <w:t>/a</w:t>
                  </w:r>
                </w:p>
              </w:tc>
              <w:tc>
                <w:tcPr>
                  <w:tcW w:w="283"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源高m</w:t>
                  </w:r>
                </w:p>
              </w:tc>
              <w:tc>
                <w:tcPr>
                  <w:tcW w:w="286"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单次持续时间</w:t>
                  </w:r>
                </w:p>
              </w:tc>
              <w:tc>
                <w:tcPr>
                  <w:tcW w:w="43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eastAsia"/>
                      <w:b/>
                      <w:bCs/>
                      <w:color w:val="auto"/>
                      <w:sz w:val="21"/>
                      <w:highlight w:val="none"/>
                    </w:rPr>
                    <w:t>年发生频次（次）</w:t>
                  </w:r>
                </w:p>
              </w:tc>
              <w:tc>
                <w:tcPr>
                  <w:tcW w:w="500"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应对</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438"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DA001废气排放口</w:t>
                  </w:r>
                </w:p>
              </w:tc>
              <w:tc>
                <w:tcPr>
                  <w:tcW w:w="608"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both"/>
                    <w:rPr>
                      <w:rFonts w:hint="default" w:eastAsiaTheme="minorEastAsia"/>
                      <w:color w:val="auto"/>
                      <w:sz w:val="21"/>
                      <w:highlight w:val="none"/>
                    </w:rPr>
                  </w:pPr>
                  <w:r>
                    <w:rPr>
                      <w:rFonts w:hint="default" w:eastAsiaTheme="minorEastAsia"/>
                      <w:color w:val="auto"/>
                      <w:sz w:val="21"/>
                      <w:highlight w:val="none"/>
                    </w:rPr>
                    <w:t>非甲烷总烃</w:t>
                  </w:r>
                </w:p>
              </w:tc>
              <w:tc>
                <w:tcPr>
                  <w:tcW w:w="531"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r>
                    <w:rPr>
                      <w:rFonts w:hint="eastAsia" w:ascii="Times New Roman" w:hAnsi="Times New Roman" w:eastAsia="宋体" w:cs="Times New Roman"/>
                      <w:b w:val="0"/>
                      <w:bCs w:val="0"/>
                      <w:color w:val="auto"/>
                      <w:sz w:val="21"/>
                      <w:szCs w:val="21"/>
                      <w:highlight w:val="none"/>
                      <w:vertAlign w:val="baseline"/>
                      <w:lang w:val="en-US" w:eastAsia="zh-CN"/>
                    </w:rPr>
                    <w:t>废气治理设施失效，处理效率下降为20%</w:t>
                  </w:r>
                </w:p>
              </w:tc>
              <w:tc>
                <w:tcPr>
                  <w:tcW w:w="392"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eastAsia"/>
                      <w:color w:val="auto"/>
                      <w:kern w:val="2"/>
                      <w:sz w:val="21"/>
                      <w:szCs w:val="24"/>
                      <w:highlight w:val="none"/>
                    </w:rPr>
                    <w:t>5600</w:t>
                  </w:r>
                </w:p>
              </w:tc>
              <w:tc>
                <w:tcPr>
                  <w:tcW w:w="49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0.2659</w:t>
                  </w:r>
                </w:p>
              </w:tc>
              <w:tc>
                <w:tcPr>
                  <w:tcW w:w="506"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lang w:val="en-US"/>
                    </w:rPr>
                  </w:pPr>
                  <w:r>
                    <w:rPr>
                      <w:rFonts w:hint="eastAsia"/>
                      <w:color w:val="auto"/>
                      <w:kern w:val="2"/>
                      <w:sz w:val="21"/>
                      <w:szCs w:val="24"/>
                      <w:highlight w:val="none"/>
                      <w:lang w:val="en-US" w:eastAsia="zh-CN"/>
                    </w:rPr>
                    <w:t>47.4736</w:t>
                  </w:r>
                </w:p>
              </w:tc>
              <w:tc>
                <w:tcPr>
                  <w:tcW w:w="51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0.2659</w:t>
                  </w:r>
                </w:p>
              </w:tc>
              <w:tc>
                <w:tcPr>
                  <w:tcW w:w="283"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w:t>
                  </w:r>
                </w:p>
              </w:tc>
              <w:tc>
                <w:tcPr>
                  <w:tcW w:w="286"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1h</w:t>
                  </w:r>
                </w:p>
              </w:tc>
              <w:tc>
                <w:tcPr>
                  <w:tcW w:w="43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eastAsia"/>
                      <w:color w:val="auto"/>
                      <w:kern w:val="2"/>
                      <w:sz w:val="21"/>
                      <w:szCs w:val="24"/>
                      <w:highlight w:val="none"/>
                    </w:rPr>
                    <w:t>1</w:t>
                  </w:r>
                </w:p>
              </w:tc>
              <w:tc>
                <w:tcPr>
                  <w:tcW w:w="500" w:type="pct"/>
                  <w:vMerge w:val="restar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r>
                    <w:rPr>
                      <w:rFonts w:hint="default"/>
                      <w:color w:val="auto"/>
                      <w:kern w:val="2"/>
                      <w:sz w:val="21"/>
                      <w:szCs w:val="24"/>
                      <w:highlight w:val="none"/>
                    </w:rPr>
                    <w:t>停止生产，维修设备，待设备正常运行后再开工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8"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p>
              </w:tc>
              <w:tc>
                <w:tcPr>
                  <w:tcW w:w="608" w:type="pct"/>
                  <w:vAlign w:val="center"/>
                </w:tcPr>
                <w:p>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eastAsiaTheme="minorEastAsia"/>
                      <w:color w:val="auto"/>
                      <w:sz w:val="21"/>
                      <w:highlight w:val="none"/>
                    </w:rPr>
                    <w:t>锡及其化合物</w:t>
                  </w:r>
                </w:p>
              </w:tc>
              <w:tc>
                <w:tcPr>
                  <w:tcW w:w="531"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p>
              </w:tc>
              <w:tc>
                <w:tcPr>
                  <w:tcW w:w="392"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p>
              </w:tc>
              <w:tc>
                <w:tcPr>
                  <w:tcW w:w="49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0.0004</w:t>
                  </w:r>
                </w:p>
              </w:tc>
              <w:tc>
                <w:tcPr>
                  <w:tcW w:w="506"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1"/>
                      <w:highlight w:val="none"/>
                    </w:rPr>
                  </w:pPr>
                  <w:r>
                    <w:rPr>
                      <w:rFonts w:hint="eastAsia"/>
                      <w:color w:val="auto"/>
                      <w:kern w:val="2"/>
                      <w:sz w:val="21"/>
                      <w:szCs w:val="21"/>
                      <w:highlight w:val="none"/>
                      <w:lang w:val="en-US" w:eastAsia="zh-CN"/>
                    </w:rPr>
                    <w:t>0.0</w:t>
                  </w:r>
                  <w:r>
                    <w:rPr>
                      <w:rFonts w:hint="eastAsia"/>
                      <w:color w:val="auto"/>
                      <w:sz w:val="21"/>
                      <w:szCs w:val="21"/>
                      <w:highlight w:val="none"/>
                      <w:lang w:val="en-US" w:eastAsia="zh-CN"/>
                    </w:rPr>
                    <w:t>736</w:t>
                  </w:r>
                  <w:r>
                    <w:rPr>
                      <w:rFonts w:hint="eastAsia"/>
                      <w:color w:val="auto"/>
                      <w:kern w:val="2"/>
                      <w:sz w:val="21"/>
                      <w:szCs w:val="21"/>
                      <w:highlight w:val="none"/>
                    </w:rPr>
                    <w:t xml:space="preserve"> </w:t>
                  </w:r>
                </w:p>
              </w:tc>
              <w:tc>
                <w:tcPr>
                  <w:tcW w:w="51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eastAsia="宋体"/>
                      <w:color w:val="auto"/>
                      <w:kern w:val="2"/>
                      <w:sz w:val="21"/>
                      <w:szCs w:val="21"/>
                      <w:highlight w:val="none"/>
                      <w:lang w:val="en-US" w:eastAsia="zh-CN"/>
                    </w:rPr>
                  </w:pPr>
                  <w:r>
                    <w:rPr>
                      <w:rFonts w:hint="eastAsia"/>
                      <w:color w:val="auto"/>
                      <w:kern w:val="2"/>
                      <w:sz w:val="21"/>
                      <w:szCs w:val="21"/>
                      <w:highlight w:val="none"/>
                      <w:lang w:val="en-US" w:eastAsia="zh-CN"/>
                    </w:rPr>
                    <w:t>0.0004</w:t>
                  </w:r>
                </w:p>
              </w:tc>
              <w:tc>
                <w:tcPr>
                  <w:tcW w:w="283"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p>
              </w:tc>
              <w:tc>
                <w:tcPr>
                  <w:tcW w:w="286"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p>
              </w:tc>
              <w:tc>
                <w:tcPr>
                  <w:tcW w:w="438"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eastAsia"/>
                      <w:color w:val="auto"/>
                      <w:kern w:val="2"/>
                      <w:sz w:val="21"/>
                      <w:szCs w:val="24"/>
                      <w:highlight w:val="none"/>
                    </w:rPr>
                    <w:t>1</w:t>
                  </w:r>
                </w:p>
              </w:tc>
              <w:tc>
                <w:tcPr>
                  <w:tcW w:w="500" w:type="pct"/>
                  <w:vMerge w:val="continue"/>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both"/>
                    <w:rPr>
                      <w:rFonts w:hint="default"/>
                      <w:color w:val="auto"/>
                      <w:kern w:val="2"/>
                      <w:sz w:val="21"/>
                      <w:szCs w:val="24"/>
                      <w:highlight w:val="none"/>
                    </w:rPr>
                  </w:pPr>
                </w:p>
              </w:tc>
            </w:tr>
          </w:tbl>
          <w:p>
            <w:pPr>
              <w:keepNext w:val="0"/>
              <w:keepLines w:val="0"/>
              <w:widowControl/>
              <w:suppressLineNumbers w:val="0"/>
              <w:spacing w:before="0" w:beforeAutospacing="0" w:after="0" w:afterAutospacing="0" w:line="360" w:lineRule="auto"/>
              <w:ind w:left="0" w:right="0" w:firstLine="482"/>
              <w:rPr>
                <w:rFonts w:hint="default"/>
                <w:b/>
                <w:bCs/>
                <w:color w:val="auto"/>
                <w:kern w:val="2"/>
                <w:sz w:val="24"/>
                <w:szCs w:val="24"/>
                <w:highlight w:val="none"/>
              </w:rPr>
            </w:pPr>
            <w:r>
              <w:rPr>
                <w:rFonts w:hint="default"/>
                <w:b/>
                <w:bCs/>
                <w:color w:val="auto"/>
                <w:kern w:val="2"/>
                <w:sz w:val="24"/>
                <w:szCs w:val="24"/>
                <w:highlight w:val="none"/>
              </w:rPr>
              <w:t>5、废气污染防治技术可行性分析</w:t>
            </w:r>
          </w:p>
          <w:p>
            <w:pPr>
              <w:keepNext w:val="0"/>
              <w:keepLines w:val="0"/>
              <w:widowControl w:val="0"/>
              <w:suppressLineNumbers w:val="0"/>
              <w:kinsoku/>
              <w:wordWrap w:val="0"/>
              <w:overflowPunct/>
              <w:topLinePunct w:val="0"/>
              <w:autoSpaceDE w:val="0"/>
              <w:autoSpaceDN w:val="0"/>
              <w:bidi w:val="0"/>
              <w:adjustRightInd/>
              <w:snapToGrid/>
              <w:spacing w:before="0" w:beforeAutospacing="0" w:after="0" w:afterAutospacing="0" w:line="360" w:lineRule="auto"/>
              <w:ind w:left="0" w:right="0" w:firstLine="480" w:firstLineChars="200"/>
              <w:jc w:val="both"/>
              <w:rPr>
                <w:rFonts w:hint="default" w:ascii="Times New Roman" w:hAnsi="Times New Roman" w:cs="Times New Roman"/>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水喷淋+干式过滤器+二级活性炭吸附装置”</w:t>
            </w:r>
            <w:r>
              <w:rPr>
                <w:rFonts w:hint="default" w:ascii="Times New Roman" w:hAnsi="Times New Roman" w:eastAsia="宋体" w:cs="Times New Roman"/>
                <w:color w:val="auto"/>
                <w:kern w:val="2"/>
                <w:sz w:val="24"/>
                <w:szCs w:val="24"/>
                <w:highlight w:val="none"/>
                <w:lang w:val="en-US" w:eastAsia="zh-CN"/>
              </w:rPr>
              <w:t>废气处理设施工作原理如下：</w:t>
            </w:r>
            <w:r>
              <w:rPr>
                <w:rFonts w:hint="default" w:ascii="Times New Roman" w:hAnsi="Times New Roman" w:eastAsia="宋体" w:cs="Times New Roman"/>
                <w:color w:val="auto"/>
                <w:sz w:val="24"/>
                <w:szCs w:val="24"/>
                <w:highlight w:val="none"/>
              </w:rPr>
              <w:t>通过风机引力作用，</w:t>
            </w:r>
            <w:r>
              <w:rPr>
                <w:rFonts w:hint="eastAsia" w:ascii="Times New Roman" w:hAnsi="Times New Roman" w:eastAsia="宋体" w:cs="Times New Roman"/>
                <w:color w:val="auto"/>
                <w:sz w:val="24"/>
                <w:szCs w:val="24"/>
                <w:highlight w:val="none"/>
                <w:lang w:val="en-US" w:eastAsia="zh-CN"/>
              </w:rPr>
              <w:t>退火工序、热浸锡工序</w:t>
            </w:r>
            <w:r>
              <w:rPr>
                <w:rFonts w:hint="default" w:ascii="Times New Roman" w:hAnsi="Times New Roman" w:eastAsia="宋体" w:cs="Times New Roman"/>
                <w:color w:val="auto"/>
                <w:sz w:val="24"/>
                <w:szCs w:val="24"/>
                <w:highlight w:val="none"/>
              </w:rPr>
              <w:t>废气经集气罩及收集风管进入水喷淋塔，首先经过水喷淋将大部分</w:t>
            </w:r>
            <w:r>
              <w:rPr>
                <w:rFonts w:hint="default" w:ascii="Times New Roman" w:hAnsi="Times New Roman" w:eastAsia="宋体" w:cs="Times New Roman"/>
                <w:color w:val="auto"/>
                <w:sz w:val="24"/>
                <w:szCs w:val="24"/>
                <w:highlight w:val="none"/>
                <w:lang w:val="en-US" w:eastAsia="zh-CN"/>
              </w:rPr>
              <w:t>锡及其化合物</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去除后进入干式过滤器，防止进入活性炭的废气湿度过高，故干式过滤器一方面可以去除气体中的水分，另一方面可以进步拦截部分烟尘，保护后续活性炭处理设施。预处理后的气体进入活性炭吸附箱，通过吸附作用，有机物质被截留在其内部，进一步净化后经出风口达标排出。</w:t>
            </w:r>
          </w:p>
          <w:p>
            <w:pPr>
              <w:keepNext w:val="0"/>
              <w:keepLines w:val="0"/>
              <w:suppressLineNumbers w:val="0"/>
              <w:adjustRightInd w:val="0"/>
              <w:snapToGrid w:val="0"/>
              <w:spacing w:before="0" w:beforeAutospacing="0" w:after="0" w:afterAutospacing="0" w:line="360" w:lineRule="auto"/>
              <w:ind w:left="0" w:right="0" w:firstLine="480"/>
              <w:jc w:val="both"/>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处理后的非甲烷总烃</w:t>
            </w:r>
            <w:r>
              <w:rPr>
                <w:rFonts w:hint="eastAsia" w:cs="Times New Roman"/>
                <w:color w:val="auto"/>
                <w:kern w:val="2"/>
                <w:sz w:val="24"/>
                <w:szCs w:val="24"/>
                <w:highlight w:val="none"/>
                <w:lang w:val="en-US" w:eastAsia="zh-CN"/>
              </w:rPr>
              <w:t>可满足</w:t>
            </w:r>
            <w:r>
              <w:rPr>
                <w:rFonts w:hint="default" w:ascii="Times New Roman" w:hAnsi="Times New Roman" w:eastAsia="宋体" w:cs="Times New Roman"/>
                <w:color w:val="auto"/>
                <w:kern w:val="2"/>
                <w:sz w:val="24"/>
                <w:szCs w:val="24"/>
                <w:highlight w:val="none"/>
                <w:lang w:val="en-US" w:eastAsia="zh-CN"/>
              </w:rPr>
              <w:t>《固定污染源挥发性有机物综合排放标准》（DB44/2367-2022）表1挥发性有机物排放限值</w:t>
            </w:r>
            <w:r>
              <w:rPr>
                <w:rFonts w:hint="eastAsia" w:cs="Times New Roman"/>
                <w:color w:val="auto"/>
                <w:kern w:val="2"/>
                <w:sz w:val="24"/>
                <w:szCs w:val="24"/>
                <w:highlight w:val="none"/>
                <w:lang w:val="en-US" w:eastAsia="zh-CN"/>
              </w:rPr>
              <w:t>，锡及其化合物可满足</w:t>
            </w:r>
            <w:r>
              <w:rPr>
                <w:rFonts w:hint="default" w:ascii="Times New Roman" w:hAnsi="Times New Roman" w:eastAsia="宋体" w:cs="Times New Roman"/>
                <w:color w:val="auto"/>
                <w:kern w:val="2"/>
                <w:sz w:val="24"/>
                <w:szCs w:val="24"/>
                <w:highlight w:val="none"/>
                <w:lang w:val="en-US" w:eastAsia="zh-CN"/>
              </w:rPr>
              <w:t>广东省地方标准《大气污染物排放标准限值》（DB44/27-200</w:t>
            </w:r>
            <w:r>
              <w:rPr>
                <w:rFonts w:hint="default" w:ascii="Times New Roman" w:hAnsi="Times New Roman" w:cs="Times New Roman"/>
                <w:color w:val="auto"/>
                <w:kern w:val="2"/>
                <w:sz w:val="24"/>
                <w:szCs w:val="24"/>
                <w:highlight w:val="none"/>
                <w:lang w:val="en-US" w:eastAsia="zh-CN"/>
              </w:rPr>
              <w:t>1）第二时段二级标准</w:t>
            </w:r>
            <w:r>
              <w:rPr>
                <w:rFonts w:hint="default" w:ascii="Times New Roman" w:hAnsi="Times New Roman" w:eastAsia="宋体" w:cs="Times New Roman"/>
                <w:color w:val="auto"/>
                <w:kern w:val="2"/>
                <w:sz w:val="24"/>
                <w:szCs w:val="24"/>
                <w:highlight w:val="none"/>
                <w:lang w:val="en-US" w:eastAsia="zh-CN"/>
              </w:rPr>
              <w:t>。</w:t>
            </w:r>
          </w:p>
          <w:p>
            <w:pPr>
              <w:keepNext w:val="0"/>
              <w:keepLines w:val="0"/>
              <w:pageBreakBefore w:val="0"/>
              <w:suppressLineNumbers w:val="0"/>
              <w:kinsoku/>
              <w:overflowPunct/>
              <w:topLinePunct w:val="0"/>
              <w:bidi w:val="0"/>
              <w:adjustRightInd w:val="0"/>
              <w:snapToGrid w:val="0"/>
              <w:spacing w:before="0" w:beforeAutospacing="0" w:after="0" w:afterAutospacing="0" w:line="360" w:lineRule="auto"/>
              <w:ind w:left="0" w:right="0" w:firstLine="480" w:firstLineChars="200"/>
              <w:rPr>
                <w:rFonts w:hint="default"/>
                <w:color w:val="auto"/>
                <w:sz w:val="24"/>
                <w:szCs w:val="32"/>
                <w:highlight w:val="none"/>
                <w:lang w:val="en-US" w:eastAsia="zh-CN"/>
              </w:rPr>
            </w:pPr>
            <w:r>
              <w:rPr>
                <w:rFonts w:hint="default" w:ascii="Times New Roman" w:hAnsi="Times New Roman" w:eastAsia="宋体" w:cs="Times New Roman"/>
                <w:color w:val="auto"/>
                <w:kern w:val="2"/>
                <w:sz w:val="24"/>
                <w:szCs w:val="24"/>
                <w:highlight w:val="none"/>
                <w:lang w:val="en-US" w:eastAsia="zh-CN"/>
              </w:rPr>
              <w:t>参考《排污许可证申请与核发技术规范 铁路、船舶、航空航天和其他运输设备制造业》（HJ1124-2020）</w:t>
            </w:r>
            <w:r>
              <w:rPr>
                <w:rFonts w:hint="eastAsia"/>
                <w:b w:val="0"/>
                <w:bCs/>
                <w:color w:val="auto"/>
                <w:sz w:val="24"/>
                <w:szCs w:val="24"/>
                <w:highlight w:val="none"/>
              </w:rPr>
              <w:t>文件</w:t>
            </w:r>
            <w:r>
              <w:rPr>
                <w:rFonts w:hint="eastAsia"/>
                <w:b w:val="0"/>
                <w:bCs/>
                <w:color w:val="auto"/>
                <w:sz w:val="24"/>
                <w:szCs w:val="24"/>
                <w:highlight w:val="none"/>
                <w:lang w:val="en-US" w:eastAsia="zh-CN"/>
              </w:rPr>
              <w:t>中表8的</w:t>
            </w:r>
            <w:r>
              <w:rPr>
                <w:rFonts w:hint="eastAsia"/>
                <w:b w:val="0"/>
                <w:bCs/>
                <w:color w:val="auto"/>
                <w:sz w:val="24"/>
                <w:szCs w:val="24"/>
                <w:highlight w:val="none"/>
              </w:rPr>
              <w:t>要求，项目“</w:t>
            </w:r>
            <w:r>
              <w:rPr>
                <w:rFonts w:hint="eastAsia"/>
                <w:color w:val="auto"/>
                <w:sz w:val="24"/>
                <w:szCs w:val="32"/>
                <w:highlight w:val="none"/>
                <w:lang w:val="en-US" w:eastAsia="zh-CN"/>
              </w:rPr>
              <w:t>水喷淋+干式过滤器+二级活性炭吸附</w:t>
            </w:r>
            <w:r>
              <w:rPr>
                <w:rFonts w:hint="eastAsia"/>
                <w:b w:val="0"/>
                <w:bCs/>
                <w:color w:val="auto"/>
                <w:sz w:val="24"/>
                <w:szCs w:val="24"/>
                <w:highlight w:val="none"/>
              </w:rPr>
              <w:t>”的防治工艺为</w:t>
            </w:r>
            <w:r>
              <w:rPr>
                <w:rFonts w:hint="eastAsia"/>
                <w:b w:val="0"/>
                <w:bCs/>
                <w:color w:val="auto"/>
                <w:sz w:val="24"/>
                <w:szCs w:val="24"/>
                <w:highlight w:val="none"/>
                <w:lang w:val="en-US" w:eastAsia="zh-CN"/>
              </w:rPr>
              <w:t>对锡及其化合物、挥发性有机物的</w:t>
            </w:r>
            <w:r>
              <w:rPr>
                <w:rFonts w:hint="eastAsia"/>
                <w:b w:val="0"/>
                <w:bCs/>
                <w:color w:val="auto"/>
                <w:sz w:val="24"/>
                <w:szCs w:val="24"/>
                <w:highlight w:val="none"/>
              </w:rPr>
              <w:t>可行技术</w:t>
            </w:r>
            <w:r>
              <w:rPr>
                <w:rFonts w:hint="eastAsia"/>
                <w:color w:val="auto"/>
                <w:sz w:val="24"/>
                <w:szCs w:val="32"/>
                <w:highlight w:val="none"/>
                <w:lang w:val="en-US" w:eastAsia="zh-CN"/>
              </w:rPr>
              <w:t>。</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rPr>
              <w:t>因此，本项目废气污染治理设施具有技术上可行性。</w:t>
            </w:r>
          </w:p>
          <w:p>
            <w:pPr>
              <w:keepNext w:val="0"/>
              <w:keepLines w:val="0"/>
              <w:widowControl/>
              <w:suppressLineNumbers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6、废气排放环境影响</w:t>
            </w:r>
          </w:p>
          <w:p>
            <w:pPr>
              <w:keepNext w:val="0"/>
              <w:keepLines w:val="0"/>
              <w:suppressLineNumbers w:val="0"/>
              <w:adjustRightInd w:val="0"/>
              <w:snapToGrid w:val="0"/>
              <w:spacing w:before="0" w:beforeAutospacing="0" w:after="0" w:afterAutospacing="0" w:line="360" w:lineRule="auto"/>
              <w:ind w:left="0" w:right="0" w:firstLine="480"/>
              <w:rPr>
                <w:rFonts w:hint="default"/>
                <w:snapToGrid w:val="0"/>
                <w:color w:val="auto"/>
                <w:kern w:val="2"/>
                <w:sz w:val="24"/>
                <w:szCs w:val="24"/>
                <w:highlight w:val="none"/>
                <w:lang w:bidi="ar"/>
              </w:rPr>
            </w:pPr>
            <w:r>
              <w:rPr>
                <w:rFonts w:hint="default"/>
                <w:snapToGrid w:val="0"/>
                <w:color w:val="auto"/>
                <w:kern w:val="2"/>
                <w:sz w:val="24"/>
                <w:szCs w:val="24"/>
                <w:highlight w:val="none"/>
                <w:lang w:bidi="ar"/>
              </w:rPr>
              <w:t>根据前文环境空气质量现状分析，项目所在区域属于空气环境达标区。项目周边500m范围内的大气环境保护目标为老围村和白木坑村</w:t>
            </w:r>
            <w:r>
              <w:rPr>
                <w:rFonts w:hint="eastAsia"/>
                <w:snapToGrid w:val="0"/>
                <w:color w:val="auto"/>
                <w:kern w:val="2"/>
                <w:sz w:val="24"/>
                <w:szCs w:val="24"/>
                <w:highlight w:val="none"/>
                <w:lang w:bidi="ar"/>
              </w:rPr>
              <w:t>。距离最近环境保护目标是老围村，位于项目厂界东面350m</w:t>
            </w:r>
            <w:r>
              <w:rPr>
                <w:rFonts w:hint="default"/>
                <w:snapToGrid w:val="0"/>
                <w:color w:val="auto"/>
                <w:kern w:val="2"/>
                <w:sz w:val="24"/>
                <w:szCs w:val="24"/>
                <w:highlight w:val="none"/>
                <w:lang w:bidi="ar"/>
              </w:rPr>
              <w:t>。</w:t>
            </w:r>
          </w:p>
          <w:p>
            <w:pPr>
              <w:keepNext w:val="0"/>
              <w:keepLines w:val="0"/>
              <w:pageBreakBefore w:val="0"/>
              <w:suppressLineNumbers w:val="0"/>
              <w:kinsoku/>
              <w:overflowPunct/>
              <w:topLinePunct w:val="0"/>
              <w:bidi w:val="0"/>
              <w:adjustRightInd w:val="0"/>
              <w:snapToGrid w:val="0"/>
              <w:spacing w:before="0" w:beforeAutospacing="0" w:after="0" w:afterAutospacing="0" w:line="360" w:lineRule="auto"/>
              <w:ind w:left="0" w:right="0" w:firstLine="440" w:firstLineChars="200"/>
              <w:rPr>
                <w:rFonts w:hint="default"/>
                <w:color w:val="auto"/>
                <w:highlight w:val="none"/>
              </w:rPr>
            </w:pPr>
            <w:r>
              <w:rPr>
                <w:rFonts w:hint="default"/>
                <w:bCs/>
                <w:color w:val="auto"/>
                <w:spacing w:val="-10"/>
                <w:sz w:val="24"/>
                <w:highlight w:val="none"/>
              </w:rPr>
              <w:t>项目</w:t>
            </w:r>
            <w:r>
              <w:rPr>
                <w:rFonts w:hint="eastAsia"/>
                <w:bCs/>
                <w:color w:val="auto"/>
                <w:spacing w:val="-10"/>
                <w:sz w:val="24"/>
                <w:highlight w:val="none"/>
                <w:lang w:val="en-US" w:eastAsia="zh-CN"/>
              </w:rPr>
              <w:t>退火工序产生的非甲烷总烃和热浸锡</w:t>
            </w:r>
            <w:r>
              <w:rPr>
                <w:rFonts w:hint="eastAsia"/>
                <w:color w:val="auto"/>
                <w:sz w:val="24"/>
                <w:highlight w:val="none"/>
              </w:rPr>
              <w:t>工序产生的</w:t>
            </w:r>
            <w:r>
              <w:rPr>
                <w:rFonts w:hint="eastAsia"/>
                <w:bCs/>
                <w:color w:val="auto"/>
                <w:sz w:val="24"/>
                <w:highlight w:val="none"/>
                <w:lang w:val="en-US" w:eastAsia="zh-CN"/>
              </w:rPr>
              <w:t>非甲烷总烃</w:t>
            </w:r>
            <w:r>
              <w:rPr>
                <w:rFonts w:hint="eastAsia"/>
                <w:bCs/>
                <w:color w:val="auto"/>
                <w:sz w:val="24"/>
                <w:highlight w:val="none"/>
                <w:lang w:eastAsia="zh-CN"/>
              </w:rPr>
              <w:t>、</w:t>
            </w:r>
            <w:r>
              <w:rPr>
                <w:rFonts w:hint="eastAsia"/>
                <w:bCs/>
                <w:color w:val="auto"/>
                <w:sz w:val="24"/>
                <w:highlight w:val="none"/>
                <w:lang w:val="en-US" w:eastAsia="zh-CN"/>
              </w:rPr>
              <w:t>锡及其化合物</w:t>
            </w:r>
            <w:r>
              <w:rPr>
                <w:rFonts w:hint="eastAsia"/>
                <w:bCs/>
                <w:color w:val="auto"/>
                <w:sz w:val="24"/>
                <w:highlight w:val="none"/>
              </w:rPr>
              <w:t>收集后</w:t>
            </w:r>
            <w:r>
              <w:rPr>
                <w:rFonts w:hint="eastAsia"/>
                <w:bCs/>
                <w:color w:val="auto"/>
                <w:spacing w:val="-10"/>
                <w:sz w:val="24"/>
                <w:highlight w:val="none"/>
              </w:rPr>
              <w:t>经过</w:t>
            </w:r>
            <w:r>
              <w:rPr>
                <w:rFonts w:hint="eastAsia"/>
                <w:color w:val="auto"/>
                <w:kern w:val="0"/>
                <w:sz w:val="24"/>
                <w:highlight w:val="none"/>
                <w:lang w:bidi="ar"/>
              </w:rPr>
              <w:t>“</w:t>
            </w:r>
            <w:r>
              <w:rPr>
                <w:rFonts w:hint="eastAsia"/>
                <w:color w:val="auto"/>
                <w:kern w:val="0"/>
                <w:sz w:val="24"/>
                <w:highlight w:val="none"/>
                <w:lang w:eastAsia="zh-CN" w:bidi="ar"/>
              </w:rPr>
              <w:t>水喷淋+干式过滤器+二级活性炭吸附</w:t>
            </w:r>
            <w:r>
              <w:rPr>
                <w:rFonts w:hint="eastAsia"/>
                <w:color w:val="auto"/>
                <w:kern w:val="0"/>
                <w:sz w:val="24"/>
                <w:highlight w:val="none"/>
                <w:lang w:bidi="ar"/>
              </w:rPr>
              <w:t>”</w:t>
            </w:r>
            <w:r>
              <w:rPr>
                <w:rFonts w:hint="default"/>
                <w:bCs/>
                <w:color w:val="auto"/>
                <w:spacing w:val="-10"/>
                <w:sz w:val="24"/>
                <w:highlight w:val="none"/>
              </w:rPr>
              <w:t>装置处理</w:t>
            </w:r>
            <w:r>
              <w:rPr>
                <w:rFonts w:hint="eastAsia"/>
                <w:bCs/>
                <w:color w:val="auto"/>
                <w:spacing w:val="-10"/>
                <w:sz w:val="24"/>
                <w:highlight w:val="none"/>
              </w:rPr>
              <w:t>达标</w:t>
            </w:r>
            <w:r>
              <w:rPr>
                <w:rFonts w:hint="default"/>
                <w:bCs/>
                <w:color w:val="auto"/>
                <w:spacing w:val="-10"/>
                <w:sz w:val="24"/>
                <w:highlight w:val="none"/>
              </w:rPr>
              <w:t>后</w:t>
            </w:r>
            <w:r>
              <w:rPr>
                <w:rFonts w:hint="eastAsia"/>
                <w:bCs/>
                <w:color w:val="auto"/>
                <w:spacing w:val="-10"/>
                <w:sz w:val="24"/>
                <w:highlight w:val="none"/>
              </w:rPr>
              <w:t>由</w:t>
            </w:r>
            <w:r>
              <w:rPr>
                <w:rFonts w:hint="eastAsia"/>
                <w:bCs/>
                <w:color w:val="auto"/>
                <w:spacing w:val="-10"/>
                <w:sz w:val="24"/>
                <w:highlight w:val="none"/>
                <w:lang w:val="en-US" w:eastAsia="zh-CN"/>
              </w:rPr>
              <w:t>2</w:t>
            </w:r>
            <w:r>
              <w:rPr>
                <w:rFonts w:hint="eastAsia"/>
                <w:bCs/>
                <w:color w:val="auto"/>
                <w:spacing w:val="-10"/>
                <w:sz w:val="24"/>
                <w:highlight w:val="none"/>
              </w:rPr>
              <w:t>5m</w:t>
            </w:r>
            <w:r>
              <w:rPr>
                <w:rFonts w:hint="default"/>
                <w:bCs/>
                <w:color w:val="auto"/>
                <w:spacing w:val="-10"/>
                <w:sz w:val="24"/>
                <w:highlight w:val="none"/>
              </w:rPr>
              <w:t>排气筒</w:t>
            </w:r>
            <w:r>
              <w:rPr>
                <w:rFonts w:hint="eastAsia"/>
                <w:bCs/>
                <w:color w:val="auto"/>
                <w:spacing w:val="-10"/>
                <w:sz w:val="24"/>
                <w:highlight w:val="none"/>
              </w:rPr>
              <w:t>DA001</w:t>
            </w:r>
            <w:r>
              <w:rPr>
                <w:rFonts w:hint="default"/>
                <w:bCs/>
                <w:color w:val="auto"/>
                <w:spacing w:val="-10"/>
                <w:sz w:val="24"/>
                <w:highlight w:val="none"/>
              </w:rPr>
              <w:t>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40"/>
              <w:jc w:val="both"/>
              <w:textAlignment w:val="auto"/>
              <w:rPr>
                <w:rFonts w:hint="default" w:ascii="Times New Roman" w:hAnsi="Times New Roman" w:eastAsia="宋体" w:cs="Times New Roman"/>
                <w:b w:val="0"/>
                <w:bCs/>
                <w:color w:val="auto"/>
                <w:sz w:val="24"/>
                <w:szCs w:val="24"/>
                <w:highlight w:val="none"/>
                <w:lang w:val="en-US" w:eastAsia="zh-CN"/>
              </w:rPr>
            </w:pPr>
            <w:r>
              <w:rPr>
                <w:rFonts w:hint="default"/>
                <w:bCs/>
                <w:color w:val="auto"/>
                <w:spacing w:val="-10"/>
                <w:sz w:val="24"/>
                <w:highlight w:val="none"/>
              </w:rPr>
              <w:t>根据污染源分析结果，</w:t>
            </w:r>
            <w:r>
              <w:rPr>
                <w:rFonts w:hint="default" w:ascii="Times New Roman" w:hAnsi="Times New Roman" w:eastAsia="宋体" w:cs="Times New Roman"/>
                <w:b w:val="0"/>
                <w:bCs/>
                <w:color w:val="auto"/>
                <w:sz w:val="24"/>
                <w:szCs w:val="24"/>
                <w:highlight w:val="none"/>
                <w:lang w:val="en-US" w:eastAsia="zh-CN"/>
              </w:rPr>
              <w:t>锡及其化合物的总排放量为</w:t>
            </w:r>
            <w:r>
              <w:rPr>
                <w:rFonts w:hint="eastAsia" w:ascii="Times New Roman" w:hAnsi="Times New Roman" w:cs="Times New Roman"/>
                <w:b w:val="0"/>
                <w:bCs/>
                <w:color w:val="auto"/>
                <w:sz w:val="24"/>
                <w:szCs w:val="24"/>
                <w:highlight w:val="none"/>
                <w:lang w:val="en-US" w:eastAsia="zh-CN"/>
              </w:rPr>
              <w:t>0.001</w:t>
            </w:r>
            <w:r>
              <w:rPr>
                <w:rFonts w:hint="eastAsia" w:cs="Times New Roman"/>
                <w:b w:val="0"/>
                <w:bCs/>
                <w:color w:val="auto"/>
                <w:sz w:val="24"/>
                <w:szCs w:val="24"/>
                <w:highlight w:val="none"/>
                <w:lang w:val="en-US" w:eastAsia="zh-CN"/>
              </w:rPr>
              <w:t>3</w:t>
            </w:r>
            <w:r>
              <w:rPr>
                <w:rFonts w:hint="default" w:ascii="Times New Roman" w:hAnsi="Times New Roman" w:eastAsia="宋体" w:cs="Times New Roman"/>
                <w:b w:val="0"/>
                <w:bCs/>
                <w:color w:val="auto"/>
                <w:sz w:val="24"/>
                <w:szCs w:val="24"/>
                <w:highlight w:val="none"/>
                <w:lang w:val="en-US" w:eastAsia="zh-CN"/>
              </w:rPr>
              <w:t>t/a（其中有组织</w:t>
            </w:r>
            <w:r>
              <w:rPr>
                <w:rFonts w:hint="eastAsia" w:ascii="Times New Roman" w:hAnsi="Times New Roman" w:eastAsia="宋体" w:cs="Times New Roman"/>
                <w:b w:val="0"/>
                <w:bCs/>
                <w:color w:val="auto"/>
                <w:sz w:val="24"/>
                <w:szCs w:val="24"/>
                <w:highlight w:val="none"/>
                <w:lang w:val="en-US" w:eastAsia="zh-CN"/>
              </w:rPr>
              <w:t>0.000</w:t>
            </w:r>
            <w:r>
              <w:rPr>
                <w:rFonts w:hint="eastAsia" w:cs="Times New Roman"/>
                <w:b w:val="0"/>
                <w:bCs/>
                <w:color w:val="auto"/>
                <w:sz w:val="24"/>
                <w:szCs w:val="24"/>
                <w:highlight w:val="none"/>
                <w:lang w:val="en-US" w:eastAsia="zh-CN"/>
              </w:rPr>
              <w:t>5</w:t>
            </w:r>
            <w:r>
              <w:rPr>
                <w:rFonts w:hint="default" w:ascii="Times New Roman" w:hAnsi="Times New Roman" w:eastAsia="宋体" w:cs="Times New Roman"/>
                <w:b w:val="0"/>
                <w:bCs/>
                <w:color w:val="auto"/>
                <w:sz w:val="24"/>
                <w:szCs w:val="24"/>
                <w:highlight w:val="none"/>
                <w:lang w:val="en-US" w:eastAsia="zh-CN"/>
              </w:rPr>
              <w:t>t/a，</w:t>
            </w:r>
            <w:r>
              <w:rPr>
                <w:rFonts w:hint="eastAsia" w:ascii="Times New Roman" w:hAnsi="Times New Roman" w:eastAsia="宋体" w:cs="Times New Roman"/>
                <w:b w:val="0"/>
                <w:bCs/>
                <w:color w:val="auto"/>
                <w:sz w:val="24"/>
                <w:szCs w:val="24"/>
                <w:highlight w:val="none"/>
                <w:lang w:val="en-US" w:eastAsia="zh-CN"/>
              </w:rPr>
              <w:t>排放速率为0.0001kg/h；</w:t>
            </w:r>
            <w:r>
              <w:rPr>
                <w:rFonts w:hint="default" w:ascii="Times New Roman" w:hAnsi="Times New Roman" w:eastAsia="宋体" w:cs="Times New Roman"/>
                <w:b w:val="0"/>
                <w:bCs/>
                <w:color w:val="auto"/>
                <w:sz w:val="24"/>
                <w:szCs w:val="24"/>
                <w:highlight w:val="none"/>
                <w:lang w:val="en-US" w:eastAsia="zh-CN"/>
              </w:rPr>
              <w:t>无组织</w:t>
            </w:r>
            <w:r>
              <w:rPr>
                <w:rFonts w:hint="eastAsia" w:ascii="Times New Roman" w:hAnsi="Times New Roman" w:eastAsia="宋体" w:cs="Times New Roman"/>
                <w:b w:val="0"/>
                <w:bCs/>
                <w:color w:val="auto"/>
                <w:sz w:val="24"/>
                <w:szCs w:val="24"/>
                <w:highlight w:val="none"/>
                <w:lang w:val="en-US" w:eastAsia="zh-CN"/>
              </w:rPr>
              <w:t>0.0008</w:t>
            </w:r>
            <w:r>
              <w:rPr>
                <w:rFonts w:hint="default" w:ascii="Times New Roman" w:hAnsi="Times New Roman" w:eastAsia="宋体" w:cs="Times New Roman"/>
                <w:b w:val="0"/>
                <w:bCs/>
                <w:color w:val="auto"/>
                <w:sz w:val="24"/>
                <w:szCs w:val="24"/>
                <w:highlight w:val="none"/>
                <w:lang w:val="en-US" w:eastAsia="zh-CN"/>
              </w:rPr>
              <w:t>t/a</w:t>
            </w:r>
            <w:r>
              <w:rPr>
                <w:rFonts w:hint="eastAsia" w:ascii="Times New Roman" w:hAnsi="Times New Roman" w:eastAsia="宋体" w:cs="Times New Roman"/>
                <w:b w:val="0"/>
                <w:bCs/>
                <w:color w:val="auto"/>
                <w:sz w:val="24"/>
                <w:szCs w:val="24"/>
                <w:highlight w:val="none"/>
                <w:lang w:val="en-US" w:eastAsia="zh-CN"/>
              </w:rPr>
              <w:t>，排放速率为0.0001kg/h</w:t>
            </w:r>
            <w:r>
              <w:rPr>
                <w:rFonts w:hint="default" w:ascii="Times New Roman" w:hAnsi="Times New Roman" w:eastAsia="宋体" w:cs="Times New Roman"/>
                <w:b w:val="0"/>
                <w:bCs/>
                <w:color w:val="auto"/>
                <w:sz w:val="24"/>
                <w:szCs w:val="24"/>
                <w:highlight w:val="none"/>
                <w:lang w:val="en-US" w:eastAsia="zh-CN"/>
              </w:rPr>
              <w:t>）；非甲烷总烃的总排放量为</w:t>
            </w:r>
            <w:r>
              <w:rPr>
                <w:rFonts w:hint="eastAsia" w:ascii="Times New Roman" w:hAnsi="Times New Roman" w:cs="Times New Roman"/>
                <w:b w:val="0"/>
                <w:bCs/>
                <w:color w:val="auto"/>
                <w:sz w:val="24"/>
                <w:szCs w:val="24"/>
                <w:highlight w:val="none"/>
                <w:lang w:val="en-US" w:eastAsia="zh-CN"/>
              </w:rPr>
              <w:t>1.0966</w:t>
            </w:r>
            <w:r>
              <w:rPr>
                <w:rFonts w:hint="default" w:ascii="Times New Roman" w:hAnsi="Times New Roman" w:eastAsia="宋体" w:cs="Times New Roman"/>
                <w:b w:val="0"/>
                <w:bCs/>
                <w:color w:val="auto"/>
                <w:sz w:val="24"/>
                <w:szCs w:val="24"/>
                <w:highlight w:val="none"/>
                <w:lang w:val="en-US" w:eastAsia="zh-CN"/>
              </w:rPr>
              <w:t>t/a（其中有组织</w:t>
            </w:r>
            <w:r>
              <w:rPr>
                <w:rFonts w:hint="eastAsia" w:ascii="Times New Roman" w:hAnsi="Times New Roman" w:cs="Times New Roman"/>
                <w:b w:val="0"/>
                <w:bCs/>
                <w:color w:val="auto"/>
                <w:sz w:val="24"/>
                <w:szCs w:val="24"/>
                <w:highlight w:val="none"/>
                <w:lang w:val="en-US" w:eastAsia="zh-CN"/>
              </w:rPr>
              <w:t>0.5483</w:t>
            </w:r>
            <w:r>
              <w:rPr>
                <w:rFonts w:hint="default" w:ascii="Times New Roman" w:hAnsi="Times New Roman" w:eastAsia="宋体" w:cs="Times New Roman"/>
                <w:b w:val="0"/>
                <w:bCs/>
                <w:color w:val="auto"/>
                <w:sz w:val="24"/>
                <w:szCs w:val="24"/>
                <w:highlight w:val="none"/>
                <w:lang w:val="en-US" w:eastAsia="zh-CN"/>
              </w:rPr>
              <w:t>t/a，</w:t>
            </w:r>
            <w:r>
              <w:rPr>
                <w:rFonts w:hint="eastAsia" w:ascii="Times New Roman" w:hAnsi="Times New Roman" w:eastAsia="宋体" w:cs="Times New Roman"/>
                <w:b w:val="0"/>
                <w:bCs/>
                <w:color w:val="auto"/>
                <w:sz w:val="24"/>
                <w:szCs w:val="24"/>
                <w:highlight w:val="none"/>
                <w:lang w:val="en-US" w:eastAsia="zh-CN"/>
              </w:rPr>
              <w:t>排放速率为0.0831kg/h；</w:t>
            </w:r>
            <w:r>
              <w:rPr>
                <w:rFonts w:hint="default" w:ascii="Times New Roman" w:hAnsi="Times New Roman" w:eastAsia="宋体" w:cs="Times New Roman"/>
                <w:b w:val="0"/>
                <w:bCs/>
                <w:color w:val="auto"/>
                <w:sz w:val="24"/>
                <w:szCs w:val="24"/>
                <w:highlight w:val="none"/>
                <w:lang w:val="en-US" w:eastAsia="zh-CN"/>
              </w:rPr>
              <w:t>无组织</w:t>
            </w:r>
            <w:r>
              <w:rPr>
                <w:rFonts w:hint="eastAsia" w:ascii="Times New Roman" w:hAnsi="Times New Roman" w:cs="Times New Roman"/>
                <w:b w:val="0"/>
                <w:bCs/>
                <w:color w:val="auto"/>
                <w:sz w:val="24"/>
                <w:szCs w:val="24"/>
                <w:highlight w:val="none"/>
                <w:lang w:val="en-US" w:eastAsia="zh-CN"/>
              </w:rPr>
              <w:t>0.5483</w:t>
            </w:r>
            <w:r>
              <w:rPr>
                <w:rFonts w:hint="default" w:ascii="Times New Roman" w:hAnsi="Times New Roman" w:eastAsia="宋体" w:cs="Times New Roman"/>
                <w:b w:val="0"/>
                <w:bCs/>
                <w:color w:val="auto"/>
                <w:sz w:val="24"/>
                <w:szCs w:val="24"/>
                <w:highlight w:val="none"/>
                <w:lang w:val="en-US" w:eastAsia="zh-CN"/>
              </w:rPr>
              <w:t>t/a，</w:t>
            </w:r>
            <w:r>
              <w:rPr>
                <w:rFonts w:hint="eastAsia" w:ascii="Times New Roman" w:hAnsi="Times New Roman" w:eastAsia="宋体" w:cs="Times New Roman"/>
                <w:b w:val="0"/>
                <w:bCs/>
                <w:color w:val="auto"/>
                <w:sz w:val="24"/>
                <w:szCs w:val="24"/>
                <w:highlight w:val="none"/>
                <w:lang w:val="en-US" w:eastAsia="zh-CN"/>
              </w:rPr>
              <w:t>排放速率为0.0831kg/h</w:t>
            </w:r>
            <w:r>
              <w:rPr>
                <w:rFonts w:hint="default" w:ascii="Times New Roman" w:hAnsi="Times New Roman" w:eastAsia="宋体" w:cs="Times New Roman"/>
                <w:b w:val="0"/>
                <w:bCs/>
                <w:color w:val="auto"/>
                <w:sz w:val="24"/>
                <w:szCs w:val="24"/>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40"/>
              <w:jc w:val="both"/>
              <w:textAlignment w:val="auto"/>
              <w:rPr>
                <w:rFonts w:hint="eastAsia"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锡及其化合物有组织排放总浓度为</w:t>
            </w:r>
            <w:r>
              <w:rPr>
                <w:rFonts w:hint="eastAsia" w:cs="Times New Roman"/>
                <w:b w:val="0"/>
                <w:bCs/>
                <w:color w:val="auto"/>
                <w:sz w:val="24"/>
                <w:szCs w:val="24"/>
                <w:highlight w:val="none"/>
                <w:lang w:val="en-US" w:eastAsia="zh-CN"/>
              </w:rPr>
              <w:t>0.0136</w:t>
            </w:r>
            <w:r>
              <w:rPr>
                <w:rFonts w:hint="default" w:ascii="Times New Roman" w:hAnsi="Times New Roman" w:eastAsia="宋体" w:cs="Times New Roman"/>
                <w:b w:val="0"/>
                <w:bCs/>
                <w:color w:val="auto"/>
                <w:sz w:val="24"/>
                <w:szCs w:val="24"/>
                <w:highlight w:val="none"/>
                <w:lang w:val="en-US" w:eastAsia="zh-CN"/>
              </w:rPr>
              <w:t>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lang w:val="en-US" w:eastAsia="zh-CN"/>
              </w:rPr>
              <w:t>，可满足广东省《大气污染物排放限值》（DB44/27-2001）第二时段二级标准（排放浓度&lt;8.5mg/m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lang w:val="en-US" w:eastAsia="zh-CN"/>
              </w:rPr>
              <w:t>）；非甲烷总烃有组织排放总浓度为</w:t>
            </w:r>
            <w:r>
              <w:rPr>
                <w:rFonts w:hint="eastAsia" w:cs="Times New Roman"/>
                <w:b w:val="0"/>
                <w:bCs/>
                <w:color w:val="auto"/>
                <w:sz w:val="24"/>
                <w:szCs w:val="24"/>
                <w:highlight w:val="none"/>
                <w:lang w:val="en-US" w:eastAsia="zh-CN"/>
              </w:rPr>
              <w:t>14.8355</w:t>
            </w:r>
            <w:r>
              <w:rPr>
                <w:rFonts w:hint="default" w:ascii="Times New Roman" w:hAnsi="Times New Roman" w:eastAsia="宋体" w:cs="Times New Roman"/>
                <w:b w:val="0"/>
                <w:bCs/>
                <w:color w:val="auto"/>
                <w:sz w:val="24"/>
                <w:szCs w:val="24"/>
                <w:highlight w:val="none"/>
                <w:lang w:val="en-US" w:eastAsia="zh-CN"/>
              </w:rPr>
              <w:t>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lang w:val="en-US" w:eastAsia="zh-CN"/>
              </w:rPr>
              <w:t>，可满足</w:t>
            </w:r>
            <w:r>
              <w:rPr>
                <w:rFonts w:hint="eastAsia"/>
                <w:color w:val="auto"/>
                <w:sz w:val="24"/>
                <w:szCs w:val="32"/>
                <w:highlight w:val="none"/>
              </w:rPr>
              <w:t>广东省《固定污染源挥发性有机物综合排放标准》（DB44/2367—2022）表1挥发性有机物排放限</w:t>
            </w:r>
            <w:r>
              <w:rPr>
                <w:rStyle w:val="43"/>
                <w:rFonts w:hint="eastAsia"/>
                <w:color w:val="auto"/>
                <w:sz w:val="24"/>
                <w:szCs w:val="24"/>
                <w:highlight w:val="none"/>
              </w:rPr>
              <w:t>值</w:t>
            </w:r>
            <w:r>
              <w:rPr>
                <w:rFonts w:hint="default" w:ascii="Times New Roman" w:hAnsi="Times New Roman" w:eastAsia="宋体" w:cs="Times New Roman"/>
                <w:b w:val="0"/>
                <w:bCs/>
                <w:color w:val="auto"/>
                <w:sz w:val="24"/>
                <w:szCs w:val="24"/>
                <w:highlight w:val="none"/>
                <w:lang w:val="en-US" w:eastAsia="zh-CN"/>
              </w:rPr>
              <w:t>（排放浓度&lt;</w:t>
            </w:r>
            <w:r>
              <w:rPr>
                <w:rFonts w:hint="eastAsia" w:ascii="Times New Roman" w:hAnsi="Times New Roman" w:eastAsia="宋体" w:cs="Times New Roman"/>
                <w:b w:val="0"/>
                <w:bCs/>
                <w:color w:val="auto"/>
                <w:sz w:val="24"/>
                <w:szCs w:val="24"/>
                <w:highlight w:val="none"/>
                <w:lang w:val="en-US" w:eastAsia="zh-CN"/>
              </w:rPr>
              <w:t>80</w:t>
            </w:r>
            <w:r>
              <w:rPr>
                <w:rFonts w:hint="default" w:ascii="Times New Roman" w:hAnsi="Times New Roman" w:eastAsia="宋体" w:cs="Times New Roman"/>
                <w:b w:val="0"/>
                <w:bCs/>
                <w:color w:val="auto"/>
                <w:sz w:val="24"/>
                <w:szCs w:val="24"/>
                <w:highlight w:val="none"/>
                <w:lang w:val="en-US" w:eastAsia="zh-CN"/>
              </w:rPr>
              <w:t>mg/m</w:t>
            </w:r>
            <w:r>
              <w:rPr>
                <w:rFonts w:hint="default" w:ascii="Times New Roman" w:hAnsi="Times New Roman" w:eastAsia="宋体" w:cs="Times New Roman"/>
                <w:b w:val="0"/>
                <w:bCs/>
                <w:color w:val="auto"/>
                <w:sz w:val="24"/>
                <w:szCs w:val="24"/>
                <w:highlight w:val="none"/>
                <w:vertAlign w:val="superscript"/>
                <w:lang w:val="en-US" w:eastAsia="zh-CN"/>
              </w:rPr>
              <w:t>3</w:t>
            </w:r>
            <w:r>
              <w:rPr>
                <w:rFonts w:hint="default" w:ascii="Times New Roman" w:hAnsi="Times New Roman" w:eastAsia="宋体" w:cs="Times New Roman"/>
                <w:b w:val="0"/>
                <w:bCs/>
                <w:color w:val="auto"/>
                <w:sz w:val="24"/>
                <w:szCs w:val="24"/>
                <w:highlight w:val="none"/>
                <w:lang w:val="en-US" w:eastAsia="zh-CN"/>
              </w:rPr>
              <w:t>）</w:t>
            </w:r>
            <w:r>
              <w:rPr>
                <w:rFonts w:hint="eastAsia" w:ascii="Times New Roman" w:hAnsi="Times New Roman" w:eastAsia="宋体" w:cs="Times New Roman"/>
                <w:b w:val="0"/>
                <w:bCs/>
                <w:color w:val="auto"/>
                <w:sz w:val="24"/>
                <w:szCs w:val="24"/>
                <w:highlight w:val="none"/>
                <w:lang w:val="en-US" w:eastAsia="zh-CN"/>
              </w:rPr>
              <w:t>。</w:t>
            </w:r>
          </w:p>
          <w:p>
            <w:pPr>
              <w:pStyle w:val="2"/>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jc w:val="both"/>
              <w:textAlignment w:val="auto"/>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color w:val="auto"/>
                <w:highlight w:val="none"/>
              </w:rPr>
              <w:t>厂区内</w:t>
            </w:r>
            <w:r>
              <w:rPr>
                <w:rFonts w:hint="default" w:ascii="Times New Roman" w:hAnsi="Times New Roman" w:cs="Times New Roman"/>
                <w:color w:val="auto"/>
                <w:highlight w:val="none"/>
                <w:lang w:val="en-US" w:eastAsia="zh-CN"/>
              </w:rPr>
              <w:t>非甲烷总烃</w:t>
            </w:r>
            <w:r>
              <w:rPr>
                <w:rFonts w:hint="default" w:ascii="Times New Roman" w:hAnsi="Times New Roman" w:cs="Times New Roman"/>
                <w:color w:val="auto"/>
                <w:highlight w:val="none"/>
              </w:rPr>
              <w:t>无组织排放</w:t>
            </w:r>
            <w:r>
              <w:rPr>
                <w:rFonts w:hint="eastAsia" w:ascii="Times New Roman" w:hAnsi="Times New Roman" w:cs="Times New Roman"/>
                <w:color w:val="auto"/>
                <w:highlight w:val="none"/>
                <w:lang w:val="en-US" w:eastAsia="zh-CN"/>
              </w:rPr>
              <w:t>满足</w:t>
            </w:r>
            <w:r>
              <w:rPr>
                <w:rFonts w:hint="default" w:ascii="Times New Roman" w:hAnsi="Times New Roman" w:cs="Times New Roman"/>
                <w:color w:val="auto"/>
                <w:highlight w:val="none"/>
              </w:rPr>
              <w:t>《固定污染源挥发性有机物综合排放</w:t>
            </w:r>
            <w:r>
              <w:rPr>
                <w:rFonts w:hint="default" w:ascii="Times New Roman" w:hAnsi="Times New Roman" w:eastAsia="宋体" w:cs="Times New Roman"/>
                <w:color w:val="auto"/>
                <w:highlight w:val="none"/>
                <w:lang w:val="en-US" w:eastAsia="zh-CN"/>
              </w:rPr>
              <w:t>标准（DB44/2367-2022）表3厂区内VOCs无组织排放限值要求。厂界非甲烷总烃无组织排放</w:t>
            </w:r>
            <w:r>
              <w:rPr>
                <w:rFonts w:hint="eastAsia" w:ascii="Times New Roman" w:hAnsi="Times New Roman" w:eastAsia="宋体" w:cs="Times New Roman"/>
                <w:color w:val="auto"/>
                <w:highlight w:val="none"/>
                <w:lang w:val="en-US" w:eastAsia="zh-CN"/>
              </w:rPr>
              <w:t>满足</w:t>
            </w:r>
            <w:r>
              <w:rPr>
                <w:rFonts w:hint="default" w:ascii="Times New Roman" w:hAnsi="Times New Roman" w:eastAsia="宋体" w:cs="Times New Roman"/>
                <w:color w:val="auto"/>
                <w:highlight w:val="none"/>
                <w:lang w:val="en-US" w:eastAsia="zh-CN"/>
              </w:rPr>
              <w:t>广东省《大气污染物排放限值》（DB44/27-2001）第二时段无组织排放监控浓度限值。</w:t>
            </w:r>
            <w:r>
              <w:rPr>
                <w:rFonts w:ascii="Times New Roman" w:cs="Times New Roman"/>
                <w:color w:val="auto"/>
                <w:highlight w:val="none"/>
              </w:rPr>
              <w:t>锡及其化合物</w:t>
            </w:r>
            <w:r>
              <w:rPr>
                <w:rFonts w:hint="eastAsia" w:ascii="Times New Roman" w:cs="Times New Roman"/>
                <w:color w:val="auto"/>
                <w:highlight w:val="none"/>
                <w:lang w:val="en-US" w:eastAsia="zh-CN"/>
              </w:rPr>
              <w:t>厂界</w:t>
            </w:r>
            <w:r>
              <w:rPr>
                <w:rFonts w:ascii="Times New Roman" w:cs="Times New Roman"/>
                <w:color w:val="auto"/>
                <w:highlight w:val="none"/>
              </w:rPr>
              <w:t>无组织</w:t>
            </w:r>
            <w:r>
              <w:rPr>
                <w:rFonts w:hint="eastAsia" w:ascii="Times New Roman" w:cs="Times New Roman"/>
                <w:color w:val="auto"/>
                <w:highlight w:val="none"/>
                <w:lang w:val="en-US" w:eastAsia="zh-CN"/>
              </w:rPr>
              <w:t>满足</w:t>
            </w:r>
            <w:r>
              <w:rPr>
                <w:rFonts w:hint="default" w:ascii="Times New Roman" w:cs="Times New Roman"/>
                <w:color w:val="auto"/>
                <w:highlight w:val="none"/>
              </w:rPr>
              <w:t>广东省《大气污染物排放限值》（DB44/27-2001）中第二时段无组织排放监控点浓度限值。</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textAlignment w:val="auto"/>
              <w:rPr>
                <w:rFonts w:hint="default"/>
                <w:color w:val="auto"/>
                <w:sz w:val="24"/>
                <w:szCs w:val="32"/>
                <w:highlight w:val="none"/>
              </w:rPr>
            </w:pPr>
            <w:r>
              <w:rPr>
                <w:rFonts w:hint="eastAsia"/>
                <w:color w:val="auto"/>
                <w:sz w:val="24"/>
                <w:szCs w:val="32"/>
                <w:highlight w:val="none"/>
              </w:rPr>
              <w:t>综上，项目排放的废气均能达标排放，对周边环境保护目标影响较小。</w:t>
            </w:r>
          </w:p>
          <w:p>
            <w:pPr>
              <w:keepNext w:val="0"/>
              <w:keepLines w:val="0"/>
              <w:widowControl/>
              <w:suppressLineNumbers w:val="0"/>
              <w:spacing w:before="120" w:beforeLines="50" w:beforeAutospacing="0" w:after="0" w:afterAutospacing="0" w:line="360" w:lineRule="auto"/>
              <w:ind w:left="0" w:right="0" w:firstLine="482"/>
              <w:rPr>
                <w:rFonts w:hint="default"/>
                <w:b/>
                <w:bCs/>
                <w:color w:val="auto"/>
                <w:kern w:val="2"/>
                <w:sz w:val="24"/>
                <w:szCs w:val="24"/>
                <w:highlight w:val="none"/>
              </w:rPr>
            </w:pPr>
            <w:r>
              <w:rPr>
                <w:rFonts w:hint="eastAsia"/>
                <w:b/>
                <w:bCs/>
                <w:color w:val="auto"/>
                <w:kern w:val="2"/>
                <w:sz w:val="24"/>
                <w:szCs w:val="24"/>
                <w:highlight w:val="none"/>
              </w:rPr>
              <w:t>7</w:t>
            </w:r>
            <w:r>
              <w:rPr>
                <w:rFonts w:hint="default"/>
                <w:b/>
                <w:bCs/>
                <w:color w:val="auto"/>
                <w:kern w:val="2"/>
                <w:sz w:val="24"/>
                <w:szCs w:val="24"/>
                <w:highlight w:val="none"/>
              </w:rPr>
              <w:t>、卫生防护距离</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根据《大气有害物质无组织排放卫生防护距离推导技术导则》（GB/T39499-2020），为了防控通过无组织排放的大气污染物的健康危害，产生大气有害物质的生产单元（生产车间或作业场所）的边界至敏感区边界的最小距离。</w:t>
            </w:r>
          </w:p>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highlight w:val="none"/>
              </w:rPr>
            </w:pPr>
            <w:r>
              <w:rPr>
                <w:rFonts w:hint="default"/>
                <w:bCs/>
                <w:color w:val="auto"/>
                <w:sz w:val="24"/>
                <w:szCs w:val="24"/>
                <w:highlight w:val="none"/>
              </w:rPr>
              <w:t>根据项目的产品产量及其原辅材料、工艺特征、中间产物、产排污特点等具体情况，本项目的废气为生产过程</w:t>
            </w:r>
            <w:r>
              <w:rPr>
                <w:rFonts w:hint="eastAsia"/>
                <w:bCs/>
                <w:color w:val="auto"/>
                <w:sz w:val="24"/>
                <w:szCs w:val="24"/>
                <w:highlight w:val="none"/>
              </w:rPr>
              <w:t>热浸锡</w:t>
            </w:r>
            <w:r>
              <w:rPr>
                <w:rFonts w:hint="default"/>
                <w:bCs/>
                <w:color w:val="auto"/>
                <w:sz w:val="24"/>
                <w:szCs w:val="24"/>
                <w:highlight w:val="none"/>
              </w:rPr>
              <w:t>工序、退火</w:t>
            </w:r>
            <w:r>
              <w:rPr>
                <w:rFonts w:hint="eastAsia"/>
                <w:bCs/>
                <w:color w:val="auto"/>
                <w:sz w:val="24"/>
                <w:szCs w:val="24"/>
                <w:highlight w:val="none"/>
              </w:rPr>
              <w:t>工序</w:t>
            </w:r>
            <w:r>
              <w:rPr>
                <w:rFonts w:hint="default"/>
                <w:bCs/>
                <w:color w:val="auto"/>
                <w:sz w:val="24"/>
                <w:szCs w:val="24"/>
                <w:highlight w:val="none"/>
              </w:rPr>
              <w:t>产生的废气，主要污染因子为非甲烷总烃、</w:t>
            </w:r>
            <w:r>
              <w:rPr>
                <w:rFonts w:hint="eastAsia"/>
                <w:bCs/>
                <w:color w:val="auto"/>
                <w:sz w:val="24"/>
                <w:szCs w:val="24"/>
                <w:highlight w:val="none"/>
              </w:rPr>
              <w:t>锡及其化合物</w:t>
            </w:r>
            <w:r>
              <w:rPr>
                <w:rFonts w:hint="default"/>
                <w:bCs/>
                <w:color w:val="auto"/>
                <w:sz w:val="24"/>
                <w:szCs w:val="24"/>
                <w:highlight w:val="none"/>
              </w:rPr>
              <w:t>。</w:t>
            </w:r>
          </w:p>
          <w:p>
            <w:pPr>
              <w:pStyle w:val="79"/>
              <w:keepNext w:val="0"/>
              <w:keepLines w:val="0"/>
              <w:suppressLineNumbers w:val="0"/>
              <w:adjustRightInd w:val="0"/>
              <w:snapToGrid w:val="0"/>
              <w:spacing w:before="0" w:beforeAutospacing="0" w:after="0" w:afterAutospacing="0" w:line="360" w:lineRule="auto"/>
              <w:ind w:left="0" w:right="0" w:firstLine="482"/>
              <w:jc w:val="center"/>
              <w:rPr>
                <w:rFonts w:hint="default" w:ascii="Times New Roman" w:hAnsi="Times New Roman" w:cs="Times New Roman"/>
                <w:b/>
                <w:bCs/>
                <w:color w:val="auto"/>
                <w:kern w:val="2"/>
                <w:sz w:val="24"/>
                <w:szCs w:val="24"/>
                <w:highlight w:val="none"/>
                <w:lang w:val="en-US" w:bidi="ar-SA"/>
              </w:rPr>
            </w:pPr>
            <w:r>
              <w:rPr>
                <w:rFonts w:hint="default" w:ascii="Times New Roman" w:hAnsi="Times New Roman" w:cs="Times New Roman"/>
                <w:b/>
                <w:bCs/>
                <w:color w:val="auto"/>
                <w:kern w:val="2"/>
                <w:sz w:val="24"/>
                <w:szCs w:val="24"/>
                <w:highlight w:val="none"/>
                <w:lang w:val="en-US" w:bidi="ar-SA"/>
              </w:rPr>
              <w:t>表4-</w:t>
            </w:r>
            <w:r>
              <w:rPr>
                <w:rFonts w:hint="eastAsia" w:ascii="Times New Roman" w:hAnsi="Times New Roman" w:cs="Times New Roman"/>
                <w:b/>
                <w:bCs/>
                <w:color w:val="auto"/>
                <w:kern w:val="2"/>
                <w:sz w:val="24"/>
                <w:szCs w:val="24"/>
                <w:highlight w:val="none"/>
                <w:lang w:val="en-US" w:bidi="ar-SA"/>
              </w:rPr>
              <w:t>6</w:t>
            </w:r>
            <w:r>
              <w:rPr>
                <w:rFonts w:hint="default" w:ascii="Times New Roman" w:hAnsi="Times New Roman" w:cs="Times New Roman"/>
                <w:b/>
                <w:bCs/>
                <w:color w:val="auto"/>
                <w:kern w:val="2"/>
                <w:sz w:val="24"/>
                <w:szCs w:val="24"/>
                <w:highlight w:val="none"/>
                <w:lang w:val="en-US" w:bidi="ar-SA"/>
              </w:rPr>
              <w:t xml:space="preserve"> 项目无组织排放量和等标排放量情况表</w:t>
            </w:r>
          </w:p>
          <w:tbl>
            <w:tblPr>
              <w:tblStyle w:val="3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1721"/>
              <w:gridCol w:w="1698"/>
              <w:gridCol w:w="1657"/>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02" w:type="dxa"/>
                  <w:vAlign w:val="center"/>
                </w:tcPr>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污染物</w:t>
                  </w:r>
                </w:p>
              </w:tc>
              <w:tc>
                <w:tcPr>
                  <w:tcW w:w="1721" w:type="dxa"/>
                  <w:vAlign w:val="center"/>
                </w:tcPr>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无组织排放量</w:t>
                  </w:r>
                </w:p>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（kg/h）</w:t>
                  </w:r>
                </w:p>
              </w:tc>
              <w:tc>
                <w:tcPr>
                  <w:tcW w:w="1698" w:type="dxa"/>
                  <w:vAlign w:val="center"/>
                </w:tcPr>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质量标准限值</w:t>
                  </w:r>
                </w:p>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（mg/m</w:t>
                  </w:r>
                  <w:r>
                    <w:rPr>
                      <w:rFonts w:hint="default"/>
                      <w:b/>
                      <w:bCs/>
                      <w:color w:val="auto"/>
                      <w:sz w:val="21"/>
                      <w:highlight w:val="none"/>
                      <w:vertAlign w:val="superscript"/>
                    </w:rPr>
                    <w:t>3</w:t>
                  </w:r>
                  <w:r>
                    <w:rPr>
                      <w:rFonts w:hint="default"/>
                      <w:b/>
                      <w:bCs/>
                      <w:color w:val="auto"/>
                      <w:sz w:val="21"/>
                      <w:highlight w:val="none"/>
                    </w:rPr>
                    <w:t>）</w:t>
                  </w:r>
                </w:p>
              </w:tc>
              <w:tc>
                <w:tcPr>
                  <w:tcW w:w="1657" w:type="dxa"/>
                  <w:vAlign w:val="center"/>
                </w:tcPr>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等标排放量（m</w:t>
                  </w:r>
                  <w:r>
                    <w:rPr>
                      <w:rFonts w:hint="default"/>
                      <w:b/>
                      <w:bCs/>
                      <w:color w:val="auto"/>
                      <w:sz w:val="21"/>
                      <w:highlight w:val="none"/>
                      <w:vertAlign w:val="superscript"/>
                    </w:rPr>
                    <w:t>3</w:t>
                  </w:r>
                  <w:r>
                    <w:rPr>
                      <w:rFonts w:hint="default"/>
                      <w:b/>
                      <w:bCs/>
                      <w:color w:val="auto"/>
                      <w:sz w:val="21"/>
                      <w:highlight w:val="none"/>
                    </w:rPr>
                    <w:t>/h）</w:t>
                  </w:r>
                </w:p>
              </w:tc>
              <w:tc>
                <w:tcPr>
                  <w:tcW w:w="1669" w:type="dxa"/>
                  <w:vAlign w:val="center"/>
                </w:tcPr>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等标排放量</w:t>
                  </w:r>
                </w:p>
                <w:p>
                  <w:pPr>
                    <w:keepNext w:val="0"/>
                    <w:keepLines w:val="0"/>
                    <w:suppressLineNumbers w:val="0"/>
                    <w:wordWrap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相差（%）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02"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2"/>
                      <w:sz w:val="21"/>
                      <w:highlight w:val="none"/>
                      <w:lang w:eastAsia="zh-CN"/>
                    </w:rPr>
                  </w:pPr>
                  <w:r>
                    <w:rPr>
                      <w:rFonts w:hint="default" w:cs="Times New Roman"/>
                      <w:color w:val="auto"/>
                      <w:kern w:val="2"/>
                      <w:sz w:val="21"/>
                      <w:highlight w:val="none"/>
                      <w:lang w:eastAsia="zh-CN"/>
                    </w:rPr>
                    <w:t>非甲烷总烃</w:t>
                  </w:r>
                </w:p>
              </w:tc>
              <w:tc>
                <w:tcPr>
                  <w:tcW w:w="1721"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eastAsia="宋体" w:cs="Times New Roman"/>
                      <w:color w:val="auto"/>
                      <w:kern w:val="2"/>
                      <w:sz w:val="21"/>
                      <w:highlight w:val="none"/>
                      <w:lang w:val="en-US" w:eastAsia="zh-CN"/>
                    </w:rPr>
                  </w:pPr>
                  <w:r>
                    <w:rPr>
                      <w:rFonts w:hint="eastAsia"/>
                      <w:bCs/>
                      <w:color w:val="auto"/>
                      <w:sz w:val="21"/>
                      <w:highlight w:val="none"/>
                      <w:lang w:val="en-US" w:eastAsia="zh-CN"/>
                    </w:rPr>
                    <w:t>0.0831</w:t>
                  </w:r>
                </w:p>
              </w:tc>
              <w:tc>
                <w:tcPr>
                  <w:tcW w:w="1698"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2"/>
                      <w:sz w:val="21"/>
                      <w:highlight w:val="none"/>
                      <w:lang w:eastAsia="zh-CN"/>
                    </w:rPr>
                  </w:pPr>
                  <w:r>
                    <w:rPr>
                      <w:rFonts w:hint="default" w:cs="Times New Roman"/>
                      <w:color w:val="auto"/>
                      <w:kern w:val="2"/>
                      <w:sz w:val="21"/>
                      <w:highlight w:val="none"/>
                      <w:lang w:eastAsia="zh-CN"/>
                    </w:rPr>
                    <w:t>2</w:t>
                  </w:r>
                </w:p>
              </w:tc>
              <w:tc>
                <w:tcPr>
                  <w:tcW w:w="1657"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2"/>
                      <w:sz w:val="21"/>
                      <w:highlight w:val="none"/>
                      <w:lang w:val="en-US" w:eastAsia="zh-CN"/>
                    </w:rPr>
                  </w:pPr>
                  <w:r>
                    <w:rPr>
                      <w:rFonts w:hint="eastAsia" w:cs="Times New Roman"/>
                      <w:color w:val="auto"/>
                      <w:kern w:val="2"/>
                      <w:sz w:val="21"/>
                      <w:highlight w:val="none"/>
                      <w:lang w:val="en-US" w:eastAsia="zh-CN"/>
                    </w:rPr>
                    <w:t>41550</w:t>
                  </w:r>
                </w:p>
              </w:tc>
              <w:tc>
                <w:tcPr>
                  <w:tcW w:w="1669" w:type="dxa"/>
                  <w:vMerge w:val="restart"/>
                  <w:vAlign w:val="center"/>
                </w:tcPr>
                <w:p>
                  <w:pPr>
                    <w:keepNext w:val="0"/>
                    <w:keepLines w:val="0"/>
                    <w:suppressLineNumbers w:val="0"/>
                    <w:adjustRightInd w:val="0"/>
                    <w:snapToGrid w:val="0"/>
                    <w:spacing w:before="0" w:beforeAutospacing="0" w:after="0" w:afterAutospacing="0"/>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95.99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1502"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color w:val="auto"/>
                      <w:kern w:val="2"/>
                      <w:sz w:val="21"/>
                      <w:highlight w:val="none"/>
                      <w:lang w:eastAsia="zh-CN"/>
                    </w:rPr>
                  </w:pPr>
                  <w:r>
                    <w:rPr>
                      <w:rFonts w:hint="default" w:cs="Times New Roman"/>
                      <w:color w:val="auto"/>
                      <w:kern w:val="2"/>
                      <w:sz w:val="21"/>
                      <w:highlight w:val="none"/>
                      <w:lang w:eastAsia="zh-CN"/>
                    </w:rPr>
                    <w:t>锡及其化合</w:t>
                  </w:r>
                  <w:r>
                    <w:rPr>
                      <w:rFonts w:hint="eastAsia" w:cs="Times New Roman"/>
                      <w:color w:val="auto"/>
                      <w:kern w:val="2"/>
                      <w:sz w:val="21"/>
                      <w:highlight w:val="none"/>
                      <w:lang w:eastAsia="zh-CN"/>
                    </w:rPr>
                    <w:t>物</w:t>
                  </w:r>
                </w:p>
              </w:tc>
              <w:tc>
                <w:tcPr>
                  <w:tcW w:w="1721"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bCs/>
                      <w:color w:val="auto"/>
                      <w:sz w:val="21"/>
                      <w:highlight w:val="none"/>
                      <w:lang w:val="en-US" w:eastAsia="zh-CN"/>
                    </w:rPr>
                  </w:pPr>
                  <w:r>
                    <w:rPr>
                      <w:rFonts w:hint="eastAsia" w:cs="Times New Roman"/>
                      <w:bCs/>
                      <w:color w:val="auto"/>
                      <w:sz w:val="21"/>
                      <w:highlight w:val="none"/>
                      <w:lang w:val="en-US" w:eastAsia="zh-CN"/>
                    </w:rPr>
                    <w:t>0.0001</w:t>
                  </w:r>
                </w:p>
              </w:tc>
              <w:tc>
                <w:tcPr>
                  <w:tcW w:w="1698"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bCs/>
                      <w:color w:val="auto"/>
                      <w:sz w:val="21"/>
                      <w:highlight w:val="none"/>
                      <w:lang w:eastAsia="zh-CN"/>
                    </w:rPr>
                  </w:pPr>
                  <w:r>
                    <w:rPr>
                      <w:rFonts w:hint="default" w:cs="Times New Roman"/>
                      <w:bCs/>
                      <w:color w:val="auto"/>
                      <w:sz w:val="21"/>
                      <w:highlight w:val="none"/>
                      <w:lang w:eastAsia="zh-CN"/>
                    </w:rPr>
                    <w:t>0.06</w:t>
                  </w:r>
                </w:p>
              </w:tc>
              <w:tc>
                <w:tcPr>
                  <w:tcW w:w="1657" w:type="dxa"/>
                  <w:vAlign w:val="center"/>
                </w:tcPr>
                <w:p>
                  <w:pPr>
                    <w:pStyle w:val="116"/>
                    <w:keepNext w:val="0"/>
                    <w:keepLines w:val="0"/>
                    <w:suppressLineNumbers w:val="0"/>
                    <w:spacing w:before="0" w:beforeAutospacing="0" w:after="0" w:afterAutospacing="0" w:line="240" w:lineRule="auto"/>
                    <w:ind w:left="0" w:right="0" w:firstLine="0" w:firstLineChars="0"/>
                    <w:jc w:val="center"/>
                    <w:rPr>
                      <w:rFonts w:hint="default" w:cs="Times New Roman"/>
                      <w:bCs/>
                      <w:color w:val="auto"/>
                      <w:sz w:val="21"/>
                      <w:highlight w:val="none"/>
                      <w:lang w:val="en-US" w:eastAsia="zh-CN"/>
                    </w:rPr>
                  </w:pPr>
                  <w:r>
                    <w:rPr>
                      <w:rFonts w:hint="eastAsia" w:cs="Times New Roman"/>
                      <w:bCs/>
                      <w:color w:val="auto"/>
                      <w:sz w:val="21"/>
                      <w:highlight w:val="none"/>
                      <w:lang w:val="en-US" w:eastAsia="zh-CN"/>
                    </w:rPr>
                    <w:t>1666.67</w:t>
                  </w:r>
                </w:p>
              </w:tc>
              <w:tc>
                <w:tcPr>
                  <w:tcW w:w="1669" w:type="dxa"/>
                  <w:vMerge w:val="continue"/>
                  <w:vAlign w:val="center"/>
                </w:tcPr>
                <w:p>
                  <w:pPr>
                    <w:keepNext w:val="0"/>
                    <w:keepLines w:val="0"/>
                    <w:suppressLineNumbers w:val="0"/>
                    <w:adjustRightInd w:val="0"/>
                    <w:snapToGrid w:val="0"/>
                    <w:spacing w:before="0" w:beforeAutospacing="0" w:after="0" w:afterAutospacing="0"/>
                    <w:ind w:left="0" w:right="0" w:firstLine="0" w:firstLineChars="0"/>
                    <w:jc w:val="center"/>
                    <w:rPr>
                      <w:rFonts w:hint="default"/>
                      <w:color w:val="auto"/>
                      <w:sz w:val="21"/>
                      <w:highlight w:val="none"/>
                    </w:rPr>
                  </w:pPr>
                </w:p>
              </w:tc>
            </w:tr>
          </w:tbl>
          <w:p>
            <w:pPr>
              <w:keepNext w:val="0"/>
              <w:keepLines w:val="0"/>
              <w:suppressLineNumbers w:val="0"/>
              <w:adjustRightInd w:val="0"/>
              <w:snapToGrid w:val="0"/>
              <w:spacing w:before="120" w:beforeLines="50" w:beforeAutospacing="0" w:after="0" w:afterAutospacing="0" w:line="360" w:lineRule="auto"/>
              <w:ind w:left="0" w:right="0" w:firstLine="480"/>
              <w:rPr>
                <w:rFonts w:hint="default"/>
                <w:color w:val="auto"/>
                <w:sz w:val="24"/>
                <w:szCs w:val="24"/>
                <w:highlight w:val="none"/>
              </w:rPr>
            </w:pPr>
            <w:r>
              <w:rPr>
                <w:rFonts w:hint="default"/>
                <w:color w:val="auto"/>
                <w:sz w:val="24"/>
                <w:szCs w:val="24"/>
                <w:highlight w:val="none"/>
              </w:rPr>
              <w:t>项目非甲烷总烃和</w:t>
            </w:r>
            <w:r>
              <w:rPr>
                <w:rFonts w:hint="eastAsia"/>
                <w:color w:val="auto"/>
                <w:sz w:val="24"/>
                <w:szCs w:val="24"/>
                <w:highlight w:val="none"/>
              </w:rPr>
              <w:t>锡及其化合物</w:t>
            </w:r>
            <w:r>
              <w:rPr>
                <w:rFonts w:hint="default"/>
                <w:color w:val="auto"/>
                <w:sz w:val="24"/>
                <w:szCs w:val="24"/>
                <w:highlight w:val="none"/>
              </w:rPr>
              <w:t>等标排放量相差在10%以上，因此本项目选择</w:t>
            </w:r>
            <w:r>
              <w:rPr>
                <w:rFonts w:hint="eastAsia"/>
                <w:color w:val="auto"/>
                <w:sz w:val="24"/>
                <w:szCs w:val="24"/>
                <w:highlight w:val="none"/>
                <w:lang w:val="en-US" w:eastAsia="zh-CN"/>
              </w:rPr>
              <w:t>非甲烷总烃</w:t>
            </w:r>
            <w:r>
              <w:rPr>
                <w:rFonts w:hint="default"/>
                <w:color w:val="auto"/>
                <w:sz w:val="24"/>
                <w:szCs w:val="24"/>
                <w:highlight w:val="none"/>
              </w:rPr>
              <w:t>计算卫生防护距离初值。</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卫生防护距离初值计算：</w:t>
            </w:r>
          </w:p>
          <w:p>
            <w:pPr>
              <w:keepNext w:val="0"/>
              <w:keepLines w:val="0"/>
              <w:suppressLineNumbers w:val="0"/>
              <w:adjustRightInd w:val="0"/>
              <w:snapToGrid w:val="0"/>
              <w:spacing w:before="0" w:beforeAutospacing="0" w:after="0" w:afterAutospacing="0" w:line="360" w:lineRule="auto"/>
              <w:ind w:left="0" w:right="0" w:firstLine="480"/>
              <w:jc w:val="center"/>
              <w:rPr>
                <w:rFonts w:hint="default"/>
                <w:bCs/>
                <w:color w:val="auto"/>
                <w:sz w:val="24"/>
                <w:szCs w:val="24"/>
                <w:highlight w:val="none"/>
              </w:rPr>
            </w:pPr>
            <w:r>
              <w:rPr>
                <w:rFonts w:hint="default"/>
                <w:bCs/>
                <w:color w:val="auto"/>
                <w:sz w:val="24"/>
                <w:szCs w:val="24"/>
                <w:highlight w:val="none"/>
              </w:rPr>
              <w:drawing>
                <wp:inline distT="0" distB="0" distL="114300" distR="114300">
                  <wp:extent cx="1866900" cy="466725"/>
                  <wp:effectExtent l="0" t="0" r="0" b="8890"/>
                  <wp:docPr id="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
                          <pic:cNvPicPr>
                            <a:picLocks noChangeAspect="1"/>
                          </pic:cNvPicPr>
                        </pic:nvPicPr>
                        <pic:blipFill>
                          <a:blip r:embed="rId31"/>
                          <a:stretch>
                            <a:fillRect/>
                          </a:stretch>
                        </pic:blipFill>
                        <pic:spPr>
                          <a:xfrm>
                            <a:off x="0" y="0"/>
                            <a:ext cx="1866900" cy="466725"/>
                          </a:xfrm>
                          <a:prstGeom prst="rect">
                            <a:avLst/>
                          </a:prstGeom>
                          <a:noFill/>
                          <a:ln>
                            <a:noFill/>
                          </a:ln>
                        </pic:spPr>
                      </pic:pic>
                    </a:graphicData>
                  </a:graphic>
                </wp:inline>
              </w:drawing>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式中：C</w:t>
            </w:r>
            <w:r>
              <w:rPr>
                <w:rFonts w:hint="default"/>
                <w:bCs/>
                <w:color w:val="auto"/>
                <w:sz w:val="24"/>
                <w:szCs w:val="24"/>
                <w:highlight w:val="none"/>
                <w:vertAlign w:val="subscript"/>
              </w:rPr>
              <w:t>m</w:t>
            </w:r>
            <w:r>
              <w:rPr>
                <w:rFonts w:hint="default"/>
                <w:bCs/>
                <w:color w:val="auto"/>
                <w:sz w:val="24"/>
                <w:szCs w:val="24"/>
                <w:highlight w:val="none"/>
              </w:rPr>
              <w:sym w:font="Symbol" w:char="F0BE"/>
            </w:r>
            <w:r>
              <w:rPr>
                <w:rFonts w:hint="default"/>
                <w:bCs/>
                <w:color w:val="auto"/>
                <w:sz w:val="24"/>
                <w:szCs w:val="24"/>
                <w:highlight w:val="none"/>
              </w:rPr>
              <w:t>大气有害物质环境空气质量的标准限值，单位为毫克每立方米(mg/m</w:t>
            </w:r>
            <w:r>
              <w:rPr>
                <w:rFonts w:hint="default"/>
                <w:bCs/>
                <w:color w:val="auto"/>
                <w:sz w:val="24"/>
                <w:szCs w:val="24"/>
                <w:highlight w:val="none"/>
                <w:vertAlign w:val="superscript"/>
              </w:rPr>
              <w:t>3</w:t>
            </w:r>
            <w:r>
              <w:rPr>
                <w:rFonts w:hint="default"/>
                <w:bCs/>
                <w:color w:val="auto"/>
                <w:sz w:val="24"/>
                <w:szCs w:val="24"/>
                <w:highlight w:val="none"/>
              </w:rPr>
              <w:t>)；</w:t>
            </w:r>
          </w:p>
          <w:p>
            <w:pPr>
              <w:keepNext w:val="0"/>
              <w:keepLines w:val="0"/>
              <w:suppressLineNumbers w:val="0"/>
              <w:adjustRightInd w:val="0"/>
              <w:snapToGrid w:val="0"/>
              <w:spacing w:before="0" w:beforeAutospacing="0" w:after="0" w:afterAutospacing="0" w:line="360" w:lineRule="auto"/>
              <w:ind w:left="0" w:right="0" w:firstLine="1200" w:firstLineChars="500"/>
              <w:jc w:val="both"/>
              <w:rPr>
                <w:rFonts w:hint="default"/>
                <w:bCs/>
                <w:color w:val="auto"/>
                <w:sz w:val="24"/>
                <w:szCs w:val="24"/>
                <w:highlight w:val="none"/>
              </w:rPr>
            </w:pPr>
            <w:r>
              <w:rPr>
                <w:rFonts w:hint="default"/>
                <w:bCs/>
                <w:color w:val="auto"/>
                <w:sz w:val="24"/>
                <w:szCs w:val="24"/>
                <w:highlight w:val="none"/>
              </w:rPr>
              <w:t>Q</w:t>
            </w:r>
            <w:r>
              <w:rPr>
                <w:rFonts w:hint="default"/>
                <w:bCs/>
                <w:color w:val="auto"/>
                <w:sz w:val="24"/>
                <w:szCs w:val="24"/>
                <w:highlight w:val="none"/>
                <w:vertAlign w:val="subscript"/>
              </w:rPr>
              <w:t>c</w:t>
            </w:r>
            <w:r>
              <w:rPr>
                <w:rFonts w:hint="default"/>
                <w:bCs/>
                <w:color w:val="auto"/>
                <w:sz w:val="24"/>
                <w:szCs w:val="24"/>
                <w:highlight w:val="none"/>
              </w:rPr>
              <w:sym w:font="Symbol" w:char="F0BE"/>
            </w:r>
            <w:r>
              <w:rPr>
                <w:rFonts w:hint="default"/>
                <w:bCs/>
                <w:color w:val="auto"/>
                <w:sz w:val="24"/>
                <w:szCs w:val="24"/>
                <w:highlight w:val="none"/>
              </w:rPr>
              <w:t>大气有害物质的无组织排放量，单位为千克每小时（kg/h）；</w:t>
            </w:r>
          </w:p>
          <w:p>
            <w:pPr>
              <w:keepNext w:val="0"/>
              <w:keepLines w:val="0"/>
              <w:suppressLineNumbers w:val="0"/>
              <w:adjustRightInd w:val="0"/>
              <w:snapToGrid w:val="0"/>
              <w:spacing w:before="0" w:beforeAutospacing="0" w:after="0" w:afterAutospacing="0" w:line="360" w:lineRule="auto"/>
              <w:ind w:left="0" w:right="0" w:firstLine="1200" w:firstLineChars="500"/>
              <w:jc w:val="both"/>
              <w:rPr>
                <w:rFonts w:hint="default"/>
                <w:bCs/>
                <w:color w:val="auto"/>
                <w:sz w:val="24"/>
                <w:szCs w:val="24"/>
                <w:highlight w:val="none"/>
              </w:rPr>
            </w:pPr>
            <w:r>
              <w:rPr>
                <w:rFonts w:hint="default"/>
                <w:bCs/>
                <w:color w:val="auto"/>
                <w:sz w:val="24"/>
                <w:szCs w:val="24"/>
                <w:highlight w:val="none"/>
              </w:rPr>
              <w:t>L</w:t>
            </w:r>
            <w:r>
              <w:rPr>
                <w:rFonts w:hint="default"/>
                <w:bCs/>
                <w:color w:val="auto"/>
                <w:sz w:val="24"/>
                <w:szCs w:val="24"/>
                <w:highlight w:val="none"/>
              </w:rPr>
              <w:sym w:font="Symbol" w:char="F0BE"/>
            </w:r>
            <w:r>
              <w:rPr>
                <w:rFonts w:hint="default"/>
                <w:bCs/>
                <w:color w:val="auto"/>
                <w:sz w:val="24"/>
                <w:szCs w:val="24"/>
                <w:highlight w:val="none"/>
              </w:rPr>
              <w:t>大气有害物质卫生防护距离初值，单位为米（m）；</w:t>
            </w:r>
          </w:p>
          <w:p>
            <w:pPr>
              <w:keepNext w:val="0"/>
              <w:keepLines w:val="0"/>
              <w:suppressLineNumbers w:val="0"/>
              <w:adjustRightInd w:val="0"/>
              <w:snapToGrid w:val="0"/>
              <w:spacing w:before="0" w:beforeAutospacing="0" w:after="0" w:afterAutospacing="0" w:line="360" w:lineRule="auto"/>
              <w:ind w:left="0" w:right="0" w:firstLine="1200" w:firstLineChars="500"/>
              <w:jc w:val="both"/>
              <w:rPr>
                <w:rFonts w:hint="default"/>
                <w:bCs/>
                <w:color w:val="auto"/>
                <w:sz w:val="24"/>
                <w:szCs w:val="24"/>
                <w:highlight w:val="none"/>
              </w:rPr>
            </w:pPr>
            <w:r>
              <w:rPr>
                <w:rFonts w:hint="default"/>
                <w:bCs/>
                <w:color w:val="auto"/>
                <w:sz w:val="24"/>
                <w:szCs w:val="24"/>
                <w:highlight w:val="none"/>
              </w:rPr>
              <w:t>r</w:t>
            </w:r>
            <w:r>
              <w:rPr>
                <w:rFonts w:hint="default"/>
                <w:bCs/>
                <w:color w:val="auto"/>
                <w:sz w:val="24"/>
                <w:szCs w:val="24"/>
                <w:highlight w:val="none"/>
              </w:rPr>
              <w:sym w:font="Symbol" w:char="F0BE"/>
            </w:r>
            <w:r>
              <w:rPr>
                <w:rFonts w:hint="default"/>
                <w:bCs/>
                <w:color w:val="auto"/>
                <w:sz w:val="24"/>
                <w:szCs w:val="24"/>
                <w:highlight w:val="none"/>
              </w:rPr>
              <w:t>大气有害物质无组织排放源所在生产单元的等效半径，单位为米（m）；</w:t>
            </w:r>
          </w:p>
          <w:p>
            <w:pPr>
              <w:keepNext w:val="0"/>
              <w:keepLines w:val="0"/>
              <w:suppressLineNumbers w:val="0"/>
              <w:adjustRightInd w:val="0"/>
              <w:snapToGrid w:val="0"/>
              <w:spacing w:before="0" w:beforeAutospacing="0" w:after="0" w:afterAutospacing="0" w:line="360" w:lineRule="auto"/>
              <w:ind w:left="0" w:right="0" w:firstLine="1200" w:firstLineChars="500"/>
              <w:jc w:val="both"/>
              <w:rPr>
                <w:rFonts w:hint="default"/>
                <w:bCs/>
                <w:color w:val="auto"/>
                <w:sz w:val="24"/>
                <w:szCs w:val="24"/>
                <w:highlight w:val="none"/>
              </w:rPr>
            </w:pPr>
            <w:r>
              <w:rPr>
                <w:rFonts w:hint="default"/>
                <w:bCs/>
                <w:color w:val="auto"/>
                <w:sz w:val="24"/>
                <w:szCs w:val="24"/>
                <w:highlight w:val="none"/>
              </w:rPr>
              <w:t>A、B、C、D</w:t>
            </w:r>
            <w:r>
              <w:rPr>
                <w:rFonts w:hint="default"/>
                <w:bCs/>
                <w:color w:val="auto"/>
                <w:sz w:val="24"/>
                <w:szCs w:val="24"/>
                <w:highlight w:val="none"/>
              </w:rPr>
              <w:sym w:font="Symbol" w:char="F0BE"/>
            </w:r>
            <w:r>
              <w:rPr>
                <w:rFonts w:hint="default"/>
                <w:bCs/>
                <w:color w:val="auto"/>
                <w:sz w:val="24"/>
                <w:szCs w:val="24"/>
                <w:highlight w:val="none"/>
              </w:rPr>
              <w:t>卫生防护距离初值计算系数，无因次，根据工业企业所在地区近5年平均风速及大气污染源构成类别从下表查取。</w:t>
            </w:r>
          </w:p>
          <w:p>
            <w:pPr>
              <w:keepNext w:val="0"/>
              <w:keepLines w:val="0"/>
              <w:suppressLineNumbers w:val="0"/>
              <w:adjustRightInd w:val="0"/>
              <w:snapToGrid w:val="0"/>
              <w:spacing w:before="0" w:beforeAutospacing="0" w:after="0" w:afterAutospacing="0" w:line="240" w:lineRule="auto"/>
              <w:ind w:left="0" w:right="0" w:firstLine="482"/>
              <w:jc w:val="center"/>
              <w:rPr>
                <w:rFonts w:hint="default"/>
                <w:b/>
                <w:color w:val="auto"/>
                <w:sz w:val="24"/>
                <w:szCs w:val="24"/>
                <w:highlight w:val="none"/>
              </w:rPr>
            </w:pPr>
          </w:p>
          <w:p>
            <w:pPr>
              <w:keepNext w:val="0"/>
              <w:keepLines w:val="0"/>
              <w:suppressLineNumbers w:val="0"/>
              <w:adjustRightInd w:val="0"/>
              <w:snapToGrid w:val="0"/>
              <w:spacing w:before="0" w:beforeAutospacing="0" w:after="0" w:afterAutospacing="0" w:line="240" w:lineRule="auto"/>
              <w:ind w:left="0" w:right="0" w:firstLine="482"/>
              <w:jc w:val="center"/>
              <w:rPr>
                <w:rFonts w:hint="default"/>
                <w:b/>
                <w:color w:val="auto"/>
                <w:sz w:val="24"/>
                <w:szCs w:val="24"/>
                <w:highlight w:val="none"/>
              </w:rPr>
            </w:pPr>
            <w:r>
              <w:rPr>
                <w:rFonts w:hint="default"/>
                <w:b/>
                <w:color w:val="auto"/>
                <w:sz w:val="24"/>
                <w:szCs w:val="24"/>
                <w:highlight w:val="none"/>
              </w:rPr>
              <w:t>表4-</w:t>
            </w:r>
            <w:r>
              <w:rPr>
                <w:rFonts w:hint="eastAsia"/>
                <w:b/>
                <w:color w:val="auto"/>
                <w:sz w:val="24"/>
                <w:szCs w:val="24"/>
                <w:highlight w:val="none"/>
              </w:rPr>
              <w:t>7</w:t>
            </w:r>
            <w:r>
              <w:rPr>
                <w:rFonts w:hint="default"/>
                <w:b/>
                <w:color w:val="auto"/>
                <w:sz w:val="24"/>
                <w:szCs w:val="24"/>
                <w:highlight w:val="none"/>
              </w:rPr>
              <w:t xml:space="preserve">  卫生防护距离计算系数</w:t>
            </w:r>
          </w:p>
          <w:tbl>
            <w:tblPr>
              <w:tblStyle w:val="35"/>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83"/>
              <w:gridCol w:w="698"/>
              <w:gridCol w:w="698"/>
              <w:gridCol w:w="698"/>
              <w:gridCol w:w="697"/>
              <w:gridCol w:w="697"/>
              <w:gridCol w:w="702"/>
              <w:gridCol w:w="698"/>
              <w:gridCol w:w="698"/>
              <w:gridCol w:w="71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restart"/>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计</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算</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系</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数</w:t>
                  </w:r>
                </w:p>
              </w:tc>
              <w:tc>
                <w:tcPr>
                  <w:tcW w:w="777"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工业企业</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所在地区</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近五年平</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均风速m/s</w:t>
                  </w:r>
                </w:p>
              </w:tc>
              <w:tc>
                <w:tcPr>
                  <w:tcW w:w="3813" w:type="pct"/>
                  <w:gridSpan w:val="9"/>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卫生防护距离L，m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L≤1000</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1000＜L≤2000</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L＞2000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813" w:type="pct"/>
                  <w:gridSpan w:val="9"/>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工业企业大气污染源构成类别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Ⅰ</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Ⅱ</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Ⅲ</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Ⅰ</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Ⅱ</w:t>
                  </w:r>
                </w:p>
              </w:tc>
              <w:tc>
                <w:tcPr>
                  <w:tcW w:w="4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Ⅲ</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Ⅰ</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Ⅱ</w:t>
                  </w:r>
                </w:p>
              </w:tc>
              <w:tc>
                <w:tcPr>
                  <w:tcW w:w="427" w:type="pc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restart"/>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A</w:t>
                  </w: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&lt;2</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400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80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80</w:t>
                  </w:r>
                </w:p>
              </w:tc>
              <w:tc>
                <w:tcPr>
                  <w:tcW w:w="427" w:type="pc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2～4</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700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470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350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700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470</w:t>
                  </w:r>
                </w:p>
              </w:tc>
              <w:tc>
                <w:tcPr>
                  <w:tcW w:w="4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350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380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250</w:t>
                  </w:r>
                </w:p>
              </w:tc>
              <w:tc>
                <w:tcPr>
                  <w:tcW w:w="427" w:type="pc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&gt;4</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530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350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260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530</w:t>
                  </w:r>
                </w:p>
              </w:tc>
              <w:tc>
                <w:tcPr>
                  <w:tcW w:w="42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350</w:t>
                  </w:r>
                </w:p>
              </w:tc>
              <w:tc>
                <w:tcPr>
                  <w:tcW w:w="424"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260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290</w:t>
                  </w:r>
                </w:p>
              </w:tc>
              <w:tc>
                <w:tcPr>
                  <w:tcW w:w="42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190</w:t>
                  </w:r>
                </w:p>
              </w:tc>
              <w:tc>
                <w:tcPr>
                  <w:tcW w:w="427" w:type="pct"/>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restart"/>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B</w:t>
                  </w: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0.01</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0.015</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&gt;2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0.021</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0.036</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restart"/>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C</w:t>
                  </w: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1.85</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1.79</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&gt;2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1.85</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1.77</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restart"/>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D</w:t>
                  </w: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0.78</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0.78</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09" w:type="pct"/>
                  <w:vMerge w:val="continue"/>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&gt;2</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0.84</w:t>
                  </w:r>
                </w:p>
              </w:tc>
              <w:tc>
                <w:tcPr>
                  <w:tcW w:w="1269" w:type="pct"/>
                  <w:gridSpan w:val="3"/>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0.84</w:t>
                  </w:r>
                </w:p>
              </w:tc>
              <w:tc>
                <w:tcPr>
                  <w:tcW w:w="1274" w:type="pct"/>
                  <w:gridSpan w:val="3"/>
                  <w:tcBorders>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0.76</w:t>
                  </w:r>
                </w:p>
              </w:tc>
            </w:tr>
          </w:tbl>
          <w:p>
            <w:pPr>
              <w:keepNext w:val="0"/>
              <w:keepLines w:val="0"/>
              <w:suppressLineNumbers w:val="0"/>
              <w:adjustRightInd w:val="0"/>
              <w:snapToGrid w:val="0"/>
              <w:spacing w:before="0" w:beforeAutospacing="0" w:after="0" w:afterAutospacing="0" w:line="360" w:lineRule="auto"/>
              <w:ind w:left="0" w:right="0" w:firstLine="420"/>
              <w:jc w:val="both"/>
              <w:rPr>
                <w:rFonts w:hint="default"/>
                <w:bCs/>
                <w:color w:val="auto"/>
                <w:sz w:val="21"/>
                <w:highlight w:val="none"/>
              </w:rPr>
            </w:pPr>
            <w:r>
              <w:rPr>
                <w:rFonts w:hint="default"/>
                <w:bCs/>
                <w:color w:val="auto"/>
                <w:sz w:val="21"/>
                <w:highlight w:val="none"/>
              </w:rPr>
              <w:t>注：工业企业大气污染源构成分为三类：</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Ⅰ类：与无组织排放源共存的排放同种有害气体的排气筒的排放量，大于标准规定的允许排放量的三分之一者。</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Ⅲ类：无排放同种有害物质的排气筒与无组织排放源共存，且无组织排放的有害物质的容许浓度是按慢性反应指标确定者。</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等效半径根据下式计算。</w:t>
            </w:r>
          </w:p>
          <w:p>
            <w:pPr>
              <w:keepNext w:val="0"/>
              <w:keepLines w:val="0"/>
              <w:suppressLineNumbers w:val="0"/>
              <w:adjustRightInd w:val="0"/>
              <w:snapToGrid w:val="0"/>
              <w:spacing w:before="0" w:beforeAutospacing="0" w:after="0" w:afterAutospacing="0" w:line="360" w:lineRule="auto"/>
              <w:ind w:left="0" w:right="0" w:firstLine="480"/>
              <w:jc w:val="center"/>
              <w:rPr>
                <w:rFonts w:hint="default"/>
                <w:bCs/>
                <w:color w:val="auto"/>
                <w:sz w:val="24"/>
                <w:szCs w:val="24"/>
                <w:highlight w:val="none"/>
              </w:rPr>
            </w:pPr>
            <w:r>
              <w:rPr>
                <w:rFonts w:hint="default"/>
                <w:bCs/>
                <w:color w:val="auto"/>
                <w:sz w:val="24"/>
                <w:szCs w:val="24"/>
                <w:highlight w:val="none"/>
              </w:rPr>
              <w:drawing>
                <wp:inline distT="0" distB="0" distL="114300" distR="114300">
                  <wp:extent cx="1447800" cy="248285"/>
                  <wp:effectExtent l="0" t="0" r="0" b="18415"/>
                  <wp:docPr id="57" name="图片 4" descr="1620443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descr="1620443620(1)"/>
                          <pic:cNvPicPr>
                            <a:picLocks noChangeAspect="1"/>
                          </pic:cNvPicPr>
                        </pic:nvPicPr>
                        <pic:blipFill>
                          <a:blip r:embed="rId32"/>
                          <a:srcRect t="21745" b="16191"/>
                          <a:stretch>
                            <a:fillRect/>
                          </a:stretch>
                        </pic:blipFill>
                        <pic:spPr>
                          <a:xfrm>
                            <a:off x="0" y="0"/>
                            <a:ext cx="1447800" cy="248285"/>
                          </a:xfrm>
                          <a:prstGeom prst="rect">
                            <a:avLst/>
                          </a:prstGeom>
                          <a:noFill/>
                          <a:ln>
                            <a:noFill/>
                          </a:ln>
                        </pic:spPr>
                      </pic:pic>
                    </a:graphicData>
                  </a:graphic>
                </wp:inline>
              </w:drawing>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本项目</w:t>
            </w:r>
            <w:r>
              <w:rPr>
                <w:rFonts w:hint="eastAsia"/>
                <w:bCs/>
                <w:color w:val="auto"/>
                <w:sz w:val="24"/>
                <w:szCs w:val="24"/>
                <w:highlight w:val="none"/>
                <w:lang w:val="en-US" w:eastAsia="zh-CN"/>
              </w:rPr>
              <w:t>非甲烷总烃</w:t>
            </w:r>
            <w:r>
              <w:rPr>
                <w:rFonts w:hint="default"/>
                <w:bCs/>
                <w:color w:val="auto"/>
                <w:sz w:val="24"/>
                <w:szCs w:val="24"/>
                <w:highlight w:val="none"/>
              </w:rPr>
              <w:t>产生源为</w:t>
            </w:r>
            <w:r>
              <w:rPr>
                <w:rFonts w:hint="eastAsia"/>
                <w:bCs/>
                <w:color w:val="auto"/>
                <w:sz w:val="24"/>
                <w:szCs w:val="24"/>
                <w:highlight w:val="none"/>
                <w:lang w:val="en-US" w:eastAsia="zh-CN"/>
              </w:rPr>
              <w:t>退火工序和</w:t>
            </w:r>
            <w:r>
              <w:rPr>
                <w:rFonts w:hint="eastAsia"/>
                <w:bCs/>
                <w:color w:val="auto"/>
                <w:sz w:val="24"/>
                <w:szCs w:val="24"/>
                <w:highlight w:val="none"/>
              </w:rPr>
              <w:t>热浸锡</w:t>
            </w:r>
            <w:r>
              <w:rPr>
                <w:rFonts w:hint="default"/>
                <w:bCs/>
                <w:color w:val="auto"/>
                <w:sz w:val="24"/>
                <w:szCs w:val="24"/>
                <w:highlight w:val="none"/>
              </w:rPr>
              <w:t>工序，无组织排放速率为</w:t>
            </w:r>
            <w:r>
              <w:rPr>
                <w:rFonts w:hint="eastAsia"/>
                <w:bCs/>
                <w:color w:val="auto"/>
                <w:sz w:val="24"/>
                <w:szCs w:val="24"/>
                <w:highlight w:val="none"/>
                <w:lang w:val="en-US" w:eastAsia="zh-CN"/>
              </w:rPr>
              <w:t>0.0831</w:t>
            </w:r>
            <w:r>
              <w:rPr>
                <w:rFonts w:hint="default"/>
                <w:bCs/>
                <w:color w:val="auto"/>
                <w:sz w:val="24"/>
                <w:szCs w:val="24"/>
                <w:highlight w:val="none"/>
              </w:rPr>
              <w:t>kg/h，本项目生产车间作为一个源点，其占地面积1973.64m</w:t>
            </w:r>
            <w:r>
              <w:rPr>
                <w:rFonts w:hint="default"/>
                <w:bCs/>
                <w:color w:val="auto"/>
                <w:sz w:val="24"/>
                <w:szCs w:val="24"/>
                <w:highlight w:val="none"/>
                <w:vertAlign w:val="superscript"/>
              </w:rPr>
              <w:t>2</w:t>
            </w:r>
            <w:r>
              <w:rPr>
                <w:rFonts w:hint="default"/>
                <w:bCs/>
                <w:color w:val="auto"/>
                <w:sz w:val="24"/>
                <w:szCs w:val="24"/>
                <w:highlight w:val="none"/>
              </w:rPr>
              <w:t>，计算得出等效半径25.0</w:t>
            </w:r>
            <w:r>
              <w:rPr>
                <w:rFonts w:hint="eastAsia"/>
                <w:bCs/>
                <w:color w:val="auto"/>
                <w:sz w:val="24"/>
                <w:szCs w:val="24"/>
                <w:highlight w:val="none"/>
              </w:rPr>
              <w:t>6</w:t>
            </w:r>
            <w:r>
              <w:rPr>
                <w:rFonts w:hint="default"/>
                <w:bCs/>
                <w:color w:val="auto"/>
                <w:sz w:val="24"/>
                <w:szCs w:val="24"/>
                <w:highlight w:val="none"/>
              </w:rPr>
              <w:t>m。本项目所在地区近5年平均风速为2.2m/s，且大气污染源属于Ⅱ类，环境空气质量标准限值采用</w:t>
            </w:r>
            <w:r>
              <w:rPr>
                <w:rFonts w:hint="eastAsia"/>
                <w:bCs/>
                <w:color w:val="auto"/>
                <w:sz w:val="24"/>
                <w:szCs w:val="24"/>
                <w:highlight w:val="none"/>
                <w:lang w:val="en-US" w:eastAsia="zh-CN"/>
              </w:rPr>
              <w:t>非甲烷总烃2.0</w:t>
            </w:r>
            <w:r>
              <w:rPr>
                <w:rFonts w:hint="default"/>
                <w:bCs/>
                <w:color w:val="auto"/>
                <w:sz w:val="24"/>
                <w:szCs w:val="24"/>
                <w:highlight w:val="none"/>
              </w:rPr>
              <w:t>mg/m</w:t>
            </w:r>
            <w:r>
              <w:rPr>
                <w:rFonts w:hint="default"/>
                <w:bCs/>
                <w:color w:val="auto"/>
                <w:sz w:val="24"/>
                <w:szCs w:val="24"/>
                <w:highlight w:val="none"/>
                <w:vertAlign w:val="superscript"/>
              </w:rPr>
              <w:t>3</w:t>
            </w:r>
            <w:r>
              <w:rPr>
                <w:rFonts w:hint="default"/>
                <w:bCs/>
                <w:color w:val="auto"/>
                <w:sz w:val="24"/>
                <w:szCs w:val="24"/>
                <w:highlight w:val="none"/>
              </w:rPr>
              <w:t>，本项目卫生防护距离初值计算详见下表：</w:t>
            </w: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p>
          <w:p>
            <w:pPr>
              <w:keepNext w:val="0"/>
              <w:keepLines w:val="0"/>
              <w:suppressLineNumbers w:val="0"/>
              <w:adjustRightInd w:val="0"/>
              <w:snapToGrid w:val="0"/>
              <w:spacing w:before="0" w:beforeAutospacing="0" w:after="0" w:afterAutospacing="0" w:line="360" w:lineRule="auto"/>
              <w:ind w:left="0" w:right="0" w:firstLine="480"/>
              <w:jc w:val="both"/>
              <w:rPr>
                <w:rFonts w:hint="default"/>
                <w:bCs/>
                <w:color w:val="auto"/>
                <w:sz w:val="24"/>
                <w:szCs w:val="24"/>
                <w:highlight w:val="none"/>
              </w:rPr>
            </w:pPr>
          </w:p>
          <w:p>
            <w:pPr>
              <w:keepNext w:val="0"/>
              <w:keepLines w:val="0"/>
              <w:suppressLineNumbers w:val="0"/>
              <w:adjustRightInd w:val="0"/>
              <w:snapToGrid w:val="0"/>
              <w:spacing w:before="0" w:beforeAutospacing="0" w:after="0" w:afterAutospacing="0" w:line="240" w:lineRule="auto"/>
              <w:ind w:left="0" w:right="0" w:firstLine="482"/>
              <w:jc w:val="center"/>
              <w:rPr>
                <w:rFonts w:hint="default"/>
                <w:b/>
                <w:color w:val="auto"/>
                <w:sz w:val="24"/>
                <w:szCs w:val="24"/>
                <w:highlight w:val="none"/>
              </w:rPr>
            </w:pPr>
            <w:r>
              <w:rPr>
                <w:rFonts w:hint="default"/>
                <w:b/>
                <w:color w:val="auto"/>
                <w:sz w:val="24"/>
                <w:szCs w:val="24"/>
                <w:highlight w:val="none"/>
              </w:rPr>
              <w:t>表4-</w:t>
            </w:r>
            <w:r>
              <w:rPr>
                <w:rFonts w:hint="eastAsia"/>
                <w:b/>
                <w:color w:val="auto"/>
                <w:sz w:val="24"/>
                <w:szCs w:val="24"/>
                <w:highlight w:val="none"/>
              </w:rPr>
              <w:t>8</w:t>
            </w:r>
            <w:r>
              <w:rPr>
                <w:rFonts w:hint="default"/>
                <w:b/>
                <w:color w:val="auto"/>
                <w:sz w:val="24"/>
                <w:szCs w:val="24"/>
                <w:highlight w:val="none"/>
              </w:rPr>
              <w:t xml:space="preserve">  环境防护距离计算表</w:t>
            </w:r>
          </w:p>
          <w:tbl>
            <w:tblPr>
              <w:tblStyle w:val="3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1199"/>
              <w:gridCol w:w="1016"/>
              <w:gridCol w:w="1031"/>
              <w:gridCol w:w="1077"/>
              <w:gridCol w:w="970"/>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污染物</w:t>
                  </w:r>
                </w:p>
              </w:tc>
              <w:tc>
                <w:tcPr>
                  <w:tcW w:w="72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等效半径r</w:t>
                  </w:r>
                </w:p>
              </w:tc>
              <w:tc>
                <w:tcPr>
                  <w:tcW w:w="61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A</w:t>
                  </w:r>
                </w:p>
              </w:tc>
              <w:tc>
                <w:tcPr>
                  <w:tcW w:w="625"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B</w:t>
                  </w:r>
                </w:p>
              </w:tc>
              <w:tc>
                <w:tcPr>
                  <w:tcW w:w="65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C</w:t>
                  </w:r>
                </w:p>
              </w:tc>
              <w:tc>
                <w:tcPr>
                  <w:tcW w:w="58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D</w:t>
                  </w:r>
                </w:p>
              </w:tc>
              <w:tc>
                <w:tcPr>
                  <w:tcW w:w="99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卫生防护距离初值计算值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9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非甲烷总烃</w:t>
                  </w:r>
                </w:p>
              </w:tc>
              <w:tc>
                <w:tcPr>
                  <w:tcW w:w="727"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25.0</w:t>
                  </w:r>
                  <w:r>
                    <w:rPr>
                      <w:rFonts w:hint="eastAsia"/>
                      <w:bCs/>
                      <w:color w:val="auto"/>
                      <w:sz w:val="21"/>
                      <w:highlight w:val="none"/>
                    </w:rPr>
                    <w:t>6</w:t>
                  </w:r>
                </w:p>
              </w:tc>
              <w:tc>
                <w:tcPr>
                  <w:tcW w:w="61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470</w:t>
                  </w:r>
                </w:p>
              </w:tc>
              <w:tc>
                <w:tcPr>
                  <w:tcW w:w="625"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0.021</w:t>
                  </w:r>
                </w:p>
              </w:tc>
              <w:tc>
                <w:tcPr>
                  <w:tcW w:w="65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1.85</w:t>
                  </w:r>
                </w:p>
              </w:tc>
              <w:tc>
                <w:tcPr>
                  <w:tcW w:w="58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0.84</w:t>
                  </w:r>
                </w:p>
              </w:tc>
              <w:tc>
                <w:tcPr>
                  <w:tcW w:w="990"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2.723</w:t>
                  </w:r>
                </w:p>
              </w:tc>
            </w:tr>
          </w:tbl>
          <w:p>
            <w:pPr>
              <w:keepNext w:val="0"/>
              <w:keepLines w:val="0"/>
              <w:suppressLineNumbers w:val="0"/>
              <w:adjustRightInd w:val="0"/>
              <w:snapToGrid w:val="0"/>
              <w:spacing w:before="120" w:beforeLines="50" w:beforeAutospacing="0" w:after="0" w:afterAutospacing="0" w:line="240" w:lineRule="auto"/>
              <w:ind w:left="0" w:right="0" w:firstLine="482"/>
              <w:jc w:val="center"/>
              <w:rPr>
                <w:rFonts w:hint="default"/>
                <w:b/>
                <w:color w:val="auto"/>
                <w:sz w:val="24"/>
                <w:szCs w:val="24"/>
                <w:highlight w:val="none"/>
              </w:rPr>
            </w:pPr>
            <w:r>
              <w:rPr>
                <w:rFonts w:hint="default"/>
                <w:b/>
                <w:color w:val="auto"/>
                <w:sz w:val="24"/>
                <w:szCs w:val="24"/>
                <w:highlight w:val="none"/>
              </w:rPr>
              <w:t>表4-</w:t>
            </w:r>
            <w:r>
              <w:rPr>
                <w:rFonts w:hint="eastAsia"/>
                <w:b/>
                <w:color w:val="auto"/>
                <w:sz w:val="24"/>
                <w:szCs w:val="24"/>
                <w:highlight w:val="none"/>
              </w:rPr>
              <w:t>9</w:t>
            </w:r>
            <w:r>
              <w:rPr>
                <w:rFonts w:hint="default"/>
                <w:b/>
                <w:color w:val="auto"/>
                <w:sz w:val="24"/>
                <w:szCs w:val="24"/>
                <w:highlight w:val="none"/>
              </w:rPr>
              <w:t xml:space="preserve">  卫生防护距离终值级差范围表</w:t>
            </w:r>
          </w:p>
          <w:tbl>
            <w:tblPr>
              <w:tblStyle w:val="3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5"/>
              <w:gridCol w:w="4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7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卫生防护距离计算初值L/m</w:t>
                  </w:r>
                </w:p>
              </w:tc>
              <w:tc>
                <w:tcPr>
                  <w:tcW w:w="252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级差/m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7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0≤L&lt;50</w:t>
                  </w:r>
                </w:p>
              </w:tc>
              <w:tc>
                <w:tcPr>
                  <w:tcW w:w="252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7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50≤L&lt;100</w:t>
                  </w:r>
                </w:p>
              </w:tc>
              <w:tc>
                <w:tcPr>
                  <w:tcW w:w="252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7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100≤L&lt;1000</w:t>
                  </w:r>
                </w:p>
              </w:tc>
              <w:tc>
                <w:tcPr>
                  <w:tcW w:w="252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47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L&gt;1000</w:t>
                  </w:r>
                </w:p>
              </w:tc>
              <w:tc>
                <w:tcPr>
                  <w:tcW w:w="2528"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200</w:t>
                  </w:r>
                </w:p>
              </w:tc>
            </w:tr>
          </w:tbl>
          <w:p>
            <w:pPr>
              <w:keepNext w:val="0"/>
              <w:keepLines w:val="0"/>
              <w:suppressLineNumbers w:val="0"/>
              <w:adjustRightInd w:val="0"/>
              <w:snapToGrid w:val="0"/>
              <w:spacing w:before="120" w:beforeLines="50" w:beforeAutospacing="0" w:after="0" w:afterAutospacing="0" w:line="360" w:lineRule="auto"/>
              <w:ind w:left="0" w:right="0" w:firstLine="480"/>
              <w:jc w:val="both"/>
              <w:rPr>
                <w:rFonts w:hint="default"/>
                <w:bCs/>
                <w:color w:val="auto"/>
                <w:sz w:val="24"/>
                <w:szCs w:val="24"/>
                <w:highlight w:val="none"/>
              </w:rPr>
            </w:pPr>
            <w:r>
              <w:rPr>
                <w:rFonts w:hint="default"/>
                <w:bCs/>
                <w:color w:val="auto"/>
                <w:sz w:val="24"/>
                <w:szCs w:val="24"/>
                <w:highlight w:val="none"/>
              </w:rPr>
              <w:t>因此，确定卫生防护距离终值为50米。项目以生产车间为源点，设置50米卫生防护距离。根据现场踏勘，本项目50米卫生防护距离内没有敏感点，符合卫生防护距离要求。</w:t>
            </w:r>
          </w:p>
          <w:p>
            <w:pPr>
              <w:keepNext w:val="0"/>
              <w:keepLines w:val="0"/>
              <w:widowControl/>
              <w:suppressLineNumbers w:val="0"/>
              <w:spacing w:before="120" w:beforeLines="50" w:beforeAutospacing="0" w:after="0" w:afterAutospacing="0" w:line="360" w:lineRule="auto"/>
              <w:ind w:left="425" w:right="0" w:firstLine="0" w:firstLineChars="0"/>
              <w:rPr>
                <w:rFonts w:hint="default"/>
                <w:b/>
                <w:color w:val="auto"/>
                <w:sz w:val="24"/>
                <w:szCs w:val="22"/>
                <w:highlight w:val="none"/>
              </w:rPr>
            </w:pPr>
            <w:r>
              <w:rPr>
                <w:rFonts w:hint="default"/>
                <w:b/>
                <w:color w:val="auto"/>
                <w:sz w:val="24"/>
                <w:szCs w:val="22"/>
                <w:highlight w:val="none"/>
              </w:rPr>
              <w:t>二、废水</w:t>
            </w:r>
          </w:p>
          <w:p>
            <w:pPr>
              <w:keepNext w:val="0"/>
              <w:keepLines w:val="0"/>
              <w:widowControl/>
              <w:suppressLineNumbers w:val="0"/>
              <w:spacing w:before="0" w:beforeAutospacing="0" w:after="0" w:afterAutospacing="0" w:line="360" w:lineRule="auto"/>
              <w:ind w:left="0" w:right="0" w:firstLine="482"/>
              <w:jc w:val="both"/>
              <w:rPr>
                <w:rFonts w:hint="default"/>
                <w:b/>
                <w:color w:val="auto"/>
                <w:sz w:val="24"/>
                <w:szCs w:val="22"/>
                <w:highlight w:val="none"/>
                <w:u w:val="single"/>
              </w:rPr>
            </w:pPr>
            <w:r>
              <w:rPr>
                <w:rFonts w:hint="default"/>
                <w:b/>
                <w:color w:val="auto"/>
                <w:sz w:val="24"/>
                <w:szCs w:val="22"/>
                <w:highlight w:val="none"/>
              </w:rPr>
              <w:t>1、废水源强</w:t>
            </w:r>
          </w:p>
          <w:p>
            <w:pPr>
              <w:keepNext w:val="0"/>
              <w:keepLines w:val="0"/>
              <w:suppressLineNumbers w:val="0"/>
              <w:adjustRightInd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kern w:val="2"/>
                <w:sz w:val="24"/>
                <w:highlight w:val="none"/>
              </w:rPr>
              <w:t>（1）生产废水</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highlight w:val="none"/>
              </w:rPr>
            </w:pPr>
            <w:r>
              <w:rPr>
                <w:rFonts w:hint="default"/>
                <w:color w:val="auto"/>
                <w:sz w:val="24"/>
                <w:highlight w:val="none"/>
              </w:rPr>
              <w:t>1）退火机冷却水经一体化处理设施处理</w:t>
            </w:r>
            <w:r>
              <w:rPr>
                <w:rFonts w:hint="eastAsia"/>
                <w:color w:val="auto"/>
                <w:kern w:val="2"/>
                <w:sz w:val="24"/>
                <w:szCs w:val="24"/>
                <w:highlight w:val="none"/>
                <w:lang w:eastAsia="zh-CN"/>
              </w:rPr>
              <w:t>（</w:t>
            </w:r>
            <w:r>
              <w:rPr>
                <w:rFonts w:hint="eastAsia"/>
                <w:color w:val="auto"/>
                <w:kern w:val="2"/>
                <w:sz w:val="24"/>
                <w:szCs w:val="24"/>
                <w:highlight w:val="none"/>
                <w:lang w:val="en-US" w:eastAsia="zh-CN"/>
              </w:rPr>
              <w:t>日处理规模为1t</w:t>
            </w:r>
            <w:r>
              <w:rPr>
                <w:rFonts w:hint="eastAsia"/>
                <w:color w:val="auto"/>
                <w:kern w:val="2"/>
                <w:sz w:val="24"/>
                <w:szCs w:val="24"/>
                <w:highlight w:val="none"/>
                <w:lang w:eastAsia="zh-CN"/>
              </w:rPr>
              <w:t>）</w:t>
            </w:r>
            <w:r>
              <w:rPr>
                <w:rFonts w:hint="default"/>
                <w:color w:val="auto"/>
                <w:sz w:val="24"/>
                <w:highlight w:val="none"/>
              </w:rPr>
              <w:t>后回用退火机冷却水槽</w:t>
            </w:r>
            <w:r>
              <w:rPr>
                <w:rFonts w:hint="eastAsia"/>
                <w:color w:val="auto"/>
                <w:sz w:val="24"/>
                <w:highlight w:val="none"/>
              </w:rPr>
              <w:t>，不外排。</w:t>
            </w:r>
          </w:p>
          <w:p>
            <w:pPr>
              <w:keepNext w:val="0"/>
              <w:keepLines w:val="0"/>
              <w:suppressLineNumbers w:val="0"/>
              <w:spacing w:before="0" w:beforeAutospacing="0" w:after="0" w:afterAutospacing="0" w:line="360" w:lineRule="auto"/>
              <w:ind w:left="0" w:right="0" w:firstLine="480"/>
              <w:jc w:val="both"/>
              <w:rPr>
                <w:rFonts w:hint="eastAsia"/>
                <w:color w:val="auto"/>
                <w:sz w:val="24"/>
                <w:szCs w:val="24"/>
                <w:highlight w:val="none"/>
              </w:rPr>
            </w:pPr>
            <w:r>
              <w:rPr>
                <w:rFonts w:hint="eastAsia"/>
                <w:color w:val="auto"/>
                <w:sz w:val="24"/>
                <w:highlight w:val="none"/>
              </w:rPr>
              <w:t>2）</w:t>
            </w:r>
            <w:r>
              <w:rPr>
                <w:rFonts w:hint="default"/>
                <w:color w:val="auto"/>
                <w:sz w:val="24"/>
                <w:szCs w:val="24"/>
                <w:highlight w:val="none"/>
              </w:rPr>
              <w:t>项目工件在进行</w:t>
            </w:r>
            <w:r>
              <w:rPr>
                <w:rFonts w:hint="eastAsia"/>
                <w:color w:val="auto"/>
                <w:sz w:val="24"/>
                <w:szCs w:val="24"/>
                <w:highlight w:val="none"/>
                <w:lang w:val="en-US" w:eastAsia="zh-CN"/>
              </w:rPr>
              <w:t>热浸锡</w:t>
            </w:r>
            <w:r>
              <w:rPr>
                <w:rFonts w:hint="default"/>
                <w:color w:val="auto"/>
                <w:sz w:val="24"/>
                <w:szCs w:val="24"/>
                <w:highlight w:val="none"/>
              </w:rPr>
              <w:t>工序前，需要进行一道清洁工序</w:t>
            </w:r>
            <w:r>
              <w:rPr>
                <w:rFonts w:hint="eastAsia"/>
                <w:color w:val="auto"/>
                <w:sz w:val="24"/>
                <w:szCs w:val="24"/>
                <w:highlight w:val="none"/>
              </w:rPr>
              <w:t>。</w:t>
            </w:r>
            <w:r>
              <w:rPr>
                <w:rFonts w:hint="default"/>
                <w:color w:val="auto"/>
                <w:sz w:val="24"/>
                <w:szCs w:val="24"/>
                <w:highlight w:val="none"/>
              </w:rPr>
              <w:t>用</w:t>
            </w:r>
            <w:r>
              <w:rPr>
                <w:rFonts w:hint="default"/>
                <w:color w:val="auto"/>
                <w:sz w:val="24"/>
                <w:highlight w:val="none"/>
              </w:rPr>
              <w:t>助焊剂和水进行调配成助焊剂溶液，</w:t>
            </w:r>
            <w:r>
              <w:rPr>
                <w:rFonts w:hint="eastAsia"/>
                <w:color w:val="auto"/>
                <w:sz w:val="24"/>
                <w:highlight w:val="none"/>
              </w:rPr>
              <w:t>配好的助焊剂溶液倒在助焊剂槽中，放入毛毡进行浸</w:t>
            </w:r>
            <w:r>
              <w:rPr>
                <w:rFonts w:hint="eastAsia"/>
                <w:color w:val="auto"/>
                <w:sz w:val="24"/>
                <w:highlight w:val="none"/>
                <w:lang w:val="en-US" w:eastAsia="zh-CN"/>
              </w:rPr>
              <w:t>湿</w:t>
            </w:r>
            <w:r>
              <w:rPr>
                <w:rFonts w:hint="eastAsia"/>
                <w:color w:val="auto"/>
                <w:sz w:val="24"/>
                <w:highlight w:val="none"/>
              </w:rPr>
              <w:t>，</w:t>
            </w:r>
            <w:r>
              <w:rPr>
                <w:rFonts w:hint="default"/>
                <w:color w:val="auto"/>
                <w:sz w:val="24"/>
                <w:szCs w:val="24"/>
                <w:highlight w:val="none"/>
              </w:rPr>
              <w:t>铜线经牵引装置从毛毡中间穿过从而接触助焊剂溶液。</w:t>
            </w:r>
            <w:r>
              <w:rPr>
                <w:rFonts w:hint="eastAsia"/>
                <w:color w:val="auto"/>
                <w:sz w:val="24"/>
                <w:szCs w:val="24"/>
                <w:highlight w:val="none"/>
                <w:lang w:val="en-US" w:eastAsia="zh-CN"/>
              </w:rPr>
              <w:t>5%的助焊剂溶液（0.9t/a）被毛毡吸附，废毛毡</w:t>
            </w:r>
            <w:r>
              <w:rPr>
                <w:rFonts w:hint="default"/>
                <w:color w:val="auto"/>
                <w:kern w:val="2"/>
                <w:sz w:val="24"/>
                <w:szCs w:val="24"/>
                <w:highlight w:val="none"/>
              </w:rPr>
              <w:t>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r>
              <w:rPr>
                <w:rFonts w:hint="eastAsia"/>
                <w:color w:val="auto"/>
                <w:kern w:val="2"/>
                <w:sz w:val="24"/>
                <w:szCs w:val="24"/>
                <w:highlight w:val="none"/>
                <w:lang w:eastAsia="zh-CN"/>
              </w:rPr>
              <w:t>；</w:t>
            </w:r>
            <w:r>
              <w:rPr>
                <w:rFonts w:hint="eastAsia"/>
                <w:color w:val="auto"/>
                <w:kern w:val="2"/>
                <w:sz w:val="24"/>
                <w:szCs w:val="24"/>
                <w:highlight w:val="none"/>
                <w:lang w:val="en-US" w:eastAsia="zh-CN"/>
              </w:rPr>
              <w:t>95%的助焊剂溶液（17.1t/a）粘附在铜线上，</w:t>
            </w:r>
            <w:r>
              <w:rPr>
                <w:rFonts w:hint="eastAsia"/>
                <w:color w:val="auto"/>
                <w:sz w:val="24"/>
                <w:szCs w:val="24"/>
                <w:highlight w:val="none"/>
                <w:lang w:val="en-US" w:eastAsia="zh-CN"/>
              </w:rPr>
              <w:t>进入锡炉后全部</w:t>
            </w:r>
            <w:r>
              <w:rPr>
                <w:rFonts w:hint="eastAsia"/>
                <w:color w:val="auto"/>
                <w:sz w:val="24"/>
                <w:szCs w:val="24"/>
                <w:highlight w:val="none"/>
                <w:lang w:val="en-US" w:eastAsia="zh-CN" w:bidi="ar"/>
              </w:rPr>
              <w:t>蒸发</w:t>
            </w:r>
            <w:r>
              <w:rPr>
                <w:rFonts w:hint="eastAsia"/>
                <w:color w:val="auto"/>
                <w:sz w:val="24"/>
                <w:szCs w:val="24"/>
                <w:highlight w:val="none"/>
                <w:lang w:eastAsia="zh-CN"/>
              </w:rPr>
              <w:t>，</w:t>
            </w:r>
            <w:r>
              <w:rPr>
                <w:rFonts w:hint="eastAsia"/>
                <w:color w:val="auto"/>
                <w:sz w:val="24"/>
                <w:highlight w:val="none"/>
                <w:lang w:eastAsia="zh-CN"/>
              </w:rPr>
              <w:t>不外排</w:t>
            </w:r>
            <w:r>
              <w:rPr>
                <w:rFonts w:hint="eastAsia"/>
                <w:color w:val="auto"/>
                <w:sz w:val="24"/>
                <w:highlight w:val="none"/>
              </w:rPr>
              <w:t>。</w:t>
            </w:r>
          </w:p>
          <w:p>
            <w:pPr>
              <w:pStyle w:val="124"/>
              <w:keepNext w:val="0"/>
              <w:keepLines w:val="0"/>
              <w:suppressLineNumbers w:val="0"/>
              <w:spacing w:before="0" w:beforeAutospacing="0" w:after="0" w:afterAutospacing="0" w:line="360" w:lineRule="auto"/>
              <w:ind w:left="0" w:right="0"/>
              <w:rPr>
                <w:rFonts w:hint="default"/>
                <w:color w:val="auto"/>
                <w:sz w:val="24"/>
                <w:szCs w:val="24"/>
                <w:highlight w:val="none"/>
              </w:rPr>
            </w:pPr>
            <w:r>
              <w:rPr>
                <w:rFonts w:hint="eastAsia"/>
                <w:color w:val="auto"/>
                <w:sz w:val="24"/>
                <w:szCs w:val="24"/>
                <w:highlight w:val="none"/>
                <w:lang w:val="en-US" w:eastAsia="zh-CN"/>
              </w:rPr>
              <w:t>3</w:t>
            </w:r>
            <w:r>
              <w:rPr>
                <w:rFonts w:hint="default"/>
                <w:color w:val="auto"/>
                <w:sz w:val="24"/>
                <w:szCs w:val="24"/>
                <w:highlight w:val="none"/>
              </w:rPr>
              <w:t>）调配后的拉丝液循环使用，产生的废拉丝油定期交由有资质单位处置，不外排。</w:t>
            </w:r>
            <w:r>
              <w:rPr>
                <w:rFonts w:hint="default"/>
                <w:color w:val="auto"/>
                <w:sz w:val="24"/>
                <w:szCs w:val="24"/>
                <w:highlight w:val="none"/>
                <w:lang w:bidi="ar"/>
              </w:rPr>
              <w:t>根据工程分析给排水章节，</w:t>
            </w:r>
            <w:r>
              <w:rPr>
                <w:rFonts w:hint="default"/>
                <w:color w:val="auto"/>
                <w:kern w:val="2"/>
                <w:sz w:val="24"/>
                <w:szCs w:val="32"/>
                <w:highlight w:val="none"/>
              </w:rPr>
              <w:t>拉丝油废液产生量为</w:t>
            </w:r>
            <w:r>
              <w:rPr>
                <w:rFonts w:hint="eastAsia"/>
                <w:color w:val="auto"/>
                <w:kern w:val="2"/>
                <w:sz w:val="24"/>
                <w:szCs w:val="32"/>
                <w:highlight w:val="none"/>
                <w:lang w:val="en-US" w:eastAsia="zh-CN"/>
              </w:rPr>
              <w:t>3.8</w:t>
            </w:r>
            <w:r>
              <w:rPr>
                <w:rFonts w:hint="default"/>
                <w:color w:val="auto"/>
                <w:kern w:val="2"/>
                <w:sz w:val="24"/>
                <w:szCs w:val="32"/>
                <w:highlight w:val="none"/>
              </w:rPr>
              <w:t>t/a。</w:t>
            </w:r>
          </w:p>
          <w:p>
            <w:pPr>
              <w:keepNext w:val="0"/>
              <w:keepLines w:val="0"/>
              <w:suppressLineNumbers w:val="0"/>
              <w:spacing w:before="0" w:beforeAutospacing="0" w:after="0" w:afterAutospacing="0" w:line="360" w:lineRule="auto"/>
              <w:ind w:left="0" w:right="0" w:firstLine="480"/>
              <w:rPr>
                <w:rFonts w:hint="default"/>
                <w:color w:val="auto"/>
                <w:sz w:val="24"/>
                <w:szCs w:val="32"/>
                <w:highlight w:val="none"/>
              </w:rPr>
            </w:pPr>
            <w:r>
              <w:rPr>
                <w:rFonts w:hint="eastAsia"/>
                <w:color w:val="auto"/>
                <w:sz w:val="24"/>
                <w:szCs w:val="24"/>
                <w:highlight w:val="none"/>
                <w:lang w:val="en-US" w:eastAsia="zh-CN"/>
              </w:rPr>
              <w:t>4</w:t>
            </w:r>
            <w:r>
              <w:rPr>
                <w:rFonts w:hint="default"/>
                <w:color w:val="auto"/>
                <w:sz w:val="24"/>
                <w:szCs w:val="24"/>
                <w:highlight w:val="none"/>
              </w:rPr>
              <w:t>）喷淋塔用水循环使用，</w:t>
            </w:r>
            <w:r>
              <w:rPr>
                <w:rFonts w:hint="default"/>
                <w:color w:val="auto"/>
                <w:sz w:val="24"/>
                <w:szCs w:val="32"/>
                <w:highlight w:val="none"/>
              </w:rPr>
              <w:t>更换废水</w:t>
            </w:r>
            <w:r>
              <w:rPr>
                <w:rFonts w:hint="eastAsia"/>
                <w:color w:val="auto"/>
                <w:sz w:val="24"/>
                <w:szCs w:val="32"/>
                <w:highlight w:val="none"/>
              </w:rPr>
              <w:t>量</w:t>
            </w:r>
            <w:r>
              <w:rPr>
                <w:rFonts w:hint="default" w:ascii="Times New Roman" w:hAnsi="Times New Roman" w:cs="Times New Roman"/>
                <w:color w:val="auto"/>
                <w:sz w:val="24"/>
                <w:szCs w:val="32"/>
                <w:highlight w:val="none"/>
              </w:rPr>
              <w:t>为3m³/a</w:t>
            </w:r>
            <w:r>
              <w:rPr>
                <w:rFonts w:hint="eastAsia"/>
                <w:color w:val="auto"/>
                <w:sz w:val="24"/>
                <w:szCs w:val="32"/>
                <w:highlight w:val="none"/>
              </w:rPr>
              <w:t>，</w:t>
            </w:r>
            <w:r>
              <w:rPr>
                <w:rFonts w:hint="default"/>
                <w:color w:val="auto"/>
                <w:sz w:val="24"/>
                <w:szCs w:val="32"/>
                <w:highlight w:val="none"/>
              </w:rPr>
              <w:t>定期交由有资质单位回收处理，不外排。</w:t>
            </w:r>
          </w:p>
          <w:p>
            <w:pPr>
              <w:keepNext w:val="0"/>
              <w:keepLines w:val="0"/>
              <w:suppressLineNumbers w:val="0"/>
              <w:tabs>
                <w:tab w:val="left" w:pos="9210"/>
              </w:tabs>
              <w:spacing w:before="0" w:beforeAutospacing="0" w:after="0" w:afterAutospacing="0" w:line="360" w:lineRule="auto"/>
              <w:ind w:left="0" w:right="0" w:firstLine="480"/>
              <w:rPr>
                <w:rFonts w:hint="default"/>
                <w:color w:val="auto"/>
                <w:sz w:val="24"/>
                <w:szCs w:val="24"/>
                <w:highlight w:val="none"/>
              </w:rPr>
            </w:pPr>
            <w:r>
              <w:rPr>
                <w:rFonts w:hint="eastAsia"/>
                <w:color w:val="auto"/>
                <w:sz w:val="24"/>
                <w:szCs w:val="24"/>
                <w:highlight w:val="none"/>
                <w:lang w:val="en-US" w:eastAsia="zh-CN"/>
              </w:rPr>
              <w:t>5</w:t>
            </w:r>
            <w:r>
              <w:rPr>
                <w:rFonts w:hint="default"/>
                <w:color w:val="auto"/>
                <w:sz w:val="24"/>
                <w:szCs w:val="24"/>
                <w:highlight w:val="none"/>
              </w:rPr>
              <w:t>）冷却塔间接冷却水循环使用，不外排。</w:t>
            </w:r>
          </w:p>
          <w:p>
            <w:pPr>
              <w:pStyle w:val="2"/>
              <w:keepNext w:val="0"/>
              <w:keepLines w:val="0"/>
              <w:suppressLineNumbers w:val="0"/>
              <w:spacing w:before="0" w:beforeAutospacing="0" w:after="0" w:afterAutospacing="0" w:line="360" w:lineRule="auto"/>
              <w:ind w:left="0" w:right="0" w:firstLine="480"/>
              <w:rPr>
                <w:rFonts w:hint="default" w:ascii="Times New Roman" w:cs="Times New Roman"/>
                <w:color w:val="auto"/>
                <w:highlight w:val="none"/>
              </w:rPr>
            </w:pPr>
            <w:r>
              <w:rPr>
                <w:rFonts w:hint="default" w:ascii="Times New Roman" w:cs="Times New Roman"/>
                <w:color w:val="auto"/>
                <w:highlight w:val="none"/>
              </w:rPr>
              <w:t>综上所述，项目无生产废水排放。</w:t>
            </w:r>
          </w:p>
          <w:p>
            <w:pPr>
              <w:keepNext w:val="0"/>
              <w:keepLines w:val="0"/>
              <w:suppressLineNumbers w:val="0"/>
              <w:adjustRightInd w:val="0"/>
              <w:spacing w:before="0" w:beforeAutospacing="0" w:after="0" w:afterAutospacing="0" w:line="360" w:lineRule="auto"/>
              <w:ind w:left="0" w:right="0" w:firstLine="480"/>
              <w:jc w:val="both"/>
              <w:rPr>
                <w:rFonts w:hint="default"/>
                <w:color w:val="auto"/>
                <w:kern w:val="2"/>
                <w:sz w:val="24"/>
                <w:highlight w:val="none"/>
              </w:rPr>
            </w:pPr>
            <w:r>
              <w:rPr>
                <w:rFonts w:hint="default"/>
                <w:color w:val="auto"/>
                <w:kern w:val="2"/>
                <w:sz w:val="24"/>
                <w:highlight w:val="none"/>
              </w:rPr>
              <w:t>（2）生活污水</w:t>
            </w:r>
          </w:p>
          <w:p>
            <w:pPr>
              <w:pStyle w:val="2"/>
              <w:keepNext w:val="0"/>
              <w:keepLines w:val="0"/>
              <w:suppressLineNumbers w:val="0"/>
              <w:spacing w:before="0" w:beforeAutospacing="0" w:after="0" w:afterAutospacing="0" w:line="360" w:lineRule="auto"/>
              <w:ind w:left="0" w:right="0" w:firstLine="480"/>
              <w:rPr>
                <w:rFonts w:hint="default" w:ascii="Times New Roman" w:cs="Times New Roman"/>
                <w:color w:val="auto"/>
                <w:highlight w:val="none"/>
              </w:rPr>
            </w:pPr>
            <w:r>
              <w:rPr>
                <w:rFonts w:hint="default" w:ascii="Times New Roman" w:cs="Times New Roman"/>
                <w:color w:val="auto"/>
                <w:highlight w:val="none"/>
              </w:rPr>
              <w:t>项目生活污水排放量为240t/a，主要污染因子为COD</w:t>
            </w:r>
            <w:r>
              <w:rPr>
                <w:rFonts w:hint="default" w:ascii="Times New Roman" w:cs="Times New Roman"/>
                <w:color w:val="auto"/>
                <w:highlight w:val="none"/>
                <w:vertAlign w:val="subscript"/>
              </w:rPr>
              <w:t>Cr</w:t>
            </w:r>
            <w:r>
              <w:rPr>
                <w:rFonts w:hint="default" w:ascii="Times New Roman" w:cs="Times New Roman"/>
                <w:color w:val="auto"/>
                <w:highlight w:val="none"/>
              </w:rPr>
              <w:t>、BOD</w:t>
            </w:r>
            <w:r>
              <w:rPr>
                <w:rFonts w:hint="default" w:ascii="Times New Roman" w:cs="Times New Roman"/>
                <w:color w:val="auto"/>
                <w:highlight w:val="none"/>
                <w:vertAlign w:val="subscript"/>
              </w:rPr>
              <w:t>5</w:t>
            </w:r>
            <w:r>
              <w:rPr>
                <w:rFonts w:hint="default" w:ascii="Times New Roman" w:cs="Times New Roman"/>
                <w:color w:val="auto"/>
                <w:highlight w:val="none"/>
              </w:rPr>
              <w:t>、SS、TP、TN和NH</w:t>
            </w:r>
            <w:r>
              <w:rPr>
                <w:rFonts w:hint="default" w:ascii="Times New Roman" w:cs="Times New Roman"/>
                <w:color w:val="auto"/>
                <w:highlight w:val="none"/>
                <w:vertAlign w:val="subscript"/>
              </w:rPr>
              <w:t>3</w:t>
            </w:r>
            <w:r>
              <w:rPr>
                <w:rFonts w:hint="default" w:ascii="Times New Roman" w:cs="Times New Roman"/>
                <w:color w:val="auto"/>
                <w:highlight w:val="none"/>
              </w:rPr>
              <w:t>-N等，其中COD</w:t>
            </w:r>
            <w:r>
              <w:rPr>
                <w:rFonts w:hint="default" w:ascii="Times New Roman" w:cs="Times New Roman"/>
                <w:color w:val="auto"/>
                <w:highlight w:val="none"/>
                <w:vertAlign w:val="subscript"/>
              </w:rPr>
              <w:t>Cr</w:t>
            </w:r>
            <w:r>
              <w:rPr>
                <w:rFonts w:hint="default" w:ascii="Times New Roman" w:cs="Times New Roman"/>
                <w:color w:val="auto"/>
                <w:highlight w:val="none"/>
              </w:rPr>
              <w:t>、NH</w:t>
            </w:r>
            <w:r>
              <w:rPr>
                <w:rFonts w:hint="default" w:ascii="Times New Roman" w:cs="Times New Roman"/>
                <w:color w:val="auto"/>
                <w:highlight w:val="none"/>
                <w:vertAlign w:val="subscript"/>
              </w:rPr>
              <w:t>3</w:t>
            </w:r>
            <w:r>
              <w:rPr>
                <w:rFonts w:hint="default" w:ascii="Times New Roman" w:cs="Times New Roman"/>
                <w:color w:val="auto"/>
                <w:highlight w:val="none"/>
              </w:rPr>
              <w:t>-N、TN、TP的产生浓度参考《排放源统计调查产排污核算方法和系数手册》</w:t>
            </w:r>
            <w:r>
              <w:rPr>
                <w:rFonts w:hint="eastAsia" w:ascii="Times New Roman" w:cs="Times New Roman"/>
                <w:color w:val="auto"/>
                <w:highlight w:val="none"/>
              </w:rPr>
              <w:t>（生态环境部公告2021年第24号）</w:t>
            </w:r>
            <w:r>
              <w:rPr>
                <w:rFonts w:hint="default" w:ascii="Times New Roman" w:cs="Times New Roman"/>
                <w:color w:val="auto"/>
                <w:highlight w:val="none"/>
              </w:rPr>
              <w:t>中生活源产排污系数手册 第一部分 城镇生活源水污染物产生系数（表1-1城镇生活源水污染物产生系数），BOD</w:t>
            </w:r>
            <w:r>
              <w:rPr>
                <w:rFonts w:hint="default" w:ascii="Times New Roman" w:cs="Times New Roman"/>
                <w:color w:val="auto"/>
                <w:highlight w:val="none"/>
                <w:vertAlign w:val="subscript"/>
              </w:rPr>
              <w:t>5</w:t>
            </w:r>
            <w:r>
              <w:rPr>
                <w:rFonts w:hint="default" w:ascii="Times New Roman" w:cs="Times New Roman"/>
                <w:color w:val="auto"/>
                <w:highlight w:val="none"/>
              </w:rPr>
              <w:t>、SS的产生浓度参考环境保护部环境工程技术评估中心编制《环境影响评价（社会区域类）》教材（表5-18）。具体参数如下表所示：</w:t>
            </w:r>
          </w:p>
          <w:p>
            <w:pPr>
              <w:keepNext w:val="0"/>
              <w:keepLines w:val="0"/>
              <w:widowControl/>
              <w:suppressLineNumbers w:val="0"/>
              <w:adjustRightInd w:val="0"/>
              <w:spacing w:before="0" w:beforeAutospacing="0" w:after="0" w:afterAutospacing="0" w:line="240" w:lineRule="auto"/>
              <w:ind w:left="0" w:right="0" w:firstLine="482"/>
              <w:jc w:val="center"/>
              <w:rPr>
                <w:rFonts w:hint="default"/>
                <w:b/>
                <w:bCs/>
                <w:color w:val="auto"/>
                <w:sz w:val="24"/>
                <w:szCs w:val="22"/>
                <w:highlight w:val="none"/>
              </w:rPr>
            </w:pPr>
            <w:r>
              <w:rPr>
                <w:rFonts w:hint="default"/>
                <w:b/>
                <w:bCs/>
                <w:color w:val="auto"/>
                <w:sz w:val="24"/>
                <w:szCs w:val="22"/>
                <w:highlight w:val="none"/>
              </w:rPr>
              <w:t>表4-1</w:t>
            </w:r>
            <w:r>
              <w:rPr>
                <w:rFonts w:hint="eastAsia"/>
                <w:b/>
                <w:bCs/>
                <w:color w:val="auto"/>
                <w:sz w:val="24"/>
                <w:szCs w:val="22"/>
                <w:highlight w:val="none"/>
                <w:lang w:val="en-US" w:eastAsia="zh-CN"/>
              </w:rPr>
              <w:t>0</w:t>
            </w:r>
            <w:r>
              <w:rPr>
                <w:rFonts w:hint="default"/>
                <w:b/>
                <w:bCs/>
                <w:color w:val="auto"/>
                <w:sz w:val="24"/>
                <w:szCs w:val="22"/>
                <w:highlight w:val="none"/>
              </w:rPr>
              <w:t xml:space="preserve">  生活污水水污染物产污系数一览表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8"/>
              <w:gridCol w:w="2748"/>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pStyle w:val="2"/>
                    <w:keepNext w:val="0"/>
                    <w:keepLines w:val="0"/>
                    <w:suppressLineNumbers w:val="0"/>
                    <w:spacing w:before="0" w:beforeAutospacing="0" w:after="0" w:afterAutospacing="0" w:line="240" w:lineRule="auto"/>
                    <w:ind w:left="0" w:right="0" w:firstLine="422"/>
                    <w:jc w:val="center"/>
                    <w:rPr>
                      <w:rFonts w:hint="default" w:ascii="Times New Roman" w:cs="Times New Roman"/>
                      <w:b/>
                      <w:bCs/>
                      <w:color w:val="auto"/>
                      <w:sz w:val="21"/>
                      <w:szCs w:val="21"/>
                      <w:highlight w:val="none"/>
                    </w:rPr>
                  </w:pPr>
                  <w:r>
                    <w:rPr>
                      <w:rFonts w:hint="default" w:ascii="Times New Roman" w:cs="Times New Roman"/>
                      <w:b/>
                      <w:bCs/>
                      <w:color w:val="auto"/>
                      <w:sz w:val="21"/>
                      <w:szCs w:val="21"/>
                      <w:highlight w:val="none"/>
                    </w:rPr>
                    <w:t>地区分类</w:t>
                  </w:r>
                </w:p>
              </w:tc>
              <w:tc>
                <w:tcPr>
                  <w:tcW w:w="1666" w:type="pct"/>
                  <w:vAlign w:val="center"/>
                </w:tcPr>
                <w:p>
                  <w:pPr>
                    <w:pStyle w:val="2"/>
                    <w:keepNext w:val="0"/>
                    <w:keepLines w:val="0"/>
                    <w:suppressLineNumbers w:val="0"/>
                    <w:spacing w:before="0" w:beforeAutospacing="0" w:after="0" w:afterAutospacing="0" w:line="240" w:lineRule="auto"/>
                    <w:ind w:left="0" w:right="0" w:firstLine="422"/>
                    <w:jc w:val="center"/>
                    <w:rPr>
                      <w:rFonts w:hint="default" w:ascii="Times New Roman" w:cs="Times New Roman"/>
                      <w:b/>
                      <w:bCs/>
                      <w:color w:val="auto"/>
                      <w:sz w:val="21"/>
                      <w:szCs w:val="21"/>
                      <w:highlight w:val="none"/>
                    </w:rPr>
                  </w:pPr>
                  <w:r>
                    <w:rPr>
                      <w:rFonts w:hint="default" w:ascii="Times New Roman" w:cs="Times New Roman"/>
                      <w:b/>
                      <w:bCs/>
                      <w:color w:val="auto"/>
                      <w:sz w:val="21"/>
                      <w:szCs w:val="21"/>
                      <w:highlight w:val="none"/>
                    </w:rPr>
                    <w:t>指标名称</w:t>
                  </w:r>
                </w:p>
              </w:tc>
              <w:tc>
                <w:tcPr>
                  <w:tcW w:w="1666" w:type="pct"/>
                  <w:vAlign w:val="center"/>
                </w:tcPr>
                <w:p>
                  <w:pPr>
                    <w:pStyle w:val="2"/>
                    <w:keepNext w:val="0"/>
                    <w:keepLines w:val="0"/>
                    <w:suppressLineNumbers w:val="0"/>
                    <w:spacing w:before="0" w:beforeAutospacing="0" w:after="0" w:afterAutospacing="0" w:line="240" w:lineRule="auto"/>
                    <w:ind w:left="0" w:right="0" w:firstLine="422"/>
                    <w:jc w:val="center"/>
                    <w:rPr>
                      <w:rFonts w:hint="default" w:ascii="Times New Roman" w:cs="Times New Roman"/>
                      <w:b/>
                      <w:bCs/>
                      <w:color w:val="auto"/>
                      <w:sz w:val="21"/>
                      <w:szCs w:val="21"/>
                      <w:highlight w:val="none"/>
                    </w:rPr>
                  </w:pPr>
                  <w:r>
                    <w:rPr>
                      <w:rFonts w:hint="default" w:ascii="Times New Roman" w:cs="Times New Roman"/>
                      <w:b/>
                      <w:bCs/>
                      <w:color w:val="auto"/>
                      <w:sz w:val="21"/>
                      <w:szCs w:val="21"/>
                      <w:highlight w:val="none"/>
                    </w:rPr>
                    <w:t>产生系数（mg/L）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restar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五区（广东属于五区）</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COD</w:t>
                  </w:r>
                  <w:r>
                    <w:rPr>
                      <w:rFonts w:hint="default" w:ascii="Times New Roman" w:cs="Times New Roman"/>
                      <w:color w:val="auto"/>
                      <w:sz w:val="21"/>
                      <w:szCs w:val="21"/>
                      <w:highlight w:val="none"/>
                      <w:vertAlign w:val="subscript"/>
                    </w:rPr>
                    <w:t>Cr</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continue"/>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NH</w:t>
                  </w:r>
                  <w:r>
                    <w:rPr>
                      <w:rFonts w:hint="default" w:ascii="Times New Roman" w:cs="Times New Roman"/>
                      <w:color w:val="auto"/>
                      <w:sz w:val="21"/>
                      <w:szCs w:val="21"/>
                      <w:highlight w:val="none"/>
                      <w:vertAlign w:val="subscript"/>
                    </w:rPr>
                    <w:t>3</w:t>
                  </w:r>
                  <w:r>
                    <w:rPr>
                      <w:rFonts w:hint="default" w:ascii="Times New Roman" w:cs="Times New Roman"/>
                      <w:color w:val="auto"/>
                      <w:sz w:val="21"/>
                      <w:szCs w:val="21"/>
                      <w:highlight w:val="none"/>
                    </w:rPr>
                    <w:t>-N</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continue"/>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TN</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continue"/>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TP</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continue"/>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BOD</w:t>
                  </w:r>
                  <w:r>
                    <w:rPr>
                      <w:rFonts w:hint="default" w:ascii="Times New Roman" w:cs="Times New Roman"/>
                      <w:color w:val="auto"/>
                      <w:sz w:val="21"/>
                      <w:szCs w:val="21"/>
                      <w:highlight w:val="none"/>
                      <w:vertAlign w:val="subscript"/>
                    </w:rPr>
                    <w:t>5</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Merge w:val="continue"/>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SS</w:t>
                  </w:r>
                </w:p>
              </w:tc>
              <w:tc>
                <w:tcPr>
                  <w:tcW w:w="1666" w:type="pct"/>
                  <w:vAlign w:val="center"/>
                </w:tcPr>
                <w:p>
                  <w:pPr>
                    <w:pStyle w:val="2"/>
                    <w:keepNext w:val="0"/>
                    <w:keepLines w:val="0"/>
                    <w:suppressLineNumbers w:val="0"/>
                    <w:spacing w:before="0" w:beforeAutospacing="0" w:after="0" w:afterAutospacing="0" w:line="240" w:lineRule="auto"/>
                    <w:ind w:left="0" w:right="0" w:firstLine="420"/>
                    <w:jc w:val="center"/>
                    <w:rPr>
                      <w:rFonts w:hint="default" w:ascii="Times New Roman" w:cs="Times New Roman"/>
                      <w:color w:val="auto"/>
                      <w:sz w:val="21"/>
                      <w:szCs w:val="21"/>
                      <w:highlight w:val="none"/>
                    </w:rPr>
                  </w:pPr>
                  <w:r>
                    <w:rPr>
                      <w:rFonts w:hint="default" w:ascii="Times New Roman" w:cs="Times New Roman"/>
                      <w:color w:val="auto"/>
                      <w:sz w:val="21"/>
                      <w:szCs w:val="21"/>
                      <w:highlight w:val="none"/>
                    </w:rPr>
                    <w:t>150</w:t>
                  </w:r>
                </w:p>
              </w:tc>
            </w:tr>
          </w:tbl>
          <w:p>
            <w:pPr>
              <w:keepNext w:val="0"/>
              <w:keepLines w:val="0"/>
              <w:widowControl/>
              <w:suppressLineNumbers w:val="0"/>
              <w:adjustRightInd w:val="0"/>
              <w:spacing w:before="120" w:beforeLines="50" w:beforeAutospacing="0" w:after="0" w:afterAutospacing="0" w:line="360" w:lineRule="auto"/>
              <w:ind w:left="0" w:right="0" w:firstLine="480"/>
              <w:rPr>
                <w:rFonts w:hint="default"/>
                <w:color w:val="auto"/>
                <w:sz w:val="24"/>
                <w:szCs w:val="22"/>
                <w:highlight w:val="none"/>
              </w:rPr>
            </w:pPr>
            <w:r>
              <w:rPr>
                <w:rFonts w:hint="default"/>
                <w:color w:val="auto"/>
                <w:sz w:val="24"/>
                <w:szCs w:val="22"/>
                <w:highlight w:val="none"/>
              </w:rPr>
              <w:t>生活污水经园区三级化粪池预处理后，通过市政污水管网排入杨侨镇生活污水处理厂处理达标后排入南蛇沥，然后汇入公庄河，杨侨镇生活污水处理厂尾水排放执行国家《城镇污水处理厂污染物排放标》（GB18918-2002）一级A标准与广东省《水污染物排放限值》第二时段一级标准中的较严值。</w:t>
            </w:r>
          </w:p>
          <w:p>
            <w:pPr>
              <w:keepNext w:val="0"/>
              <w:keepLines w:val="0"/>
              <w:widowControl/>
              <w:suppressLineNumbers w:val="0"/>
              <w:adjustRightInd w:val="0"/>
              <w:spacing w:before="0" w:beforeAutospacing="0" w:after="0" w:afterAutospacing="0" w:line="360" w:lineRule="auto"/>
              <w:ind w:left="0" w:right="0" w:firstLine="480"/>
              <w:rPr>
                <w:rFonts w:hint="default"/>
                <w:color w:val="auto"/>
                <w:sz w:val="24"/>
                <w:szCs w:val="22"/>
                <w:highlight w:val="none"/>
              </w:rPr>
            </w:pPr>
            <w:r>
              <w:rPr>
                <w:rFonts w:hint="default"/>
                <w:color w:val="auto"/>
                <w:sz w:val="24"/>
                <w:szCs w:val="22"/>
                <w:highlight w:val="none"/>
              </w:rPr>
              <w:t>参照《排放源统计调查产排污核算方法和系数手册》（生态环境部公告2021年第24号）其中的《生活污染源产排污系数手册》，项目生活污水污染物源强核算见下表。</w:t>
            </w:r>
          </w:p>
          <w:p>
            <w:pPr>
              <w:keepNext w:val="0"/>
              <w:keepLines w:val="0"/>
              <w:widowControl/>
              <w:suppressLineNumbers w:val="0"/>
              <w:adjustRightInd w:val="0"/>
              <w:spacing w:before="0" w:beforeAutospacing="0" w:after="0" w:afterAutospacing="0" w:line="240" w:lineRule="auto"/>
              <w:ind w:left="0" w:right="0" w:firstLine="482"/>
              <w:jc w:val="center"/>
              <w:rPr>
                <w:rFonts w:hint="default"/>
                <w:color w:val="auto"/>
                <w:kern w:val="18"/>
                <w:sz w:val="24"/>
                <w:szCs w:val="24"/>
                <w:highlight w:val="none"/>
              </w:rPr>
            </w:pPr>
            <w:r>
              <w:rPr>
                <w:rFonts w:hint="default"/>
                <w:b/>
                <w:bCs/>
                <w:color w:val="auto"/>
                <w:kern w:val="18"/>
                <w:sz w:val="24"/>
                <w:szCs w:val="24"/>
                <w:highlight w:val="none"/>
              </w:rPr>
              <w:t>表4-1</w:t>
            </w:r>
            <w:r>
              <w:rPr>
                <w:rFonts w:hint="eastAsia"/>
                <w:b/>
                <w:bCs/>
                <w:color w:val="auto"/>
                <w:kern w:val="18"/>
                <w:sz w:val="24"/>
                <w:szCs w:val="24"/>
                <w:highlight w:val="none"/>
                <w:lang w:val="en-US" w:eastAsia="zh-CN"/>
              </w:rPr>
              <w:t>1</w:t>
            </w:r>
            <w:r>
              <w:rPr>
                <w:rFonts w:hint="default"/>
                <w:b/>
                <w:bCs/>
                <w:color w:val="auto"/>
                <w:kern w:val="18"/>
                <w:sz w:val="24"/>
                <w:szCs w:val="24"/>
                <w:highlight w:val="none"/>
              </w:rPr>
              <w:t xml:space="preserve">  </w:t>
            </w:r>
            <w:r>
              <w:rPr>
                <w:rFonts w:hint="default"/>
                <w:b/>
                <w:bCs/>
                <w:color w:val="auto"/>
                <w:sz w:val="24"/>
                <w:szCs w:val="24"/>
                <w:highlight w:val="none"/>
              </w:rPr>
              <w:t>废水污染物源强核算结果一览表</w:t>
            </w:r>
          </w:p>
          <w:tbl>
            <w:tblPr>
              <w:tblStyle w:val="35"/>
              <w:tblW w:w="838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9"/>
              <w:gridCol w:w="620"/>
              <w:gridCol w:w="585"/>
              <w:gridCol w:w="721"/>
              <w:gridCol w:w="691"/>
              <w:gridCol w:w="765"/>
              <w:gridCol w:w="684"/>
              <w:gridCol w:w="639"/>
              <w:gridCol w:w="660"/>
              <w:gridCol w:w="706"/>
              <w:gridCol w:w="435"/>
              <w:gridCol w:w="917"/>
              <w:gridCol w:w="5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restart"/>
                  <w:tcBorders>
                    <w:top w:val="single" w:color="auto" w:sz="4" w:space="0"/>
                    <w:left w:val="single" w:color="auto" w:sz="0"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类别</w:t>
                  </w:r>
                </w:p>
              </w:tc>
              <w:tc>
                <w:tcPr>
                  <w:tcW w:w="369"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污染物种类</w:t>
                  </w:r>
                </w:p>
              </w:tc>
              <w:tc>
                <w:tcPr>
                  <w:tcW w:w="348"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废水排放量t/a</w:t>
                  </w:r>
                </w:p>
              </w:tc>
              <w:tc>
                <w:tcPr>
                  <w:tcW w:w="842" w:type="pct"/>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产生情况</w:t>
                  </w:r>
                </w:p>
              </w:tc>
              <w:tc>
                <w:tcPr>
                  <w:tcW w:w="1245" w:type="pct"/>
                  <w:gridSpan w:val="3"/>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治理设施</w:t>
                  </w:r>
                </w:p>
              </w:tc>
              <w:tc>
                <w:tcPr>
                  <w:tcW w:w="814" w:type="pct"/>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排放情况</w:t>
                  </w:r>
                </w:p>
              </w:tc>
              <w:tc>
                <w:tcPr>
                  <w:tcW w:w="259"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default"/>
                      <w:b/>
                      <w:bCs/>
                      <w:color w:val="auto"/>
                      <w:kern w:val="18"/>
                      <w:sz w:val="21"/>
                      <w:highlight w:val="none"/>
                    </w:rPr>
                    <w:t>排放</w:t>
                  </w:r>
                </w:p>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
                      <w:bCs/>
                      <w:color w:val="auto"/>
                      <w:kern w:val="18"/>
                      <w:sz w:val="21"/>
                      <w:highlight w:val="none"/>
                    </w:rPr>
                  </w:pPr>
                  <w:r>
                    <w:rPr>
                      <w:rFonts w:hint="eastAsia"/>
                      <w:b/>
                      <w:bCs/>
                      <w:color w:val="auto"/>
                      <w:kern w:val="18"/>
                      <w:sz w:val="21"/>
                      <w:highlight w:val="none"/>
                      <w:lang w:val="en-US" w:eastAsia="zh-CN"/>
                    </w:rPr>
                    <w:t>方式</w:t>
                  </w:r>
                </w:p>
              </w:tc>
              <w:tc>
                <w:tcPr>
                  <w:tcW w:w="547" w:type="pct"/>
                  <w:vMerge w:val="restart"/>
                  <w:tcBorders>
                    <w:top w:val="single" w:color="auto" w:sz="4" w:space="0"/>
                    <w:left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eastAsia="宋体"/>
                      <w:color w:val="auto"/>
                      <w:highlight w:val="none"/>
                      <w:lang w:val="en-US" w:eastAsia="zh-CN"/>
                    </w:rPr>
                  </w:pPr>
                  <w:r>
                    <w:rPr>
                      <w:rFonts w:hint="eastAsia" w:ascii="Times New Roman" w:hAnsi="Times New Roman" w:eastAsia="宋体" w:cs="Times New Roman"/>
                      <w:b/>
                      <w:bCs/>
                      <w:color w:val="auto"/>
                      <w:kern w:val="18"/>
                      <w:sz w:val="21"/>
                      <w:highlight w:val="none"/>
                      <w:lang w:val="en-US" w:eastAsia="zh-CN"/>
                    </w:rPr>
                    <w:t>排放规律</w:t>
                  </w:r>
                </w:p>
              </w:tc>
              <w:tc>
                <w:tcPr>
                  <w:tcW w:w="340" w:type="pct"/>
                  <w:vMerge w:val="restart"/>
                  <w:tcBorders>
                    <w:top w:val="single" w:color="auto" w:sz="4" w:space="0"/>
                    <w:left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eastAsia="宋体"/>
                      <w:b/>
                      <w:bCs/>
                      <w:color w:val="auto"/>
                      <w:kern w:val="18"/>
                      <w:sz w:val="21"/>
                      <w:highlight w:val="none"/>
                      <w:lang w:val="en-US" w:eastAsia="zh-CN"/>
                    </w:rPr>
                  </w:pPr>
                  <w:r>
                    <w:rPr>
                      <w:rFonts w:hint="eastAsia"/>
                      <w:b/>
                      <w:bCs/>
                      <w:color w:val="auto"/>
                      <w:kern w:val="18"/>
                      <w:sz w:val="21"/>
                      <w:highlight w:val="none"/>
                      <w:lang w:val="en-US" w:eastAsia="zh-CN"/>
                    </w:rPr>
                    <w:t>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2"/>
                    <w:jc w:val="center"/>
                    <w:rPr>
                      <w:rFonts w:hint="default"/>
                      <w:b/>
                      <w:bCs/>
                      <w:color w:val="auto"/>
                      <w:sz w:val="21"/>
                      <w:highlight w:val="none"/>
                    </w:rPr>
                  </w:pPr>
                </w:p>
              </w:tc>
              <w:tc>
                <w:tcPr>
                  <w:tcW w:w="369"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2"/>
                    <w:jc w:val="center"/>
                    <w:rPr>
                      <w:rFonts w:hint="default"/>
                      <w:b/>
                      <w:bCs/>
                      <w:color w:val="auto"/>
                      <w:sz w:val="21"/>
                      <w:highlight w:val="none"/>
                    </w:rPr>
                  </w:pP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2"/>
                    <w:jc w:val="center"/>
                    <w:rPr>
                      <w:rFonts w:hint="default"/>
                      <w:b/>
                      <w:bCs/>
                      <w:color w:val="auto"/>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产生浓度mg/L</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产生量t/a</w:t>
                  </w:r>
                </w:p>
              </w:tc>
              <w:tc>
                <w:tcPr>
                  <w:tcW w:w="456"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工艺</w:t>
                  </w: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eastAsia"/>
                      <w:b/>
                      <w:bCs/>
                      <w:color w:val="auto"/>
                      <w:sz w:val="21"/>
                      <w:highlight w:val="none"/>
                      <w:lang w:val="en-US" w:eastAsia="zh-CN"/>
                    </w:rPr>
                    <w:t>治理效率%</w:t>
                  </w:r>
                </w:p>
              </w:tc>
              <w:tc>
                <w:tcPr>
                  <w:tcW w:w="38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是否为可行性技术</w:t>
                  </w: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排放浓度mg/L</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sz w:val="21"/>
                      <w:highlight w:val="none"/>
                    </w:rPr>
                  </w:pPr>
                  <w:r>
                    <w:rPr>
                      <w:rFonts w:hint="default"/>
                      <w:b/>
                      <w:bCs/>
                      <w:color w:val="auto"/>
                      <w:sz w:val="21"/>
                      <w:highlight w:val="none"/>
                    </w:rPr>
                    <w:t>排放量t/a</w:t>
                  </w:r>
                </w:p>
              </w:tc>
              <w:tc>
                <w:tcPr>
                  <w:tcW w:w="259"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b/>
                      <w:bCs/>
                      <w:color w:val="auto"/>
                      <w:sz w:val="21"/>
                      <w:highlight w:val="none"/>
                    </w:rPr>
                  </w:pPr>
                </w:p>
              </w:tc>
              <w:tc>
                <w:tcPr>
                  <w:tcW w:w="547" w:type="pct"/>
                  <w:vMerge w:val="continue"/>
                  <w:tcBorders>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b/>
                      <w:bCs/>
                      <w:color w:val="auto"/>
                      <w:sz w:val="21"/>
                      <w:highlight w:val="none"/>
                    </w:rPr>
                  </w:pPr>
                </w:p>
              </w:tc>
              <w:tc>
                <w:tcPr>
                  <w:tcW w:w="340" w:type="pct"/>
                  <w:vMerge w:val="continue"/>
                  <w:tcBorders>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b/>
                      <w:bCs/>
                      <w:color w:val="auto"/>
                      <w:sz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32"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both"/>
                    <w:rPr>
                      <w:rFonts w:hint="default"/>
                      <w:color w:val="auto"/>
                      <w:kern w:val="18"/>
                      <w:sz w:val="21"/>
                      <w:highlight w:val="none"/>
                    </w:rPr>
                  </w:pPr>
                  <w:r>
                    <w:rPr>
                      <w:rFonts w:hint="default"/>
                      <w:color w:val="auto"/>
                      <w:kern w:val="18"/>
                      <w:sz w:val="21"/>
                      <w:highlight w:val="none"/>
                    </w:rPr>
                    <w:t>生活污水</w:t>
                  </w: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COD</w:t>
                  </w:r>
                  <w:r>
                    <w:rPr>
                      <w:rFonts w:hint="default"/>
                      <w:bCs/>
                      <w:color w:val="auto"/>
                      <w:sz w:val="21"/>
                      <w:highlight w:val="none"/>
                      <w:vertAlign w:val="subscript"/>
                    </w:rPr>
                    <w:t>Cr</w:t>
                  </w:r>
                </w:p>
              </w:tc>
              <w:tc>
                <w:tcPr>
                  <w:tcW w:w="348"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240</w:t>
                  </w: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285</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0.0684 </w:t>
                  </w:r>
                </w:p>
              </w:tc>
              <w:tc>
                <w:tcPr>
                  <w:tcW w:w="456"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eastAsia" w:eastAsia="宋体"/>
                      <w:color w:val="auto"/>
                      <w:kern w:val="18"/>
                      <w:sz w:val="21"/>
                      <w:highlight w:val="none"/>
                      <w:lang w:val="en-US" w:eastAsia="zh-CN"/>
                    </w:rPr>
                  </w:pPr>
                  <w:r>
                    <w:rPr>
                      <w:rFonts w:hint="default"/>
                      <w:color w:val="auto"/>
                      <w:kern w:val="18"/>
                      <w:sz w:val="21"/>
                      <w:highlight w:val="none"/>
                    </w:rPr>
                    <w:t>三级化粪池</w:t>
                  </w:r>
                  <w:r>
                    <w:rPr>
                      <w:rFonts w:hint="eastAsia"/>
                      <w:color w:val="auto"/>
                      <w:kern w:val="18"/>
                      <w:sz w:val="21"/>
                      <w:highlight w:val="none"/>
                      <w:lang w:val="en-US" w:eastAsia="zh-CN"/>
                    </w:rPr>
                    <w:t>+</w:t>
                  </w:r>
                  <w:r>
                    <w:rPr>
                      <w:rFonts w:hint="eastAsia"/>
                      <w:color w:val="auto"/>
                      <w:sz w:val="21"/>
                      <w:highlight w:val="none"/>
                      <w:lang w:val="en-US" w:eastAsia="zh-CN" w:bidi="ar"/>
                    </w:rPr>
                    <w:t>杨侨镇生活污水处理</w:t>
                  </w:r>
                  <w:r>
                    <w:rPr>
                      <w:rFonts w:hint="default"/>
                      <w:color w:val="auto"/>
                      <w:sz w:val="24"/>
                      <w:szCs w:val="22"/>
                      <w:highlight w:val="none"/>
                    </w:rPr>
                    <w:t>厂</w:t>
                  </w: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eastAsia="宋体"/>
                      <w:color w:val="auto"/>
                      <w:kern w:val="18"/>
                      <w:sz w:val="21"/>
                      <w:highlight w:val="none"/>
                      <w:lang w:val="en-US" w:eastAsia="zh-CN"/>
                    </w:rPr>
                  </w:pPr>
                  <w:r>
                    <w:rPr>
                      <w:rFonts w:hint="eastAsia"/>
                      <w:color w:val="auto"/>
                      <w:kern w:val="18"/>
                      <w:sz w:val="21"/>
                      <w:highlight w:val="none"/>
                      <w:lang w:val="en-US" w:eastAsia="zh-CN"/>
                    </w:rPr>
                    <w:t>86</w:t>
                  </w:r>
                </w:p>
              </w:tc>
              <w:tc>
                <w:tcPr>
                  <w:tcW w:w="381"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是</w:t>
                  </w: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40</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0.0096</w:t>
                  </w:r>
                </w:p>
              </w:tc>
              <w:tc>
                <w:tcPr>
                  <w:tcW w:w="259" w:type="pct"/>
                  <w:vMerge w:val="restar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bidi="ar"/>
                    </w:rPr>
                  </w:pPr>
                  <w:r>
                    <w:rPr>
                      <w:rFonts w:hint="eastAsia"/>
                      <w:color w:val="auto"/>
                      <w:sz w:val="21"/>
                      <w:highlight w:val="none"/>
                      <w:lang w:val="en-US" w:eastAsia="zh-CN" w:bidi="ar"/>
                    </w:rPr>
                    <w:t>间接排放</w:t>
                  </w:r>
                </w:p>
              </w:tc>
              <w:tc>
                <w:tcPr>
                  <w:tcW w:w="547" w:type="pct"/>
                  <w:vMerge w:val="restart"/>
                  <w:tcBorders>
                    <w:top w:val="single" w:color="auto" w:sz="4" w:space="0"/>
                    <w:left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eastAsia"/>
                      <w:color w:val="auto"/>
                      <w:sz w:val="21"/>
                      <w:highlight w:val="none"/>
                      <w:lang w:val="en-US" w:eastAsia="zh-CN" w:bidi="ar"/>
                    </w:rPr>
                  </w:pPr>
                  <w:r>
                    <w:rPr>
                      <w:rFonts w:hint="default" w:ascii="Times New Roman" w:hAnsi="Times New Roman" w:eastAsia="宋体" w:cs="Times New Roman"/>
                      <w:b w:val="0"/>
                      <w:bCs w:val="0"/>
                      <w:color w:val="auto"/>
                      <w:kern w:val="2"/>
                      <w:sz w:val="21"/>
                      <w:szCs w:val="21"/>
                      <w:highlight w:val="none"/>
                    </w:rPr>
                    <w:t>间断排放，排放期间流量不稳定且无规律，但不属于冲击型排放</w:t>
                  </w:r>
                </w:p>
              </w:tc>
              <w:tc>
                <w:tcPr>
                  <w:tcW w:w="340" w:type="pct"/>
                  <w:vMerge w:val="restart"/>
                  <w:tcBorders>
                    <w:top w:val="single" w:color="auto" w:sz="4" w:space="0"/>
                    <w:left w:val="single" w:color="auto" w:sz="4" w:space="0"/>
                    <w:right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eastAsia"/>
                      <w:color w:val="auto"/>
                      <w:sz w:val="21"/>
                      <w:highlight w:val="none"/>
                      <w:lang w:val="en-US" w:eastAsia="zh-CN" w:bidi="ar"/>
                    </w:rPr>
                    <w:t>杨侨镇生活污水处理</w:t>
                  </w:r>
                  <w:r>
                    <w:rPr>
                      <w:rFonts w:hint="default"/>
                      <w:color w:val="auto"/>
                      <w:sz w:val="24"/>
                      <w:szCs w:val="22"/>
                      <w:highlight w:val="none"/>
                    </w:rPr>
                    <w:t>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BOD</w:t>
                  </w:r>
                  <w:r>
                    <w:rPr>
                      <w:rFonts w:hint="default"/>
                      <w:bCs/>
                      <w:color w:val="auto"/>
                      <w:sz w:val="21"/>
                      <w:highlight w:val="none"/>
                      <w:vertAlign w:val="subscript"/>
                    </w:rPr>
                    <w:t>5</w:t>
                  </w: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150</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0.0360 </w:t>
                  </w:r>
                </w:p>
              </w:tc>
              <w:tc>
                <w:tcPr>
                  <w:tcW w:w="456"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kern w:val="18"/>
                      <w:sz w:val="21"/>
                      <w:highlight w:val="none"/>
                    </w:rPr>
                  </w:pP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eastAsia="宋体"/>
                      <w:color w:val="auto"/>
                      <w:kern w:val="18"/>
                      <w:sz w:val="21"/>
                      <w:highlight w:val="none"/>
                      <w:lang w:val="en-US" w:eastAsia="zh-CN"/>
                    </w:rPr>
                  </w:pPr>
                  <w:r>
                    <w:rPr>
                      <w:rFonts w:hint="eastAsia"/>
                      <w:color w:val="auto"/>
                      <w:kern w:val="18"/>
                      <w:sz w:val="21"/>
                      <w:highlight w:val="none"/>
                      <w:lang w:val="en-US" w:eastAsia="zh-CN"/>
                    </w:rPr>
                    <w:t>99.3</w:t>
                  </w:r>
                </w:p>
              </w:tc>
              <w:tc>
                <w:tcPr>
                  <w:tcW w:w="381"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10</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 xml:space="preserve">0.0024 </w:t>
                  </w:r>
                </w:p>
              </w:tc>
              <w:tc>
                <w:tcPr>
                  <w:tcW w:w="259" w:type="pct"/>
                  <w:vMerge w:val="continue"/>
                  <w:tcBorders>
                    <w:top w:val="single" w:color="auto" w:sz="4" w:space="0"/>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547"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340"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SS</w:t>
                  </w: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150</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0.0360 </w:t>
                  </w:r>
                </w:p>
              </w:tc>
              <w:tc>
                <w:tcPr>
                  <w:tcW w:w="456"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kern w:val="18"/>
                      <w:sz w:val="21"/>
                      <w:highlight w:val="none"/>
                    </w:rPr>
                  </w:pP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99.3</w:t>
                  </w:r>
                </w:p>
              </w:tc>
              <w:tc>
                <w:tcPr>
                  <w:tcW w:w="381"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10</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 xml:space="preserve">0.0024 </w:t>
                  </w:r>
                </w:p>
              </w:tc>
              <w:tc>
                <w:tcPr>
                  <w:tcW w:w="259"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547"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340"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NH</w:t>
                  </w:r>
                  <w:r>
                    <w:rPr>
                      <w:rFonts w:hint="default"/>
                      <w:bCs/>
                      <w:color w:val="auto"/>
                      <w:sz w:val="21"/>
                      <w:highlight w:val="none"/>
                      <w:vertAlign w:val="subscript"/>
                    </w:rPr>
                    <w:t>3</w:t>
                  </w:r>
                  <w:r>
                    <w:rPr>
                      <w:rFonts w:hint="default"/>
                      <w:bCs/>
                      <w:color w:val="auto"/>
                      <w:sz w:val="21"/>
                      <w:highlight w:val="none"/>
                    </w:rPr>
                    <w:t>-N</w:t>
                  </w: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28.3</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0.0068 </w:t>
                  </w:r>
                </w:p>
              </w:tc>
              <w:tc>
                <w:tcPr>
                  <w:tcW w:w="456"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kern w:val="18"/>
                      <w:sz w:val="21"/>
                      <w:highlight w:val="none"/>
                    </w:rPr>
                  </w:pP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eastAsia="宋体"/>
                      <w:color w:val="auto"/>
                      <w:kern w:val="18"/>
                      <w:sz w:val="21"/>
                      <w:highlight w:val="none"/>
                      <w:lang w:val="en-US" w:eastAsia="zh-CN"/>
                    </w:rPr>
                  </w:pPr>
                  <w:r>
                    <w:rPr>
                      <w:rFonts w:hint="eastAsia"/>
                      <w:color w:val="auto"/>
                      <w:kern w:val="18"/>
                      <w:sz w:val="21"/>
                      <w:highlight w:val="none"/>
                      <w:lang w:val="en-US" w:eastAsia="zh-CN"/>
                    </w:rPr>
                    <w:t>82.3</w:t>
                  </w:r>
                </w:p>
              </w:tc>
              <w:tc>
                <w:tcPr>
                  <w:tcW w:w="381"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5</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 xml:space="preserve">0.0012 </w:t>
                  </w:r>
                </w:p>
              </w:tc>
              <w:tc>
                <w:tcPr>
                  <w:tcW w:w="259"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547"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340"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TN</w:t>
                  </w: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39.4</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0.0095 </w:t>
                  </w:r>
                </w:p>
              </w:tc>
              <w:tc>
                <w:tcPr>
                  <w:tcW w:w="456"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sz w:val="21"/>
                      <w:highlight w:val="none"/>
                    </w:rPr>
                  </w:pP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61.9</w:t>
                  </w:r>
                </w:p>
              </w:tc>
              <w:tc>
                <w:tcPr>
                  <w:tcW w:w="381"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15</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 xml:space="preserve">0.0036 </w:t>
                  </w:r>
                </w:p>
              </w:tc>
              <w:tc>
                <w:tcPr>
                  <w:tcW w:w="259"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547"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340"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69"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TP</w:t>
                  </w:r>
                </w:p>
              </w:tc>
              <w:tc>
                <w:tcPr>
                  <w:tcW w:w="348"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430"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4.1</w:t>
                  </w:r>
                </w:p>
              </w:tc>
              <w:tc>
                <w:tcPr>
                  <w:tcW w:w="412"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 xml:space="preserve">0.0010 </w:t>
                  </w:r>
                </w:p>
              </w:tc>
              <w:tc>
                <w:tcPr>
                  <w:tcW w:w="456"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color w:val="auto"/>
                      <w:sz w:val="21"/>
                      <w:highlight w:val="none"/>
                    </w:rPr>
                  </w:pPr>
                </w:p>
              </w:tc>
              <w:tc>
                <w:tcPr>
                  <w:tcW w:w="408"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Autospacing="0" w:after="0" w:afterAutospacing="0"/>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87.8</w:t>
                  </w:r>
                </w:p>
              </w:tc>
              <w:tc>
                <w:tcPr>
                  <w:tcW w:w="381" w:type="pct"/>
                  <w:vMerge w:val="continue"/>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420"/>
                    <w:jc w:val="center"/>
                    <w:rPr>
                      <w:rFonts w:hint="default"/>
                      <w:color w:val="auto"/>
                      <w:kern w:val="18"/>
                      <w:sz w:val="21"/>
                      <w:highlight w:val="none"/>
                    </w:rPr>
                  </w:pPr>
                </w:p>
              </w:tc>
              <w:tc>
                <w:tcPr>
                  <w:tcW w:w="393"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default"/>
                      <w:color w:val="auto"/>
                      <w:kern w:val="18"/>
                      <w:sz w:val="21"/>
                      <w:highlight w:val="none"/>
                    </w:rPr>
                    <w:t>0.5</w:t>
                  </w:r>
                </w:p>
              </w:tc>
              <w:tc>
                <w:tcPr>
                  <w:tcW w:w="421" w:type="pct"/>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widowControl/>
                    <w:suppressLineNumbers w:val="0"/>
                    <w:adjustRightInd w:val="0"/>
                    <w:spacing w:before="68" w:beforeAutospacing="0" w:after="68" w:afterAutospacing="0"/>
                    <w:ind w:left="0" w:right="0" w:firstLine="0" w:firstLineChars="0"/>
                    <w:jc w:val="center"/>
                    <w:rPr>
                      <w:rFonts w:hint="default"/>
                      <w:color w:val="auto"/>
                      <w:kern w:val="18"/>
                      <w:sz w:val="21"/>
                      <w:highlight w:val="none"/>
                    </w:rPr>
                  </w:pPr>
                  <w:r>
                    <w:rPr>
                      <w:rFonts w:hint="eastAsia"/>
                      <w:color w:val="auto"/>
                      <w:kern w:val="18"/>
                      <w:sz w:val="21"/>
                      <w:highlight w:val="none"/>
                      <w:lang w:val="en-US" w:eastAsia="zh-CN"/>
                    </w:rPr>
                    <w:t xml:space="preserve">0.0001 </w:t>
                  </w:r>
                </w:p>
              </w:tc>
              <w:tc>
                <w:tcPr>
                  <w:tcW w:w="259"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547"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c>
                <w:tcPr>
                  <w:tcW w:w="340" w:type="pct"/>
                  <w:vMerge w:val="continue"/>
                  <w:tcBorders>
                    <w:left w:val="single" w:color="auto" w:sz="4" w:space="0"/>
                    <w:right w:val="single" w:color="auto" w:sz="4" w:space="0"/>
                    <w:tl2br w:val="nil"/>
                    <w:tr2bl w:val="nil"/>
                  </w:tcBorders>
                  <w:vAlign w:val="center"/>
                </w:tcPr>
                <w:p>
                  <w:pPr>
                    <w:keepNext w:val="0"/>
                    <w:keepLines w:val="0"/>
                    <w:widowControl/>
                    <w:suppressLineNumbers w:val="0"/>
                    <w:spacing w:before="0" w:beforeAutospacing="0" w:after="0" w:afterAutospacing="0"/>
                    <w:ind w:left="0" w:right="0" w:firstLine="420"/>
                    <w:jc w:val="center"/>
                    <w:textAlignment w:val="center"/>
                    <w:rPr>
                      <w:rFonts w:hint="default"/>
                      <w:color w:val="auto"/>
                      <w:sz w:val="21"/>
                      <w:highlight w:val="none"/>
                      <w:lang w:bidi="ar"/>
                    </w:rPr>
                  </w:pPr>
                </w:p>
              </w:tc>
            </w:tr>
          </w:tbl>
          <w:p>
            <w:pPr>
              <w:keepNext w:val="0"/>
              <w:keepLines w:val="0"/>
              <w:widowControl/>
              <w:suppressLineNumbers w:val="0"/>
              <w:adjustRightInd w:val="0"/>
              <w:snapToGrid w:val="0"/>
              <w:spacing w:before="120" w:beforeLines="50" w:beforeAutospacing="0" w:after="0" w:afterAutospacing="0" w:line="360" w:lineRule="auto"/>
              <w:ind w:left="0" w:right="0" w:firstLine="482"/>
              <w:jc w:val="both"/>
              <w:rPr>
                <w:rFonts w:hint="default"/>
                <w:b/>
                <w:bCs/>
                <w:color w:val="auto"/>
                <w:sz w:val="24"/>
                <w:szCs w:val="24"/>
                <w:highlight w:val="none"/>
              </w:rPr>
            </w:pPr>
            <w:r>
              <w:rPr>
                <w:rFonts w:hint="default"/>
                <w:b/>
                <w:bCs/>
                <w:color w:val="auto"/>
                <w:sz w:val="24"/>
                <w:szCs w:val="24"/>
                <w:highlight w:val="none"/>
              </w:rPr>
              <w:t>2、监测要求</w:t>
            </w:r>
          </w:p>
          <w:p>
            <w:pPr>
              <w:pStyle w:val="112"/>
              <w:keepNext w:val="0"/>
              <w:keepLines w:val="0"/>
              <w:suppressLineNumbers w:val="0"/>
              <w:spacing w:before="0" w:beforeAutospacing="0" w:after="0" w:afterAutospacing="0" w:line="360" w:lineRule="auto"/>
              <w:ind w:left="0" w:leftChars="0" w:right="0" w:firstLine="480" w:firstLineChars="200"/>
              <w:rPr>
                <w:rFonts w:hint="default"/>
                <w:color w:val="auto"/>
                <w:kern w:val="2"/>
                <w:sz w:val="24"/>
                <w:szCs w:val="24"/>
                <w:highlight w:val="none"/>
              </w:rPr>
            </w:pPr>
            <w:r>
              <w:rPr>
                <w:rFonts w:hint="default" w:ascii="Times New Roman" w:hAnsi="Times New Roman" w:eastAsia="宋体" w:cs="Times New Roman"/>
                <w:b w:val="0"/>
                <w:bCs w:val="0"/>
                <w:color w:val="auto"/>
                <w:kern w:val="0"/>
                <w:sz w:val="24"/>
                <w:szCs w:val="21"/>
                <w:highlight w:val="none"/>
                <w:lang w:val="en-US" w:eastAsia="zh-CN" w:bidi="ar-SA"/>
              </w:rPr>
              <w:t>根据《排污许可证申请与核发技术规 总则》（HJ942-2018）5.2.1说明：“单独排入城镇集中污水处理设施的生活污水仅说明排放去向。”</w:t>
            </w:r>
            <w:r>
              <w:rPr>
                <w:rFonts w:hint="eastAsia" w:ascii="Times New Roman" w:hAnsi="Times New Roman" w:eastAsia="宋体" w:cs="Times New Roman"/>
                <w:b w:val="0"/>
                <w:bCs w:val="0"/>
                <w:color w:val="auto"/>
                <w:kern w:val="0"/>
                <w:sz w:val="24"/>
                <w:szCs w:val="21"/>
                <w:highlight w:val="none"/>
                <w:lang w:val="en-US" w:eastAsia="zh-CN" w:bidi="ar-SA"/>
              </w:rPr>
              <w:t>本项目只有员工生活污水单独排放口，且经市政管网排入杨桥镇生活污水处理厂处理达标后排入，</w:t>
            </w:r>
            <w:r>
              <w:rPr>
                <w:rFonts w:hint="default" w:ascii="Times New Roman" w:hAnsi="Times New Roman" w:eastAsia="宋体" w:cs="Times New Roman"/>
                <w:b w:val="0"/>
                <w:bCs w:val="0"/>
                <w:color w:val="auto"/>
                <w:kern w:val="0"/>
                <w:sz w:val="24"/>
                <w:szCs w:val="21"/>
                <w:highlight w:val="none"/>
                <w:lang w:val="en-US" w:eastAsia="zh-CN" w:bidi="ar-SA"/>
              </w:rPr>
              <w:t>排入南蛇沥涌，汇入公庄河，最终进入东江</w:t>
            </w:r>
            <w:r>
              <w:rPr>
                <w:rFonts w:hint="eastAsia" w:ascii="Times New Roman" w:hAnsi="Times New Roman" w:eastAsia="宋体" w:cs="Times New Roman"/>
                <w:b w:val="0"/>
                <w:bCs w:val="0"/>
                <w:color w:val="auto"/>
                <w:kern w:val="0"/>
                <w:sz w:val="24"/>
                <w:szCs w:val="21"/>
                <w:highlight w:val="none"/>
                <w:lang w:val="en-US" w:eastAsia="zh-CN" w:bidi="ar-SA"/>
              </w:rPr>
              <w:t>。属于间接排放，</w:t>
            </w:r>
            <w:r>
              <w:rPr>
                <w:rFonts w:hint="default" w:ascii="Times New Roman" w:hAnsi="Times New Roman" w:eastAsia="宋体" w:cs="Times New Roman"/>
                <w:b w:val="0"/>
                <w:bCs w:val="0"/>
                <w:color w:val="auto"/>
                <w:kern w:val="0"/>
                <w:sz w:val="24"/>
                <w:szCs w:val="21"/>
                <w:highlight w:val="none"/>
                <w:lang w:val="en-US" w:eastAsia="zh-CN" w:bidi="ar-SA"/>
              </w:rPr>
              <w:t>无需开展自行监测。</w:t>
            </w:r>
          </w:p>
          <w:p>
            <w:pPr>
              <w:keepNext w:val="0"/>
              <w:keepLines w:val="0"/>
              <w:suppressLineNumbers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3、生活污水污染防治技术可行性分析</w:t>
            </w:r>
          </w:p>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eastAsia"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根据《排污许可证申请与核发技术规范</w:t>
            </w:r>
            <w:r>
              <w:rPr>
                <w:rFonts w:hint="eastAsia" w:cs="Times New Roman"/>
                <w:b w:val="0"/>
                <w:bCs w:val="0"/>
                <w:color w:val="auto"/>
                <w:sz w:val="24"/>
                <w:szCs w:val="24"/>
                <w:highlight w:val="none"/>
                <w:lang w:val="en-US" w:eastAsia="zh-CN"/>
              </w:rPr>
              <w:t xml:space="preserve"> </w:t>
            </w:r>
            <w:r>
              <w:rPr>
                <w:rFonts w:hint="eastAsia" w:ascii="Times New Roman" w:hAnsi="Times New Roman" w:eastAsia="宋体" w:cs="Times New Roman"/>
                <w:b w:val="0"/>
                <w:bCs w:val="0"/>
                <w:color w:val="auto"/>
                <w:sz w:val="24"/>
                <w:szCs w:val="24"/>
                <w:highlight w:val="none"/>
                <w:lang w:val="en-US" w:eastAsia="zh-CN"/>
              </w:rPr>
              <w:t>总则》（HJ942-2018）文件要求，项目生活污水经三级化粪池预处理后经市政</w:t>
            </w:r>
            <w:r>
              <w:rPr>
                <w:rFonts w:hint="eastAsia" w:ascii="Times New Roman" w:hAnsi="Times New Roman" w:cs="Times New Roman"/>
                <w:b w:val="0"/>
                <w:bCs w:val="0"/>
                <w:color w:val="auto"/>
                <w:sz w:val="24"/>
                <w:szCs w:val="24"/>
                <w:highlight w:val="none"/>
                <w:lang w:val="en-US" w:eastAsia="zh-CN"/>
              </w:rPr>
              <w:t>污水</w:t>
            </w:r>
            <w:r>
              <w:rPr>
                <w:rFonts w:hint="eastAsia" w:ascii="Times New Roman" w:hAnsi="Times New Roman" w:eastAsia="宋体" w:cs="Times New Roman"/>
                <w:b w:val="0"/>
                <w:bCs w:val="0"/>
                <w:color w:val="auto"/>
                <w:sz w:val="24"/>
                <w:szCs w:val="24"/>
                <w:highlight w:val="none"/>
                <w:lang w:val="en-US" w:eastAsia="zh-CN"/>
              </w:rPr>
              <w:t>管网纳入杨桥镇生活污水处理厂处理，属于可行性技术。</w:t>
            </w:r>
          </w:p>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4、依托集中污水处理厂可行性分析</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kern w:val="2"/>
                <w:sz w:val="24"/>
                <w:szCs w:val="24"/>
                <w:highlight w:val="none"/>
              </w:rPr>
              <w:t>杨侨镇污水处理厂于2014年开始建设，总占地面积23246m</w:t>
            </w:r>
            <w:r>
              <w:rPr>
                <w:rFonts w:hint="default"/>
                <w:color w:val="auto"/>
                <w:kern w:val="2"/>
                <w:sz w:val="24"/>
                <w:szCs w:val="24"/>
                <w:highlight w:val="none"/>
                <w:vertAlign w:val="superscript"/>
              </w:rPr>
              <w:t>2</w:t>
            </w:r>
            <w:r>
              <w:rPr>
                <w:rFonts w:hint="default"/>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bidi="ar"/>
              </w:rPr>
              <w:t>总投资</w:t>
            </w:r>
            <w:r>
              <w:rPr>
                <w:rFonts w:hint="default" w:ascii="Times New Roman" w:hAnsi="Times New Roman" w:eastAsia="宋体" w:cs="Times New Roman"/>
                <w:color w:val="auto"/>
                <w:kern w:val="2"/>
                <w:sz w:val="24"/>
                <w:szCs w:val="24"/>
                <w:highlight w:val="none"/>
                <w:lang w:val="en-US" w:eastAsia="zh-CN" w:bidi="ar"/>
              </w:rPr>
              <w:t>2200</w:t>
            </w:r>
            <w:r>
              <w:rPr>
                <w:rFonts w:hint="eastAsia" w:ascii="Times New Roman" w:hAnsi="Times New Roman" w:eastAsia="宋体" w:cs="Times New Roman"/>
                <w:color w:val="auto"/>
                <w:kern w:val="2"/>
                <w:sz w:val="24"/>
                <w:szCs w:val="24"/>
                <w:highlight w:val="none"/>
                <w:lang w:val="en-US" w:eastAsia="zh-CN" w:bidi="ar"/>
              </w:rPr>
              <w:t>万元。设计处理规模为</w:t>
            </w:r>
            <w:r>
              <w:rPr>
                <w:rFonts w:hint="default" w:ascii="Times New Roman" w:hAnsi="Times New Roman" w:eastAsia="宋体" w:cs="Times New Roman"/>
                <w:color w:val="auto"/>
                <w:kern w:val="2"/>
                <w:sz w:val="24"/>
                <w:szCs w:val="24"/>
                <w:highlight w:val="none"/>
                <w:lang w:val="en-US" w:eastAsia="zh-CN" w:bidi="ar"/>
              </w:rPr>
              <w:t>1</w:t>
            </w:r>
            <w:r>
              <w:rPr>
                <w:rFonts w:hint="eastAsia" w:ascii="Times New Roman" w:hAnsi="Times New Roman" w:eastAsia="宋体" w:cs="Times New Roman"/>
                <w:color w:val="auto"/>
                <w:kern w:val="2"/>
                <w:sz w:val="24"/>
                <w:szCs w:val="24"/>
                <w:highlight w:val="none"/>
                <w:lang w:val="en-US" w:eastAsia="zh-CN" w:bidi="ar"/>
              </w:rPr>
              <w:t>万吨</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天，已通过环保验收投入正式运营</w:t>
            </w:r>
            <w:r>
              <w:rPr>
                <w:rFonts w:hint="eastAsia" w:cs="Times New Roman"/>
                <w:color w:val="auto"/>
                <w:kern w:val="2"/>
                <w:sz w:val="24"/>
                <w:szCs w:val="24"/>
                <w:highlight w:val="none"/>
                <w:lang w:val="en-US" w:eastAsia="zh-CN" w:bidi="ar"/>
              </w:rPr>
              <w:t>。</w:t>
            </w:r>
            <w:r>
              <w:rPr>
                <w:rFonts w:hint="default"/>
                <w:color w:val="auto"/>
                <w:kern w:val="2"/>
                <w:sz w:val="24"/>
                <w:szCs w:val="24"/>
                <w:highlight w:val="none"/>
              </w:rPr>
              <w:t>采用</w:t>
            </w:r>
            <w:r>
              <w:rPr>
                <w:rFonts w:hint="default" w:ascii="Times New Roman" w:hAnsi="Times New Roman" w:eastAsia="宋体" w:cs="Times New Roman"/>
                <w:color w:val="auto"/>
                <w:kern w:val="2"/>
                <w:sz w:val="24"/>
                <w:szCs w:val="24"/>
                <w:highlight w:val="none"/>
                <w:lang w:val="en-US" w:eastAsia="zh-CN" w:bidi="ar"/>
              </w:rPr>
              <w:t>A</w:t>
            </w:r>
            <w:r>
              <w:rPr>
                <w:rFonts w:hint="default" w:ascii="Times New Roman" w:hAnsi="Times New Roman" w:eastAsia="宋体" w:cs="Times New Roman"/>
                <w:color w:val="auto"/>
                <w:kern w:val="2"/>
                <w:sz w:val="24"/>
                <w:szCs w:val="24"/>
                <w:highlight w:val="none"/>
                <w:vertAlign w:val="superscript"/>
                <w:lang w:val="en-US" w:eastAsia="zh-CN" w:bidi="ar"/>
              </w:rPr>
              <w:t>2</w:t>
            </w:r>
            <w:r>
              <w:rPr>
                <w:rFonts w:hint="default" w:ascii="Times New Roman" w:hAnsi="Times New Roman" w:eastAsia="宋体" w:cs="Times New Roman"/>
                <w:color w:val="auto"/>
                <w:kern w:val="2"/>
                <w:sz w:val="24"/>
                <w:szCs w:val="24"/>
                <w:highlight w:val="none"/>
                <w:lang w:val="en-US" w:eastAsia="zh-CN" w:bidi="ar"/>
              </w:rPr>
              <w:t>/O</w:t>
            </w:r>
            <w:r>
              <w:rPr>
                <w:rFonts w:hint="eastAsia" w:ascii="Times New Roman" w:hAnsi="Times New Roman" w:eastAsia="宋体" w:cs="Times New Roman"/>
                <w:color w:val="auto"/>
                <w:kern w:val="2"/>
                <w:sz w:val="24"/>
                <w:szCs w:val="24"/>
                <w:highlight w:val="none"/>
                <w:lang w:val="en-US" w:eastAsia="zh-CN" w:bidi="ar"/>
              </w:rPr>
              <w:t>处理工艺</w:t>
            </w:r>
            <w:r>
              <w:rPr>
                <w:rFonts w:hint="default"/>
                <w:color w:val="auto"/>
                <w:kern w:val="2"/>
                <w:sz w:val="24"/>
                <w:szCs w:val="24"/>
                <w:highlight w:val="none"/>
              </w:rPr>
              <w:t>。目前，杨侨镇污水处理厂实际运营规模为10000m</w:t>
            </w:r>
            <w:r>
              <w:rPr>
                <w:rFonts w:hint="default"/>
                <w:color w:val="auto"/>
                <w:kern w:val="2"/>
                <w:sz w:val="24"/>
                <w:szCs w:val="24"/>
                <w:highlight w:val="none"/>
                <w:vertAlign w:val="superscript"/>
              </w:rPr>
              <w:t>3</w:t>
            </w:r>
            <w:r>
              <w:rPr>
                <w:rFonts w:hint="default"/>
                <w:color w:val="auto"/>
                <w:kern w:val="2"/>
                <w:sz w:val="24"/>
                <w:szCs w:val="24"/>
                <w:highlight w:val="none"/>
              </w:rPr>
              <w:t>/d，剩余处理量为1500m</w:t>
            </w:r>
            <w:r>
              <w:rPr>
                <w:rFonts w:hint="default"/>
                <w:color w:val="auto"/>
                <w:kern w:val="2"/>
                <w:sz w:val="24"/>
                <w:szCs w:val="24"/>
                <w:highlight w:val="none"/>
                <w:vertAlign w:val="superscript"/>
              </w:rPr>
              <w:t>3</w:t>
            </w:r>
            <w:r>
              <w:rPr>
                <w:rFonts w:hint="default"/>
                <w:color w:val="auto"/>
                <w:kern w:val="2"/>
                <w:sz w:val="24"/>
                <w:szCs w:val="24"/>
                <w:highlight w:val="none"/>
              </w:rPr>
              <w:t>/d，项目生活污水排放量为240m</w:t>
            </w:r>
            <w:r>
              <w:rPr>
                <w:rFonts w:hint="default"/>
                <w:color w:val="auto"/>
                <w:kern w:val="2"/>
                <w:sz w:val="24"/>
                <w:szCs w:val="24"/>
                <w:highlight w:val="none"/>
                <w:vertAlign w:val="superscript"/>
              </w:rPr>
              <w:t>3</w:t>
            </w:r>
            <w:r>
              <w:rPr>
                <w:rFonts w:hint="default"/>
                <w:color w:val="auto"/>
                <w:kern w:val="2"/>
                <w:sz w:val="24"/>
                <w:szCs w:val="24"/>
                <w:highlight w:val="none"/>
              </w:rPr>
              <w:t>/a（即0.8m</w:t>
            </w:r>
            <w:r>
              <w:rPr>
                <w:rFonts w:hint="default"/>
                <w:color w:val="auto"/>
                <w:kern w:val="2"/>
                <w:sz w:val="24"/>
                <w:szCs w:val="24"/>
                <w:highlight w:val="none"/>
                <w:vertAlign w:val="superscript"/>
              </w:rPr>
              <w:t>3</w:t>
            </w:r>
            <w:r>
              <w:rPr>
                <w:rFonts w:hint="default"/>
                <w:color w:val="auto"/>
                <w:kern w:val="2"/>
                <w:sz w:val="24"/>
                <w:szCs w:val="24"/>
                <w:highlight w:val="none"/>
              </w:rPr>
              <w:t>/d），仅占其剩余处理量的0.053%。项目生活污水经化粪池预处理后，达广东省《水污染物排放限值》（DB44/26-2001）第二时段三级标准后，通过企业废水总排放口（DW001）排入园区污水管网，再进入市政污水管网，由杨侨镇</w:t>
            </w:r>
            <w:r>
              <w:rPr>
                <w:rFonts w:hint="eastAsia"/>
                <w:color w:val="auto"/>
                <w:kern w:val="2"/>
                <w:sz w:val="24"/>
                <w:szCs w:val="24"/>
                <w:highlight w:val="none"/>
              </w:rPr>
              <w:t>污水</w:t>
            </w:r>
            <w:r>
              <w:rPr>
                <w:rFonts w:hint="default"/>
                <w:color w:val="auto"/>
                <w:kern w:val="2"/>
                <w:sz w:val="24"/>
                <w:szCs w:val="24"/>
                <w:highlight w:val="none"/>
              </w:rPr>
              <w:t>处理厂处理，尾水排入南蛇沥涌，汇入公庄河，最终进入东江，对其冲击不大。因此项目生活污水纳入杨侨镇污水处理厂进行处理的方案是可行的。</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kern w:val="2"/>
                <w:sz w:val="24"/>
                <w:szCs w:val="24"/>
                <w:highlight w:val="none"/>
              </w:rPr>
              <w:t>本项目生活污水污染物种类与污水厂处理的污染物种类相似，排放量仅占剩余污水厂处理量的0.053%，且本项目所在区域属于污水厂的污水收集范围，管网现已铺设到项目所在区域，本项目已接通市政管网，因此项目生活污水纳入杨侨镇污水处理厂进行处理的方案是可行的。</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kern w:val="2"/>
                <w:sz w:val="24"/>
                <w:szCs w:val="24"/>
                <w:highlight w:val="none"/>
              </w:rPr>
              <w:t>综上所述，生活污水经三级化粪池预处理后进入杨侨镇生活污水处理厂，尾水处理达标后排入南蛇沥，项目生活污水的排放满足相应的废水排放要求，对地表水体造成的环境影响不大，其地表水环境影响是可接受的。</w:t>
            </w:r>
          </w:p>
          <w:p>
            <w:pPr>
              <w:keepNext w:val="0"/>
              <w:keepLines w:val="0"/>
              <w:widowControl/>
              <w:suppressLineNumbers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5、退火冷却工序直接冷却水处理工艺及循环使用可行性分析</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eastAsia" w:cs="Times New Roman"/>
                <w:color w:val="auto"/>
                <w:kern w:val="2"/>
                <w:sz w:val="24"/>
                <w:szCs w:val="24"/>
                <w:highlight w:val="none"/>
                <w:lang w:val="en-US" w:eastAsia="zh-CN" w:bidi="ar"/>
              </w:rPr>
              <w:t>根</w:t>
            </w:r>
            <w:r>
              <w:rPr>
                <w:rFonts w:hint="default" w:ascii="Times New Roman" w:hAnsi="Times New Roman" w:eastAsia="宋体" w:cs="Times New Roman"/>
                <w:color w:val="auto"/>
                <w:kern w:val="2"/>
                <w:sz w:val="24"/>
                <w:szCs w:val="24"/>
                <w:highlight w:val="none"/>
                <w:lang w:val="en-US" w:eastAsia="zh-CN" w:bidi="ar"/>
              </w:rPr>
              <w:t>据建设单位提供的资料，</w:t>
            </w:r>
            <w:r>
              <w:rPr>
                <w:rFonts w:hint="eastAsia" w:cs="Times New Roman"/>
                <w:color w:val="auto"/>
                <w:kern w:val="2"/>
                <w:sz w:val="24"/>
                <w:szCs w:val="24"/>
                <w:highlight w:val="none"/>
                <w:lang w:val="en-US" w:eastAsia="zh-CN" w:bidi="ar"/>
              </w:rPr>
              <w:t>退</w:t>
            </w:r>
            <w:r>
              <w:rPr>
                <w:rFonts w:hint="default" w:ascii="Times New Roman" w:cs="Times New Roman"/>
                <w:color w:val="auto"/>
                <w:sz w:val="24"/>
                <w:szCs w:val="24"/>
                <w:highlight w:val="none"/>
              </w:rPr>
              <w:t>火机冷却水</w:t>
            </w:r>
            <w:r>
              <w:rPr>
                <w:rFonts w:hint="eastAsia" w:ascii="Times New Roman" w:cs="Times New Roman"/>
                <w:color w:val="auto"/>
                <w:sz w:val="24"/>
                <w:szCs w:val="24"/>
                <w:highlight w:val="none"/>
                <w:lang w:val="en-US" w:eastAsia="zh-CN"/>
              </w:rPr>
              <w:t>每天经冷却水池冷却后经过一体化冷却水处理设施处理后回用</w:t>
            </w:r>
            <w:r>
              <w:rPr>
                <w:rFonts w:hint="eastAsia" w:ascii="Times New Roman" w:cs="Times New Roman"/>
                <w:color w:val="auto"/>
                <w:sz w:val="24"/>
                <w:szCs w:val="24"/>
                <w:highlight w:val="none"/>
                <w:lang w:eastAsia="zh-CN"/>
              </w:rPr>
              <w:t>，</w:t>
            </w:r>
            <w:r>
              <w:rPr>
                <w:rFonts w:hint="eastAsia" w:ascii="Times New Roman" w:cs="Times New Roman"/>
                <w:color w:val="auto"/>
                <w:sz w:val="24"/>
                <w:szCs w:val="24"/>
                <w:highlight w:val="none"/>
                <w:lang w:val="en-US" w:eastAsia="zh-CN"/>
              </w:rPr>
              <w:t>废水处理频率为一天一次</w:t>
            </w:r>
            <w:r>
              <w:rPr>
                <w:rFonts w:hint="eastAsia" w:ascii="Times New Roman" w:cs="Times New Roman"/>
                <w:color w:val="auto"/>
                <w:sz w:val="24"/>
                <w:szCs w:val="24"/>
                <w:highlight w:val="none"/>
                <w:lang w:eastAsia="zh-CN"/>
              </w:rPr>
              <w:t>。</w:t>
            </w:r>
            <w:r>
              <w:rPr>
                <w:rFonts w:hint="eastAsia" w:ascii="Times New Roman" w:cs="Times New Roman"/>
                <w:color w:val="auto"/>
                <w:sz w:val="24"/>
                <w:szCs w:val="24"/>
                <w:highlight w:val="none"/>
                <w:lang w:val="en-US" w:eastAsia="zh-CN"/>
              </w:rPr>
              <w:t>退火机</w:t>
            </w:r>
            <w:r>
              <w:rPr>
                <w:rFonts w:hint="eastAsia" w:ascii="Times New Roman" w:hAnsi="Times New Roman" w:eastAsia="宋体" w:cs="Times New Roman"/>
                <w:color w:val="auto"/>
                <w:kern w:val="2"/>
                <w:sz w:val="24"/>
                <w:szCs w:val="24"/>
                <w:highlight w:val="none"/>
                <w:lang w:val="en-US" w:eastAsia="zh-CN" w:bidi="ar"/>
              </w:rPr>
              <w:t>冷却水槽的水每天经</w:t>
            </w:r>
            <w:r>
              <w:rPr>
                <w:rFonts w:hint="eastAsia" w:ascii="Times New Roman" w:cs="Times New Roman"/>
                <w:color w:val="auto"/>
                <w:kern w:val="2"/>
                <w:sz w:val="24"/>
                <w:szCs w:val="24"/>
                <w:highlight w:val="none"/>
                <w:lang w:val="en-US" w:eastAsia="zh-CN" w:bidi="ar"/>
              </w:rPr>
              <w:t>一体化冷却水处理设施</w:t>
            </w:r>
            <w:r>
              <w:rPr>
                <w:rFonts w:hint="eastAsia" w:ascii="Times New Roman" w:hAnsi="Times New Roman" w:eastAsia="宋体" w:cs="Times New Roman"/>
                <w:color w:val="auto"/>
                <w:kern w:val="2"/>
                <w:sz w:val="24"/>
                <w:szCs w:val="24"/>
                <w:highlight w:val="none"/>
                <w:lang w:val="en-US" w:eastAsia="zh-CN" w:bidi="ar"/>
              </w:rPr>
              <w:t>处理，退火机冷却水处理量即冷却</w:t>
            </w:r>
            <w:r>
              <w:rPr>
                <w:rFonts w:hint="eastAsia" w:ascii="Times New Roman" w:cs="Times New Roman"/>
                <w:color w:val="auto"/>
                <w:kern w:val="2"/>
                <w:sz w:val="24"/>
                <w:szCs w:val="24"/>
                <w:highlight w:val="none"/>
                <w:lang w:val="en-US" w:eastAsia="zh-CN" w:bidi="ar"/>
              </w:rPr>
              <w:t>水槽</w:t>
            </w:r>
            <w:r>
              <w:rPr>
                <w:rFonts w:hint="eastAsia" w:ascii="Times New Roman" w:hAnsi="Times New Roman" w:eastAsia="宋体" w:cs="Times New Roman"/>
                <w:color w:val="auto"/>
                <w:kern w:val="2"/>
                <w:sz w:val="24"/>
                <w:szCs w:val="24"/>
                <w:highlight w:val="none"/>
                <w:lang w:val="en-US" w:eastAsia="zh-CN" w:bidi="ar"/>
              </w:rPr>
              <w:t>量</w:t>
            </w:r>
            <w:r>
              <w:rPr>
                <w:rFonts w:hint="eastAsia" w:ascii="Times New Roman" w:cs="Times New Roman"/>
                <w:color w:val="auto"/>
                <w:sz w:val="24"/>
                <w:szCs w:val="24"/>
                <w:highlight w:val="none"/>
                <w:lang w:val="en-US" w:eastAsia="zh-CN"/>
              </w:rPr>
              <w:t>234</w:t>
            </w:r>
            <w:r>
              <w:rPr>
                <w:rFonts w:hint="default" w:ascii="Times New Roman" w:cs="Times New Roman"/>
                <w:color w:val="auto"/>
                <w:sz w:val="24"/>
                <w:szCs w:val="24"/>
                <w:highlight w:val="none"/>
              </w:rPr>
              <w:t>m</w:t>
            </w:r>
            <w:r>
              <w:rPr>
                <w:rFonts w:hint="default" w:ascii="Times New Roman" w:cs="Times New Roman"/>
                <w:color w:val="auto"/>
                <w:sz w:val="24"/>
                <w:szCs w:val="24"/>
                <w:highlight w:val="none"/>
                <w:vertAlign w:val="superscript"/>
              </w:rPr>
              <w:t>3</w:t>
            </w:r>
            <w:r>
              <w:rPr>
                <w:rFonts w:hint="default" w:ascii="Times New Roman" w:cs="Times New Roman"/>
                <w:color w:val="auto"/>
                <w:sz w:val="24"/>
                <w:szCs w:val="24"/>
                <w:highlight w:val="none"/>
              </w:rPr>
              <w:t>/a（</w:t>
            </w:r>
            <w:r>
              <w:rPr>
                <w:rFonts w:hint="eastAsia" w:ascii="Times New Roman" w:cs="Times New Roman"/>
                <w:color w:val="auto"/>
                <w:sz w:val="24"/>
                <w:szCs w:val="24"/>
                <w:highlight w:val="none"/>
                <w:lang w:val="en-US" w:eastAsia="zh-CN"/>
              </w:rPr>
              <w:t>0.78</w:t>
            </w:r>
            <w:r>
              <w:rPr>
                <w:rFonts w:hint="default" w:ascii="Times New Roman" w:cs="Times New Roman"/>
                <w:color w:val="auto"/>
                <w:sz w:val="24"/>
                <w:szCs w:val="24"/>
                <w:highlight w:val="none"/>
              </w:rPr>
              <w:t>m</w:t>
            </w:r>
            <w:r>
              <w:rPr>
                <w:rFonts w:hint="default" w:ascii="Times New Roman" w:cs="Times New Roman"/>
                <w:color w:val="auto"/>
                <w:sz w:val="24"/>
                <w:szCs w:val="24"/>
                <w:highlight w:val="none"/>
                <w:vertAlign w:val="superscript"/>
              </w:rPr>
              <w:t>3</w:t>
            </w:r>
            <w:r>
              <w:rPr>
                <w:rFonts w:hint="default" w:ascii="Times New Roman" w:cs="Times New Roman"/>
                <w:color w:val="auto"/>
                <w:sz w:val="24"/>
                <w:szCs w:val="24"/>
                <w:highlight w:val="none"/>
              </w:rPr>
              <w:t>/d）</w:t>
            </w:r>
            <w:r>
              <w:rPr>
                <w:rFonts w:hint="eastAsia"/>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bidi="ar"/>
              </w:rPr>
              <w:t>项目一体化处理措施设计</w:t>
            </w:r>
            <w:r>
              <w:rPr>
                <w:rFonts w:hint="default" w:ascii="Times New Roman" w:hAnsi="Times New Roman" w:eastAsia="宋体" w:cs="Times New Roman"/>
                <w:color w:val="auto"/>
                <w:kern w:val="2"/>
                <w:sz w:val="24"/>
                <w:szCs w:val="24"/>
                <w:highlight w:val="none"/>
                <w:lang w:val="en-US" w:eastAsia="zh-CN" w:bidi="ar"/>
              </w:rPr>
              <w:t>处理能力为</w:t>
            </w:r>
            <w:r>
              <w:rPr>
                <w:rFonts w:hint="eastAsia" w:cs="Times New Roman"/>
                <w:color w:val="auto"/>
                <w:kern w:val="2"/>
                <w:sz w:val="24"/>
                <w:szCs w:val="24"/>
                <w:highlight w:val="none"/>
                <w:lang w:val="en-US" w:eastAsia="zh-CN" w:bidi="ar"/>
              </w:rPr>
              <w:t>1</w:t>
            </w:r>
            <w:r>
              <w:rPr>
                <w:rFonts w:hint="default" w:ascii="Times New Roman" w:hAnsi="Times New Roman" w:eastAsia="宋体" w:cs="Times New Roman"/>
                <w:color w:val="auto"/>
                <w:kern w:val="2"/>
                <w:sz w:val="24"/>
                <w:szCs w:val="24"/>
                <w:highlight w:val="none"/>
                <w:lang w:val="en-US" w:eastAsia="zh-CN" w:bidi="ar"/>
              </w:rPr>
              <w:t>t/d</w:t>
            </w:r>
            <w:r>
              <w:rPr>
                <w:rFonts w:hint="eastAsia" w:cs="Times New Roman"/>
                <w:color w:val="auto"/>
                <w:kern w:val="2"/>
                <w:sz w:val="24"/>
                <w:szCs w:val="24"/>
                <w:highlight w:val="none"/>
                <w:lang w:val="en-US" w:eastAsia="zh-CN" w:bidi="ar"/>
              </w:rPr>
              <w:t>，</w:t>
            </w:r>
            <w:r>
              <w:rPr>
                <w:rFonts w:hint="eastAsia"/>
                <w:color w:val="auto"/>
                <w:kern w:val="2"/>
                <w:sz w:val="24"/>
                <w:szCs w:val="24"/>
                <w:highlight w:val="none"/>
              </w:rPr>
              <w:t>处理工艺为</w:t>
            </w:r>
            <w:r>
              <w:rPr>
                <w:rFonts w:hint="default"/>
                <w:color w:val="auto"/>
                <w:kern w:val="2"/>
                <w:sz w:val="24"/>
                <w:szCs w:val="24"/>
                <w:highlight w:val="none"/>
              </w:rPr>
              <w:t>“调节池+混凝反应池+沉淀池+过滤池+清水池”。</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kern w:val="2"/>
                <w:sz w:val="24"/>
                <w:szCs w:val="24"/>
                <w:highlight w:val="none"/>
              </w:rPr>
              <w:t>项目</w:t>
            </w:r>
            <w:r>
              <w:rPr>
                <w:rFonts w:hint="eastAsia"/>
                <w:color w:val="auto"/>
                <w:sz w:val="24"/>
                <w:highlight w:val="none"/>
              </w:rPr>
              <w:t>一体化处</w:t>
            </w:r>
            <w:r>
              <w:rPr>
                <w:rFonts w:hint="eastAsia"/>
                <w:color w:val="auto"/>
                <w:kern w:val="2"/>
                <w:sz w:val="24"/>
                <w:szCs w:val="24"/>
                <w:highlight w:val="none"/>
              </w:rPr>
              <w:t>理设施</w:t>
            </w:r>
            <w:r>
              <w:rPr>
                <w:rFonts w:hint="eastAsia"/>
                <w:color w:val="auto"/>
                <w:kern w:val="2"/>
                <w:sz w:val="24"/>
                <w:szCs w:val="24"/>
                <w:highlight w:val="none"/>
                <w:lang w:val="en-US" w:eastAsia="zh-CN"/>
              </w:rPr>
              <w:t>处理工艺</w:t>
            </w:r>
            <w:r>
              <w:rPr>
                <w:rFonts w:hint="default"/>
                <w:color w:val="auto"/>
                <w:kern w:val="2"/>
                <w:sz w:val="24"/>
                <w:szCs w:val="24"/>
                <w:highlight w:val="none"/>
              </w:rPr>
              <w:t>流程如下图所示：</w:t>
            </w:r>
          </w:p>
          <w:p>
            <w:pPr>
              <w:keepNext w:val="0"/>
              <w:keepLines w:val="0"/>
              <w:widowControl/>
              <w:suppressLineNumbers w:val="0"/>
              <w:spacing w:before="0" w:beforeAutospacing="0" w:after="0" w:afterAutospacing="0" w:line="360" w:lineRule="auto"/>
              <w:ind w:left="0" w:right="0" w:firstLine="0" w:firstLineChars="0"/>
              <w:jc w:val="both"/>
              <w:rPr>
                <w:rFonts w:hint="default"/>
                <w:color w:val="auto"/>
                <w:kern w:val="2"/>
                <w:sz w:val="24"/>
                <w:szCs w:val="24"/>
                <w:highlight w:val="none"/>
              </w:rPr>
            </w:pPr>
            <w:r>
              <w:rPr>
                <w:rFonts w:hint="default"/>
                <w:color w:val="auto"/>
                <w:kern w:val="2"/>
                <w:sz w:val="24"/>
                <w:szCs w:val="24"/>
                <w:highlight w:val="none"/>
              </w:rPr>
              <w:object>
                <v:shape id="_x0000_i1028" o:spt="75" type="#_x0000_t75" style="height:30pt;width:412.5pt;" o:ole="t" filled="f" o:preferrelative="t" stroked="f" coordsize="21600,21600">
                  <v:path/>
                  <v:fill on="f" focussize="0,0"/>
                  <v:stroke on="f" joinstyle="miter"/>
                  <v:imagedata r:id="rId34" o:title=""/>
                  <o:lock v:ext="edit" aspectratio="f"/>
                  <w10:wrap type="none"/>
                  <w10:anchorlock/>
                </v:shape>
                <o:OLEObject Type="Embed" ProgID="Visio.Drawing.15" ShapeID="_x0000_i1028" DrawAspect="Content" ObjectID="_1468075728" r:id="rId33">
                  <o:LockedField>false</o:LockedField>
                </o:OLEObject>
              </w:object>
            </w:r>
          </w:p>
          <w:p>
            <w:pPr>
              <w:keepNext w:val="0"/>
              <w:keepLines w:val="0"/>
              <w:widowControl/>
              <w:suppressLineNumbers w:val="0"/>
              <w:spacing w:before="0" w:beforeAutospacing="0" w:after="0" w:afterAutospacing="0" w:line="360" w:lineRule="auto"/>
              <w:ind w:left="0" w:right="0" w:firstLine="482"/>
              <w:jc w:val="center"/>
              <w:rPr>
                <w:rFonts w:hint="default"/>
                <w:b/>
                <w:bCs/>
                <w:color w:val="auto"/>
                <w:kern w:val="2"/>
                <w:sz w:val="24"/>
                <w:szCs w:val="24"/>
                <w:highlight w:val="none"/>
              </w:rPr>
            </w:pPr>
            <w:r>
              <w:rPr>
                <w:rFonts w:hint="default"/>
                <w:b/>
                <w:bCs/>
                <w:color w:val="auto"/>
                <w:kern w:val="2"/>
                <w:sz w:val="24"/>
                <w:szCs w:val="24"/>
                <w:highlight w:val="none"/>
              </w:rPr>
              <w:t>图4-1冷却水处理工艺流程图</w:t>
            </w:r>
          </w:p>
          <w:p>
            <w:pPr>
              <w:keepNext w:val="0"/>
              <w:keepLines w:val="0"/>
              <w:widowControl/>
              <w:suppressLineNumbers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回用可行性分析</w:t>
            </w:r>
          </w:p>
          <w:p>
            <w:pPr>
              <w:keepNext w:val="0"/>
              <w:keepLines w:val="0"/>
              <w:pageBreakBefore w:val="0"/>
              <w:widowControl/>
              <w:suppressLineNumbers w:val="0"/>
              <w:wordWrap/>
              <w:overflowPunct/>
              <w:topLinePunct w:val="0"/>
              <w:bidi w:val="0"/>
              <w:spacing w:before="0" w:beforeAutospacing="0" w:after="0" w:afterAutospacing="0" w:line="360" w:lineRule="auto"/>
              <w:ind w:left="0" w:right="0" w:firstLine="480" w:firstLineChars="200"/>
              <w:jc w:val="both"/>
              <w:textAlignment w:val="auto"/>
              <w:rPr>
                <w:rFonts w:hint="default"/>
                <w:bCs/>
                <w:color w:val="auto"/>
                <w:sz w:val="24"/>
                <w:szCs w:val="24"/>
                <w:highlight w:val="none"/>
                <w:lang w:val="en-US"/>
              </w:rPr>
            </w:pPr>
            <w:r>
              <w:rPr>
                <w:rFonts w:hint="eastAsia" w:ascii="Times New Roman" w:hAnsi="Times New Roman" w:eastAsia="宋体" w:cs="Times New Roman"/>
                <w:b w:val="0"/>
                <w:bCs/>
                <w:color w:val="auto"/>
                <w:sz w:val="24"/>
                <w:szCs w:val="24"/>
                <w:highlight w:val="none"/>
                <w:lang w:val="en-US" w:eastAsia="zh-CN"/>
              </w:rPr>
              <w:t>项目铜杆拉丝退火后在冷却水槽中直接冷却，在循环使用过程中该冷却水会产生少量悬浮物，该废水中主要污染物为pH、COD</w:t>
            </w:r>
            <w:r>
              <w:rPr>
                <w:rFonts w:hint="eastAsia" w:ascii="Times New Roman" w:hAnsi="Times New Roman" w:eastAsia="宋体" w:cs="Times New Roman"/>
                <w:b w:val="0"/>
                <w:bCs/>
                <w:color w:val="auto"/>
                <w:sz w:val="24"/>
                <w:szCs w:val="24"/>
                <w:highlight w:val="none"/>
                <w:vertAlign w:val="subscript"/>
                <w:lang w:val="en-US" w:eastAsia="zh-CN"/>
              </w:rPr>
              <w:t>Cr</w:t>
            </w:r>
            <w:r>
              <w:rPr>
                <w:rFonts w:hint="eastAsia" w:ascii="Times New Roman" w:hAnsi="Times New Roman" w:eastAsia="宋体" w:cs="Times New Roman"/>
                <w:b w:val="0"/>
                <w:bCs/>
                <w:color w:val="auto"/>
                <w:sz w:val="24"/>
                <w:szCs w:val="24"/>
                <w:highlight w:val="none"/>
                <w:lang w:val="en-US" w:eastAsia="zh-CN"/>
              </w:rPr>
              <w:t>、BOD</w:t>
            </w:r>
            <w:r>
              <w:rPr>
                <w:rFonts w:hint="eastAsia" w:ascii="Times New Roman" w:hAnsi="Times New Roman" w:eastAsia="宋体" w:cs="Times New Roman"/>
                <w:b w:val="0"/>
                <w:bCs/>
                <w:color w:val="auto"/>
                <w:sz w:val="24"/>
                <w:szCs w:val="24"/>
                <w:highlight w:val="none"/>
                <w:vertAlign w:val="subscript"/>
                <w:lang w:val="en-US" w:eastAsia="zh-CN"/>
              </w:rPr>
              <w:t>5</w:t>
            </w:r>
            <w:r>
              <w:rPr>
                <w:rFonts w:hint="eastAsia" w:ascii="Times New Roman" w:hAnsi="Times New Roman" w:eastAsia="宋体" w:cs="Times New Roman"/>
                <w:b w:val="0"/>
                <w:bCs/>
                <w:color w:val="auto"/>
                <w:sz w:val="24"/>
                <w:szCs w:val="24"/>
                <w:highlight w:val="none"/>
                <w:lang w:val="en-US" w:eastAsia="zh-CN"/>
              </w:rPr>
              <w:t>、SS、NH</w:t>
            </w:r>
            <w:r>
              <w:rPr>
                <w:rFonts w:hint="eastAsia" w:ascii="Times New Roman" w:hAnsi="Times New Roman" w:eastAsia="宋体" w:cs="Times New Roman"/>
                <w:b w:val="0"/>
                <w:bCs/>
                <w:color w:val="auto"/>
                <w:sz w:val="24"/>
                <w:szCs w:val="24"/>
                <w:highlight w:val="none"/>
                <w:vertAlign w:val="subscript"/>
                <w:lang w:val="en-US" w:eastAsia="zh-CN"/>
              </w:rPr>
              <w:t>3</w:t>
            </w:r>
            <w:r>
              <w:rPr>
                <w:rFonts w:hint="eastAsia" w:ascii="Times New Roman" w:hAnsi="Times New Roman" w:eastAsia="宋体" w:cs="Times New Roman"/>
                <w:b w:val="0"/>
                <w:bCs/>
                <w:color w:val="auto"/>
                <w:sz w:val="24"/>
                <w:szCs w:val="24"/>
                <w:highlight w:val="none"/>
                <w:lang w:val="en-US" w:eastAsia="zh-CN"/>
              </w:rPr>
              <w:t>-N、TP等。</w:t>
            </w:r>
            <w:r>
              <w:rPr>
                <w:rFonts w:hint="default"/>
                <w:bCs/>
                <w:color w:val="auto"/>
                <w:sz w:val="24"/>
                <w:szCs w:val="24"/>
                <w:highlight w:val="none"/>
                <w:lang w:val="en-US"/>
              </w:rPr>
              <w:t>本项目处理前冷却废水水质参照仙桃市华普塑料制品有限公司委托湖北迅捷检测有限公司于2021年5月18日~19日对其项目直接冷却废水水质进行验收监测，检测报告编号为：迅捷检字【2021】X246号（详见附件</w:t>
            </w:r>
            <w:r>
              <w:rPr>
                <w:rFonts w:hint="eastAsia"/>
                <w:bCs/>
                <w:color w:val="auto"/>
                <w:sz w:val="24"/>
                <w:szCs w:val="24"/>
                <w:highlight w:val="none"/>
                <w:lang w:val="en-US" w:eastAsia="zh-CN"/>
              </w:rPr>
              <w:t>13</w:t>
            </w:r>
            <w:r>
              <w:rPr>
                <w:rFonts w:hint="default"/>
                <w:bCs/>
                <w:color w:val="auto"/>
                <w:sz w:val="24"/>
                <w:szCs w:val="24"/>
                <w:highlight w:val="none"/>
                <w:lang w:val="en-US"/>
              </w:rPr>
              <w:t>，此公司生活污水通过生态旱厕处理后清掏施肥处理，报告中厂区废水总排口仅为直接冷却废水），冷却水各项指标的产生浓度平均值分别为：</w:t>
            </w:r>
            <w:r>
              <w:rPr>
                <w:rFonts w:hint="eastAsia" w:ascii="Times New Roman" w:hAnsi="Times New Roman" w:eastAsia="宋体" w:cs="Times New Roman"/>
                <w:b w:val="0"/>
                <w:bCs/>
                <w:color w:val="auto"/>
                <w:sz w:val="24"/>
                <w:szCs w:val="24"/>
                <w:highlight w:val="none"/>
                <w:lang w:val="en-US" w:eastAsia="zh-CN"/>
              </w:rPr>
              <w:t>pH：7.56、</w:t>
            </w:r>
            <w:r>
              <w:rPr>
                <w:rFonts w:hint="default"/>
                <w:bCs/>
                <w:color w:val="auto"/>
                <w:sz w:val="24"/>
                <w:szCs w:val="24"/>
                <w:highlight w:val="none"/>
                <w:lang w:val="en-US"/>
              </w:rPr>
              <w:t>CODCr：37mg/L、BOD：14.1</w:t>
            </w:r>
            <w:r>
              <w:rPr>
                <w:rFonts w:hint="eastAsia"/>
                <w:bCs/>
                <w:color w:val="auto"/>
                <w:sz w:val="24"/>
                <w:szCs w:val="24"/>
                <w:highlight w:val="none"/>
                <w:lang w:val="en-US" w:eastAsia="zh-CN"/>
              </w:rPr>
              <w:t>3</w:t>
            </w:r>
            <w:r>
              <w:rPr>
                <w:rFonts w:hint="default"/>
                <w:bCs/>
                <w:color w:val="auto"/>
                <w:sz w:val="24"/>
                <w:szCs w:val="24"/>
                <w:highlight w:val="none"/>
                <w:lang w:val="en-US"/>
              </w:rPr>
              <w:t>mg/L、SS：49</w:t>
            </w:r>
            <w:r>
              <w:rPr>
                <w:rFonts w:hint="eastAsia"/>
                <w:bCs/>
                <w:color w:val="auto"/>
                <w:sz w:val="24"/>
                <w:szCs w:val="24"/>
                <w:highlight w:val="none"/>
                <w:lang w:val="en-US" w:eastAsia="zh-CN"/>
              </w:rPr>
              <w:t>.38</w:t>
            </w:r>
            <w:r>
              <w:rPr>
                <w:rFonts w:hint="default"/>
                <w:bCs/>
                <w:color w:val="auto"/>
                <w:sz w:val="24"/>
                <w:szCs w:val="24"/>
                <w:highlight w:val="none"/>
                <w:lang w:val="en-US"/>
              </w:rPr>
              <w:t>mg/L、氨氮：2.66mg/L</w:t>
            </w:r>
            <w:r>
              <w:rPr>
                <w:rFonts w:hint="eastAsia"/>
                <w:bCs/>
                <w:color w:val="auto"/>
                <w:sz w:val="24"/>
                <w:szCs w:val="24"/>
                <w:highlight w:val="none"/>
                <w:lang w:val="en-US" w:eastAsia="zh-CN"/>
              </w:rPr>
              <w:t>、总磷：0.35</w:t>
            </w:r>
            <w:r>
              <w:rPr>
                <w:rFonts w:hint="default"/>
                <w:bCs/>
                <w:color w:val="auto"/>
                <w:sz w:val="24"/>
                <w:szCs w:val="24"/>
                <w:highlight w:val="none"/>
                <w:lang w:val="en-US"/>
              </w:rPr>
              <w:t>mg/L。</w:t>
            </w:r>
          </w:p>
          <w:p>
            <w:pPr>
              <w:keepNext w:val="0"/>
              <w:keepLines w:val="0"/>
              <w:pageBreakBefore w:val="0"/>
              <w:widowControl/>
              <w:suppressLineNumbers w:val="0"/>
              <w:wordWrap/>
              <w:overflowPunct/>
              <w:topLinePunct w:val="0"/>
              <w:bidi w:val="0"/>
              <w:spacing w:before="0" w:beforeAutospacing="0" w:after="0" w:afterAutospacing="0" w:line="360" w:lineRule="auto"/>
              <w:ind w:left="0" w:right="0" w:firstLine="480" w:firstLineChars="200"/>
              <w:jc w:val="both"/>
              <w:textAlignment w:val="auto"/>
              <w:rPr>
                <w:rFonts w:hint="default"/>
                <w:bCs/>
                <w:color w:val="auto"/>
                <w:sz w:val="24"/>
                <w:szCs w:val="24"/>
                <w:highlight w:val="none"/>
                <w:lang w:val="en-US"/>
              </w:rPr>
            </w:pPr>
            <w:r>
              <w:rPr>
                <w:rFonts w:hint="default"/>
                <w:bCs/>
                <w:color w:val="auto"/>
                <w:sz w:val="24"/>
                <w:szCs w:val="24"/>
                <w:highlight w:val="none"/>
                <w:lang w:val="en-US"/>
              </w:rPr>
              <w:t>仙桃市华普塑料制品有限公司主要生产工艺为：原料→投料→熔融挤出→冷却定型（直接冷却）→切粒→装袋→入库待出售，主要产品为塑料颗粒，年产量约5000吨。该项目直接冷却水循环使用，定期更换外排（接入市政污水管网，排入仙桃市第三污水处理厂处理），则该项目监测的冷却废水水质与本项目处理前冷却废水水质相似，具有可类比性。</w:t>
            </w:r>
          </w:p>
          <w:p>
            <w:pPr>
              <w:pStyle w:val="33"/>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eastAsia" w:ascii="Times New Roman" w:hAnsi="Times New Roman" w:eastAsia="宋体" w:cs="Times New Roman"/>
                <w:b w:val="0"/>
                <w:bCs/>
                <w:color w:val="auto"/>
                <w:sz w:val="24"/>
                <w:szCs w:val="24"/>
                <w:highlight w:val="none"/>
                <w:lang w:val="en-US" w:eastAsia="zh-CN"/>
              </w:rPr>
            </w:pPr>
            <w:r>
              <w:rPr>
                <w:rFonts w:hint="eastAsia"/>
                <w:color w:val="auto"/>
                <w:highlight w:val="none"/>
                <w:lang w:val="en-US" w:eastAsia="zh-CN"/>
              </w:rPr>
              <w:t xml:space="preserve"> </w:t>
            </w:r>
            <w:r>
              <w:rPr>
                <w:rFonts w:hint="eastAsia" w:ascii="Times New Roman" w:hAnsi="Times New Roman" w:eastAsia="宋体" w:cs="宋体"/>
                <w:bCs/>
                <w:color w:val="auto"/>
                <w:kern w:val="2"/>
                <w:sz w:val="24"/>
                <w:szCs w:val="24"/>
                <w:highlight w:val="none"/>
                <w:lang w:val="en-US" w:eastAsia="zh-CN" w:bidi="ar"/>
              </w:rPr>
              <w:t xml:space="preserve">   </w:t>
            </w:r>
            <w:r>
              <w:rPr>
                <w:rFonts w:hint="default" w:ascii="Times New Roman" w:hAnsi="Times New Roman" w:eastAsia="宋体" w:cs="Times New Roman"/>
                <w:color w:val="auto"/>
                <w:sz w:val="24"/>
                <w:szCs w:val="24"/>
                <w:highlight w:val="none"/>
              </w:rPr>
              <w:t>参照《排放源统计调查产排污核算方法和系数手册》</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公告 2021 年第 24 号</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中 33-37、431-434 机械行业系数手册中的06 预处理中的末端治理技术，对于 CODcr、总磷的混凝沉淀（化学混凝法）去除率分别为 40%、85%，根据《现代水处理技术》（冯敏主编 化学工业出版社）中化学一级强化处理，絮凝剂使用对BOD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去除效率达 50%以上。混凝沉淀对 SS 去除率可达到85%以上</w:t>
            </w:r>
            <w:r>
              <w:rPr>
                <w:rFonts w:hint="eastAsia" w:ascii="Times New Roman" w:hAnsi="Times New Roman" w:eastAsia="宋体" w:cs="Times New Roman"/>
                <w:color w:val="auto"/>
                <w:sz w:val="24"/>
                <w:szCs w:val="24"/>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color w:val="auto"/>
                <w:sz w:val="24"/>
                <w:szCs w:val="24"/>
                <w:highlight w:val="none"/>
                <w:lang w:val="en-US" w:eastAsia="zh-CN"/>
              </w:rPr>
            </w:pPr>
            <w:r>
              <w:rPr>
                <w:rFonts w:hint="eastAsia" w:ascii="Times New Roman" w:hAnsi="Times New Roman" w:eastAsia="宋体" w:cs="Times New Roman"/>
                <w:b/>
                <w:bCs w:val="0"/>
                <w:color w:val="auto"/>
                <w:sz w:val="24"/>
                <w:szCs w:val="24"/>
                <w:highlight w:val="none"/>
                <w:lang w:val="en-US" w:eastAsia="zh-CN"/>
              </w:rPr>
              <w:t>表4-1</w:t>
            </w:r>
            <w:r>
              <w:rPr>
                <w:rFonts w:hint="eastAsia" w:cs="Times New Roman"/>
                <w:b/>
                <w:bCs w:val="0"/>
                <w:color w:val="auto"/>
                <w:sz w:val="24"/>
                <w:szCs w:val="24"/>
                <w:highlight w:val="none"/>
                <w:lang w:val="en-US" w:eastAsia="zh-CN"/>
              </w:rPr>
              <w:t>2</w:t>
            </w:r>
            <w:r>
              <w:rPr>
                <w:rFonts w:hint="eastAsia" w:ascii="Times New Roman" w:hAnsi="Times New Roman" w:eastAsia="宋体" w:cs="Times New Roman"/>
                <w:b/>
                <w:bCs w:val="0"/>
                <w:color w:val="auto"/>
                <w:sz w:val="24"/>
                <w:szCs w:val="24"/>
                <w:highlight w:val="none"/>
                <w:lang w:val="en-US" w:eastAsia="zh-CN"/>
              </w:rPr>
              <w:t xml:space="preserve">  项目</w:t>
            </w:r>
            <w:r>
              <w:rPr>
                <w:rFonts w:hint="eastAsia" w:cs="Times New Roman"/>
                <w:b/>
                <w:bCs w:val="0"/>
                <w:color w:val="auto"/>
                <w:sz w:val="24"/>
                <w:szCs w:val="24"/>
                <w:highlight w:val="none"/>
                <w:lang w:val="en-US" w:eastAsia="zh-CN"/>
              </w:rPr>
              <w:t>退火</w:t>
            </w:r>
            <w:r>
              <w:rPr>
                <w:rFonts w:hint="eastAsia" w:ascii="Times New Roman" w:hAnsi="Times New Roman" w:eastAsia="宋体" w:cs="Times New Roman"/>
                <w:b/>
                <w:bCs w:val="0"/>
                <w:color w:val="auto"/>
                <w:sz w:val="24"/>
                <w:szCs w:val="24"/>
                <w:highlight w:val="none"/>
                <w:lang w:val="en-US" w:eastAsia="zh-CN"/>
              </w:rPr>
              <w:t>直接冷却水处理前后水质情况表</w:t>
            </w:r>
          </w:p>
          <w:tbl>
            <w:tblPr>
              <w:tblStyle w:val="3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930"/>
              <w:gridCol w:w="1121"/>
              <w:gridCol w:w="1062"/>
              <w:gridCol w:w="1063"/>
              <w:gridCol w:w="895"/>
              <w:gridCol w:w="902"/>
              <w:gridCol w:w="948"/>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产排污环节</w:t>
                  </w:r>
                </w:p>
              </w:tc>
              <w:tc>
                <w:tcPr>
                  <w:tcW w:w="56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污染物种类</w:t>
                  </w:r>
                </w:p>
              </w:tc>
              <w:tc>
                <w:tcPr>
                  <w:tcW w:w="1324"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进水及出水情况</w:t>
                  </w:r>
                </w:p>
              </w:tc>
              <w:tc>
                <w:tcPr>
                  <w:tcW w:w="64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标准限值（mg/L）</w:t>
                  </w:r>
                </w:p>
              </w:tc>
              <w:tc>
                <w:tcPr>
                  <w:tcW w:w="1665" w:type="pct"/>
                  <w:gridSpan w:val="3"/>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治理措施</w:t>
                  </w:r>
                </w:p>
              </w:tc>
              <w:tc>
                <w:tcPr>
                  <w:tcW w:w="38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p>
              </w:tc>
              <w:tc>
                <w:tcPr>
                  <w:tcW w:w="56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进水浓度（mg/L）</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出水浓度（mg/L）</w:t>
                  </w:r>
                </w:p>
              </w:tc>
              <w:tc>
                <w:tcPr>
                  <w:tcW w:w="64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p>
              </w:tc>
              <w:tc>
                <w:tcPr>
                  <w:tcW w:w="5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工艺</w:t>
                  </w: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去除效率（%）</w:t>
                  </w:r>
                </w:p>
              </w:tc>
              <w:tc>
                <w:tcPr>
                  <w:tcW w:w="5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是否可行性技术</w:t>
                  </w: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pH</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7.56</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7.56</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6.5-8.5</w:t>
                  </w:r>
                </w:p>
              </w:tc>
              <w:tc>
                <w:tcPr>
                  <w:tcW w:w="543"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Times New Roman" w:hAnsi="Times New Roman" w:eastAsia="宋体" w:cs="Times New Roman"/>
                      <w:b/>
                      <w:bCs w:val="0"/>
                      <w:color w:val="auto"/>
                      <w:sz w:val="21"/>
                      <w:szCs w:val="21"/>
                      <w:highlight w:val="none"/>
                      <w:vertAlign w:val="baseline"/>
                      <w:lang w:val="en-US" w:eastAsia="zh-CN"/>
                    </w:rPr>
                  </w:pPr>
                  <w:r>
                    <w:rPr>
                      <w:rFonts w:hint="default"/>
                      <w:color w:val="auto"/>
                      <w:kern w:val="2"/>
                      <w:sz w:val="21"/>
                      <w:szCs w:val="21"/>
                      <w:highlight w:val="none"/>
                    </w:rPr>
                    <w:t>调节池+混凝反应池+沉淀池+过滤池+清水池</w:t>
                  </w: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w:t>
                  </w:r>
                </w:p>
              </w:tc>
              <w:tc>
                <w:tcPr>
                  <w:tcW w:w="57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是</w:t>
                  </w:r>
                </w:p>
              </w:tc>
              <w:tc>
                <w:tcPr>
                  <w:tcW w:w="38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不外排，循环回用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COD</w:t>
                  </w:r>
                  <w:r>
                    <w:rPr>
                      <w:rFonts w:hint="eastAsia" w:ascii="Times New Roman" w:hAnsi="Times New Roman" w:eastAsia="宋体" w:cs="Times New Roman"/>
                      <w:b w:val="0"/>
                      <w:bCs/>
                      <w:color w:val="auto"/>
                      <w:sz w:val="21"/>
                      <w:szCs w:val="21"/>
                      <w:highlight w:val="none"/>
                      <w:vertAlign w:val="subscript"/>
                      <w:lang w:val="en-US" w:eastAsia="zh-CN"/>
                    </w:rPr>
                    <w:t>Cr</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37</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22.2</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r>
                    <w:rPr>
                      <w:rFonts w:hint="eastAsia" w:ascii="Times New Roman" w:hAnsi="Times New Roman" w:eastAsia="宋体" w:cs="Times New Roman"/>
                      <w:b w:val="0"/>
                      <w:bCs/>
                      <w:color w:val="auto"/>
                      <w:sz w:val="21"/>
                      <w:szCs w:val="21"/>
                      <w:highlight w:val="none"/>
                      <w:vertAlign w:val="baseline"/>
                      <w:lang w:val="en-US" w:eastAsia="zh-CN"/>
                    </w:rPr>
                    <w:t>60</w:t>
                  </w:r>
                </w:p>
              </w:tc>
              <w:tc>
                <w:tcPr>
                  <w:tcW w:w="54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40</w:t>
                  </w:r>
                </w:p>
              </w:tc>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BOD</w:t>
                  </w:r>
                  <w:r>
                    <w:rPr>
                      <w:rFonts w:hint="eastAsia" w:ascii="Times New Roman" w:hAnsi="Times New Roman" w:eastAsia="宋体" w:cs="Times New Roman"/>
                      <w:b w:val="0"/>
                      <w:bCs/>
                      <w:color w:val="auto"/>
                      <w:sz w:val="21"/>
                      <w:szCs w:val="21"/>
                      <w:highlight w:val="none"/>
                      <w:vertAlign w:val="subscript"/>
                      <w:lang w:val="en-US" w:eastAsia="zh-CN"/>
                    </w:rPr>
                    <w:t>5</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14.13</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7.065</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r>
                    <w:rPr>
                      <w:rFonts w:hint="eastAsia" w:ascii="Times New Roman" w:hAnsi="Times New Roman" w:eastAsia="宋体" w:cs="Times New Roman"/>
                      <w:b w:val="0"/>
                      <w:bCs/>
                      <w:color w:val="auto"/>
                      <w:sz w:val="21"/>
                      <w:szCs w:val="21"/>
                      <w:highlight w:val="none"/>
                      <w:vertAlign w:val="baseline"/>
                      <w:lang w:val="en-US" w:eastAsia="zh-CN"/>
                    </w:rPr>
                    <w:t>10</w:t>
                  </w:r>
                </w:p>
              </w:tc>
              <w:tc>
                <w:tcPr>
                  <w:tcW w:w="54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50</w:t>
                  </w:r>
                </w:p>
              </w:tc>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SS</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49.38</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7.407</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r>
                    <w:rPr>
                      <w:rFonts w:hint="eastAsia" w:ascii="Times New Roman" w:hAnsi="Times New Roman" w:eastAsia="宋体" w:cs="Times New Roman"/>
                      <w:b w:val="0"/>
                      <w:bCs/>
                      <w:color w:val="auto"/>
                      <w:sz w:val="21"/>
                      <w:szCs w:val="21"/>
                      <w:highlight w:val="none"/>
                      <w:vertAlign w:val="baseline"/>
                      <w:lang w:val="en-US" w:eastAsia="zh-CN"/>
                    </w:rPr>
                    <w:t>30</w:t>
                  </w:r>
                </w:p>
              </w:tc>
              <w:tc>
                <w:tcPr>
                  <w:tcW w:w="54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85</w:t>
                  </w:r>
                </w:p>
              </w:tc>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NH</w:t>
                  </w:r>
                  <w:r>
                    <w:rPr>
                      <w:rFonts w:hint="eastAsia" w:ascii="Times New Roman" w:hAnsi="Times New Roman" w:eastAsia="宋体" w:cs="Times New Roman"/>
                      <w:b w:val="0"/>
                      <w:bCs/>
                      <w:color w:val="auto"/>
                      <w:sz w:val="21"/>
                      <w:szCs w:val="21"/>
                      <w:highlight w:val="none"/>
                      <w:vertAlign w:val="subscript"/>
                      <w:lang w:val="en-US" w:eastAsia="zh-CN"/>
                    </w:rPr>
                    <w:t>3</w:t>
                  </w:r>
                  <w:r>
                    <w:rPr>
                      <w:rFonts w:hint="eastAsia" w:ascii="Times New Roman" w:hAnsi="Times New Roman" w:eastAsia="宋体" w:cs="Times New Roman"/>
                      <w:b w:val="0"/>
                      <w:bCs/>
                      <w:color w:val="auto"/>
                      <w:sz w:val="21"/>
                      <w:szCs w:val="21"/>
                      <w:highlight w:val="none"/>
                      <w:vertAlign w:val="baseline"/>
                      <w:lang w:val="en-US" w:eastAsia="zh-CN"/>
                    </w:rPr>
                    <w:t>-N</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2.66</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2.66</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r>
                    <w:rPr>
                      <w:rFonts w:hint="eastAsia" w:ascii="Times New Roman" w:hAnsi="Times New Roman" w:eastAsia="宋体" w:cs="Times New Roman"/>
                      <w:b w:val="0"/>
                      <w:bCs/>
                      <w:color w:val="auto"/>
                      <w:sz w:val="21"/>
                      <w:szCs w:val="21"/>
                      <w:highlight w:val="none"/>
                      <w:vertAlign w:val="baseline"/>
                      <w:lang w:val="en-US" w:eastAsia="zh-CN"/>
                    </w:rPr>
                    <w:t>10</w:t>
                  </w:r>
                </w:p>
              </w:tc>
              <w:tc>
                <w:tcPr>
                  <w:tcW w:w="54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w:t>
                  </w:r>
                </w:p>
              </w:tc>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ascii="Times New Roman" w:hAnsi="Times New Roman" w:eastAsia="宋体" w:cs="Times New Roman"/>
                      <w:b w:val="0"/>
                      <w:bCs/>
                      <w:color w:val="auto"/>
                      <w:sz w:val="21"/>
                      <w:szCs w:val="21"/>
                      <w:highlight w:val="none"/>
                      <w:vertAlign w:val="baseline"/>
                      <w:lang w:val="en-US" w:eastAsia="zh-CN"/>
                    </w:rPr>
                    <w:t>TP</w:t>
                  </w:r>
                </w:p>
              </w:tc>
              <w:tc>
                <w:tcPr>
                  <w:tcW w:w="6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0.35</w:t>
                  </w:r>
                </w:p>
              </w:tc>
              <w:tc>
                <w:tcPr>
                  <w:tcW w:w="6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0.053</w:t>
                  </w:r>
                </w:p>
              </w:tc>
              <w:tc>
                <w:tcPr>
                  <w:tcW w:w="64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w:t>
                  </w:r>
                  <w:r>
                    <w:rPr>
                      <w:rFonts w:hint="eastAsia" w:ascii="Times New Roman" w:hAnsi="Times New Roman" w:eastAsia="宋体" w:cs="Times New Roman"/>
                      <w:b w:val="0"/>
                      <w:bCs/>
                      <w:color w:val="auto"/>
                      <w:sz w:val="21"/>
                      <w:szCs w:val="21"/>
                      <w:highlight w:val="none"/>
                      <w:vertAlign w:val="baseline"/>
                      <w:lang w:val="en-US" w:eastAsia="zh-CN"/>
                    </w:rPr>
                    <w:t>1</w:t>
                  </w:r>
                </w:p>
              </w:tc>
              <w:tc>
                <w:tcPr>
                  <w:tcW w:w="54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54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85</w:t>
                  </w:r>
                </w:p>
              </w:tc>
              <w:tc>
                <w:tcPr>
                  <w:tcW w:w="575"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c>
                <w:tcPr>
                  <w:tcW w:w="38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p>
              </w:tc>
            </w:tr>
          </w:tbl>
          <w:p>
            <w:pPr>
              <w:keepNext w:val="0"/>
              <w:keepLines w:val="0"/>
              <w:suppressLineNumbers w:val="0"/>
              <w:adjustRightInd w:val="0"/>
              <w:snapToGrid w:val="0"/>
              <w:spacing w:before="0" w:beforeAutospacing="0" w:after="0" w:afterAutospacing="0" w:line="360" w:lineRule="auto"/>
              <w:ind w:left="0" w:right="0" w:firstLine="480"/>
              <w:jc w:val="both"/>
              <w:rPr>
                <w:rFonts w:hint="default"/>
                <w:color w:val="auto"/>
                <w:highlight w:val="none"/>
              </w:rPr>
            </w:pPr>
            <w:r>
              <w:rPr>
                <w:rFonts w:hint="eastAsia"/>
                <w:color w:val="auto"/>
                <w:kern w:val="2"/>
                <w:sz w:val="24"/>
                <w:szCs w:val="24"/>
                <w:highlight w:val="none"/>
                <w:lang w:val="en-US" w:eastAsia="zh-CN"/>
              </w:rPr>
              <w:t>由上表可知，</w:t>
            </w:r>
            <w:r>
              <w:rPr>
                <w:rFonts w:hint="default"/>
                <w:color w:val="auto"/>
                <w:kern w:val="2"/>
                <w:sz w:val="24"/>
                <w:szCs w:val="24"/>
                <w:highlight w:val="none"/>
              </w:rPr>
              <w:t>项目废水处理设施采取“调节池+混凝反应池+沉淀池+过滤池+清水池”处理工艺，</w:t>
            </w:r>
            <w:r>
              <w:rPr>
                <w:rFonts w:hint="default" w:ascii="Times New Roman" w:hAnsi="Times New Roman" w:eastAsia="宋体" w:cs="Times New Roman"/>
                <w:b w:val="0"/>
                <w:bCs/>
                <w:color w:val="auto"/>
                <w:sz w:val="24"/>
                <w:szCs w:val="24"/>
                <w:highlight w:val="none"/>
                <w:lang w:val="en-US" w:eastAsia="zh-CN"/>
              </w:rPr>
              <w:t>能有效去除水中的各类污染物，出水水质</w:t>
            </w:r>
            <w:r>
              <w:rPr>
                <w:rFonts w:hint="eastAsia"/>
                <w:color w:val="auto"/>
                <w:kern w:val="2"/>
                <w:sz w:val="24"/>
                <w:szCs w:val="24"/>
                <w:highlight w:val="none"/>
              </w:rPr>
              <w:t>能</w:t>
            </w:r>
            <w:r>
              <w:rPr>
                <w:rFonts w:hint="default"/>
                <w:color w:val="auto"/>
                <w:kern w:val="2"/>
                <w:sz w:val="24"/>
                <w:szCs w:val="24"/>
                <w:highlight w:val="none"/>
              </w:rPr>
              <w:t>达到《城市污水再生利用 工业用水水质》（GB/T19923-2005）中</w:t>
            </w:r>
            <w:r>
              <w:rPr>
                <w:rFonts w:hint="eastAsia"/>
                <w:color w:val="auto"/>
                <w:kern w:val="2"/>
                <w:sz w:val="24"/>
                <w:szCs w:val="24"/>
                <w:highlight w:val="none"/>
              </w:rPr>
              <w:t>敞开式循环冷却水系统补充水标准要求，在技术上是可行的</w:t>
            </w:r>
            <w:r>
              <w:rPr>
                <w:rFonts w:hint="default"/>
                <w:color w:val="auto"/>
                <w:kern w:val="2"/>
                <w:sz w:val="24"/>
                <w:szCs w:val="24"/>
                <w:highlight w:val="none"/>
              </w:rPr>
              <w:t>。</w:t>
            </w:r>
          </w:p>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三、噪声</w:t>
            </w:r>
          </w:p>
          <w:p>
            <w:pPr>
              <w:keepNext w:val="0"/>
              <w:keepLines w:val="0"/>
              <w:widowControl/>
              <w:suppressLineNumbers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1、噪声源强</w:t>
            </w:r>
          </w:p>
          <w:p>
            <w:pPr>
              <w:pStyle w:val="49"/>
              <w:keepNext w:val="0"/>
              <w:keepLines w:val="0"/>
              <w:suppressLineNumbers w:val="0"/>
              <w:spacing w:before="0" w:beforeAutospacing="0" w:after="0" w:afterAutospacing="0" w:line="360" w:lineRule="auto"/>
              <w:ind w:right="0" w:firstLine="480"/>
              <w:jc w:val="both"/>
              <w:rPr>
                <w:rFonts w:hint="default"/>
                <w:color w:val="auto"/>
                <w:highlight w:val="none"/>
              </w:rPr>
            </w:pPr>
            <w:r>
              <w:rPr>
                <w:rFonts w:hint="default"/>
                <w:color w:val="auto"/>
                <w:kern w:val="2"/>
                <w:sz w:val="24"/>
                <w:szCs w:val="24"/>
                <w:highlight w:val="none"/>
              </w:rPr>
              <w:t>项目噪声主要是来自生产设备及辅助设备运转时产生的机械噪声。</w:t>
            </w:r>
            <w:r>
              <w:rPr>
                <w:rFonts w:hint="default" w:ascii="Times New Roman" w:hAnsi="Times New Roman" w:cs="Times New Roman"/>
                <w:color w:val="auto"/>
                <w:kern w:val="18"/>
                <w:sz w:val="24"/>
                <w:szCs w:val="24"/>
                <w:highlight w:val="none"/>
              </w:rPr>
              <w:t>根据刘惠玲主编《</w:t>
            </w:r>
            <w:r>
              <w:rPr>
                <w:rFonts w:hint="eastAsia" w:ascii="Times New Roman" w:hAnsi="Times New Roman" w:cs="Times New Roman"/>
                <w:color w:val="auto"/>
                <w:kern w:val="18"/>
                <w:sz w:val="24"/>
                <w:szCs w:val="24"/>
                <w:highlight w:val="none"/>
              </w:rPr>
              <w:t>环境噪声</w:t>
            </w:r>
            <w:r>
              <w:rPr>
                <w:rFonts w:hint="default" w:ascii="Times New Roman" w:hAnsi="Times New Roman" w:cs="Times New Roman"/>
                <w:color w:val="auto"/>
                <w:kern w:val="18"/>
                <w:sz w:val="24"/>
                <w:szCs w:val="24"/>
                <w:highlight w:val="none"/>
              </w:rPr>
              <w:t>控制》</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2002 年10月第1版</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 采用隔声间</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室</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技术措施，降噪效果可达20~ 40dB</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A</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 xml:space="preserve">减振降噪处理效果可达5~25dB </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A</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。本项目墙体隔声降噪效果取</w:t>
            </w:r>
            <w:r>
              <w:rPr>
                <w:rFonts w:hint="eastAsia" w:ascii="Times New Roman" w:hAnsi="Times New Roman" w:cs="Times New Roman"/>
                <w:color w:val="auto"/>
                <w:kern w:val="18"/>
                <w:sz w:val="24"/>
                <w:szCs w:val="24"/>
                <w:highlight w:val="none"/>
              </w:rPr>
              <w:t>2</w:t>
            </w:r>
            <w:r>
              <w:rPr>
                <w:rFonts w:hint="eastAsia" w:ascii="Times New Roman" w:hAnsi="Times New Roman" w:cs="Times New Roman"/>
                <w:color w:val="auto"/>
                <w:kern w:val="18"/>
                <w:sz w:val="24"/>
                <w:szCs w:val="24"/>
                <w:highlight w:val="none"/>
                <w:lang w:val="en-US" w:eastAsia="zh-CN"/>
              </w:rPr>
              <w:t>0</w:t>
            </w:r>
            <w:r>
              <w:rPr>
                <w:rFonts w:hint="default" w:ascii="Times New Roman" w:hAnsi="Times New Roman" w:cs="Times New Roman"/>
                <w:color w:val="auto"/>
                <w:kern w:val="18"/>
                <w:sz w:val="24"/>
                <w:szCs w:val="24"/>
                <w:highlight w:val="none"/>
              </w:rPr>
              <w:t>dB</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A</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 xml:space="preserve">，减振降噪效果取5dB </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A</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，共计降噪效果为</w:t>
            </w:r>
            <w:r>
              <w:rPr>
                <w:rFonts w:hint="eastAsia" w:ascii="Times New Roman" w:hAnsi="Times New Roman" w:cs="Times New Roman"/>
                <w:color w:val="auto"/>
                <w:kern w:val="18"/>
                <w:sz w:val="24"/>
                <w:szCs w:val="24"/>
                <w:highlight w:val="none"/>
                <w:lang w:val="en-US" w:eastAsia="zh-CN"/>
              </w:rPr>
              <w:t>25</w:t>
            </w:r>
            <w:r>
              <w:rPr>
                <w:rFonts w:hint="default" w:ascii="Times New Roman" w:hAnsi="Times New Roman" w:cs="Times New Roman"/>
                <w:color w:val="auto"/>
                <w:kern w:val="18"/>
                <w:sz w:val="24"/>
                <w:szCs w:val="24"/>
                <w:highlight w:val="none"/>
              </w:rPr>
              <w:t xml:space="preserve">dB </w:t>
            </w:r>
            <w:r>
              <w:rPr>
                <w:rFonts w:hint="eastAsia" w:ascii="Times New Roman" w:hAnsi="Times New Roman" w:cs="Times New Roman"/>
                <w:color w:val="auto"/>
                <w:kern w:val="18"/>
                <w:sz w:val="24"/>
                <w:szCs w:val="24"/>
                <w:highlight w:val="none"/>
              </w:rPr>
              <w:t>（</w:t>
            </w:r>
            <w:r>
              <w:rPr>
                <w:rFonts w:hint="default" w:ascii="Times New Roman" w:hAnsi="Times New Roman" w:cs="Times New Roman"/>
                <w:color w:val="auto"/>
                <w:kern w:val="18"/>
                <w:sz w:val="24"/>
                <w:szCs w:val="24"/>
                <w:highlight w:val="none"/>
              </w:rPr>
              <w:t>A</w:t>
            </w:r>
            <w:r>
              <w:rPr>
                <w:rFonts w:hint="eastAsia" w:ascii="Times New Roman" w:hAnsi="Times New Roman" w:cs="Times New Roman"/>
                <w:color w:val="auto"/>
                <w:kern w:val="18"/>
                <w:sz w:val="24"/>
                <w:szCs w:val="24"/>
                <w:highlight w:val="none"/>
              </w:rPr>
              <w:t>）</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highlight w:val="none"/>
              </w:rPr>
            </w:pPr>
            <w:r>
              <w:rPr>
                <w:rFonts w:hint="default"/>
                <w:b/>
                <w:bCs/>
                <w:color w:val="auto"/>
                <w:kern w:val="2"/>
                <w:sz w:val="24"/>
                <w:szCs w:val="24"/>
                <w:highlight w:val="none"/>
              </w:rPr>
              <w:t>表4-1</w:t>
            </w:r>
            <w:r>
              <w:rPr>
                <w:rFonts w:hint="eastAsia"/>
                <w:b/>
                <w:bCs/>
                <w:color w:val="auto"/>
                <w:kern w:val="2"/>
                <w:sz w:val="24"/>
                <w:szCs w:val="24"/>
                <w:highlight w:val="none"/>
                <w:lang w:val="en-US" w:eastAsia="zh-CN"/>
              </w:rPr>
              <w:t>3</w:t>
            </w:r>
            <w:r>
              <w:rPr>
                <w:rFonts w:hint="default"/>
                <w:b/>
                <w:bCs/>
                <w:color w:val="auto"/>
                <w:kern w:val="2"/>
                <w:sz w:val="24"/>
                <w:szCs w:val="24"/>
                <w:highlight w:val="none"/>
              </w:rPr>
              <w:t xml:space="preserve">  项目噪声源强</w:t>
            </w:r>
          </w:p>
          <w:tbl>
            <w:tblPr>
              <w:tblStyle w:val="3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643"/>
              <w:gridCol w:w="809"/>
              <w:gridCol w:w="1169"/>
              <w:gridCol w:w="1988"/>
              <w:gridCol w:w="626"/>
              <w:gridCol w:w="506"/>
              <w:gridCol w:w="597"/>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设备名称</w:t>
                  </w:r>
                </w:p>
              </w:tc>
              <w:tc>
                <w:tcPr>
                  <w:tcW w:w="390"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数量</w:t>
                  </w:r>
                </w:p>
              </w:tc>
              <w:tc>
                <w:tcPr>
                  <w:tcW w:w="1200" w:type="pct"/>
                  <w:gridSpan w:val="2"/>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噪声源强</w:t>
                  </w:r>
                </w:p>
              </w:tc>
              <w:tc>
                <w:tcPr>
                  <w:tcW w:w="1206"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降噪措施</w:t>
                  </w:r>
                </w:p>
              </w:tc>
              <w:tc>
                <w:tcPr>
                  <w:tcW w:w="378"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降噪效果</w:t>
                  </w:r>
                </w:p>
              </w:tc>
              <w:tc>
                <w:tcPr>
                  <w:tcW w:w="307"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室外强度</w:t>
                  </w:r>
                </w:p>
              </w:tc>
              <w:tc>
                <w:tcPr>
                  <w:tcW w:w="362"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持续时间（h）</w:t>
                  </w:r>
                </w:p>
              </w:tc>
              <w:tc>
                <w:tcPr>
                  <w:tcW w:w="642"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rPr>
                  </w:pPr>
                </w:p>
              </w:tc>
              <w:tc>
                <w:tcPr>
                  <w:tcW w:w="390"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rPr>
                  </w:pP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单机噪声值</w:t>
                  </w:r>
                </w:p>
              </w:tc>
              <w:tc>
                <w:tcPr>
                  <w:tcW w:w="708"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lang w:val="en-US" w:eastAsia="zh-CN"/>
                    </w:rPr>
                    <w:t>源强叠加值</w:t>
                  </w: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362"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642"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color w:val="auto"/>
                      <w:kern w:val="2"/>
                      <w:sz w:val="21"/>
                      <w:highlight w:val="none"/>
                    </w:rPr>
                    <w:t>小拉机</w:t>
                  </w:r>
                </w:p>
              </w:tc>
              <w:tc>
                <w:tcPr>
                  <w:tcW w:w="390" w:type="pct"/>
                  <w:noWrap w:val="0"/>
                  <w:tcMar>
                    <w:top w:w="0" w:type="dxa"/>
                    <w:left w:w="0" w:type="dxa"/>
                    <w:bottom w:w="0" w:type="dxa"/>
                    <w:right w:w="0" w:type="dxa"/>
                  </w:tcMar>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sz w:val="21"/>
                      <w:szCs w:val="21"/>
                      <w:highlight w:val="none"/>
                      <w:lang w:val="en-US" w:eastAsia="zh-CN"/>
                    </w:rPr>
                    <w:t>60台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65</w:t>
                  </w:r>
                </w:p>
              </w:tc>
              <w:tc>
                <w:tcPr>
                  <w:tcW w:w="708"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85.</w:t>
                  </w:r>
                  <w:r>
                    <w:rPr>
                      <w:rFonts w:hint="eastAsia" w:cs="Times New Roman"/>
                      <w:color w:val="auto"/>
                      <w:sz w:val="21"/>
                      <w:szCs w:val="21"/>
                      <w:highlight w:val="none"/>
                      <w:lang w:val="en-US" w:eastAsia="zh-CN"/>
                    </w:rPr>
                    <w:t>93</w:t>
                  </w:r>
                </w:p>
              </w:tc>
              <w:tc>
                <w:tcPr>
                  <w:tcW w:w="1206"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采用低噪声设备、合理布局、</w:t>
                  </w:r>
                  <w:r>
                    <w:rPr>
                      <w:rFonts w:hint="eastAsia" w:cs="Times New Roman"/>
                      <w:color w:val="auto"/>
                      <w:sz w:val="21"/>
                      <w:szCs w:val="21"/>
                      <w:highlight w:val="none"/>
                      <w:vertAlign w:val="baseline"/>
                      <w:lang w:val="en-US" w:eastAsia="zh-CN"/>
                    </w:rPr>
                    <w:t>墙体</w:t>
                  </w:r>
                  <w:r>
                    <w:rPr>
                      <w:rFonts w:hint="default"/>
                      <w:color w:val="auto"/>
                      <w:sz w:val="21"/>
                      <w:highlight w:val="none"/>
                    </w:rPr>
                    <w:t>隔声</w:t>
                  </w:r>
                  <w:r>
                    <w:rPr>
                      <w:rFonts w:hint="eastAsia"/>
                      <w:color w:val="auto"/>
                      <w:sz w:val="21"/>
                      <w:highlight w:val="none"/>
                      <w:lang w:eastAsia="zh-CN"/>
                    </w:rPr>
                    <w:t>、</w:t>
                  </w:r>
                  <w:r>
                    <w:rPr>
                      <w:rFonts w:hint="eastAsia"/>
                      <w:color w:val="auto"/>
                      <w:sz w:val="21"/>
                      <w:highlight w:val="none"/>
                      <w:lang w:val="en-US" w:eastAsia="zh-CN"/>
                    </w:rPr>
                    <w:t>设备风机隔声</w:t>
                  </w:r>
                  <w:r>
                    <w:rPr>
                      <w:rFonts w:hint="default"/>
                      <w:color w:val="auto"/>
                      <w:sz w:val="21"/>
                      <w:highlight w:val="none"/>
                    </w:rPr>
                    <w:t>、减振</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vertAlign w:val="baseline"/>
                      <w:lang w:val="en-US" w:eastAsia="zh-CN"/>
                    </w:rPr>
                    <w:t>距离衰减等综合治理措施</w:t>
                  </w:r>
                </w:p>
              </w:tc>
              <w:tc>
                <w:tcPr>
                  <w:tcW w:w="378"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25</w:t>
                  </w:r>
                </w:p>
              </w:tc>
              <w:tc>
                <w:tcPr>
                  <w:tcW w:w="307" w:type="pct"/>
                  <w:vMerge w:val="restar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60.</w:t>
                  </w:r>
                  <w:r>
                    <w:rPr>
                      <w:rFonts w:hint="eastAsia" w:cs="Times New Roman"/>
                      <w:color w:val="auto"/>
                      <w:sz w:val="21"/>
                      <w:szCs w:val="21"/>
                      <w:highlight w:val="none"/>
                      <w:vertAlign w:val="baseline"/>
                      <w:lang w:val="en-US" w:eastAsia="zh-CN"/>
                    </w:rPr>
                    <w:t>93</w:t>
                  </w: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suppressLineNumbers w:val="0"/>
                    <w:spacing w:before="0" w:beforeAutospacing="0" w:after="0" w:afterAutospacing="0"/>
                    <w:ind w:left="0" w:leftChars="0" w:right="0" w:firstLine="0" w:firstLineChars="0"/>
                    <w:jc w:val="both"/>
                    <w:rPr>
                      <w:rFonts w:hint="default" w:ascii="Times New Roman" w:hAnsi="Times New Roman" w:eastAsia="宋体" w:cs="Times New Roman"/>
                      <w:color w:val="auto"/>
                      <w:sz w:val="21"/>
                      <w:szCs w:val="21"/>
                      <w:highlight w:val="none"/>
                      <w:vertAlign w:val="baseline"/>
                      <w:lang w:val="en-US" w:eastAsia="zh-CN"/>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中拉机</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4</w:t>
                  </w:r>
                  <w:r>
                    <w:rPr>
                      <w:rFonts w:hint="eastAsia" w:ascii="Times New Roman" w:hAnsi="Times New Roman" w:eastAsia="宋体" w:cs="Times New Roman"/>
                      <w:color w:val="auto"/>
                      <w:kern w:val="2"/>
                      <w:sz w:val="21"/>
                      <w:highlight w:val="none"/>
                      <w:lang w:val="en-US" w:eastAsia="zh-CN"/>
                    </w:rPr>
                    <w:t>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70</w:t>
                  </w:r>
                </w:p>
              </w:tc>
              <w:tc>
                <w:tcPr>
                  <w:tcW w:w="70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suppressLineNumbers w:val="0"/>
                    <w:spacing w:before="0" w:beforeAutospacing="0" w:after="0" w:afterAutospacing="0"/>
                    <w:ind w:left="0" w:leftChars="0" w:right="0" w:firstLine="0" w:firstLineChars="0"/>
                    <w:jc w:val="both"/>
                    <w:rPr>
                      <w:rFonts w:hint="default" w:ascii="Times New Roman" w:hAnsi="Times New Roman" w:eastAsia="宋体" w:cs="Times New Roman"/>
                      <w:color w:val="auto"/>
                      <w:kern w:val="0"/>
                      <w:sz w:val="21"/>
                      <w:szCs w:val="21"/>
                      <w:highlight w:val="none"/>
                      <w:lang w:val="en-US" w:eastAsia="zh-CN" w:bidi="ar"/>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大拉机</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1</w:t>
                  </w:r>
                  <w:r>
                    <w:rPr>
                      <w:rFonts w:hint="eastAsia" w:ascii="Times New Roman" w:hAnsi="Times New Roman" w:eastAsia="宋体" w:cs="Times New Roman"/>
                      <w:color w:val="auto"/>
                      <w:kern w:val="2"/>
                      <w:sz w:val="21"/>
                      <w:highlight w:val="none"/>
                      <w:lang w:val="en-US" w:eastAsia="zh-CN"/>
                    </w:rPr>
                    <w:t>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75</w:t>
                  </w:r>
                </w:p>
              </w:tc>
              <w:tc>
                <w:tcPr>
                  <w:tcW w:w="70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both"/>
                    <w:textAlignment w:val="auto"/>
                    <w:rPr>
                      <w:rFonts w:hint="default" w:ascii="Times New Roman" w:hAnsi="Times New Roman" w:eastAsia="宋体" w:cs="Times New Roman"/>
                      <w:color w:val="auto"/>
                      <w:kern w:val="0"/>
                      <w:sz w:val="21"/>
                      <w:szCs w:val="21"/>
                      <w:highlight w:val="none"/>
                      <w:lang w:bidi="ar"/>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退火机</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4台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65</w:t>
                  </w:r>
                </w:p>
              </w:tc>
              <w:tc>
                <w:tcPr>
                  <w:tcW w:w="70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both"/>
                    <w:textAlignment w:val="auto"/>
                    <w:rPr>
                      <w:rFonts w:hint="default" w:ascii="Times New Roman" w:hAnsi="Times New Roman" w:eastAsia="宋体" w:cs="Times New Roman"/>
                      <w:color w:val="auto"/>
                      <w:kern w:val="0"/>
                      <w:sz w:val="21"/>
                      <w:szCs w:val="21"/>
                      <w:highlight w:val="none"/>
                      <w:lang w:bidi="ar"/>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锡炉</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2台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w:t>
                  </w:r>
                </w:p>
              </w:tc>
              <w:tc>
                <w:tcPr>
                  <w:tcW w:w="70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color w:val="auto"/>
                      <w:kern w:val="2"/>
                      <w:sz w:val="21"/>
                      <w:highlight w:val="none"/>
                    </w:rPr>
                    <w:t>A12栋1楼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废气处理设施风机</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1台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70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1206"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78"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p>
              </w:tc>
              <w:tc>
                <w:tcPr>
                  <w:tcW w:w="307" w:type="pct"/>
                  <w:vMerge w:val="continue"/>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rPr>
                    <w:t>22</w:t>
                  </w:r>
                </w:p>
              </w:tc>
              <w:tc>
                <w:tcPr>
                  <w:tcW w:w="642" w:type="pct"/>
                  <w:noWrap w:val="0"/>
                  <w:tcMar>
                    <w:top w:w="0" w:type="dxa"/>
                    <w:left w:w="0" w:type="dxa"/>
                    <w:bottom w:w="0" w:type="dxa"/>
                    <w:right w:w="0" w:type="dxa"/>
                  </w:tcMar>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A12栋楼顶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2"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eastAsia"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rPr>
                    <w:t>冷却塔</w:t>
                  </w:r>
                </w:p>
              </w:tc>
              <w:tc>
                <w:tcPr>
                  <w:tcW w:w="390" w:type="pct"/>
                  <w:noWrap w:val="0"/>
                  <w:tcMar>
                    <w:top w:w="0" w:type="dxa"/>
                    <w:left w:w="0" w:type="dxa"/>
                    <w:bottom w:w="0" w:type="dxa"/>
                    <w:right w:w="0" w:type="dxa"/>
                  </w:tcMar>
                  <w:vAlign w:val="center"/>
                </w:tcPr>
                <w:p>
                  <w:pPr>
                    <w:keepNext w:val="0"/>
                    <w:keepLines w:val="0"/>
                    <w:widowControl w:val="0"/>
                    <w:suppressLineNumbers w:val="0"/>
                    <w:adjustRightInd w:val="0"/>
                    <w:snapToGrid w:val="0"/>
                    <w:spacing w:before="0" w:beforeAutospacing="0" w:after="0" w:afterAutospacing="0"/>
                    <w:ind w:left="0" w:leftChars="0" w:right="0" w:firstLine="0" w:firstLineChars="0"/>
                    <w:jc w:val="center"/>
                    <w:rPr>
                      <w:rFonts w:hint="default" w:ascii="Times New Roman" w:hAnsi="Times New Roman" w:eastAsia="宋体" w:cs="Times New Roman"/>
                      <w:color w:val="auto"/>
                      <w:kern w:val="2"/>
                      <w:sz w:val="21"/>
                      <w:highlight w:val="none"/>
                      <w:lang w:val="en-US" w:eastAsia="zh-CN"/>
                    </w:rPr>
                  </w:pPr>
                  <w:r>
                    <w:rPr>
                      <w:rFonts w:hint="eastAsia" w:ascii="Times New Roman" w:hAnsi="Times New Roman" w:eastAsia="宋体" w:cs="Times New Roman"/>
                      <w:color w:val="auto"/>
                      <w:kern w:val="2"/>
                      <w:sz w:val="21"/>
                      <w:highlight w:val="none"/>
                      <w:lang w:val="en-US" w:eastAsia="zh-CN"/>
                    </w:rPr>
                    <w:t>2台</w:t>
                  </w:r>
                </w:p>
              </w:tc>
              <w:tc>
                <w:tcPr>
                  <w:tcW w:w="491"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w:t>
                  </w:r>
                </w:p>
              </w:tc>
              <w:tc>
                <w:tcPr>
                  <w:tcW w:w="708"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78.01</w:t>
                  </w:r>
                </w:p>
              </w:tc>
              <w:tc>
                <w:tcPr>
                  <w:tcW w:w="1206"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25m高空距离衰减</w:t>
                  </w:r>
                </w:p>
              </w:tc>
              <w:tc>
                <w:tcPr>
                  <w:tcW w:w="378"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c>
                <w:tcPr>
                  <w:tcW w:w="307"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53.01</w:t>
                  </w: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highlight w:val="none"/>
                      <w:lang w:val="en-US" w:eastAsia="zh-CN"/>
                    </w:rPr>
                  </w:pPr>
                  <w:r>
                    <w:rPr>
                      <w:rFonts w:hint="eastAsia" w:cs="Times New Roman"/>
                      <w:color w:val="auto"/>
                      <w:kern w:val="2"/>
                      <w:sz w:val="21"/>
                      <w:highlight w:val="none"/>
                      <w:lang w:val="en-US" w:eastAsia="zh-CN"/>
                    </w:rPr>
                    <w:t>22</w:t>
                  </w:r>
                </w:p>
              </w:tc>
              <w:tc>
                <w:tcPr>
                  <w:tcW w:w="642" w:type="pct"/>
                  <w:noWrap w:val="0"/>
                  <w:tcMar>
                    <w:top w:w="0" w:type="dxa"/>
                    <w:left w:w="0" w:type="dxa"/>
                    <w:bottom w:w="0" w:type="dxa"/>
                    <w:right w:w="0" w:type="dxa"/>
                  </w:tcMar>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kern w:val="2"/>
                      <w:sz w:val="21"/>
                      <w:szCs w:val="24"/>
                      <w:highlight w:val="none"/>
                    </w:rPr>
                    <w:t>A12栋</w:t>
                  </w:r>
                  <w:r>
                    <w:rPr>
                      <w:rFonts w:hint="eastAsia"/>
                      <w:color w:val="auto"/>
                      <w:kern w:val="2"/>
                      <w:sz w:val="21"/>
                      <w:szCs w:val="24"/>
                      <w:highlight w:val="none"/>
                      <w:lang w:val="en-US" w:eastAsia="zh-CN"/>
                    </w:rPr>
                    <w:t>楼顶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87" w:type="pct"/>
                  <w:gridSpan w:val="6"/>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b/>
                      <w:bCs/>
                      <w:color w:val="auto"/>
                      <w:kern w:val="2"/>
                      <w:sz w:val="21"/>
                      <w:highlight w:val="none"/>
                      <w:lang w:val="en-US" w:eastAsia="zh-CN"/>
                    </w:rPr>
                    <w:t>叠加</w:t>
                  </w:r>
                </w:p>
              </w:tc>
              <w:tc>
                <w:tcPr>
                  <w:tcW w:w="307" w:type="pct"/>
                  <w:noWrap w:val="0"/>
                  <w:tcMar>
                    <w:top w:w="0" w:type="dxa"/>
                    <w:left w:w="0" w:type="dxa"/>
                    <w:bottom w:w="0" w:type="dxa"/>
                    <w:right w:w="0" w:type="dxa"/>
                  </w:tcMar>
                  <w:vAlign w:val="center"/>
                </w:tcPr>
                <w:p>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61.58</w:t>
                  </w:r>
                </w:p>
              </w:tc>
              <w:tc>
                <w:tcPr>
                  <w:tcW w:w="362" w:type="pct"/>
                  <w:noWrap w:val="0"/>
                  <w:tcMar>
                    <w:top w:w="0" w:type="dxa"/>
                    <w:left w:w="0" w:type="dxa"/>
                    <w:bottom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cs="Times New Roman"/>
                      <w:color w:val="auto"/>
                      <w:kern w:val="2"/>
                      <w:sz w:val="21"/>
                      <w:highlight w:val="none"/>
                      <w:lang w:val="en-US" w:eastAsia="zh-CN"/>
                    </w:rPr>
                  </w:pPr>
                  <w:r>
                    <w:rPr>
                      <w:rFonts w:hint="eastAsia" w:cs="Times New Roman"/>
                      <w:color w:val="auto"/>
                      <w:kern w:val="2"/>
                      <w:sz w:val="21"/>
                      <w:highlight w:val="none"/>
                      <w:lang w:val="en-US" w:eastAsia="zh-CN"/>
                    </w:rPr>
                    <w:t>/</w:t>
                  </w:r>
                </w:p>
              </w:tc>
              <w:tc>
                <w:tcPr>
                  <w:tcW w:w="642" w:type="pct"/>
                  <w:noWrap w:val="0"/>
                  <w:tcMar>
                    <w:top w:w="0" w:type="dxa"/>
                    <w:left w:w="0" w:type="dxa"/>
                    <w:bottom w:w="0" w:type="dxa"/>
                    <w:right w:w="0" w:type="dxa"/>
                  </w:tcMar>
                  <w:vAlign w:val="center"/>
                </w:tcPr>
                <w:p>
                  <w:pPr>
                    <w:keepNext w:val="0"/>
                    <w:keepLines w:val="0"/>
                    <w:suppressLineNumbers w:val="0"/>
                    <w:tabs>
                      <w:tab w:val="left" w:pos="1088"/>
                    </w:tabs>
                    <w:spacing w:before="0" w:beforeAutospacing="0" w:after="0" w:afterAutospacing="0" w:line="240" w:lineRule="auto"/>
                    <w:ind w:left="0" w:leftChars="0" w:right="0" w:rightChars="0" w:firstLine="0" w:firstLineChars="0"/>
                    <w:jc w:val="center"/>
                    <w:rPr>
                      <w:rFonts w:hint="eastAsia" w:eastAsia="宋体"/>
                      <w:color w:val="auto"/>
                      <w:kern w:val="2"/>
                      <w:sz w:val="21"/>
                      <w:szCs w:val="24"/>
                      <w:highlight w:val="none"/>
                      <w:lang w:val="en-US" w:eastAsia="zh-CN"/>
                    </w:rPr>
                  </w:pPr>
                  <w:r>
                    <w:rPr>
                      <w:rFonts w:hint="eastAsia"/>
                      <w:color w:val="auto"/>
                      <w:kern w:val="2"/>
                      <w:sz w:val="21"/>
                      <w:szCs w:val="24"/>
                      <w:highlight w:val="none"/>
                      <w:lang w:val="en-US" w:eastAsia="zh-CN"/>
                    </w:rPr>
                    <w:t>/</w:t>
                  </w:r>
                </w:p>
              </w:tc>
            </w:tr>
          </w:tbl>
          <w:p>
            <w:pPr>
              <w:keepNext w:val="0"/>
              <w:keepLines w:val="0"/>
              <w:suppressLineNumbers w:val="0"/>
              <w:autoSpaceDE w:val="0"/>
              <w:autoSpaceDN w:val="0"/>
              <w:adjustRightInd w:val="0"/>
              <w:spacing w:before="120" w:beforeLines="5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2、达标情况分析</w:t>
            </w:r>
          </w:p>
          <w:p>
            <w:pPr>
              <w:keepNext w:val="0"/>
              <w:keepLines w:val="0"/>
              <w:suppressLineNumbers w:val="0"/>
              <w:wordWrap w:val="0"/>
              <w:spacing w:before="0" w:beforeAutospacing="0" w:after="0" w:afterAutospacing="0" w:line="360" w:lineRule="auto"/>
              <w:ind w:left="0" w:right="0" w:firstLine="482"/>
              <w:jc w:val="both"/>
              <w:rPr>
                <w:rFonts w:hint="default"/>
                <w:b/>
                <w:bCs/>
                <w:color w:val="auto"/>
                <w:kern w:val="2"/>
                <w:sz w:val="24"/>
                <w:szCs w:val="24"/>
                <w:highlight w:val="none"/>
              </w:rPr>
            </w:pPr>
            <w:r>
              <w:rPr>
                <w:rFonts w:hint="default"/>
                <w:b/>
                <w:bCs/>
                <w:color w:val="auto"/>
                <w:kern w:val="2"/>
                <w:sz w:val="24"/>
                <w:szCs w:val="24"/>
                <w:highlight w:val="none"/>
              </w:rPr>
              <w:t>（1）厂界达标情况分析</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default"/>
                <w:color w:val="auto"/>
                <w:kern w:val="0"/>
                <w:sz w:val="24"/>
                <w:szCs w:val="24"/>
                <w:highlight w:val="none"/>
                <w:lang w:bidi="ar"/>
              </w:rPr>
              <w:t>根据《环境影响评价技术导则</w:t>
            </w:r>
            <w:r>
              <w:rPr>
                <w:rFonts w:hint="eastAsia"/>
                <w:color w:val="auto"/>
                <w:kern w:val="0"/>
                <w:sz w:val="24"/>
                <w:szCs w:val="24"/>
                <w:highlight w:val="none"/>
                <w:lang w:val="en-US" w:eastAsia="zh-CN" w:bidi="ar"/>
              </w:rPr>
              <w:t xml:space="preserve"> </w:t>
            </w:r>
            <w:r>
              <w:rPr>
                <w:rFonts w:hint="default"/>
                <w:color w:val="auto"/>
                <w:kern w:val="0"/>
                <w:sz w:val="24"/>
                <w:szCs w:val="24"/>
                <w:highlight w:val="none"/>
                <w:lang w:bidi="ar"/>
              </w:rPr>
              <w:t>声环境》（HJ2.4-2021）</w:t>
            </w:r>
            <w:r>
              <w:rPr>
                <w:rFonts w:hint="eastAsia"/>
                <w:color w:val="auto"/>
                <w:kern w:val="0"/>
                <w:sz w:val="24"/>
                <w:szCs w:val="24"/>
                <w:highlight w:val="none"/>
                <w:lang w:val="en-US" w:eastAsia="zh-CN" w:bidi="ar"/>
              </w:rPr>
              <w:t>的要求，本评价选择点声源预测模式来模拟预测采取相应的隔声、消声等措施后，项目噪声源排放噪声随距离的衰减变化规律。</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lang w:bidi="ar"/>
              </w:rPr>
              <w:t>①对室内噪声源采用室内声源等效室外声源声功率级计算</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lang w:bidi="ar"/>
              </w:rPr>
              <w:t xml:space="preserve">声源位于室内，室内声源可采用等效室外声源声功率级法进行计算。设靠近开口处（或窗户）室内、室外某倍频带的声压级分别为Lp1和Lp2。若声源所在室内声场为近似扩散声场，则室外的倍频带声压级可按下式近似求出： </w:t>
            </w:r>
          </w:p>
          <w:p>
            <w:pPr>
              <w:keepNext w:val="0"/>
              <w:keepLines w:val="0"/>
              <w:widowControl/>
              <w:suppressLineNumbers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lang w:bidi="ar"/>
              </w:rPr>
              <w:t>L</w:t>
            </w:r>
            <w:r>
              <w:rPr>
                <w:rFonts w:hint="default" w:ascii="Times New Roman" w:hAnsi="Times New Roman" w:eastAsia="宋体" w:cs="Times New Roman"/>
                <w:color w:val="auto"/>
                <w:kern w:val="0"/>
                <w:sz w:val="24"/>
                <w:szCs w:val="24"/>
                <w:highlight w:val="none"/>
                <w:vertAlign w:val="subscript"/>
                <w:lang w:bidi="ar"/>
              </w:rPr>
              <w:t>p2</w:t>
            </w:r>
            <w:r>
              <w:rPr>
                <w:rFonts w:hint="default" w:ascii="Times New Roman" w:hAnsi="Times New Roman" w:eastAsia="宋体" w:cs="Times New Roman"/>
                <w:color w:val="auto"/>
                <w:kern w:val="0"/>
                <w:sz w:val="24"/>
                <w:szCs w:val="24"/>
                <w:highlight w:val="none"/>
                <w:lang w:bidi="ar"/>
              </w:rPr>
              <w:t>=L</w:t>
            </w:r>
            <w:r>
              <w:rPr>
                <w:rFonts w:hint="default" w:ascii="Times New Roman" w:hAnsi="Times New Roman" w:eastAsia="宋体" w:cs="Times New Roman"/>
                <w:color w:val="auto"/>
                <w:kern w:val="0"/>
                <w:sz w:val="24"/>
                <w:szCs w:val="24"/>
                <w:highlight w:val="none"/>
                <w:vertAlign w:val="subscript"/>
                <w:lang w:bidi="ar"/>
              </w:rPr>
              <w:t>p1</w:t>
            </w:r>
            <w:r>
              <w:rPr>
                <w:rFonts w:hint="default" w:ascii="Times New Roman" w:hAnsi="Times New Roman" w:eastAsia="宋体" w:cs="Times New Roman"/>
                <w:color w:val="auto"/>
                <w:kern w:val="0"/>
                <w:sz w:val="24"/>
                <w:szCs w:val="24"/>
                <w:highlight w:val="none"/>
                <w:lang w:bidi="ar"/>
              </w:rPr>
              <w:t>-（TL+6）</w:t>
            </w:r>
          </w:p>
          <w:p>
            <w:pPr>
              <w:keepNext w:val="0"/>
              <w:keepLines w:val="0"/>
              <w:widowControl/>
              <w:suppressLineNumbers w:val="0"/>
              <w:spacing w:before="0" w:beforeAutospacing="0" w:after="0" w:afterAutospacing="0" w:line="360" w:lineRule="auto"/>
              <w:ind w:left="0" w:right="0" w:firstLine="480" w:firstLineChars="200"/>
              <w:jc w:val="center"/>
              <w:rPr>
                <w:rFonts w:hint="default"/>
                <w:color w:val="auto"/>
                <w:highlight w:val="none"/>
              </w:rPr>
            </w:pPr>
            <w:r>
              <w:rPr>
                <w:rFonts w:hint="default" w:ascii="Times New Roman" w:hAnsi="Times New Roman" w:eastAsia="宋体" w:cs="Times New Roman"/>
                <w:color w:val="auto"/>
                <w:kern w:val="0"/>
                <w:sz w:val="24"/>
                <w:szCs w:val="24"/>
                <w:highlight w:val="none"/>
                <w:lang w:bidi="ar"/>
              </w:rPr>
              <w:t>式中：TL—隔墙（或窗户）倍频带的隔声量，dB。</w:t>
            </w:r>
            <w:r>
              <w:rPr>
                <w:rFonts w:hint="default"/>
                <w:color w:val="auto"/>
                <w:highlight w:val="none"/>
              </w:rPr>
              <w:drawing>
                <wp:inline distT="0" distB="0" distL="114300" distR="114300">
                  <wp:extent cx="3337560" cy="1633220"/>
                  <wp:effectExtent l="0" t="0" r="15240" b="5080"/>
                  <wp:docPr id="1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8"/>
                          <pic:cNvPicPr>
                            <a:picLocks noChangeAspect="1"/>
                          </pic:cNvPicPr>
                        </pic:nvPicPr>
                        <pic:blipFill>
                          <a:blip r:embed="rId35"/>
                          <a:stretch>
                            <a:fillRect/>
                          </a:stretch>
                        </pic:blipFill>
                        <pic:spPr>
                          <a:xfrm>
                            <a:off x="0" y="0"/>
                            <a:ext cx="3337560" cy="1633220"/>
                          </a:xfrm>
                          <a:prstGeom prst="rect">
                            <a:avLst/>
                          </a:prstGeom>
                          <a:noFill/>
                          <a:ln>
                            <a:noFill/>
                          </a:ln>
                        </pic:spPr>
                      </pic:pic>
                    </a:graphicData>
                  </a:graphic>
                </wp:inline>
              </w:drawing>
            </w:r>
          </w:p>
          <w:p>
            <w:pPr>
              <w:pStyle w:val="16"/>
              <w:keepNext w:val="0"/>
              <w:keepLines w:val="0"/>
              <w:suppressLineNumbers w:val="0"/>
              <w:spacing w:before="0" w:beforeAutospacing="0" w:after="0" w:afterAutospacing="0" w:line="360" w:lineRule="auto"/>
              <w:ind w:left="0" w:leftChars="0" w:right="0" w:firstLine="0" w:firstLineChars="0"/>
              <w:jc w:val="center"/>
              <w:rPr>
                <w:rFonts w:hint="default" w:eastAsia="宋体"/>
                <w:b/>
                <w:bCs/>
                <w:color w:val="auto"/>
                <w:sz w:val="24"/>
                <w:szCs w:val="32"/>
                <w:highlight w:val="none"/>
                <w:lang w:val="en-US" w:eastAsia="zh-CN"/>
              </w:rPr>
            </w:pPr>
            <w:r>
              <w:rPr>
                <w:rFonts w:hint="eastAsia"/>
                <w:b/>
                <w:bCs/>
                <w:color w:val="auto"/>
                <w:sz w:val="24"/>
                <w:szCs w:val="32"/>
                <w:highlight w:val="none"/>
                <w:lang w:val="en-US" w:eastAsia="zh-CN"/>
              </w:rPr>
              <w:t>图4-2  室内声源等效为室外声源图例</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color w:val="auto"/>
                <w:kern w:val="0"/>
                <w:sz w:val="24"/>
                <w:szCs w:val="24"/>
                <w:highlight w:val="none"/>
                <w:lang w:bidi="ar"/>
              </w:rPr>
              <w:t>②</w:t>
            </w:r>
            <w:r>
              <w:rPr>
                <w:rFonts w:hint="eastAsia" w:ascii="Times New Roman" w:hAnsi="Times New Roman" w:eastAsia="宋体" w:cs="Times New Roman"/>
                <w:color w:val="auto"/>
                <w:kern w:val="0"/>
                <w:sz w:val="24"/>
                <w:szCs w:val="24"/>
                <w:highlight w:val="none"/>
                <w:lang w:val="en-US" w:eastAsia="zh-CN" w:bidi="ar"/>
              </w:rPr>
              <w:t>某一室内声源靠近围护结构处产生的倍频带声压级的计算</w:t>
            </w:r>
          </w:p>
          <w:p>
            <w:pPr>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position w:val="-28"/>
                <w:sz w:val="24"/>
                <w:szCs w:val="24"/>
                <w:highlight w:val="none"/>
                <w:lang w:val="en-US" w:eastAsia="zh-CN" w:bidi="ar"/>
              </w:rPr>
              <w:object>
                <v:shape id="_x0000_i1029" o:spt="75" type="#_x0000_t75" style="height:34pt;width:138pt;" o:ole="t" filled="f" o:preferrelative="t" stroked="f" coordsize="21600,21600">
                  <v:path/>
                  <v:fill on="f" focussize="0,0"/>
                  <v:stroke on="f"/>
                  <v:imagedata r:id="rId37" o:title=""/>
                  <o:lock v:ext="edit" aspectratio="t"/>
                  <w10:wrap type="none"/>
                  <w10:anchorlock/>
                </v:shape>
                <o:OLEObject Type="Embed" ProgID="Equation.KSEE3" ShapeID="_x0000_i1029" DrawAspect="Content" ObjectID="_1468075729" r:id="rId36">
                  <o:LockedField>false</o:LockedField>
                </o:OLEObject>
              </w:objec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highlight w:val="none"/>
                <w:lang w:bidi="ar"/>
              </w:rPr>
            </w:pPr>
            <w:r>
              <w:rPr>
                <w:rFonts w:hint="eastAsia" w:ascii="Times New Roman" w:hAnsi="Times New Roman" w:eastAsia="宋体" w:cs="Times New Roman"/>
                <w:color w:val="auto"/>
                <w:kern w:val="0"/>
                <w:sz w:val="24"/>
                <w:szCs w:val="24"/>
                <w:highlight w:val="none"/>
                <w:lang w:val="en-US" w:eastAsia="zh-CN" w:bidi="ar"/>
              </w:rPr>
              <w:t>式中：</w:t>
            </w:r>
            <w:r>
              <w:rPr>
                <w:rFonts w:hint="default" w:ascii="Times New Roman" w:hAnsi="Times New Roman" w:eastAsia="宋体" w:cs="Times New Roman"/>
                <w:i/>
                <w:iCs/>
                <w:color w:val="auto"/>
                <w:kern w:val="0"/>
                <w:sz w:val="24"/>
                <w:szCs w:val="24"/>
                <w:highlight w:val="none"/>
                <w:lang w:val="en-US" w:eastAsia="zh-CN" w:bidi="ar"/>
              </w:rPr>
              <w:t>Q</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指向性因素；通常对无指向性声源，当声源放在房间中心时，</w:t>
            </w:r>
            <w:r>
              <w:rPr>
                <w:rFonts w:hint="default" w:ascii="Times New Roman" w:hAnsi="Times New Roman" w:eastAsia="宋体" w:cs="Times New Roman"/>
                <w:i/>
                <w:iCs/>
                <w:color w:val="auto"/>
                <w:kern w:val="0"/>
                <w:sz w:val="24"/>
                <w:szCs w:val="24"/>
                <w:highlight w:val="none"/>
                <w:lang w:val="en-US" w:eastAsia="zh-CN" w:bidi="ar"/>
              </w:rPr>
              <w:t>Q</w:t>
            </w:r>
            <w:r>
              <w:rPr>
                <w:rFonts w:hint="default" w:ascii="Times New Roman" w:hAnsi="Times New Roman" w:eastAsia="宋体" w:cs="Times New Roman"/>
                <w:color w:val="auto"/>
                <w:kern w:val="0"/>
                <w:sz w:val="24"/>
                <w:szCs w:val="24"/>
                <w:highlight w:val="none"/>
                <w:lang w:val="en-US" w:eastAsia="zh-CN" w:bidi="ar"/>
              </w:rPr>
              <w:t>=1</w:t>
            </w:r>
            <w:r>
              <w:rPr>
                <w:rFonts w:hint="eastAsia" w:ascii="Times New Roman" w:hAnsi="Times New Roman" w:eastAsia="宋体" w:cs="Times New Roman"/>
                <w:color w:val="auto"/>
                <w:kern w:val="0"/>
                <w:sz w:val="24"/>
                <w:szCs w:val="24"/>
                <w:highlight w:val="none"/>
                <w:lang w:val="en-US" w:eastAsia="zh-CN" w:bidi="ar"/>
              </w:rPr>
              <w:t>；当放在一面墙的中心时，</w:t>
            </w:r>
            <w:r>
              <w:rPr>
                <w:rFonts w:hint="default" w:ascii="Times New Roman" w:hAnsi="Times New Roman" w:eastAsia="宋体" w:cs="Times New Roman"/>
                <w:i/>
                <w:iCs/>
                <w:color w:val="auto"/>
                <w:kern w:val="0"/>
                <w:sz w:val="24"/>
                <w:szCs w:val="24"/>
                <w:highlight w:val="none"/>
                <w:lang w:val="en-US" w:eastAsia="zh-CN" w:bidi="ar"/>
              </w:rPr>
              <w:t>Q</w:t>
            </w:r>
            <w:r>
              <w:rPr>
                <w:rFonts w:hint="default" w:ascii="Times New Roman" w:hAnsi="Times New Roman" w:eastAsia="宋体"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；当放在两面墙夹角处时，</w:t>
            </w:r>
            <w:r>
              <w:rPr>
                <w:rFonts w:hint="default" w:ascii="Times New Roman" w:hAnsi="Times New Roman" w:eastAsia="宋体" w:cs="Times New Roman"/>
                <w:i/>
                <w:iCs/>
                <w:color w:val="auto"/>
                <w:kern w:val="0"/>
                <w:sz w:val="24"/>
                <w:szCs w:val="24"/>
                <w:highlight w:val="none"/>
                <w:lang w:val="en-US" w:eastAsia="zh-CN" w:bidi="ar"/>
              </w:rPr>
              <w:t>Q</w:t>
            </w:r>
            <w:r>
              <w:rPr>
                <w:rFonts w:hint="default" w:ascii="Times New Roman" w:hAnsi="Times New Roman" w:eastAsia="宋体" w:cs="Times New Roman"/>
                <w:color w:val="auto"/>
                <w:kern w:val="0"/>
                <w:sz w:val="24"/>
                <w:szCs w:val="24"/>
                <w:highlight w:val="none"/>
                <w:lang w:val="en-US" w:eastAsia="zh-CN" w:bidi="ar"/>
              </w:rPr>
              <w:t>=4</w:t>
            </w:r>
            <w:r>
              <w:rPr>
                <w:rFonts w:hint="eastAsia" w:ascii="Times New Roman" w:hAnsi="Times New Roman" w:eastAsia="宋体" w:cs="Times New Roman"/>
                <w:color w:val="auto"/>
                <w:kern w:val="0"/>
                <w:sz w:val="24"/>
                <w:szCs w:val="24"/>
                <w:highlight w:val="none"/>
                <w:lang w:val="en-US" w:eastAsia="zh-CN" w:bidi="ar"/>
              </w:rPr>
              <w:t>；当放在三面墙夹角处时，</w:t>
            </w:r>
            <w:r>
              <w:rPr>
                <w:rFonts w:hint="default" w:ascii="Times New Roman" w:hAnsi="Times New Roman" w:eastAsia="宋体" w:cs="Times New Roman"/>
                <w:i/>
                <w:iCs/>
                <w:color w:val="auto"/>
                <w:kern w:val="0"/>
                <w:sz w:val="24"/>
                <w:szCs w:val="24"/>
                <w:highlight w:val="none"/>
                <w:lang w:val="en-US" w:eastAsia="zh-CN" w:bidi="ar"/>
              </w:rPr>
              <w:t>Q</w:t>
            </w:r>
            <w:r>
              <w:rPr>
                <w:rFonts w:hint="default" w:ascii="Times New Roman" w:hAnsi="Times New Roman" w:eastAsia="宋体" w:cs="Times New Roman"/>
                <w:color w:val="auto"/>
                <w:kern w:val="0"/>
                <w:sz w:val="24"/>
                <w:szCs w:val="24"/>
                <w:highlight w:val="none"/>
                <w:lang w:val="en-US" w:eastAsia="zh-CN" w:bidi="ar"/>
              </w:rPr>
              <w:t>=8</w:t>
            </w:r>
            <w:r>
              <w:rPr>
                <w:rFonts w:hint="eastAsia" w:ascii="Times New Roman" w:hAnsi="Times New Roman" w:eastAsia="宋体" w:cs="Times New Roman"/>
                <w:color w:val="auto"/>
                <w:kern w:val="0"/>
                <w:sz w:val="24"/>
                <w:szCs w:val="24"/>
                <w:highlight w:val="none"/>
                <w:lang w:val="en-US" w:eastAsia="zh-CN" w:bidi="ar"/>
              </w:rPr>
              <w:t>。</w:t>
            </w:r>
          </w:p>
          <w:p>
            <w:pPr>
              <w:keepNext w:val="0"/>
              <w:keepLines w:val="0"/>
              <w:widowControl/>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i/>
                <w:iCs/>
                <w:color w:val="auto"/>
                <w:kern w:val="0"/>
                <w:sz w:val="24"/>
                <w:szCs w:val="24"/>
                <w:highlight w:val="none"/>
                <w:lang w:val="en-US" w:eastAsia="zh-CN" w:bidi="ar"/>
              </w:rPr>
              <w:t>R</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房间常数；</w:t>
            </w:r>
            <w:r>
              <w:rPr>
                <w:rFonts w:hint="default" w:ascii="Times New Roman" w:hAnsi="Times New Roman" w:eastAsia="宋体" w:cs="Times New Roman"/>
                <w:i/>
                <w:iCs/>
                <w:color w:val="auto"/>
                <w:kern w:val="0"/>
                <w:sz w:val="24"/>
                <w:szCs w:val="24"/>
                <w:highlight w:val="none"/>
                <w:lang w:val="en-US" w:eastAsia="zh-CN" w:bidi="ar"/>
              </w:rPr>
              <w:t>R</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i/>
                <w:iCs/>
                <w:color w:val="auto"/>
                <w:kern w:val="0"/>
                <w:sz w:val="24"/>
                <w:szCs w:val="24"/>
                <w:highlight w:val="none"/>
                <w:lang w:val="en-US" w:eastAsia="zh-CN" w:bidi="ar"/>
              </w:rPr>
              <w:t>Sα</w:t>
            </w:r>
            <w:r>
              <w:rPr>
                <w:rFonts w:hint="default" w:ascii="Times New Roman" w:hAnsi="Times New Roman" w:eastAsia="宋体" w:cs="Times New Roman"/>
                <w:color w:val="auto"/>
                <w:kern w:val="0"/>
                <w:sz w:val="24"/>
                <w:szCs w:val="24"/>
                <w:highlight w:val="none"/>
                <w:lang w:val="en-US" w:eastAsia="zh-CN" w:bidi="ar"/>
              </w:rPr>
              <w:t>/(1-</w:t>
            </w:r>
            <w:r>
              <w:rPr>
                <w:rFonts w:hint="default" w:ascii="Times New Roman" w:hAnsi="Times New Roman" w:eastAsia="宋体" w:cs="Times New Roman"/>
                <w:i/>
                <w:iCs/>
                <w:color w:val="auto"/>
                <w:kern w:val="0"/>
                <w:sz w:val="24"/>
                <w:szCs w:val="24"/>
                <w:highlight w:val="none"/>
                <w:lang w:val="en-US" w:eastAsia="zh-CN" w:bidi="ar"/>
              </w:rPr>
              <w:t>α</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S</w:t>
            </w:r>
            <w:r>
              <w:rPr>
                <w:rFonts w:hint="eastAsia" w:ascii="Times New Roman" w:hAnsi="Times New Roman" w:eastAsia="宋体" w:cs="Times New Roman"/>
                <w:color w:val="auto"/>
                <w:kern w:val="0"/>
                <w:sz w:val="24"/>
                <w:szCs w:val="24"/>
                <w:highlight w:val="none"/>
                <w:lang w:val="en-US" w:eastAsia="zh-CN" w:bidi="ar"/>
              </w:rPr>
              <w:t>为房间内表面面积，</w:t>
            </w:r>
            <w:r>
              <w:rPr>
                <w:rFonts w:hint="default" w:ascii="Times New Roman" w:hAnsi="Times New Roman" w:eastAsia="宋体" w:cs="Times New Roman"/>
                <w:color w:val="auto"/>
                <w:kern w:val="0"/>
                <w:sz w:val="24"/>
                <w:szCs w:val="24"/>
                <w:highlight w:val="none"/>
                <w:lang w:val="en-US" w:eastAsia="zh-CN" w:bidi="ar"/>
              </w:rPr>
              <w:t>m</w:t>
            </w:r>
            <w:r>
              <w:rPr>
                <w:rFonts w:hint="default" w:ascii="Times New Roman" w:hAnsi="Times New Roman" w:eastAsia="宋体" w:cs="Times New Roman"/>
                <w:color w:val="auto"/>
                <w:kern w:val="0"/>
                <w:sz w:val="24"/>
                <w:szCs w:val="24"/>
                <w:highlight w:val="none"/>
                <w:vertAlign w:val="superscript"/>
                <w:lang w:val="en-US" w:eastAsia="zh-CN" w:bidi="ar"/>
              </w:rPr>
              <w:t>2</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i/>
                <w:iCs/>
                <w:color w:val="auto"/>
                <w:kern w:val="0"/>
                <w:sz w:val="24"/>
                <w:szCs w:val="24"/>
                <w:highlight w:val="none"/>
                <w:lang w:val="en-US" w:eastAsia="zh-CN" w:bidi="ar"/>
              </w:rPr>
              <w:t>α</w:t>
            </w:r>
            <w:r>
              <w:rPr>
                <w:rFonts w:hint="eastAsia" w:ascii="Times New Roman" w:hAnsi="Times New Roman" w:eastAsia="宋体" w:cs="Times New Roman"/>
                <w:color w:val="auto"/>
                <w:kern w:val="0"/>
                <w:sz w:val="24"/>
                <w:szCs w:val="24"/>
                <w:highlight w:val="none"/>
                <w:lang w:val="en-US" w:eastAsia="zh-CN" w:bidi="ar"/>
              </w:rPr>
              <w:t>为平均吸声系数。</w:t>
            </w:r>
          </w:p>
          <w:p>
            <w:pPr>
              <w:keepNext w:val="0"/>
              <w:keepLines w:val="0"/>
              <w:widowControl/>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i/>
                <w:iCs/>
                <w:color w:val="auto"/>
                <w:kern w:val="0"/>
                <w:sz w:val="24"/>
                <w:szCs w:val="24"/>
                <w:highlight w:val="none"/>
                <w:lang w:val="en-US" w:eastAsia="zh-CN" w:bidi="ar"/>
              </w:rPr>
              <w:t>r</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声源到靠近围护结构某点处的距离，</w:t>
            </w:r>
            <w:r>
              <w:rPr>
                <w:rFonts w:hint="default" w:ascii="Times New Roman" w:hAnsi="Times New Roman" w:eastAsia="宋体" w:cs="Times New Roman"/>
                <w:color w:val="auto"/>
                <w:kern w:val="0"/>
                <w:sz w:val="24"/>
                <w:szCs w:val="24"/>
                <w:highlight w:val="none"/>
                <w:lang w:val="en-US" w:eastAsia="zh-CN" w:bidi="ar"/>
              </w:rPr>
              <w:t>m</w:t>
            </w:r>
            <w:r>
              <w:rPr>
                <w:rFonts w:hint="eastAsia" w:ascii="Times New Roman" w:hAnsi="Times New Roman" w:eastAsia="宋体" w:cs="Times New Roman"/>
                <w:color w:val="auto"/>
                <w:kern w:val="0"/>
                <w:sz w:val="24"/>
                <w:szCs w:val="24"/>
                <w:highlight w:val="none"/>
                <w:lang w:val="en-US" w:eastAsia="zh-CN" w:bidi="ar"/>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b w:val="0"/>
                <w:bCs w:val="0"/>
                <w:color w:val="auto"/>
                <w:kern w:val="2"/>
                <w:sz w:val="24"/>
                <w:szCs w:val="24"/>
                <w:highlight w:val="none"/>
                <w:lang w:val="en-US" w:eastAsia="zh-CN" w:bidi="ar-SA"/>
              </w:rPr>
              <w:fldChar w:fldCharType="begin"/>
            </w:r>
            <w:r>
              <w:rPr>
                <w:rFonts w:hint="default" w:ascii="Times New Roman" w:hAnsi="Times New Roman" w:eastAsia="宋体" w:cs="Times New Roman"/>
                <w:b w:val="0"/>
                <w:bCs w:val="0"/>
                <w:color w:val="auto"/>
                <w:kern w:val="2"/>
                <w:sz w:val="24"/>
                <w:szCs w:val="24"/>
                <w:highlight w:val="none"/>
                <w:lang w:val="en-US" w:eastAsia="zh-CN" w:bidi="ar-SA"/>
              </w:rPr>
              <w:instrText xml:space="preserve"> = 3 \* GB3 \* MERGEFORMAT </w:instrText>
            </w:r>
            <w:r>
              <w:rPr>
                <w:rFonts w:hint="default" w:ascii="Times New Roman" w:hAnsi="Times New Roman" w:eastAsia="宋体" w:cs="Times New Roman"/>
                <w:b w:val="0"/>
                <w:bCs w:val="0"/>
                <w:color w:val="auto"/>
                <w:kern w:val="2"/>
                <w:sz w:val="24"/>
                <w:szCs w:val="24"/>
                <w:highlight w:val="none"/>
                <w:lang w:val="en-US" w:eastAsia="zh-CN" w:bidi="ar-SA"/>
              </w:rPr>
              <w:fldChar w:fldCharType="separate"/>
            </w:r>
            <w:r>
              <w:rPr>
                <w:rFonts w:hint="default"/>
                <w:color w:val="auto"/>
                <w:sz w:val="24"/>
                <w:szCs w:val="24"/>
                <w:highlight w:val="none"/>
              </w:rPr>
              <w:t>③</w:t>
            </w:r>
            <w:r>
              <w:rPr>
                <w:rFonts w:hint="default" w:ascii="Times New Roman" w:hAnsi="Times New Roman" w:eastAsia="宋体" w:cs="Times New Roman"/>
                <w:b w:val="0"/>
                <w:bCs w:val="0"/>
                <w:color w:val="auto"/>
                <w:kern w:val="2"/>
                <w:sz w:val="24"/>
                <w:szCs w:val="24"/>
                <w:highlight w:val="none"/>
                <w:lang w:val="en-US" w:eastAsia="zh-CN" w:bidi="ar-SA"/>
              </w:rPr>
              <w:fldChar w:fldCharType="end"/>
            </w:r>
            <w:r>
              <w:rPr>
                <w:rFonts w:hint="eastAsia" w:ascii="Times New Roman" w:hAnsi="Times New Roman" w:eastAsia="宋体" w:cs="Times New Roman"/>
                <w:b w:val="0"/>
                <w:bCs w:val="0"/>
                <w:color w:val="auto"/>
                <w:kern w:val="2"/>
                <w:sz w:val="24"/>
                <w:szCs w:val="24"/>
                <w:highlight w:val="none"/>
                <w:lang w:val="en-US" w:eastAsia="zh-CN" w:bidi="ar-SA"/>
              </w:rPr>
              <w:t>所有室内声源靠室内i倍频带叠加声压的计算</w:t>
            </w:r>
          </w:p>
          <w:p>
            <w:pPr>
              <w:keepNext w:val="0"/>
              <w:keepLines w:val="0"/>
              <w:widowControl/>
              <w:suppressLineNumbers w:val="0"/>
              <w:spacing w:before="0" w:beforeAutospacing="0" w:after="0" w:afterAutospacing="0" w:line="360" w:lineRule="auto"/>
              <w:ind w:left="0" w:right="0"/>
              <w:jc w:val="center"/>
              <w:rPr>
                <w:rFonts w:hint="eastAsia" w:ascii="Times New Roman" w:hAnsi="Times New Roman" w:eastAsia="宋体" w:cs="Times New Roman"/>
                <w:color w:val="auto"/>
                <w:kern w:val="0"/>
                <w:sz w:val="24"/>
                <w:szCs w:val="24"/>
                <w:highlight w:val="none"/>
                <w:lang w:eastAsia="zh-CN" w:bidi="ar"/>
              </w:rPr>
            </w:pPr>
            <w:r>
              <w:rPr>
                <w:rFonts w:hint="eastAsia" w:ascii="Times New Roman" w:hAnsi="Times New Roman" w:eastAsia="宋体" w:cs="Times New Roman"/>
                <w:color w:val="auto"/>
                <w:kern w:val="0"/>
                <w:position w:val="-32"/>
                <w:sz w:val="24"/>
                <w:szCs w:val="24"/>
                <w:highlight w:val="none"/>
                <w:lang w:val="en-US" w:eastAsia="zh-CN" w:bidi="ar"/>
              </w:rPr>
              <w:object>
                <v:shape id="_x0000_i1030" o:spt="75" type="#_x0000_t75" style="height:38pt;width:128pt;" o:ole="t" filled="f" o:preferrelative="t" stroked="f" coordsize="21600,21600">
                  <v:path/>
                  <v:fill on="f" focussize="0,0"/>
                  <v:stroke on="f"/>
                  <v:imagedata r:id="rId39" o:title=""/>
                  <o:lock v:ext="edit" aspectratio="t"/>
                  <w10:wrap type="none"/>
                  <w10:anchorlock/>
                </v:shape>
                <o:OLEObject Type="Embed" ProgID="Equation.KSEE3" ShapeID="_x0000_i1030" DrawAspect="Content" ObjectID="_1468075730" r:id="rId38">
                  <o:LockedField>false</o:LockedField>
                </o:OLEObject>
              </w:objec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式中：</w:t>
            </w: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P1i</w:t>
            </w:r>
            <w:r>
              <w:rPr>
                <w:rFonts w:hint="eastAsia" w:ascii="Times New Roman" w:hAnsi="Times New Roman" w:eastAsia="宋体" w:cs="Times New Roman"/>
                <w:i w:val="0"/>
                <w:iCs w:val="0"/>
                <w:color w:val="auto"/>
                <w:kern w:val="0"/>
                <w:sz w:val="24"/>
                <w:szCs w:val="24"/>
                <w:highlight w:val="none"/>
                <w:lang w:val="en-US" w:eastAsia="zh-CN" w:bidi="ar"/>
              </w:rPr>
              <w:t>(</w:t>
            </w:r>
            <w:r>
              <w:rPr>
                <w:rFonts w:hint="eastAsia" w:ascii="Times New Roman" w:hAnsi="Times New Roman" w:eastAsia="宋体" w:cs="Times New Roman"/>
                <w:i/>
                <w:iCs/>
                <w:color w:val="auto"/>
                <w:kern w:val="0"/>
                <w:sz w:val="24"/>
                <w:szCs w:val="24"/>
                <w:highlight w:val="none"/>
                <w:lang w:val="en-US" w:eastAsia="zh-CN" w:bidi="ar"/>
              </w:rPr>
              <w:t>T</w:t>
            </w:r>
            <w:r>
              <w:rPr>
                <w:rFonts w:hint="eastAsia" w:ascii="Times New Roman" w:hAnsi="Times New Roman" w:eastAsia="宋体" w:cs="Times New Roman"/>
                <w:i w:val="0"/>
                <w:iCs w:val="0"/>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—靠近围护结构处室内</w:t>
            </w:r>
            <w:r>
              <w:rPr>
                <w:rFonts w:hint="eastAsia" w:ascii="Times New Roman" w:hAnsi="Times New Roman" w:eastAsia="宋体" w:cs="Times New Roman"/>
                <w:i/>
                <w:iCs/>
                <w:color w:val="auto"/>
                <w:kern w:val="0"/>
                <w:sz w:val="24"/>
                <w:szCs w:val="24"/>
                <w:highlight w:val="none"/>
                <w:lang w:val="en-US" w:eastAsia="zh-CN" w:bidi="ar"/>
              </w:rPr>
              <w:t>N</w:t>
            </w:r>
            <w:r>
              <w:rPr>
                <w:rFonts w:hint="eastAsia" w:ascii="Times New Roman" w:hAnsi="Times New Roman" w:eastAsia="宋体" w:cs="Times New Roman"/>
                <w:color w:val="auto"/>
                <w:kern w:val="0"/>
                <w:sz w:val="24"/>
                <w:szCs w:val="24"/>
                <w:highlight w:val="none"/>
                <w:lang w:val="en-US" w:eastAsia="zh-CN" w:bidi="ar"/>
              </w:rPr>
              <w:t>个声源i倍频带的叠加声压级，dB；</w:t>
            </w:r>
          </w:p>
          <w:p>
            <w:pPr>
              <w:keepNext w:val="0"/>
              <w:keepLines w:val="0"/>
              <w:widowControl/>
              <w:suppressLineNumbers w:val="0"/>
              <w:spacing w:before="0" w:beforeAutospacing="0" w:after="0" w:afterAutospacing="0" w:line="360" w:lineRule="auto"/>
              <w:ind w:left="0" w:right="0" w:firstLine="1200" w:firstLineChars="5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P1ij</w:t>
            </w:r>
            <w:r>
              <w:rPr>
                <w:rFonts w:hint="eastAsia" w:ascii="Times New Roman" w:hAnsi="Times New Roman" w:eastAsia="宋体" w:cs="Times New Roman"/>
                <w:color w:val="auto"/>
                <w:kern w:val="0"/>
                <w:sz w:val="24"/>
                <w:szCs w:val="24"/>
                <w:highlight w:val="none"/>
                <w:lang w:val="en-US" w:eastAsia="zh-CN" w:bidi="ar"/>
              </w:rPr>
              <w:t>—室内</w:t>
            </w:r>
            <w:r>
              <w:rPr>
                <w:rFonts w:hint="eastAsia" w:ascii="Times New Roman" w:hAnsi="Times New Roman" w:eastAsia="宋体" w:cs="Times New Roman"/>
                <w:i/>
                <w:iCs/>
                <w:color w:val="auto"/>
                <w:kern w:val="0"/>
                <w:sz w:val="24"/>
                <w:szCs w:val="24"/>
                <w:highlight w:val="none"/>
                <w:lang w:val="en-US" w:eastAsia="zh-CN" w:bidi="ar"/>
              </w:rPr>
              <w:t>j</w:t>
            </w:r>
            <w:r>
              <w:rPr>
                <w:rFonts w:hint="eastAsia" w:ascii="Times New Roman" w:hAnsi="Times New Roman" w:eastAsia="宋体" w:cs="Times New Roman"/>
                <w:color w:val="auto"/>
                <w:kern w:val="0"/>
                <w:sz w:val="24"/>
                <w:szCs w:val="24"/>
                <w:highlight w:val="none"/>
                <w:lang w:val="en-US" w:eastAsia="zh-CN" w:bidi="ar"/>
              </w:rPr>
              <w:t>声源</w:t>
            </w:r>
            <w:r>
              <w:rPr>
                <w:rFonts w:hint="eastAsia" w:ascii="Times New Roman" w:hAnsi="Times New Roman" w:eastAsia="宋体" w:cs="Times New Roman"/>
                <w:i/>
                <w:iCs/>
                <w:color w:val="auto"/>
                <w:kern w:val="0"/>
                <w:sz w:val="24"/>
                <w:szCs w:val="24"/>
                <w:highlight w:val="none"/>
                <w:lang w:val="en-US" w:eastAsia="zh-CN" w:bidi="ar"/>
              </w:rPr>
              <w:t>i</w:t>
            </w:r>
            <w:r>
              <w:rPr>
                <w:rFonts w:hint="eastAsia" w:ascii="Times New Roman" w:hAnsi="Times New Roman" w:eastAsia="宋体" w:cs="Times New Roman"/>
                <w:color w:val="auto"/>
                <w:kern w:val="0"/>
                <w:sz w:val="24"/>
                <w:szCs w:val="24"/>
                <w:highlight w:val="none"/>
                <w:lang w:val="en-US" w:eastAsia="zh-CN" w:bidi="ar"/>
              </w:rPr>
              <w:t>倍频带的声压级，dB；</w:t>
            </w:r>
          </w:p>
          <w:p>
            <w:pPr>
              <w:keepNext w:val="0"/>
              <w:keepLines w:val="0"/>
              <w:widowControl/>
              <w:suppressLineNumbers w:val="0"/>
              <w:spacing w:before="0" w:beforeAutospacing="0" w:after="0" w:afterAutospacing="0" w:line="360" w:lineRule="auto"/>
              <w:ind w:left="0" w:right="0" w:firstLine="1200" w:firstLineChars="5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i/>
                <w:iCs/>
                <w:color w:val="auto"/>
                <w:kern w:val="0"/>
                <w:sz w:val="24"/>
                <w:szCs w:val="24"/>
                <w:highlight w:val="none"/>
                <w:lang w:val="en-US" w:eastAsia="zh-CN" w:bidi="ar"/>
              </w:rPr>
              <w:t>N</w:t>
            </w:r>
            <w:r>
              <w:rPr>
                <w:rFonts w:hint="eastAsia" w:ascii="Times New Roman" w:hAnsi="Times New Roman" w:eastAsia="宋体" w:cs="Times New Roman"/>
                <w:color w:val="auto"/>
                <w:kern w:val="0"/>
                <w:sz w:val="24"/>
                <w:szCs w:val="24"/>
                <w:highlight w:val="none"/>
                <w:lang w:val="en-US" w:eastAsia="zh-CN" w:bidi="ar"/>
              </w:rPr>
              <w:t>—室内声源总数。</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④靠近室外围护结构处的声压级的计算</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kern w:val="0"/>
                <w:sz w:val="24"/>
                <w:szCs w:val="24"/>
                <w:highlight w:val="none"/>
                <w:vertAlign w:val="baseline"/>
                <w:lang w:val="en-US" w:eastAsia="zh-CN" w:bidi="ar"/>
              </w:rPr>
            </w:pP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w:t>
            </w:r>
            <w:r>
              <w:rPr>
                <w:rFonts w:hint="eastAsia" w:ascii="Times New Roman" w:hAnsi="Times New Roman" w:eastAsia="宋体" w:cs="Times New Roman"/>
                <w:color w:val="auto"/>
                <w:kern w:val="0"/>
                <w:sz w:val="24"/>
                <w:szCs w:val="24"/>
                <w:highlight w:val="none"/>
                <w:vertAlign w:val="subscript"/>
                <w:lang w:val="en-US" w:eastAsia="zh-CN" w:bidi="ar"/>
              </w:rPr>
              <w:t>2</w:t>
            </w:r>
            <w:r>
              <w:rPr>
                <w:rFonts w:hint="eastAsia" w:ascii="Times New Roman" w:hAnsi="Times New Roman" w:eastAsia="宋体" w:cs="Times New Roman"/>
                <w:i/>
                <w:iCs/>
                <w:color w:val="auto"/>
                <w:kern w:val="0"/>
                <w:sz w:val="24"/>
                <w:szCs w:val="24"/>
                <w:highlight w:val="none"/>
                <w:vertAlign w:val="subscript"/>
                <w:lang w:val="en-US" w:eastAsia="zh-CN" w:bidi="ar"/>
              </w:rPr>
              <w:t>i</w:t>
            </w:r>
            <w:r>
              <w:rPr>
                <w:rFonts w:hint="eastAsia"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i/>
                <w:iCs/>
                <w:color w:val="auto"/>
                <w:kern w:val="0"/>
                <w:sz w:val="24"/>
                <w:szCs w:val="24"/>
                <w:highlight w:val="none"/>
                <w:lang w:val="en-US" w:eastAsia="zh-CN" w:bidi="ar"/>
              </w:rPr>
              <w:t>T</w:t>
            </w:r>
            <w:r>
              <w:rPr>
                <w:rFonts w:hint="eastAsia"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w:t>
            </w:r>
            <w:r>
              <w:rPr>
                <w:rFonts w:hint="eastAsia" w:ascii="Times New Roman" w:hAnsi="Times New Roman" w:eastAsia="宋体" w:cs="Times New Roman"/>
                <w:color w:val="auto"/>
                <w:kern w:val="0"/>
                <w:sz w:val="24"/>
                <w:szCs w:val="24"/>
                <w:highlight w:val="none"/>
                <w:vertAlign w:val="subscript"/>
                <w:lang w:val="en-US" w:eastAsia="zh-CN" w:bidi="ar"/>
              </w:rPr>
              <w:t>1</w:t>
            </w:r>
            <w:r>
              <w:rPr>
                <w:rFonts w:hint="eastAsia" w:ascii="Times New Roman" w:hAnsi="Times New Roman" w:eastAsia="宋体" w:cs="Times New Roman"/>
                <w:i/>
                <w:iCs/>
                <w:color w:val="auto"/>
                <w:kern w:val="0"/>
                <w:sz w:val="24"/>
                <w:szCs w:val="24"/>
                <w:highlight w:val="none"/>
                <w:vertAlign w:val="subscript"/>
                <w:lang w:val="en-US" w:eastAsia="zh-CN" w:bidi="ar"/>
              </w:rPr>
              <w:t>i</w:t>
            </w:r>
            <w:r>
              <w:rPr>
                <w:rFonts w:hint="eastAsia" w:ascii="Times New Roman" w:hAnsi="Times New Roman" w:eastAsia="宋体" w:cs="Times New Roman"/>
                <w:color w:val="auto"/>
                <w:kern w:val="0"/>
                <w:sz w:val="24"/>
                <w:szCs w:val="24"/>
                <w:highlight w:val="none"/>
                <w:vertAlign w:val="baseline"/>
                <w:lang w:val="en-US" w:eastAsia="zh-CN" w:bidi="ar"/>
              </w:rPr>
              <w:t>（</w:t>
            </w:r>
            <w:r>
              <w:rPr>
                <w:rFonts w:hint="eastAsia" w:ascii="Times New Roman" w:hAnsi="Times New Roman" w:eastAsia="宋体" w:cs="Times New Roman"/>
                <w:i/>
                <w:iCs/>
                <w:color w:val="auto"/>
                <w:kern w:val="0"/>
                <w:sz w:val="24"/>
                <w:szCs w:val="24"/>
                <w:highlight w:val="none"/>
                <w:vertAlign w:val="baseline"/>
                <w:lang w:val="en-US" w:eastAsia="zh-CN" w:bidi="ar"/>
              </w:rPr>
              <w:t>T</w:t>
            </w:r>
            <w:r>
              <w:rPr>
                <w:rFonts w:hint="eastAsia" w:ascii="Times New Roman" w:hAnsi="Times New Roman" w:eastAsia="宋体" w:cs="Times New Roman"/>
                <w:color w:val="auto"/>
                <w:kern w:val="0"/>
                <w:sz w:val="24"/>
                <w:szCs w:val="24"/>
                <w:highlight w:val="none"/>
                <w:vertAlign w:val="baseline"/>
                <w:lang w:val="en-US" w:eastAsia="zh-CN" w:bidi="ar"/>
              </w:rPr>
              <w:t>）-（</w:t>
            </w:r>
            <w:r>
              <w:rPr>
                <w:rFonts w:hint="eastAsia" w:ascii="Times New Roman" w:hAnsi="Times New Roman" w:eastAsia="宋体" w:cs="Times New Roman"/>
                <w:i/>
                <w:iCs/>
                <w:color w:val="auto"/>
                <w:kern w:val="0"/>
                <w:sz w:val="24"/>
                <w:szCs w:val="24"/>
                <w:highlight w:val="none"/>
                <w:vertAlign w:val="baseline"/>
                <w:lang w:val="en-US" w:eastAsia="zh-CN" w:bidi="ar"/>
              </w:rPr>
              <w:t>Tl</w:t>
            </w:r>
            <w:r>
              <w:rPr>
                <w:rFonts w:hint="eastAsia" w:ascii="Times New Roman" w:hAnsi="Times New Roman" w:eastAsia="宋体" w:cs="Times New Roman"/>
                <w:i/>
                <w:iCs/>
                <w:color w:val="auto"/>
                <w:kern w:val="0"/>
                <w:sz w:val="24"/>
                <w:szCs w:val="24"/>
                <w:highlight w:val="none"/>
                <w:vertAlign w:val="subscript"/>
                <w:lang w:val="en-US" w:eastAsia="zh-CN" w:bidi="ar"/>
              </w:rPr>
              <w:t>i</w:t>
            </w:r>
            <w:r>
              <w:rPr>
                <w:rFonts w:hint="eastAsia" w:ascii="Times New Roman" w:hAnsi="Times New Roman" w:eastAsia="宋体" w:cs="Times New Roman"/>
                <w:color w:val="auto"/>
                <w:kern w:val="0"/>
                <w:sz w:val="24"/>
                <w:szCs w:val="24"/>
                <w:highlight w:val="none"/>
                <w:vertAlign w:val="baseline"/>
                <w:lang w:val="en-US" w:eastAsia="zh-CN" w:bidi="ar"/>
              </w:rPr>
              <w:t>+6）</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式中：</w:t>
            </w: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P2i</w:t>
            </w:r>
            <w:r>
              <w:rPr>
                <w:rFonts w:hint="eastAsia" w:ascii="Times New Roman" w:hAnsi="Times New Roman" w:eastAsia="宋体" w:cs="Times New Roman"/>
                <w:i w:val="0"/>
                <w:iCs w:val="0"/>
                <w:color w:val="auto"/>
                <w:kern w:val="0"/>
                <w:sz w:val="24"/>
                <w:szCs w:val="24"/>
                <w:highlight w:val="none"/>
                <w:lang w:val="en-US" w:eastAsia="zh-CN" w:bidi="ar"/>
              </w:rPr>
              <w:t>(</w:t>
            </w:r>
            <w:r>
              <w:rPr>
                <w:rFonts w:hint="eastAsia" w:ascii="Times New Roman" w:hAnsi="Times New Roman" w:eastAsia="宋体" w:cs="Times New Roman"/>
                <w:i/>
                <w:iCs/>
                <w:color w:val="auto"/>
                <w:kern w:val="0"/>
                <w:sz w:val="24"/>
                <w:szCs w:val="24"/>
                <w:highlight w:val="none"/>
                <w:lang w:val="en-US" w:eastAsia="zh-CN" w:bidi="ar"/>
              </w:rPr>
              <w:t>T</w:t>
            </w:r>
            <w:r>
              <w:rPr>
                <w:rFonts w:hint="eastAsia" w:ascii="Times New Roman" w:hAnsi="Times New Roman" w:eastAsia="宋体" w:cs="Times New Roman"/>
                <w:i w:val="0"/>
                <w:iCs w:val="0"/>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—靠近围护结构处室外N个声源i倍频带的叠加声压级，dB；</w:t>
            </w:r>
          </w:p>
          <w:p>
            <w:pPr>
              <w:keepNext w:val="0"/>
              <w:keepLines w:val="0"/>
              <w:widowControl/>
              <w:suppressLineNumbers w:val="0"/>
              <w:spacing w:before="0" w:beforeAutospacing="0" w:after="0" w:afterAutospacing="0" w:line="360" w:lineRule="auto"/>
              <w:ind w:left="0" w:right="0" w:firstLine="1200" w:firstLineChars="5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i/>
                <w:iCs/>
                <w:color w:val="auto"/>
                <w:kern w:val="0"/>
                <w:sz w:val="24"/>
                <w:szCs w:val="24"/>
                <w:highlight w:val="none"/>
                <w:lang w:val="en-US" w:eastAsia="zh-CN" w:bidi="ar"/>
              </w:rPr>
              <w:t>Tl</w:t>
            </w:r>
            <w:r>
              <w:rPr>
                <w:rFonts w:hint="eastAsia" w:ascii="Times New Roman" w:hAnsi="Times New Roman" w:eastAsia="宋体" w:cs="Times New Roman"/>
                <w:i/>
                <w:iCs/>
                <w:color w:val="auto"/>
                <w:kern w:val="0"/>
                <w:sz w:val="24"/>
                <w:szCs w:val="24"/>
                <w:highlight w:val="none"/>
                <w:vertAlign w:val="subscript"/>
                <w:lang w:val="en-US" w:eastAsia="zh-CN" w:bidi="ar"/>
              </w:rPr>
              <w:t>i</w:t>
            </w:r>
            <w:r>
              <w:rPr>
                <w:rFonts w:hint="eastAsia" w:ascii="Times New Roman" w:hAnsi="Times New Roman" w:eastAsia="宋体" w:cs="Times New Roman"/>
                <w:color w:val="auto"/>
                <w:kern w:val="0"/>
                <w:sz w:val="24"/>
                <w:szCs w:val="24"/>
                <w:highlight w:val="none"/>
                <w:lang w:val="en-US" w:eastAsia="zh-CN" w:bidi="ar"/>
              </w:rPr>
              <w:t>—围护结构i倍频带的隔声量，dB。</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⑤等效的室外声源中心位置位于透声面积（</w:t>
            </w:r>
            <w:r>
              <w:rPr>
                <w:rFonts w:hint="eastAsia" w:ascii="Times New Roman" w:hAnsi="Times New Roman" w:eastAsia="宋体" w:cs="Times New Roman"/>
                <w:i/>
                <w:iCs/>
                <w:color w:val="auto"/>
                <w:kern w:val="0"/>
                <w:sz w:val="24"/>
                <w:szCs w:val="24"/>
                <w:highlight w:val="none"/>
                <w:lang w:val="en-US" w:eastAsia="zh-CN" w:bidi="ar"/>
              </w:rPr>
              <w:t>S</w:t>
            </w:r>
            <w:r>
              <w:rPr>
                <w:rFonts w:hint="eastAsia" w:ascii="Times New Roman" w:hAnsi="Times New Roman" w:eastAsia="宋体" w:cs="Times New Roman"/>
                <w:color w:val="auto"/>
                <w:kern w:val="0"/>
                <w:sz w:val="24"/>
                <w:szCs w:val="24"/>
                <w:highlight w:val="none"/>
                <w:lang w:val="en-US" w:eastAsia="zh-CN" w:bidi="ar"/>
              </w:rPr>
              <w:t>）处的等效声源的倍频带声功率级的计算如下式，然后按室外声源预测方法计算预测点处的A声级。</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i/>
                <w:iCs/>
                <w:color w:val="auto"/>
                <w:kern w:val="0"/>
                <w:sz w:val="24"/>
                <w:szCs w:val="24"/>
                <w:highlight w:val="none"/>
                <w:lang w:val="en-US" w:eastAsia="zh-CN" w:bidi="ar"/>
              </w:rPr>
            </w:pP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w</w:t>
            </w:r>
            <w:r>
              <w:rPr>
                <w:rFonts w:hint="eastAsia" w:ascii="Times New Roman" w:hAnsi="Times New Roman" w:eastAsia="宋体" w:cs="Times New Roman"/>
                <w:i/>
                <w:iCs/>
                <w:color w:val="auto"/>
                <w:kern w:val="0"/>
                <w:sz w:val="24"/>
                <w:szCs w:val="24"/>
                <w:highlight w:val="none"/>
                <w:lang w:val="en-US" w:eastAsia="zh-CN" w:bidi="ar"/>
              </w:rPr>
              <w:t>=L</w:t>
            </w:r>
            <w:r>
              <w:rPr>
                <w:rFonts w:hint="eastAsia" w:ascii="Times New Roman" w:hAnsi="Times New Roman" w:eastAsia="宋体" w:cs="Times New Roman"/>
                <w:i/>
                <w:iCs/>
                <w:color w:val="auto"/>
                <w:kern w:val="0"/>
                <w:sz w:val="24"/>
                <w:szCs w:val="24"/>
                <w:highlight w:val="none"/>
                <w:vertAlign w:val="subscript"/>
                <w:lang w:val="en-US" w:eastAsia="zh-CN" w:bidi="ar"/>
              </w:rPr>
              <w:t>P</w:t>
            </w:r>
            <w:r>
              <w:rPr>
                <w:rFonts w:hint="eastAsia" w:ascii="Times New Roman" w:hAnsi="Times New Roman" w:eastAsia="宋体" w:cs="Times New Roman"/>
                <w:i w:val="0"/>
                <w:iCs w:val="0"/>
                <w:color w:val="auto"/>
                <w:kern w:val="0"/>
                <w:sz w:val="24"/>
                <w:szCs w:val="24"/>
                <w:highlight w:val="none"/>
                <w:vertAlign w:val="subscript"/>
                <w:lang w:val="en-US" w:eastAsia="zh-CN" w:bidi="ar"/>
              </w:rPr>
              <w:t>2</w:t>
            </w:r>
            <w:r>
              <w:rPr>
                <w:rFonts w:hint="eastAsia" w:ascii="Times New Roman" w:hAnsi="Times New Roman" w:eastAsia="宋体" w:cs="Times New Roman"/>
                <w:i/>
                <w:iCs/>
                <w:color w:val="auto"/>
                <w:kern w:val="0"/>
                <w:sz w:val="24"/>
                <w:szCs w:val="24"/>
                <w:highlight w:val="none"/>
                <w:vertAlign w:val="subscript"/>
                <w:lang w:val="en-US" w:eastAsia="zh-CN" w:bidi="ar"/>
              </w:rPr>
              <w:t>i</w:t>
            </w:r>
            <w:r>
              <w:rPr>
                <w:rFonts w:hint="eastAsia" w:ascii="Times New Roman" w:hAnsi="Times New Roman" w:eastAsia="宋体" w:cs="Times New Roman"/>
                <w:color w:val="auto"/>
                <w:kern w:val="0"/>
                <w:sz w:val="24"/>
                <w:szCs w:val="24"/>
                <w:highlight w:val="none"/>
                <w:vertAlign w:val="baseline"/>
                <w:lang w:val="en-US" w:eastAsia="zh-CN" w:bidi="ar"/>
              </w:rPr>
              <w:t>（</w:t>
            </w:r>
            <w:r>
              <w:rPr>
                <w:rFonts w:hint="eastAsia" w:ascii="Times New Roman" w:hAnsi="Times New Roman" w:eastAsia="宋体" w:cs="Times New Roman"/>
                <w:i/>
                <w:iCs/>
                <w:color w:val="auto"/>
                <w:kern w:val="0"/>
                <w:sz w:val="24"/>
                <w:szCs w:val="24"/>
                <w:highlight w:val="none"/>
                <w:vertAlign w:val="baseline"/>
                <w:lang w:val="en-US" w:eastAsia="zh-CN" w:bidi="ar"/>
              </w:rPr>
              <w:t>T</w:t>
            </w:r>
            <w:r>
              <w:rPr>
                <w:rFonts w:hint="eastAsia" w:ascii="Times New Roman" w:hAnsi="Times New Roman" w:eastAsia="宋体" w:cs="Times New Roman"/>
                <w:color w:val="auto"/>
                <w:kern w:val="0"/>
                <w:sz w:val="24"/>
                <w:szCs w:val="24"/>
                <w:highlight w:val="none"/>
                <w:vertAlign w:val="baseline"/>
                <w:lang w:val="en-US" w:eastAsia="zh-CN" w:bidi="ar"/>
              </w:rPr>
              <w:t>）</w:t>
            </w:r>
            <w:r>
              <w:rPr>
                <w:rFonts w:hint="eastAsia" w:ascii="Times New Roman" w:hAnsi="Times New Roman" w:eastAsia="宋体" w:cs="Times New Roman"/>
                <w:color w:val="auto"/>
                <w:kern w:val="0"/>
                <w:sz w:val="24"/>
                <w:szCs w:val="24"/>
                <w:highlight w:val="none"/>
                <w:lang w:val="en-US" w:eastAsia="zh-CN" w:bidi="ar"/>
              </w:rPr>
              <w:t>+10</w:t>
            </w:r>
            <w:r>
              <w:rPr>
                <w:rFonts w:hint="eastAsia" w:ascii="Times New Roman" w:hAnsi="Times New Roman" w:eastAsia="宋体" w:cs="Times New Roman"/>
                <w:i/>
                <w:iCs/>
                <w:color w:val="auto"/>
                <w:kern w:val="0"/>
                <w:sz w:val="24"/>
                <w:szCs w:val="24"/>
                <w:highlight w:val="none"/>
                <w:lang w:val="en-US" w:eastAsia="zh-CN" w:bidi="ar"/>
              </w:rPr>
              <w:t>lgs</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（2）室外声源在预测点产生的声级</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已知声源的倍频带声功率级，预测点位置的倍频带声压级</w:t>
            </w:r>
            <w:r>
              <w:rPr>
                <w:rFonts w:hint="default" w:ascii="Times New Roman" w:hAnsi="Times New Roman" w:eastAsia="宋体" w:cs="Times New Roman"/>
                <w:b w:val="0"/>
                <w:bCs w:val="0"/>
                <w:i/>
                <w:iCs/>
                <w:color w:val="auto"/>
                <w:kern w:val="2"/>
                <w:sz w:val="24"/>
                <w:szCs w:val="24"/>
                <w:highlight w:val="none"/>
                <w:lang w:val="en-US" w:eastAsia="zh-CN" w:bidi="ar-SA"/>
              </w:rPr>
              <w:t>Lp</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i/>
                <w:iCs/>
                <w:color w:val="auto"/>
                <w:kern w:val="2"/>
                <w:sz w:val="24"/>
                <w:szCs w:val="24"/>
                <w:highlight w:val="none"/>
                <w:lang w:val="en-US" w:eastAsia="zh-CN" w:bidi="ar-SA"/>
              </w:rPr>
              <w:t>r</w:t>
            </w:r>
            <w:r>
              <w:rPr>
                <w:rFonts w:hint="default" w:ascii="Times New Roman" w:hAnsi="Times New Roman" w:eastAsia="宋体" w:cs="Times New Roman"/>
                <w:b w:val="0"/>
                <w:bCs w:val="0"/>
                <w:color w:val="auto"/>
                <w:kern w:val="2"/>
                <w:sz w:val="24"/>
                <w:szCs w:val="24"/>
                <w:highlight w:val="none"/>
                <w:lang w:val="en-US" w:eastAsia="zh-CN" w:bidi="ar-SA"/>
              </w:rPr>
              <w:t>)可按下式计算：</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jc w:val="center"/>
              <w:textAlignment w:val="auto"/>
              <w:rPr>
                <w:rFonts w:hint="default" w:ascii="Times New Roman" w:hAnsi="Times New Roman" w:eastAsia="宋体" w:cs="Times New Roman"/>
                <w:b w:val="0"/>
                <w:bCs w:val="0"/>
                <w:i/>
                <w:iCs/>
                <w:color w:val="auto"/>
                <w:kern w:val="2"/>
                <w:sz w:val="24"/>
                <w:szCs w:val="24"/>
                <w:highlight w:val="none"/>
                <w:lang w:val="en-US" w:eastAsia="zh-CN" w:bidi="ar-SA"/>
              </w:rPr>
            </w:pPr>
            <w:r>
              <w:rPr>
                <w:rFonts w:hint="eastAsia" w:ascii="Times New Roman" w:hAnsi="Times New Roman" w:eastAsia="宋体" w:cs="Times New Roman"/>
                <w:b w:val="0"/>
                <w:bCs w:val="0"/>
                <w:i/>
                <w:iCs/>
                <w:color w:val="auto"/>
                <w:kern w:val="2"/>
                <w:sz w:val="24"/>
                <w:szCs w:val="24"/>
                <w:highlight w:val="none"/>
                <w:vertAlign w:val="baseline"/>
                <w:lang w:val="en-US" w:eastAsia="zh-CN" w:bidi="ar-SA"/>
              </w:rPr>
              <w:t>L</w:t>
            </w:r>
            <w:r>
              <w:rPr>
                <w:rFonts w:hint="eastAsia" w:ascii="Times New Roman" w:hAnsi="Times New Roman" w:eastAsia="宋体" w:cs="Times New Roman"/>
                <w:b w:val="0"/>
                <w:bCs w:val="0"/>
                <w:i/>
                <w:iCs/>
                <w:color w:val="auto"/>
                <w:kern w:val="2"/>
                <w:sz w:val="24"/>
                <w:szCs w:val="24"/>
                <w:highlight w:val="none"/>
                <w:vertAlign w:val="subscript"/>
                <w:lang w:val="en-US" w:eastAsia="zh-CN" w:bidi="ar-SA"/>
              </w:rPr>
              <w:t>p</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i/>
                <w:iCs/>
                <w:color w:val="auto"/>
                <w:kern w:val="2"/>
                <w:sz w:val="24"/>
                <w:szCs w:val="24"/>
                <w:highlight w:val="none"/>
                <w:lang w:val="en-US" w:eastAsia="zh-CN" w:bidi="ar-SA"/>
              </w:rPr>
              <w:t>r</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i/>
                <w:iCs/>
                <w:color w:val="auto"/>
                <w:kern w:val="2"/>
                <w:sz w:val="24"/>
                <w:szCs w:val="24"/>
                <w:highlight w:val="none"/>
                <w:lang w:val="en-US" w:eastAsia="zh-CN" w:bidi="ar-SA"/>
              </w:rPr>
              <w:t>L</w:t>
            </w:r>
            <w:r>
              <w:rPr>
                <w:rFonts w:hint="eastAsia" w:ascii="Times New Roman" w:hAnsi="Times New Roman" w:eastAsia="宋体" w:cs="Times New Roman"/>
                <w:b w:val="0"/>
                <w:bCs w:val="0"/>
                <w:i/>
                <w:iCs/>
                <w:color w:val="auto"/>
                <w:kern w:val="2"/>
                <w:sz w:val="24"/>
                <w:szCs w:val="24"/>
                <w:highlight w:val="none"/>
                <w:vertAlign w:val="subscript"/>
                <w:lang w:val="en-US" w:eastAsia="zh-CN" w:bidi="ar-SA"/>
              </w:rPr>
              <w:t>w</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i/>
                <w:iCs/>
                <w:color w:val="auto"/>
                <w:kern w:val="2"/>
                <w:sz w:val="24"/>
                <w:szCs w:val="24"/>
                <w:highlight w:val="none"/>
                <w:lang w:val="en-US" w:eastAsia="zh-CN" w:bidi="ar-SA"/>
              </w:rPr>
              <w:t>D</w:t>
            </w:r>
            <w:r>
              <w:rPr>
                <w:rFonts w:hint="eastAsia" w:ascii="Times New Roman" w:hAnsi="Times New Roman" w:eastAsia="宋体" w:cs="Times New Roman"/>
                <w:b w:val="0"/>
                <w:bCs w:val="0"/>
                <w:i/>
                <w:iCs/>
                <w:color w:val="auto"/>
                <w:kern w:val="2"/>
                <w:sz w:val="24"/>
                <w:szCs w:val="24"/>
                <w:highlight w:val="none"/>
                <w:vertAlign w:val="subscript"/>
                <w:lang w:val="en-US" w:eastAsia="zh-CN" w:bidi="ar-SA"/>
              </w:rPr>
              <w:t>c</w:t>
            </w:r>
            <w:r>
              <w:rPr>
                <w:rFonts w:hint="eastAsia" w:ascii="Times New Roman" w:hAnsi="Times New Roman" w:eastAsia="宋体" w:cs="Times New Roman"/>
                <w:b w:val="0"/>
                <w:bCs w:val="0"/>
                <w:i/>
                <w:iCs/>
                <w:color w:val="auto"/>
                <w:kern w:val="2"/>
                <w:sz w:val="24"/>
                <w:szCs w:val="24"/>
                <w:highlight w:val="none"/>
                <w:lang w:val="en-US" w:eastAsia="zh-CN" w:bidi="ar-SA"/>
              </w:rPr>
              <w:t>-A</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式中：</w:t>
            </w:r>
            <w:r>
              <w:rPr>
                <w:rFonts w:hint="default" w:ascii="Times New Roman" w:hAnsi="Times New Roman" w:eastAsia="宋体" w:cs="Times New Roman"/>
                <w:b w:val="0"/>
                <w:bCs w:val="0"/>
                <w:i/>
                <w:iCs/>
                <w:color w:val="auto"/>
                <w:kern w:val="2"/>
                <w:sz w:val="24"/>
                <w:szCs w:val="24"/>
                <w:highlight w:val="none"/>
                <w:lang w:val="en-US" w:eastAsia="zh-CN" w:bidi="ar-SA"/>
              </w:rPr>
              <w:t>L</w:t>
            </w:r>
            <w:r>
              <w:rPr>
                <w:rFonts w:hint="default" w:ascii="Times New Roman" w:hAnsi="Times New Roman" w:eastAsia="宋体" w:cs="Times New Roman"/>
                <w:b w:val="0"/>
                <w:bCs w:val="0"/>
                <w:i/>
                <w:iCs/>
                <w:color w:val="auto"/>
                <w:kern w:val="2"/>
                <w:sz w:val="24"/>
                <w:szCs w:val="24"/>
                <w:highlight w:val="none"/>
                <w:vertAlign w:val="subscript"/>
                <w:lang w:val="en-US" w:eastAsia="zh-CN" w:bidi="ar-SA"/>
              </w:rPr>
              <w:t>w</w:t>
            </w:r>
            <w:r>
              <w:rPr>
                <w:rFonts w:hint="default" w:ascii="Times New Roman" w:hAnsi="Times New Roman" w:eastAsia="宋体" w:cs="Times New Roman"/>
                <w:b w:val="0"/>
                <w:bCs w:val="0"/>
                <w:color w:val="auto"/>
                <w:kern w:val="2"/>
                <w:sz w:val="24"/>
                <w:szCs w:val="24"/>
                <w:highlight w:val="none"/>
                <w:lang w:val="en-US" w:eastAsia="zh-CN" w:bidi="ar-SA"/>
              </w:rPr>
              <w:t>—倍频带声功率级，dB；</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1200" w:firstLineChars="5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i/>
                <w:iCs/>
                <w:color w:val="auto"/>
                <w:kern w:val="2"/>
                <w:sz w:val="24"/>
                <w:szCs w:val="24"/>
                <w:highlight w:val="none"/>
                <w:lang w:val="en-US" w:eastAsia="zh-CN" w:bidi="ar-SA"/>
              </w:rPr>
              <w:t>D</w:t>
            </w:r>
            <w:r>
              <w:rPr>
                <w:rFonts w:hint="default" w:ascii="Times New Roman" w:hAnsi="Times New Roman" w:eastAsia="宋体" w:cs="Times New Roman"/>
                <w:b w:val="0"/>
                <w:bCs w:val="0"/>
                <w:i/>
                <w:iCs/>
                <w:color w:val="auto"/>
                <w:kern w:val="2"/>
                <w:sz w:val="24"/>
                <w:szCs w:val="24"/>
                <w:highlight w:val="none"/>
                <w:vertAlign w:val="subscript"/>
                <w:lang w:val="en-US" w:eastAsia="zh-CN" w:bidi="ar-SA"/>
              </w:rPr>
              <w:t>c</w:t>
            </w:r>
            <w:r>
              <w:rPr>
                <w:rFonts w:hint="default" w:ascii="Times New Roman" w:hAnsi="Times New Roman" w:eastAsia="宋体" w:cs="Times New Roman"/>
                <w:b w:val="0"/>
                <w:bCs w:val="0"/>
                <w:color w:val="auto"/>
                <w:kern w:val="2"/>
                <w:sz w:val="24"/>
                <w:szCs w:val="24"/>
                <w:highlight w:val="none"/>
                <w:lang w:val="en-US" w:eastAsia="zh-CN" w:bidi="ar-SA"/>
              </w:rPr>
              <w:t>—指向性校正，dB；它描述点声源的等效连续声压级与产生声功率级的全向点声源在规定方向的级的偏差程度；指向性校正等于点声源的指向性指数DI加上计到小4π球面度（sr）立体角内的声传播指数D</w:t>
            </w:r>
            <w:r>
              <w:rPr>
                <w:rFonts w:hint="default" w:ascii="Times New Roman" w:hAnsi="Times New Roman" w:eastAsia="宋体" w:cs="Times New Roman"/>
                <w:b w:val="0"/>
                <w:bCs w:val="0"/>
                <w:color w:val="auto"/>
                <w:kern w:val="2"/>
                <w:sz w:val="24"/>
                <w:szCs w:val="24"/>
                <w:highlight w:val="none"/>
                <w:vertAlign w:val="subscript"/>
                <w:lang w:val="en-US" w:eastAsia="zh-CN" w:bidi="ar-SA"/>
              </w:rPr>
              <w:t>Ω</w:t>
            </w:r>
            <w:r>
              <w:rPr>
                <w:rFonts w:hint="default" w:ascii="Times New Roman" w:hAnsi="Times New Roman" w:eastAsia="宋体" w:cs="Times New Roman"/>
                <w:b w:val="0"/>
                <w:bCs w:val="0"/>
                <w:color w:val="auto"/>
                <w:kern w:val="2"/>
                <w:sz w:val="24"/>
                <w:szCs w:val="24"/>
                <w:highlight w:val="none"/>
                <w:lang w:val="en-US" w:eastAsia="zh-CN" w:bidi="ar-SA"/>
              </w:rPr>
              <w:t>；对辐射到自由空间的全向点声源，Dc=0dB；</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1200" w:firstLineChars="5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A—倍频带衰减，dB。</w:t>
            </w:r>
          </w:p>
          <w:p>
            <w:pPr>
              <w:keepNext w:val="0"/>
              <w:keepLines w:val="0"/>
              <w:pageBreakBefore w:val="0"/>
              <w:widowControl/>
              <w:suppressLineNumbers w:val="0"/>
              <w:tabs>
                <w:tab w:val="left" w:pos="3438"/>
              </w:tabs>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基于以上预测模型，考虑设备数量和分布情况、衰减距离后，项目设备对项目边界的综合贡献值见下表</w:t>
            </w:r>
            <w:r>
              <w:rPr>
                <w:rFonts w:hint="eastAsia" w:ascii="Times New Roman" w:hAnsi="Times New Roman" w:eastAsia="宋体" w:cs="Times New Roman"/>
                <w:b w:val="0"/>
                <w:bCs w:val="0"/>
                <w:color w:val="auto"/>
                <w:kern w:val="2"/>
                <w:sz w:val="24"/>
                <w:szCs w:val="24"/>
                <w:highlight w:val="none"/>
                <w:lang w:val="en-US" w:eastAsia="zh-CN" w:bidi="ar-SA"/>
              </w:rPr>
              <w:t>。</w:t>
            </w:r>
          </w:p>
          <w:p>
            <w:pPr>
              <w:keepNext w:val="0"/>
              <w:keepLines w:val="0"/>
              <w:suppressLineNumbers w:val="0"/>
              <w:spacing w:before="0" w:beforeAutospacing="0" w:after="0" w:afterAutospacing="0" w:line="240" w:lineRule="auto"/>
              <w:ind w:left="0" w:right="0" w:firstLine="0" w:firstLineChars="0"/>
              <w:jc w:val="center"/>
              <w:rPr>
                <w:rFonts w:hint="default"/>
                <w:color w:val="auto"/>
                <w:highlight w:val="none"/>
              </w:rPr>
            </w:pPr>
            <w:r>
              <w:rPr>
                <w:rFonts w:hint="default"/>
                <w:b/>
                <w:bCs/>
                <w:color w:val="auto"/>
                <w:kern w:val="2"/>
                <w:sz w:val="24"/>
                <w:szCs w:val="24"/>
                <w:highlight w:val="none"/>
              </w:rPr>
              <w:t>表4-1</w:t>
            </w:r>
            <w:r>
              <w:rPr>
                <w:rFonts w:hint="eastAsia"/>
                <w:b/>
                <w:bCs/>
                <w:color w:val="auto"/>
                <w:kern w:val="2"/>
                <w:sz w:val="24"/>
                <w:szCs w:val="24"/>
                <w:highlight w:val="none"/>
                <w:lang w:val="en-US" w:eastAsia="zh-CN"/>
              </w:rPr>
              <w:t>4</w:t>
            </w:r>
            <w:r>
              <w:rPr>
                <w:rFonts w:hint="default"/>
                <w:b/>
                <w:bCs/>
                <w:color w:val="auto"/>
                <w:kern w:val="2"/>
                <w:sz w:val="24"/>
                <w:szCs w:val="24"/>
                <w:highlight w:val="none"/>
              </w:rPr>
              <w:t xml:space="preserve">  项目厂界噪声贡献值</w:t>
            </w:r>
          </w:p>
          <w:tbl>
            <w:tblPr>
              <w:tblStyle w:val="3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782"/>
              <w:gridCol w:w="1131"/>
              <w:gridCol w:w="957"/>
              <w:gridCol w:w="924"/>
              <w:gridCol w:w="997"/>
              <w:gridCol w:w="736"/>
              <w:gridCol w:w="650"/>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701"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位置</w:t>
                  </w:r>
                </w:p>
              </w:tc>
              <w:tc>
                <w:tcPr>
                  <w:tcW w:w="474"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噪声源强dB（A）</w:t>
                  </w:r>
                </w:p>
              </w:tc>
              <w:tc>
                <w:tcPr>
                  <w:tcW w:w="685"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声源与厂房</w:t>
                  </w:r>
                  <w:r>
                    <w:rPr>
                      <w:rFonts w:hint="eastAsia" w:ascii="Times New Roman" w:hAnsi="Times New Roman" w:eastAsia="宋体" w:cs="Times New Roman"/>
                      <w:b/>
                      <w:bCs/>
                      <w:color w:val="auto"/>
                      <w:sz w:val="21"/>
                      <w:szCs w:val="21"/>
                      <w:highlight w:val="none"/>
                      <w:vertAlign w:val="baseline"/>
                      <w:lang w:val="en-US" w:eastAsia="zh-CN"/>
                    </w:rPr>
                    <w:t>边界距离（m）</w:t>
                  </w:r>
                </w:p>
              </w:tc>
              <w:tc>
                <w:tcPr>
                  <w:tcW w:w="580"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贡献值/dB（A）</w:t>
                  </w:r>
                </w:p>
              </w:tc>
              <w:tc>
                <w:tcPr>
                  <w:tcW w:w="560"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厂房边界与四边距离（m）</w:t>
                  </w:r>
                </w:p>
              </w:tc>
              <w:tc>
                <w:tcPr>
                  <w:tcW w:w="604"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贡献值/dB（A）</w:t>
                  </w:r>
                </w:p>
              </w:tc>
              <w:tc>
                <w:tcPr>
                  <w:tcW w:w="840" w:type="pct"/>
                  <w:gridSpan w:val="2"/>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标准值/dB（A）</w:t>
                  </w:r>
                </w:p>
              </w:tc>
              <w:tc>
                <w:tcPr>
                  <w:tcW w:w="552"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01"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color w:val="auto"/>
                      <w:sz w:val="21"/>
                      <w:szCs w:val="21"/>
                      <w:highlight w:val="none"/>
                      <w:vertAlign w:val="baseline"/>
                      <w:lang w:val="en-US" w:eastAsia="zh-CN"/>
                    </w:rPr>
                  </w:pPr>
                </w:p>
              </w:tc>
              <w:tc>
                <w:tcPr>
                  <w:tcW w:w="474"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1"/>
                      <w:highlight w:val="none"/>
                      <w:vertAlign w:val="baseline"/>
                      <w:lang w:val="en-US" w:eastAsia="zh-CN"/>
                    </w:rPr>
                  </w:pPr>
                </w:p>
              </w:tc>
              <w:tc>
                <w:tcPr>
                  <w:tcW w:w="685"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1"/>
                      <w:highlight w:val="none"/>
                      <w:vertAlign w:val="baseline"/>
                      <w:lang w:val="en-US" w:eastAsia="zh-CN"/>
                    </w:rPr>
                  </w:pPr>
                </w:p>
              </w:tc>
              <w:tc>
                <w:tcPr>
                  <w:tcW w:w="580"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1"/>
                      <w:highlight w:val="none"/>
                      <w:vertAlign w:val="baseline"/>
                      <w:lang w:val="en-US" w:eastAsia="zh-CN"/>
                    </w:rPr>
                  </w:pPr>
                </w:p>
              </w:tc>
              <w:tc>
                <w:tcPr>
                  <w:tcW w:w="560"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1"/>
                      <w:highlight w:val="none"/>
                      <w:vertAlign w:val="baseline"/>
                      <w:lang w:val="en-US" w:eastAsia="zh-CN"/>
                    </w:rPr>
                  </w:pPr>
                </w:p>
              </w:tc>
              <w:tc>
                <w:tcPr>
                  <w:tcW w:w="604"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b/>
                      <w:bCs/>
                      <w:color w:val="auto"/>
                      <w:sz w:val="21"/>
                      <w:szCs w:val="21"/>
                      <w:highlight w:val="none"/>
                      <w:vertAlign w:val="baseline"/>
                      <w:lang w:val="en-US" w:eastAsia="zh-CN"/>
                    </w:rPr>
                  </w:pPr>
                </w:p>
              </w:tc>
              <w:tc>
                <w:tcPr>
                  <w:tcW w:w="446"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昼间</w:t>
                  </w:r>
                </w:p>
              </w:tc>
              <w:tc>
                <w:tcPr>
                  <w:tcW w:w="39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夜间</w:t>
                  </w:r>
                </w:p>
              </w:tc>
              <w:tc>
                <w:tcPr>
                  <w:tcW w:w="552"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01"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东北边界</w:t>
                  </w:r>
                </w:p>
              </w:tc>
              <w:tc>
                <w:tcPr>
                  <w:tcW w:w="474" w:type="pct"/>
                  <w:vMerge w:val="restar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61.58</w:t>
                  </w:r>
                </w:p>
              </w:tc>
              <w:tc>
                <w:tcPr>
                  <w:tcW w:w="685"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8</w:t>
                  </w:r>
                </w:p>
              </w:tc>
              <w:tc>
                <w:tcPr>
                  <w:tcW w:w="58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43.5</w:t>
                  </w:r>
                </w:p>
              </w:tc>
              <w:tc>
                <w:tcPr>
                  <w:tcW w:w="56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10</w:t>
                  </w:r>
                </w:p>
              </w:tc>
              <w:tc>
                <w:tcPr>
                  <w:tcW w:w="60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41.6</w:t>
                  </w:r>
                </w:p>
              </w:tc>
              <w:tc>
                <w:tcPr>
                  <w:tcW w:w="446"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60</w:t>
                  </w:r>
                </w:p>
              </w:tc>
              <w:tc>
                <w:tcPr>
                  <w:tcW w:w="39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50</w:t>
                  </w:r>
                </w:p>
              </w:tc>
              <w:tc>
                <w:tcPr>
                  <w:tcW w:w="552"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东南边界</w:t>
                  </w:r>
                </w:p>
              </w:tc>
              <w:tc>
                <w:tcPr>
                  <w:tcW w:w="474"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highlight w:val="none"/>
                      <w:vertAlign w:val="baseline"/>
                      <w:lang w:val="en-US" w:eastAsia="zh-CN"/>
                    </w:rPr>
                  </w:pPr>
                </w:p>
              </w:tc>
              <w:tc>
                <w:tcPr>
                  <w:tcW w:w="685"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25</w:t>
                  </w:r>
                </w:p>
              </w:tc>
              <w:tc>
                <w:tcPr>
                  <w:tcW w:w="58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33.6</w:t>
                  </w:r>
                </w:p>
              </w:tc>
              <w:tc>
                <w:tcPr>
                  <w:tcW w:w="56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10</w:t>
                  </w:r>
                </w:p>
              </w:tc>
              <w:tc>
                <w:tcPr>
                  <w:tcW w:w="60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41.6</w:t>
                  </w:r>
                </w:p>
              </w:tc>
              <w:tc>
                <w:tcPr>
                  <w:tcW w:w="446"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60</w:t>
                  </w:r>
                </w:p>
              </w:tc>
              <w:tc>
                <w:tcPr>
                  <w:tcW w:w="39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w:t>
                  </w:r>
                </w:p>
              </w:tc>
              <w:tc>
                <w:tcPr>
                  <w:tcW w:w="552"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西南边界</w:t>
                  </w:r>
                </w:p>
              </w:tc>
              <w:tc>
                <w:tcPr>
                  <w:tcW w:w="474"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highlight w:val="none"/>
                      <w:vertAlign w:val="baseline"/>
                      <w:lang w:val="en-US" w:eastAsia="zh-CN"/>
                    </w:rPr>
                  </w:pPr>
                </w:p>
              </w:tc>
              <w:tc>
                <w:tcPr>
                  <w:tcW w:w="685"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12</w:t>
                  </w:r>
                </w:p>
              </w:tc>
              <w:tc>
                <w:tcPr>
                  <w:tcW w:w="58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40.0</w:t>
                  </w:r>
                </w:p>
              </w:tc>
              <w:tc>
                <w:tcPr>
                  <w:tcW w:w="56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20</w:t>
                  </w:r>
                </w:p>
              </w:tc>
              <w:tc>
                <w:tcPr>
                  <w:tcW w:w="60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35.6</w:t>
                  </w:r>
                </w:p>
              </w:tc>
              <w:tc>
                <w:tcPr>
                  <w:tcW w:w="446"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60</w:t>
                  </w:r>
                </w:p>
              </w:tc>
              <w:tc>
                <w:tcPr>
                  <w:tcW w:w="39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w:t>
                  </w:r>
                </w:p>
              </w:tc>
              <w:tc>
                <w:tcPr>
                  <w:tcW w:w="552"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1"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西北边界</w:t>
                  </w:r>
                </w:p>
              </w:tc>
              <w:tc>
                <w:tcPr>
                  <w:tcW w:w="474" w:type="pct"/>
                  <w:vMerge w:val="continue"/>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highlight w:val="none"/>
                      <w:vertAlign w:val="baseline"/>
                      <w:lang w:val="en-US" w:eastAsia="zh-CN"/>
                    </w:rPr>
                  </w:pPr>
                </w:p>
              </w:tc>
              <w:tc>
                <w:tcPr>
                  <w:tcW w:w="685"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28</w:t>
                  </w:r>
                </w:p>
              </w:tc>
              <w:tc>
                <w:tcPr>
                  <w:tcW w:w="58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32.6</w:t>
                  </w:r>
                </w:p>
              </w:tc>
              <w:tc>
                <w:tcPr>
                  <w:tcW w:w="560"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12</w:t>
                  </w:r>
                </w:p>
              </w:tc>
              <w:tc>
                <w:tcPr>
                  <w:tcW w:w="60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highlight w:val="none"/>
                      <w:lang w:val="en-US" w:eastAsia="zh-CN"/>
                    </w:rPr>
                  </w:pPr>
                  <w:r>
                    <w:rPr>
                      <w:rFonts w:hint="eastAsia" w:cs="Times New Roman"/>
                      <w:color w:val="auto"/>
                      <w:sz w:val="21"/>
                      <w:szCs w:val="21"/>
                      <w:highlight w:val="none"/>
                      <w:vertAlign w:val="baseline"/>
                      <w:lang w:val="en-US" w:eastAsia="zh-CN"/>
                    </w:rPr>
                    <w:t>40.0</w:t>
                  </w:r>
                </w:p>
              </w:tc>
              <w:tc>
                <w:tcPr>
                  <w:tcW w:w="446"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60</w:t>
                  </w:r>
                </w:p>
              </w:tc>
              <w:tc>
                <w:tcPr>
                  <w:tcW w:w="394"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50</w:t>
                  </w:r>
                </w:p>
              </w:tc>
              <w:tc>
                <w:tcPr>
                  <w:tcW w:w="552" w:type="pct"/>
                  <w:noWrap w:val="0"/>
                  <w:vAlign w:val="center"/>
                </w:tcPr>
                <w:p>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达标</w:t>
                  </w:r>
                </w:p>
              </w:tc>
            </w:tr>
          </w:tbl>
          <w:p>
            <w:pPr>
              <w:keepNext w:val="0"/>
              <w:keepLines w:val="0"/>
              <w:widowControl/>
              <w:suppressLineNumbers w:val="0"/>
              <w:spacing w:before="120" w:beforeLines="50" w:beforeAutospacing="0" w:after="0" w:afterAutospacing="0"/>
              <w:ind w:left="0" w:right="0" w:firstLine="482"/>
              <w:rPr>
                <w:rFonts w:hint="default" w:eastAsiaTheme="minorEastAsia"/>
                <w:color w:val="auto"/>
                <w:sz w:val="24"/>
                <w:szCs w:val="24"/>
                <w:highlight w:val="none"/>
              </w:rPr>
            </w:pPr>
            <w:r>
              <w:rPr>
                <w:rFonts w:hint="default" w:eastAsiaTheme="minorEastAsia"/>
                <w:b/>
                <w:bCs/>
                <w:color w:val="auto"/>
                <w:sz w:val="24"/>
                <w:szCs w:val="24"/>
                <w:highlight w:val="none"/>
              </w:rPr>
              <w:t>（2）噪声影响分析</w:t>
            </w:r>
          </w:p>
          <w:p>
            <w:pPr>
              <w:keepNext w:val="0"/>
              <w:keepLines w:val="0"/>
              <w:widowControl/>
              <w:suppressLineNumbers w:val="0"/>
              <w:spacing w:before="0" w:beforeAutospacing="0" w:after="0" w:afterAutospacing="0"/>
              <w:ind w:left="0" w:right="0" w:firstLine="480"/>
              <w:rPr>
                <w:rFonts w:hint="default"/>
                <w:color w:val="auto"/>
                <w:kern w:val="2"/>
                <w:sz w:val="24"/>
                <w:szCs w:val="24"/>
                <w:highlight w:val="none"/>
              </w:rPr>
            </w:pPr>
            <w:r>
              <w:rPr>
                <w:rFonts w:hint="default"/>
                <w:color w:val="auto"/>
                <w:kern w:val="2"/>
                <w:sz w:val="24"/>
                <w:szCs w:val="24"/>
                <w:highlight w:val="none"/>
              </w:rPr>
              <w:t>项目在采取基础减振、消声及墙体隔声措施后，营运期厂界噪声贡献值可达标排放，均可达到《工业企业厂界环境噪声排放标准》（GB12348-2008）2类标准（昼间≤60dB（A）、夜间≤50dB（A））。</w:t>
            </w:r>
          </w:p>
          <w:p>
            <w:pPr>
              <w:pStyle w:val="112"/>
              <w:keepNext w:val="0"/>
              <w:keepLines w:val="0"/>
              <w:suppressLineNumbers w:val="0"/>
              <w:spacing w:before="0" w:beforeAutospacing="0" w:after="0" w:afterAutospacing="0" w:line="360" w:lineRule="auto"/>
              <w:ind w:left="0" w:right="0" w:firstLine="482" w:firstLineChars="200"/>
              <w:rPr>
                <w:rFonts w:hint="default" w:ascii="Times New Roman" w:eastAsia="宋体"/>
                <w:color w:val="auto"/>
                <w:sz w:val="24"/>
                <w:szCs w:val="24"/>
                <w:highlight w:val="none"/>
              </w:rPr>
            </w:pPr>
            <w:r>
              <w:rPr>
                <w:rFonts w:hint="default" w:ascii="Times New Roman" w:eastAsia="宋体"/>
                <w:color w:val="auto"/>
                <w:sz w:val="24"/>
                <w:szCs w:val="24"/>
                <w:highlight w:val="none"/>
              </w:rPr>
              <w:t>3、监测要求</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根据《排污单位自行监测技术指南</w:t>
            </w:r>
            <w:r>
              <w:rPr>
                <w:rFonts w:ascii="Times New Roman" w:hAnsi="Times New Roman"/>
                <w:color w:val="auto"/>
                <w:highlight w:val="none"/>
              </w:rPr>
              <w:t xml:space="preserve"> </w:t>
            </w:r>
            <w:r>
              <w:rPr>
                <w:rFonts w:hint="default" w:ascii="Times New Roman" w:hAnsi="Times New Roman"/>
                <w:color w:val="auto"/>
                <w:highlight w:val="none"/>
              </w:rPr>
              <w:t>总则》（HJ819-2017），制定本项目噪声监测计划如下表。</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p>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表4-1</w:t>
            </w:r>
            <w:r>
              <w:rPr>
                <w:rFonts w:hint="eastAsia"/>
                <w:b/>
                <w:bCs/>
                <w:color w:val="auto"/>
                <w:kern w:val="2"/>
                <w:sz w:val="24"/>
                <w:szCs w:val="24"/>
                <w:highlight w:val="none"/>
                <w:lang w:val="en-US" w:eastAsia="zh-CN"/>
              </w:rPr>
              <w:t>5</w:t>
            </w:r>
            <w:r>
              <w:rPr>
                <w:rFonts w:hint="default"/>
                <w:b/>
                <w:bCs/>
                <w:color w:val="auto"/>
                <w:kern w:val="2"/>
                <w:sz w:val="24"/>
                <w:szCs w:val="24"/>
                <w:highlight w:val="none"/>
              </w:rPr>
              <w:t xml:space="preserve">  项目噪声监测计划表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133"/>
              <w:gridCol w:w="1519"/>
              <w:gridCol w:w="1272"/>
              <w:gridCol w:w="3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类别</w:t>
                  </w:r>
                </w:p>
              </w:tc>
              <w:tc>
                <w:tcPr>
                  <w:tcW w:w="68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监测点位</w:t>
                  </w:r>
                </w:p>
              </w:tc>
              <w:tc>
                <w:tcPr>
                  <w:tcW w:w="921"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监测项目</w:t>
                  </w:r>
                </w:p>
              </w:tc>
              <w:tc>
                <w:tcPr>
                  <w:tcW w:w="771"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监测频次</w:t>
                  </w:r>
                </w:p>
              </w:tc>
              <w:tc>
                <w:tcPr>
                  <w:tcW w:w="2093"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厂界</w:t>
                  </w:r>
                </w:p>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噪声</w:t>
                  </w:r>
                </w:p>
              </w:tc>
              <w:tc>
                <w:tcPr>
                  <w:tcW w:w="687"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厂界四周</w:t>
                  </w:r>
                </w:p>
              </w:tc>
              <w:tc>
                <w:tcPr>
                  <w:tcW w:w="921"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等效连续A声级</w:t>
                  </w:r>
                </w:p>
              </w:tc>
              <w:tc>
                <w:tcPr>
                  <w:tcW w:w="771" w:type="pct"/>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1次/季</w:t>
                  </w:r>
                </w:p>
              </w:tc>
              <w:tc>
                <w:tcPr>
                  <w:tcW w:w="2093"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《工业企业厂界环境噪声排放标准》（GB12348-2008）中的2类标准</w:t>
                  </w:r>
                </w:p>
              </w:tc>
            </w:tr>
          </w:tbl>
          <w:p>
            <w:pPr>
              <w:pStyle w:val="111"/>
              <w:keepNext w:val="0"/>
              <w:keepLines w:val="0"/>
              <w:suppressLineNumbers w:val="0"/>
              <w:spacing w:before="120" w:beforeLines="5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四、固体废物</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1、产生情况</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（1）生活垃圾</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snapToGrid w:val="0"/>
                <w:color w:val="auto"/>
                <w:kern w:val="0"/>
                <w:highlight w:val="none"/>
              </w:rPr>
            </w:pPr>
            <w:r>
              <w:rPr>
                <w:rFonts w:hint="default" w:ascii="Times New Roman" w:hAnsi="Times New Roman"/>
                <w:snapToGrid w:val="0"/>
                <w:color w:val="auto"/>
                <w:kern w:val="0"/>
                <w:highlight w:val="none"/>
              </w:rPr>
              <w:t>项目员工数为30人，员工不在项目内食宿，生活垃圾按0.5kg/人d计，则员工生活垃圾产生量为4.5t/a。</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（2）一般工业固体废物</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eastAsia"/>
                <w:snapToGrid w:val="0"/>
                <w:color w:val="auto"/>
                <w:sz w:val="24"/>
                <w:szCs w:val="24"/>
                <w:highlight w:val="none"/>
                <w:lang w:val="en-US" w:eastAsia="zh-CN"/>
              </w:rPr>
              <w:t>1</w:t>
            </w:r>
            <w:r>
              <w:rPr>
                <w:rFonts w:hint="default"/>
                <w:snapToGrid w:val="0"/>
                <w:color w:val="auto"/>
                <w:sz w:val="24"/>
                <w:szCs w:val="24"/>
                <w:highlight w:val="none"/>
              </w:rPr>
              <w:t>）边角料</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highlight w:val="none"/>
              </w:rPr>
            </w:pPr>
            <w:r>
              <w:rPr>
                <w:rFonts w:hint="default"/>
                <w:snapToGrid w:val="0"/>
                <w:color w:val="auto"/>
                <w:sz w:val="24"/>
                <w:highlight w:val="none"/>
              </w:rPr>
              <w:t>粗铜线在拉丝过程中，会产生线头边角料，根据建设单位提供的资料，产生量约为0.02%。</w:t>
            </w:r>
            <w:r>
              <w:rPr>
                <w:rFonts w:hint="default"/>
                <w:snapToGrid w:val="0"/>
                <w:color w:val="auto"/>
                <w:sz w:val="24"/>
                <w:szCs w:val="24"/>
                <w:highlight w:val="none"/>
              </w:rPr>
              <w:t>项目粗铜线年使用量为2015t/a</w:t>
            </w:r>
            <w:r>
              <w:rPr>
                <w:rFonts w:hint="default"/>
                <w:snapToGrid w:val="0"/>
                <w:color w:val="auto"/>
                <w:sz w:val="24"/>
                <w:highlight w:val="none"/>
              </w:rPr>
              <w:t>，则边角料的产生量为0.4t/a。交由专业处置公司回收利用。</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eastAsia"/>
                <w:snapToGrid w:val="0"/>
                <w:color w:val="auto"/>
                <w:sz w:val="24"/>
                <w:szCs w:val="24"/>
                <w:highlight w:val="none"/>
                <w:lang w:val="en-US" w:eastAsia="zh-CN"/>
              </w:rPr>
              <w:t>2</w:t>
            </w:r>
            <w:r>
              <w:rPr>
                <w:rFonts w:hint="default"/>
                <w:snapToGrid w:val="0"/>
                <w:color w:val="auto"/>
                <w:sz w:val="24"/>
                <w:szCs w:val="24"/>
                <w:highlight w:val="none"/>
              </w:rPr>
              <w:t>）锡渣</w:t>
            </w:r>
          </w:p>
          <w:p>
            <w:pPr>
              <w:keepNext w:val="0"/>
              <w:keepLines w:val="0"/>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eastAsia"/>
                <w:snapToGrid w:val="0"/>
                <w:color w:val="auto"/>
                <w:sz w:val="24"/>
                <w:szCs w:val="24"/>
                <w:highlight w:val="none"/>
              </w:rPr>
              <w:t>热浸锡</w:t>
            </w:r>
            <w:r>
              <w:rPr>
                <w:rFonts w:hint="default"/>
                <w:snapToGrid w:val="0"/>
                <w:color w:val="auto"/>
                <w:sz w:val="24"/>
                <w:szCs w:val="24"/>
                <w:highlight w:val="none"/>
              </w:rPr>
              <w:t>工序有锡渣产生，按锡锭的利用率为95%计算。项目年使用无铅锡锭6.8吨，则锡渣的产生量为0.34t/a。</w:t>
            </w:r>
            <w:r>
              <w:rPr>
                <w:rFonts w:hint="default"/>
                <w:color w:val="auto"/>
                <w:kern w:val="2"/>
                <w:sz w:val="24"/>
                <w:szCs w:val="24"/>
                <w:highlight w:val="none"/>
              </w:rPr>
              <w:t>经统一收集后，</w:t>
            </w:r>
            <w:r>
              <w:rPr>
                <w:rFonts w:hint="default"/>
                <w:snapToGrid w:val="0"/>
                <w:color w:val="auto"/>
                <w:sz w:val="24"/>
                <w:szCs w:val="24"/>
                <w:highlight w:val="none"/>
              </w:rPr>
              <w:t>交由专业处置公司回收利用</w:t>
            </w:r>
            <w:r>
              <w:rPr>
                <w:rFonts w:hint="default"/>
                <w:color w:val="auto"/>
                <w:kern w:val="2"/>
                <w:sz w:val="24"/>
                <w:szCs w:val="24"/>
                <w:highlight w:val="none"/>
              </w:rPr>
              <w:t>。</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eastAsia"/>
                <w:snapToGrid w:val="0"/>
                <w:color w:val="auto"/>
                <w:sz w:val="24"/>
                <w:szCs w:val="24"/>
                <w:highlight w:val="none"/>
                <w:lang w:val="en-US" w:eastAsia="zh-CN"/>
              </w:rPr>
              <w:t>3</w:t>
            </w:r>
            <w:r>
              <w:rPr>
                <w:rFonts w:hint="default"/>
                <w:snapToGrid w:val="0"/>
                <w:color w:val="auto"/>
                <w:sz w:val="24"/>
                <w:szCs w:val="24"/>
                <w:highlight w:val="none"/>
              </w:rPr>
              <w:t>）废包装材料</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default"/>
                <w:snapToGrid w:val="0"/>
                <w:color w:val="auto"/>
                <w:sz w:val="24"/>
                <w:szCs w:val="24"/>
                <w:highlight w:val="none"/>
              </w:rPr>
              <w:t>项目在粗铜线、锡锭拆包装时会产生</w:t>
            </w:r>
            <w:r>
              <w:rPr>
                <w:rFonts w:hint="eastAsia"/>
                <w:snapToGrid w:val="0"/>
                <w:color w:val="auto"/>
                <w:sz w:val="24"/>
                <w:szCs w:val="24"/>
                <w:highlight w:val="none"/>
              </w:rPr>
              <w:t>废</w:t>
            </w:r>
            <w:r>
              <w:rPr>
                <w:rFonts w:hint="default"/>
                <w:snapToGrid w:val="0"/>
                <w:color w:val="auto"/>
                <w:sz w:val="24"/>
                <w:szCs w:val="24"/>
                <w:highlight w:val="none"/>
              </w:rPr>
              <w:t>包装材料，根据建设单位提供的资料，废包装材料的产生量约为0.5t/a。</w:t>
            </w:r>
            <w:r>
              <w:rPr>
                <w:rFonts w:hint="default"/>
                <w:color w:val="auto"/>
                <w:kern w:val="2"/>
                <w:sz w:val="24"/>
                <w:szCs w:val="24"/>
                <w:highlight w:val="none"/>
              </w:rPr>
              <w:t>经统一收集后，</w:t>
            </w:r>
            <w:r>
              <w:rPr>
                <w:rFonts w:hint="default"/>
                <w:snapToGrid w:val="0"/>
                <w:color w:val="auto"/>
                <w:sz w:val="24"/>
                <w:szCs w:val="24"/>
                <w:highlight w:val="none"/>
              </w:rPr>
              <w:t>交由专业处置公司回收利用。</w:t>
            </w:r>
          </w:p>
          <w:p>
            <w:pPr>
              <w:keepNext w:val="0"/>
              <w:keepLines w:val="0"/>
              <w:suppressLineNumbers w:val="0"/>
              <w:autoSpaceDE w:val="0"/>
              <w:autoSpaceDN w:val="0"/>
              <w:adjustRightInd w:val="0"/>
              <w:spacing w:before="0" w:beforeAutospacing="0" w:after="0" w:afterAutospacing="0" w:line="360" w:lineRule="auto"/>
              <w:ind w:left="0" w:right="0" w:firstLine="482"/>
              <w:jc w:val="both"/>
              <w:rPr>
                <w:rFonts w:hint="default"/>
                <w:b/>
                <w:bCs/>
                <w:color w:val="auto"/>
                <w:sz w:val="24"/>
                <w:szCs w:val="24"/>
                <w:highlight w:val="none"/>
              </w:rPr>
            </w:pPr>
            <w:r>
              <w:rPr>
                <w:rFonts w:hint="default"/>
                <w:b/>
                <w:bCs/>
                <w:color w:val="auto"/>
                <w:sz w:val="24"/>
                <w:szCs w:val="24"/>
                <w:highlight w:val="none"/>
              </w:rPr>
              <w:t>③危险废物</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default"/>
                <w:snapToGrid w:val="0"/>
                <w:color w:val="auto"/>
                <w:sz w:val="24"/>
                <w:szCs w:val="24"/>
                <w:highlight w:val="none"/>
              </w:rPr>
              <w:t>1）</w:t>
            </w:r>
            <w:r>
              <w:rPr>
                <w:rFonts w:hint="eastAsia"/>
                <w:snapToGrid w:val="0"/>
                <w:color w:val="auto"/>
                <w:sz w:val="24"/>
                <w:szCs w:val="24"/>
                <w:highlight w:val="none"/>
                <w:lang w:val="en-US" w:eastAsia="zh-CN"/>
              </w:rPr>
              <w:t>含油</w:t>
            </w:r>
            <w:r>
              <w:rPr>
                <w:rFonts w:hint="default"/>
                <w:snapToGrid w:val="0"/>
                <w:color w:val="auto"/>
                <w:sz w:val="24"/>
                <w:szCs w:val="24"/>
                <w:highlight w:val="none"/>
              </w:rPr>
              <w:t>废铜线</w:t>
            </w:r>
          </w:p>
          <w:p>
            <w:pPr>
              <w:keepNext w:val="0"/>
              <w:keepLines w:val="0"/>
              <w:suppressLineNumbers w:val="0"/>
              <w:spacing w:before="0" w:beforeAutospacing="0" w:after="0" w:afterAutospacing="0" w:line="360" w:lineRule="auto"/>
              <w:ind w:left="0" w:right="0" w:firstLine="480"/>
              <w:jc w:val="both"/>
              <w:rPr>
                <w:rFonts w:hint="default"/>
                <w:color w:val="auto"/>
                <w:sz w:val="24"/>
                <w:szCs w:val="24"/>
                <w:highlight w:val="none"/>
                <w:lang w:bidi="ar"/>
              </w:rPr>
            </w:pPr>
            <w:r>
              <w:rPr>
                <w:rFonts w:hint="default"/>
                <w:snapToGrid w:val="0"/>
                <w:color w:val="auto"/>
                <w:sz w:val="24"/>
                <w:szCs w:val="24"/>
                <w:highlight w:val="none"/>
              </w:rPr>
              <w:t>项目在拉丝过程中，会产生不合格产品的</w:t>
            </w:r>
            <w:r>
              <w:rPr>
                <w:rFonts w:hint="eastAsia"/>
                <w:snapToGrid w:val="0"/>
                <w:color w:val="auto"/>
                <w:sz w:val="24"/>
                <w:szCs w:val="24"/>
                <w:highlight w:val="none"/>
                <w:lang w:val="en-US" w:eastAsia="zh-CN"/>
              </w:rPr>
              <w:t>含油</w:t>
            </w:r>
            <w:r>
              <w:rPr>
                <w:rFonts w:hint="default"/>
                <w:snapToGrid w:val="0"/>
                <w:color w:val="auto"/>
                <w:sz w:val="24"/>
                <w:szCs w:val="24"/>
                <w:highlight w:val="none"/>
              </w:rPr>
              <w:t>废铜线，根据建设单位提供的资料，项目</w:t>
            </w:r>
            <w:r>
              <w:rPr>
                <w:rFonts w:hint="eastAsia"/>
                <w:snapToGrid w:val="0"/>
                <w:color w:val="auto"/>
                <w:sz w:val="24"/>
                <w:szCs w:val="24"/>
                <w:highlight w:val="none"/>
                <w:lang w:val="en-US" w:eastAsia="zh-CN"/>
              </w:rPr>
              <w:t>含油</w:t>
            </w:r>
            <w:r>
              <w:rPr>
                <w:rFonts w:hint="default"/>
                <w:snapToGrid w:val="0"/>
                <w:color w:val="auto"/>
                <w:sz w:val="24"/>
                <w:szCs w:val="24"/>
                <w:highlight w:val="none"/>
              </w:rPr>
              <w:t>废铜线的不合格率按0.5%计，项目粗铜线年使用量为2015t/a。则，项目</w:t>
            </w:r>
            <w:r>
              <w:rPr>
                <w:rFonts w:hint="eastAsia"/>
                <w:snapToGrid w:val="0"/>
                <w:color w:val="auto"/>
                <w:sz w:val="24"/>
                <w:szCs w:val="24"/>
                <w:highlight w:val="none"/>
                <w:lang w:val="en-US" w:eastAsia="zh-CN"/>
              </w:rPr>
              <w:t>含油</w:t>
            </w:r>
            <w:r>
              <w:rPr>
                <w:rFonts w:hint="default"/>
                <w:snapToGrid w:val="0"/>
                <w:color w:val="auto"/>
                <w:sz w:val="24"/>
                <w:szCs w:val="24"/>
                <w:highlight w:val="none"/>
              </w:rPr>
              <w:t>废铜线产生量为10.1t/a。</w:t>
            </w:r>
            <w:r>
              <w:rPr>
                <w:rFonts w:hint="default"/>
                <w:color w:val="auto"/>
                <w:kern w:val="2"/>
                <w:sz w:val="24"/>
                <w:szCs w:val="24"/>
                <w:highlight w:val="none"/>
              </w:rPr>
              <w:t>根据《国家危险废物名录》（</w:t>
            </w:r>
            <w:r>
              <w:rPr>
                <w:rFonts w:hint="default"/>
                <w:bCs/>
                <w:color w:val="auto"/>
                <w:kern w:val="2"/>
                <w:sz w:val="24"/>
                <w:szCs w:val="24"/>
                <w:highlight w:val="none"/>
              </w:rPr>
              <w:t>2021年版</w:t>
            </w:r>
            <w:r>
              <w:rPr>
                <w:rFonts w:hint="default"/>
                <w:color w:val="auto"/>
                <w:kern w:val="2"/>
                <w:sz w:val="24"/>
                <w:szCs w:val="24"/>
                <w:highlight w:val="none"/>
              </w:rPr>
              <w:t>），</w:t>
            </w:r>
            <w:r>
              <w:rPr>
                <w:rFonts w:hint="eastAsia"/>
                <w:snapToGrid w:val="0"/>
                <w:color w:val="auto"/>
                <w:sz w:val="24"/>
                <w:szCs w:val="24"/>
                <w:highlight w:val="none"/>
                <w:lang w:val="en-US" w:eastAsia="zh-CN"/>
              </w:rPr>
              <w:t>含油</w:t>
            </w:r>
            <w:r>
              <w:rPr>
                <w:rFonts w:hint="default"/>
                <w:snapToGrid w:val="0"/>
                <w:color w:val="auto"/>
                <w:sz w:val="24"/>
                <w:szCs w:val="24"/>
                <w:highlight w:val="none"/>
              </w:rPr>
              <w:t>废铜线</w:t>
            </w:r>
            <w:r>
              <w:rPr>
                <w:rFonts w:hint="default"/>
                <w:color w:val="auto"/>
                <w:kern w:val="2"/>
                <w:sz w:val="24"/>
                <w:szCs w:val="24"/>
                <w:highlight w:val="none"/>
              </w:rPr>
              <w:t>属于HW</w:t>
            </w:r>
            <w:r>
              <w:rPr>
                <w:rFonts w:hint="eastAsia"/>
                <w:color w:val="auto"/>
                <w:kern w:val="2"/>
                <w:sz w:val="24"/>
                <w:szCs w:val="24"/>
                <w:highlight w:val="none"/>
                <w:lang w:val="en-US" w:eastAsia="zh-CN"/>
              </w:rPr>
              <w:t>49</w:t>
            </w:r>
            <w:r>
              <w:rPr>
                <w:rFonts w:hint="default"/>
                <w:color w:val="auto"/>
                <w:kern w:val="2"/>
                <w:sz w:val="24"/>
                <w:szCs w:val="24"/>
                <w:highlight w:val="none"/>
              </w:rPr>
              <w:t>类别中900-</w:t>
            </w:r>
            <w:r>
              <w:rPr>
                <w:rFonts w:hint="eastAsia"/>
                <w:color w:val="auto"/>
                <w:kern w:val="2"/>
                <w:sz w:val="24"/>
                <w:szCs w:val="24"/>
                <w:highlight w:val="none"/>
                <w:lang w:val="en-US" w:eastAsia="zh-CN"/>
              </w:rPr>
              <w:t>041</w:t>
            </w:r>
            <w:r>
              <w:rPr>
                <w:rFonts w:hint="default"/>
                <w:color w:val="auto"/>
                <w:kern w:val="2"/>
                <w:sz w:val="24"/>
                <w:szCs w:val="24"/>
                <w:highlight w:val="none"/>
              </w:rPr>
              <w:t>-</w:t>
            </w:r>
            <w:r>
              <w:rPr>
                <w:rFonts w:hint="eastAsia"/>
                <w:color w:val="auto"/>
                <w:kern w:val="2"/>
                <w:sz w:val="24"/>
                <w:szCs w:val="24"/>
                <w:highlight w:val="none"/>
                <w:lang w:val="en-US" w:eastAsia="zh-CN"/>
              </w:rPr>
              <w:t>49</w:t>
            </w:r>
            <w:r>
              <w:rPr>
                <w:rFonts w:hint="default"/>
                <w:color w:val="auto"/>
                <w:kern w:val="2"/>
                <w:sz w:val="24"/>
                <w:szCs w:val="24"/>
                <w:highlight w:val="none"/>
              </w:rPr>
              <w:t>类别的废物。在厂区危险废物暂存间暂存，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sz w:val="24"/>
                <w:szCs w:val="24"/>
                <w:highlight w:val="none"/>
                <w:lang w:bidi="ar"/>
              </w:rPr>
            </w:pPr>
            <w:r>
              <w:rPr>
                <w:rFonts w:hint="eastAsia"/>
                <w:color w:val="auto"/>
                <w:sz w:val="24"/>
                <w:szCs w:val="24"/>
                <w:highlight w:val="none"/>
                <w:lang w:val="en-US" w:eastAsia="zh-CN" w:bidi="ar"/>
              </w:rPr>
              <w:t>2</w:t>
            </w:r>
            <w:r>
              <w:rPr>
                <w:rFonts w:hint="default"/>
                <w:color w:val="auto"/>
                <w:sz w:val="24"/>
                <w:szCs w:val="24"/>
                <w:highlight w:val="none"/>
                <w:lang w:bidi="ar"/>
              </w:rPr>
              <w:t>）废润滑油</w:t>
            </w:r>
          </w:p>
          <w:p>
            <w:pPr>
              <w:keepNext w:val="0"/>
              <w:keepLines w:val="0"/>
              <w:suppressLineNumbers w:val="0"/>
              <w:spacing w:before="0" w:beforeAutospacing="0" w:after="0" w:afterAutospacing="0" w:line="360" w:lineRule="auto"/>
              <w:ind w:left="0" w:right="0" w:firstLine="480"/>
              <w:jc w:val="both"/>
              <w:rPr>
                <w:rFonts w:hint="default"/>
                <w:color w:val="auto"/>
                <w:kern w:val="2"/>
                <w:sz w:val="21"/>
                <w:szCs w:val="24"/>
                <w:highlight w:val="none"/>
              </w:rPr>
            </w:pPr>
            <w:r>
              <w:rPr>
                <w:rFonts w:hint="default"/>
                <w:color w:val="auto"/>
                <w:kern w:val="2"/>
                <w:sz w:val="24"/>
                <w:szCs w:val="24"/>
                <w:highlight w:val="none"/>
              </w:rPr>
              <w:t>项目在生产的过程中会产生一定量的废</w:t>
            </w:r>
            <w:r>
              <w:rPr>
                <w:rFonts w:hint="default"/>
                <w:color w:val="auto"/>
                <w:sz w:val="24"/>
                <w:szCs w:val="24"/>
                <w:highlight w:val="none"/>
                <w:lang w:bidi="ar"/>
              </w:rPr>
              <w:t>润滑油</w:t>
            </w:r>
            <w:r>
              <w:rPr>
                <w:rFonts w:hint="default"/>
                <w:color w:val="auto"/>
                <w:kern w:val="2"/>
                <w:sz w:val="24"/>
                <w:szCs w:val="24"/>
                <w:highlight w:val="none"/>
              </w:rPr>
              <w:t>。根据建设单位提供资料，废</w:t>
            </w:r>
            <w:r>
              <w:rPr>
                <w:rFonts w:hint="default"/>
                <w:color w:val="auto"/>
                <w:sz w:val="24"/>
                <w:szCs w:val="24"/>
                <w:highlight w:val="none"/>
                <w:lang w:bidi="ar"/>
              </w:rPr>
              <w:t>润滑油</w:t>
            </w:r>
            <w:r>
              <w:rPr>
                <w:rFonts w:hint="default"/>
                <w:bCs/>
                <w:color w:val="auto"/>
                <w:kern w:val="2"/>
                <w:sz w:val="24"/>
                <w:szCs w:val="24"/>
                <w:highlight w:val="none"/>
              </w:rPr>
              <w:t>产生的总量为原材料的10%，</w:t>
            </w:r>
            <w:r>
              <w:rPr>
                <w:rFonts w:hint="default"/>
                <w:color w:val="auto"/>
                <w:kern w:val="2"/>
                <w:sz w:val="24"/>
                <w:szCs w:val="24"/>
                <w:highlight w:val="none"/>
              </w:rPr>
              <w:t>年用</w:t>
            </w:r>
            <w:r>
              <w:rPr>
                <w:rFonts w:hint="default"/>
                <w:color w:val="auto"/>
                <w:sz w:val="24"/>
                <w:szCs w:val="24"/>
                <w:highlight w:val="none"/>
                <w:lang w:bidi="ar"/>
              </w:rPr>
              <w:t>润滑油</w:t>
            </w:r>
            <w:r>
              <w:rPr>
                <w:rFonts w:hint="default"/>
                <w:bCs/>
                <w:color w:val="auto"/>
                <w:kern w:val="2"/>
                <w:sz w:val="24"/>
                <w:szCs w:val="24"/>
                <w:highlight w:val="none"/>
              </w:rPr>
              <w:t>0.20吨，废</w:t>
            </w:r>
            <w:r>
              <w:rPr>
                <w:rFonts w:hint="default"/>
                <w:color w:val="auto"/>
                <w:sz w:val="24"/>
                <w:szCs w:val="24"/>
                <w:highlight w:val="none"/>
                <w:lang w:bidi="ar"/>
              </w:rPr>
              <w:t>润滑油</w:t>
            </w:r>
            <w:r>
              <w:rPr>
                <w:rFonts w:hint="default"/>
                <w:bCs/>
                <w:color w:val="auto"/>
                <w:kern w:val="2"/>
                <w:sz w:val="24"/>
                <w:szCs w:val="24"/>
                <w:highlight w:val="none"/>
              </w:rPr>
              <w:t>的产生量为0.02t/a</w:t>
            </w:r>
            <w:r>
              <w:rPr>
                <w:rFonts w:hint="default"/>
                <w:color w:val="auto"/>
                <w:kern w:val="2"/>
                <w:sz w:val="24"/>
                <w:szCs w:val="24"/>
                <w:highlight w:val="none"/>
              </w:rPr>
              <w:t>。根据《国家危险废物名录》（</w:t>
            </w:r>
            <w:r>
              <w:rPr>
                <w:rFonts w:hint="default"/>
                <w:bCs/>
                <w:color w:val="auto"/>
                <w:kern w:val="2"/>
                <w:sz w:val="24"/>
                <w:szCs w:val="24"/>
                <w:highlight w:val="none"/>
              </w:rPr>
              <w:t>2021年版</w:t>
            </w:r>
            <w:r>
              <w:rPr>
                <w:rFonts w:hint="default"/>
                <w:color w:val="auto"/>
                <w:kern w:val="2"/>
                <w:sz w:val="24"/>
                <w:szCs w:val="24"/>
                <w:highlight w:val="none"/>
              </w:rPr>
              <w:t>），废</w:t>
            </w:r>
            <w:r>
              <w:rPr>
                <w:rFonts w:hint="default"/>
                <w:color w:val="auto"/>
                <w:sz w:val="24"/>
                <w:szCs w:val="24"/>
                <w:highlight w:val="none"/>
                <w:lang w:bidi="ar"/>
              </w:rPr>
              <w:t>润滑油</w:t>
            </w:r>
            <w:r>
              <w:rPr>
                <w:rFonts w:hint="default"/>
                <w:color w:val="auto"/>
                <w:kern w:val="2"/>
                <w:sz w:val="24"/>
                <w:szCs w:val="24"/>
                <w:highlight w:val="none"/>
              </w:rPr>
              <w:t>属于HW08类别中900-249-08类别的废物。在厂区危险废物暂存间暂存，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sz w:val="24"/>
                <w:szCs w:val="24"/>
                <w:highlight w:val="none"/>
                <w:lang w:bidi="ar"/>
              </w:rPr>
            </w:pPr>
            <w:r>
              <w:rPr>
                <w:rFonts w:hint="eastAsia"/>
                <w:color w:val="auto"/>
                <w:sz w:val="24"/>
                <w:szCs w:val="24"/>
                <w:highlight w:val="none"/>
                <w:lang w:val="en-US" w:eastAsia="zh-CN" w:bidi="ar"/>
              </w:rPr>
              <w:t>3</w:t>
            </w:r>
            <w:r>
              <w:rPr>
                <w:rFonts w:hint="default"/>
                <w:color w:val="auto"/>
                <w:sz w:val="24"/>
                <w:szCs w:val="24"/>
                <w:highlight w:val="none"/>
                <w:lang w:bidi="ar"/>
              </w:rPr>
              <w:t>）废润滑油包装桶</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highlight w:val="none"/>
              </w:rPr>
            </w:pPr>
            <w:r>
              <w:rPr>
                <w:rFonts w:hint="default"/>
                <w:color w:val="auto"/>
                <w:kern w:val="2"/>
                <w:sz w:val="24"/>
                <w:szCs w:val="24"/>
                <w:highlight w:val="none"/>
              </w:rPr>
              <w:t>项目在使用</w:t>
            </w:r>
            <w:r>
              <w:rPr>
                <w:rFonts w:hint="default"/>
                <w:color w:val="auto"/>
                <w:sz w:val="24"/>
                <w:szCs w:val="24"/>
                <w:highlight w:val="none"/>
                <w:lang w:bidi="ar"/>
              </w:rPr>
              <w:t>润滑油</w:t>
            </w:r>
            <w:r>
              <w:rPr>
                <w:rFonts w:hint="default"/>
                <w:color w:val="auto"/>
                <w:kern w:val="2"/>
                <w:sz w:val="24"/>
                <w:szCs w:val="24"/>
                <w:highlight w:val="none"/>
              </w:rPr>
              <w:t>时会产生少量的废</w:t>
            </w:r>
            <w:r>
              <w:rPr>
                <w:rFonts w:hint="default"/>
                <w:color w:val="auto"/>
                <w:sz w:val="24"/>
                <w:szCs w:val="24"/>
                <w:highlight w:val="none"/>
                <w:lang w:bidi="ar"/>
              </w:rPr>
              <w:t>润滑油</w:t>
            </w:r>
            <w:r>
              <w:rPr>
                <w:rFonts w:hint="default"/>
                <w:color w:val="auto"/>
                <w:kern w:val="2"/>
                <w:sz w:val="24"/>
                <w:szCs w:val="24"/>
                <w:highlight w:val="none"/>
              </w:rPr>
              <w:t>包装桶，</w:t>
            </w:r>
            <w:r>
              <w:rPr>
                <w:rFonts w:hint="default"/>
                <w:color w:val="auto"/>
                <w:kern w:val="2"/>
                <w:sz w:val="24"/>
                <w:highlight w:val="none"/>
              </w:rPr>
              <w:t>项目年用</w:t>
            </w:r>
            <w:r>
              <w:rPr>
                <w:rFonts w:hint="default"/>
                <w:color w:val="auto"/>
                <w:sz w:val="24"/>
                <w:szCs w:val="24"/>
                <w:highlight w:val="none"/>
                <w:lang w:bidi="ar"/>
              </w:rPr>
              <w:t>润滑油</w:t>
            </w:r>
            <w:r>
              <w:rPr>
                <w:rFonts w:hint="default"/>
                <w:color w:val="auto"/>
                <w:kern w:val="2"/>
                <w:sz w:val="24"/>
                <w:highlight w:val="none"/>
              </w:rPr>
              <w:t>0.20t/a，其包装规格为200kg/桶，则产生</w:t>
            </w:r>
            <w:r>
              <w:rPr>
                <w:rFonts w:hint="default"/>
                <w:color w:val="auto"/>
                <w:sz w:val="24"/>
                <w:szCs w:val="24"/>
                <w:highlight w:val="none"/>
                <w:lang w:bidi="ar"/>
              </w:rPr>
              <w:t>润滑油</w:t>
            </w:r>
            <w:r>
              <w:rPr>
                <w:rFonts w:hint="default"/>
                <w:color w:val="auto"/>
                <w:kern w:val="2"/>
                <w:sz w:val="24"/>
                <w:highlight w:val="none"/>
              </w:rPr>
              <w:t>包装桶为1个，每个重量约20kg，则</w:t>
            </w:r>
            <w:r>
              <w:rPr>
                <w:rFonts w:hint="default"/>
                <w:color w:val="auto"/>
                <w:sz w:val="24"/>
                <w:szCs w:val="24"/>
                <w:highlight w:val="none"/>
                <w:lang w:bidi="ar"/>
              </w:rPr>
              <w:t>润滑油</w:t>
            </w:r>
            <w:r>
              <w:rPr>
                <w:rFonts w:hint="default"/>
                <w:color w:val="auto"/>
                <w:kern w:val="2"/>
                <w:sz w:val="24"/>
                <w:highlight w:val="none"/>
              </w:rPr>
              <w:t>包装桶产生量为0.02t/a</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kern w:val="2"/>
                <w:sz w:val="24"/>
                <w:highlight w:val="none"/>
              </w:rPr>
            </w:pPr>
            <w:r>
              <w:rPr>
                <w:rFonts w:hint="default"/>
                <w:bCs/>
                <w:color w:val="auto"/>
                <w:sz w:val="24"/>
                <w:highlight w:val="none"/>
              </w:rPr>
              <w:t>根据《国家危险废物名录》（2021年版），</w:t>
            </w:r>
            <w:r>
              <w:rPr>
                <w:rFonts w:hint="default"/>
                <w:color w:val="auto"/>
                <w:sz w:val="24"/>
                <w:szCs w:val="24"/>
                <w:highlight w:val="none"/>
                <w:lang w:bidi="ar"/>
              </w:rPr>
              <w:t>废润滑油包装桶</w:t>
            </w:r>
            <w:r>
              <w:rPr>
                <w:rFonts w:hint="default"/>
                <w:bCs/>
                <w:color w:val="auto"/>
                <w:sz w:val="24"/>
                <w:highlight w:val="none"/>
              </w:rPr>
              <w:t>属于</w:t>
            </w:r>
            <w:r>
              <w:rPr>
                <w:rFonts w:hint="default"/>
                <w:color w:val="auto"/>
                <w:sz w:val="24"/>
                <w:highlight w:val="none"/>
              </w:rPr>
              <w:t>HW08类别中900-249-08</w:t>
            </w:r>
            <w:r>
              <w:rPr>
                <w:rFonts w:hint="default"/>
                <w:bCs/>
                <w:color w:val="auto"/>
                <w:sz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sz w:val="24"/>
                <w:highlight w:val="none"/>
              </w:rPr>
              <w:t>，不外排。</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sz w:val="24"/>
                <w:szCs w:val="24"/>
                <w:highlight w:val="none"/>
                <w:lang w:bidi="ar"/>
              </w:rPr>
            </w:pPr>
            <w:r>
              <w:rPr>
                <w:rFonts w:hint="eastAsia"/>
                <w:color w:val="auto"/>
                <w:sz w:val="24"/>
                <w:szCs w:val="24"/>
                <w:highlight w:val="none"/>
                <w:lang w:val="en-US" w:eastAsia="zh-CN" w:bidi="ar"/>
              </w:rPr>
              <w:t>4</w:t>
            </w:r>
            <w:r>
              <w:rPr>
                <w:rFonts w:hint="default"/>
                <w:color w:val="auto"/>
                <w:sz w:val="24"/>
                <w:szCs w:val="24"/>
                <w:highlight w:val="none"/>
                <w:lang w:bidi="ar"/>
              </w:rPr>
              <w:t>）废拉丝油包装桶</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highlight w:val="none"/>
              </w:rPr>
            </w:pPr>
            <w:r>
              <w:rPr>
                <w:rFonts w:hint="default"/>
                <w:color w:val="auto"/>
                <w:kern w:val="2"/>
                <w:sz w:val="24"/>
                <w:szCs w:val="24"/>
                <w:highlight w:val="none"/>
              </w:rPr>
              <w:t>项目在使用</w:t>
            </w:r>
            <w:r>
              <w:rPr>
                <w:rFonts w:hint="default"/>
                <w:color w:val="auto"/>
                <w:sz w:val="24"/>
                <w:highlight w:val="none"/>
              </w:rPr>
              <w:t>拉丝油</w:t>
            </w:r>
            <w:r>
              <w:rPr>
                <w:rFonts w:hint="default"/>
                <w:color w:val="auto"/>
                <w:kern w:val="2"/>
                <w:sz w:val="24"/>
                <w:szCs w:val="24"/>
                <w:highlight w:val="none"/>
              </w:rPr>
              <w:t>时会产生少量的废拉丝油包装桶，</w:t>
            </w:r>
            <w:r>
              <w:rPr>
                <w:rFonts w:hint="default"/>
                <w:color w:val="auto"/>
                <w:kern w:val="2"/>
                <w:sz w:val="24"/>
                <w:highlight w:val="none"/>
              </w:rPr>
              <w:t>项目年用</w:t>
            </w:r>
            <w:r>
              <w:rPr>
                <w:rFonts w:hint="default"/>
                <w:color w:val="auto"/>
                <w:sz w:val="24"/>
                <w:highlight w:val="none"/>
              </w:rPr>
              <w:t>拉丝油3.8</w:t>
            </w:r>
            <w:r>
              <w:rPr>
                <w:rFonts w:hint="default"/>
                <w:color w:val="auto"/>
                <w:kern w:val="2"/>
                <w:sz w:val="24"/>
                <w:highlight w:val="none"/>
              </w:rPr>
              <w:t>t/a，其包装规格为25kg/桶，则产生</w:t>
            </w:r>
            <w:r>
              <w:rPr>
                <w:rFonts w:hint="default"/>
                <w:color w:val="auto"/>
                <w:sz w:val="24"/>
                <w:highlight w:val="none"/>
              </w:rPr>
              <w:t>拉丝油</w:t>
            </w:r>
            <w:r>
              <w:rPr>
                <w:rFonts w:hint="default"/>
                <w:color w:val="auto"/>
                <w:kern w:val="2"/>
                <w:sz w:val="24"/>
                <w:highlight w:val="none"/>
              </w:rPr>
              <w:t>包装桶为152个，每个重量约1kg，则</w:t>
            </w:r>
            <w:r>
              <w:rPr>
                <w:rFonts w:hint="default"/>
                <w:color w:val="auto"/>
                <w:sz w:val="24"/>
                <w:highlight w:val="none"/>
              </w:rPr>
              <w:t>拉丝油</w:t>
            </w:r>
            <w:r>
              <w:rPr>
                <w:rFonts w:hint="default"/>
                <w:color w:val="auto"/>
                <w:kern w:val="2"/>
                <w:sz w:val="24"/>
                <w:highlight w:val="none"/>
              </w:rPr>
              <w:t>包装桶产生量为0.152t/a。</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highlight w:val="none"/>
              </w:rPr>
            </w:pPr>
            <w:r>
              <w:rPr>
                <w:rFonts w:hint="default"/>
                <w:bCs/>
                <w:color w:val="auto"/>
                <w:sz w:val="24"/>
                <w:highlight w:val="none"/>
              </w:rPr>
              <w:t>根据《国家危险废物名录》（2021年版），</w:t>
            </w:r>
            <w:r>
              <w:rPr>
                <w:rFonts w:hint="default"/>
                <w:color w:val="auto"/>
                <w:sz w:val="24"/>
                <w:szCs w:val="24"/>
                <w:highlight w:val="none"/>
                <w:lang w:bidi="ar"/>
              </w:rPr>
              <w:t>废拉丝油包装桶</w:t>
            </w:r>
            <w:r>
              <w:rPr>
                <w:rFonts w:hint="default"/>
                <w:bCs/>
                <w:color w:val="auto"/>
                <w:sz w:val="24"/>
                <w:highlight w:val="none"/>
              </w:rPr>
              <w:t>属于</w:t>
            </w:r>
            <w:r>
              <w:rPr>
                <w:rFonts w:hint="default"/>
                <w:color w:val="auto"/>
                <w:sz w:val="24"/>
                <w:highlight w:val="none"/>
              </w:rPr>
              <w:t>HW08类别中900-249-08</w:t>
            </w:r>
            <w:r>
              <w:rPr>
                <w:rFonts w:hint="default"/>
                <w:bCs/>
                <w:color w:val="auto"/>
                <w:sz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sz w:val="24"/>
                <w:highlight w:val="none"/>
              </w:rPr>
              <w:t>，不外排。</w:t>
            </w:r>
          </w:p>
          <w:p>
            <w:pPr>
              <w:keepNext w:val="0"/>
              <w:keepLines w:val="0"/>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eastAsia"/>
                <w:color w:val="auto"/>
                <w:kern w:val="2"/>
                <w:sz w:val="24"/>
                <w:szCs w:val="24"/>
                <w:highlight w:val="none"/>
                <w:lang w:val="en-US" w:eastAsia="zh-CN"/>
              </w:rPr>
              <w:t>5</w:t>
            </w:r>
            <w:r>
              <w:rPr>
                <w:rFonts w:hint="default"/>
                <w:color w:val="auto"/>
                <w:kern w:val="2"/>
                <w:sz w:val="24"/>
                <w:szCs w:val="24"/>
                <w:highlight w:val="none"/>
              </w:rPr>
              <w:t>）废</w:t>
            </w:r>
            <w:r>
              <w:rPr>
                <w:rFonts w:hint="default"/>
                <w:color w:val="auto"/>
                <w:kern w:val="2"/>
                <w:sz w:val="24"/>
                <w:szCs w:val="22"/>
                <w:highlight w:val="none"/>
              </w:rPr>
              <w:t>导轴油包装桶</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highlight w:val="none"/>
              </w:rPr>
            </w:pPr>
            <w:r>
              <w:rPr>
                <w:rFonts w:hint="default"/>
                <w:color w:val="auto"/>
                <w:kern w:val="2"/>
                <w:sz w:val="24"/>
                <w:szCs w:val="24"/>
                <w:highlight w:val="none"/>
              </w:rPr>
              <w:t>项目在使用</w:t>
            </w:r>
            <w:r>
              <w:rPr>
                <w:rFonts w:hint="default"/>
                <w:color w:val="auto"/>
                <w:sz w:val="24"/>
                <w:szCs w:val="22"/>
                <w:highlight w:val="none"/>
              </w:rPr>
              <w:t>导轴油</w:t>
            </w:r>
            <w:r>
              <w:rPr>
                <w:rFonts w:hint="default"/>
                <w:color w:val="auto"/>
                <w:kern w:val="2"/>
                <w:sz w:val="24"/>
                <w:szCs w:val="24"/>
                <w:highlight w:val="none"/>
              </w:rPr>
              <w:t>时会产生少量的废</w:t>
            </w:r>
            <w:r>
              <w:rPr>
                <w:rFonts w:hint="default"/>
                <w:color w:val="auto"/>
                <w:sz w:val="24"/>
                <w:szCs w:val="22"/>
                <w:highlight w:val="none"/>
              </w:rPr>
              <w:t>导轴油</w:t>
            </w:r>
            <w:r>
              <w:rPr>
                <w:rFonts w:hint="default"/>
                <w:color w:val="auto"/>
                <w:kern w:val="2"/>
                <w:sz w:val="24"/>
                <w:szCs w:val="24"/>
                <w:highlight w:val="none"/>
              </w:rPr>
              <w:t>包装桶，</w:t>
            </w:r>
            <w:r>
              <w:rPr>
                <w:rFonts w:hint="default"/>
                <w:color w:val="auto"/>
                <w:kern w:val="2"/>
                <w:sz w:val="24"/>
                <w:highlight w:val="none"/>
              </w:rPr>
              <w:t>项目年用</w:t>
            </w:r>
            <w:r>
              <w:rPr>
                <w:rFonts w:hint="default"/>
                <w:color w:val="auto"/>
                <w:sz w:val="24"/>
                <w:szCs w:val="22"/>
                <w:highlight w:val="none"/>
              </w:rPr>
              <w:t>导轴油</w:t>
            </w:r>
            <w:r>
              <w:rPr>
                <w:rFonts w:hint="default"/>
                <w:color w:val="auto"/>
                <w:sz w:val="24"/>
                <w:highlight w:val="none"/>
              </w:rPr>
              <w:t>0.25</w:t>
            </w:r>
            <w:r>
              <w:rPr>
                <w:rFonts w:hint="default"/>
                <w:color w:val="auto"/>
                <w:kern w:val="2"/>
                <w:sz w:val="24"/>
                <w:highlight w:val="none"/>
              </w:rPr>
              <w:t>t/a，其包装规格为25kg/桶，则产生</w:t>
            </w:r>
            <w:r>
              <w:rPr>
                <w:rFonts w:hint="default"/>
                <w:color w:val="auto"/>
                <w:sz w:val="24"/>
                <w:highlight w:val="none"/>
              </w:rPr>
              <w:t>拉丝油</w:t>
            </w:r>
            <w:r>
              <w:rPr>
                <w:rFonts w:hint="default"/>
                <w:color w:val="auto"/>
                <w:kern w:val="2"/>
                <w:sz w:val="24"/>
                <w:highlight w:val="none"/>
              </w:rPr>
              <w:t>包装桶为1个，每个重量约1kg，则</w:t>
            </w:r>
            <w:r>
              <w:rPr>
                <w:rFonts w:hint="default"/>
                <w:color w:val="auto"/>
                <w:sz w:val="24"/>
                <w:highlight w:val="none"/>
              </w:rPr>
              <w:t>拉丝油</w:t>
            </w:r>
            <w:r>
              <w:rPr>
                <w:rFonts w:hint="default"/>
                <w:color w:val="auto"/>
                <w:kern w:val="2"/>
                <w:sz w:val="24"/>
                <w:highlight w:val="none"/>
              </w:rPr>
              <w:t>包装桶产生量为0.001t/a。</w:t>
            </w:r>
          </w:p>
          <w:p>
            <w:pPr>
              <w:keepNext w:val="0"/>
              <w:keepLines w:val="0"/>
              <w:widowControl/>
              <w:suppressLineNumbers w:val="0"/>
              <w:spacing w:before="0" w:beforeAutospacing="0" w:after="0" w:afterAutospacing="0" w:line="360" w:lineRule="auto"/>
              <w:ind w:left="0" w:right="0" w:firstLine="480"/>
              <w:jc w:val="both"/>
              <w:rPr>
                <w:rFonts w:hint="default"/>
                <w:bCs/>
                <w:color w:val="auto"/>
                <w:sz w:val="24"/>
                <w:highlight w:val="none"/>
              </w:rPr>
            </w:pPr>
            <w:r>
              <w:rPr>
                <w:rFonts w:hint="default"/>
                <w:bCs/>
                <w:color w:val="auto"/>
                <w:sz w:val="24"/>
                <w:highlight w:val="none"/>
              </w:rPr>
              <w:t>根据《国家危险废物名录》（2021年版），</w:t>
            </w:r>
            <w:r>
              <w:rPr>
                <w:rFonts w:hint="default"/>
                <w:color w:val="auto"/>
                <w:kern w:val="2"/>
                <w:sz w:val="24"/>
                <w:szCs w:val="24"/>
                <w:highlight w:val="none"/>
              </w:rPr>
              <w:t>废</w:t>
            </w:r>
            <w:r>
              <w:rPr>
                <w:rFonts w:hint="default"/>
                <w:color w:val="auto"/>
                <w:kern w:val="2"/>
                <w:sz w:val="24"/>
                <w:szCs w:val="22"/>
                <w:highlight w:val="none"/>
              </w:rPr>
              <w:t>导轴油包装桶</w:t>
            </w:r>
            <w:r>
              <w:rPr>
                <w:rFonts w:hint="default"/>
                <w:bCs/>
                <w:color w:val="auto"/>
                <w:sz w:val="24"/>
                <w:highlight w:val="none"/>
              </w:rPr>
              <w:t>属于</w:t>
            </w:r>
            <w:r>
              <w:rPr>
                <w:rFonts w:hint="default"/>
                <w:color w:val="auto"/>
                <w:sz w:val="24"/>
                <w:highlight w:val="none"/>
              </w:rPr>
              <w:t>HW08类别中900-249-08</w:t>
            </w:r>
            <w:r>
              <w:rPr>
                <w:rFonts w:hint="default"/>
                <w:bCs/>
                <w:color w:val="auto"/>
                <w:sz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sz w:val="24"/>
                <w:highlight w:val="none"/>
              </w:rPr>
              <w:t>，不外排。</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2"/>
                <w:highlight w:val="none"/>
              </w:rPr>
            </w:pPr>
            <w:r>
              <w:rPr>
                <w:rFonts w:hint="eastAsia"/>
                <w:color w:val="auto"/>
                <w:kern w:val="2"/>
                <w:sz w:val="24"/>
                <w:szCs w:val="24"/>
                <w:highlight w:val="none"/>
                <w:lang w:val="en-US" w:eastAsia="zh-CN"/>
              </w:rPr>
              <w:t>6</w:t>
            </w:r>
            <w:r>
              <w:rPr>
                <w:rFonts w:hint="default"/>
                <w:color w:val="auto"/>
                <w:kern w:val="2"/>
                <w:sz w:val="24"/>
                <w:szCs w:val="24"/>
                <w:highlight w:val="none"/>
              </w:rPr>
              <w:t>）废</w:t>
            </w:r>
            <w:r>
              <w:rPr>
                <w:rFonts w:hint="default"/>
                <w:color w:val="auto"/>
                <w:kern w:val="2"/>
                <w:sz w:val="24"/>
                <w:szCs w:val="22"/>
                <w:highlight w:val="none"/>
              </w:rPr>
              <w:t>导轴油</w:t>
            </w:r>
          </w:p>
          <w:p>
            <w:pPr>
              <w:keepNext w:val="0"/>
              <w:keepLines w:val="0"/>
              <w:suppressLineNumbers w:val="0"/>
              <w:spacing w:before="0" w:beforeAutospacing="0" w:after="0" w:afterAutospacing="0" w:line="360" w:lineRule="auto"/>
              <w:ind w:left="0" w:right="0" w:firstLine="480"/>
              <w:jc w:val="both"/>
              <w:rPr>
                <w:rFonts w:hint="default"/>
                <w:color w:val="auto"/>
                <w:kern w:val="2"/>
                <w:sz w:val="24"/>
                <w:szCs w:val="22"/>
                <w:highlight w:val="none"/>
              </w:rPr>
            </w:pPr>
            <w:r>
              <w:rPr>
                <w:rFonts w:hint="default"/>
                <w:color w:val="auto"/>
                <w:kern w:val="2"/>
                <w:sz w:val="24"/>
                <w:szCs w:val="24"/>
                <w:highlight w:val="none"/>
              </w:rPr>
              <w:t>项目在生产的过程中会产生一定量的废</w:t>
            </w:r>
            <w:r>
              <w:rPr>
                <w:rFonts w:hint="eastAsia"/>
                <w:color w:val="auto"/>
                <w:sz w:val="24"/>
                <w:szCs w:val="24"/>
                <w:highlight w:val="none"/>
                <w:lang w:val="en-US" w:eastAsia="zh-CN" w:bidi="ar"/>
              </w:rPr>
              <w:t>导轴</w:t>
            </w:r>
            <w:r>
              <w:rPr>
                <w:rFonts w:hint="default"/>
                <w:color w:val="auto"/>
                <w:sz w:val="24"/>
                <w:szCs w:val="24"/>
                <w:highlight w:val="none"/>
                <w:lang w:bidi="ar"/>
              </w:rPr>
              <w:t>油</w:t>
            </w:r>
            <w:r>
              <w:rPr>
                <w:rFonts w:hint="default"/>
                <w:color w:val="auto"/>
                <w:kern w:val="2"/>
                <w:sz w:val="24"/>
                <w:szCs w:val="24"/>
                <w:highlight w:val="none"/>
              </w:rPr>
              <w:t>。根据建设单位提供资料，废</w:t>
            </w:r>
            <w:r>
              <w:rPr>
                <w:rFonts w:hint="eastAsia"/>
                <w:color w:val="auto"/>
                <w:sz w:val="24"/>
                <w:szCs w:val="24"/>
                <w:highlight w:val="none"/>
                <w:lang w:val="en-US" w:eastAsia="zh-CN" w:bidi="ar"/>
              </w:rPr>
              <w:t>导轴</w:t>
            </w:r>
            <w:r>
              <w:rPr>
                <w:rFonts w:hint="default"/>
                <w:color w:val="auto"/>
                <w:sz w:val="24"/>
                <w:szCs w:val="24"/>
                <w:highlight w:val="none"/>
                <w:lang w:bidi="ar"/>
              </w:rPr>
              <w:t>油</w:t>
            </w:r>
            <w:r>
              <w:rPr>
                <w:rFonts w:hint="default"/>
                <w:bCs/>
                <w:color w:val="auto"/>
                <w:kern w:val="2"/>
                <w:sz w:val="24"/>
                <w:szCs w:val="24"/>
                <w:highlight w:val="none"/>
              </w:rPr>
              <w:t>产生的总量为原材料的10%，</w:t>
            </w:r>
            <w:r>
              <w:rPr>
                <w:rFonts w:hint="default"/>
                <w:color w:val="auto"/>
                <w:kern w:val="2"/>
                <w:sz w:val="24"/>
                <w:szCs w:val="24"/>
                <w:highlight w:val="none"/>
              </w:rPr>
              <w:t>年用</w:t>
            </w:r>
            <w:r>
              <w:rPr>
                <w:rFonts w:hint="eastAsia"/>
                <w:color w:val="auto"/>
                <w:sz w:val="24"/>
                <w:szCs w:val="24"/>
                <w:highlight w:val="none"/>
                <w:lang w:val="en-US" w:eastAsia="zh-CN" w:bidi="ar"/>
              </w:rPr>
              <w:t>导轴</w:t>
            </w:r>
            <w:r>
              <w:rPr>
                <w:rFonts w:hint="default"/>
                <w:color w:val="auto"/>
                <w:sz w:val="24"/>
                <w:szCs w:val="24"/>
                <w:highlight w:val="none"/>
                <w:lang w:bidi="ar"/>
              </w:rPr>
              <w:t>油</w:t>
            </w:r>
            <w:r>
              <w:rPr>
                <w:rFonts w:hint="default"/>
                <w:bCs/>
                <w:color w:val="auto"/>
                <w:kern w:val="2"/>
                <w:sz w:val="24"/>
                <w:szCs w:val="24"/>
                <w:highlight w:val="none"/>
              </w:rPr>
              <w:t>0.2</w:t>
            </w:r>
            <w:r>
              <w:rPr>
                <w:rFonts w:hint="eastAsia"/>
                <w:bCs/>
                <w:color w:val="auto"/>
                <w:kern w:val="2"/>
                <w:sz w:val="24"/>
                <w:szCs w:val="24"/>
                <w:highlight w:val="none"/>
                <w:lang w:val="en-US" w:eastAsia="zh-CN"/>
              </w:rPr>
              <w:t>5</w:t>
            </w:r>
            <w:r>
              <w:rPr>
                <w:rFonts w:hint="default"/>
                <w:bCs/>
                <w:color w:val="auto"/>
                <w:kern w:val="2"/>
                <w:sz w:val="24"/>
                <w:szCs w:val="24"/>
                <w:highlight w:val="none"/>
              </w:rPr>
              <w:t>吨，废</w:t>
            </w:r>
            <w:r>
              <w:rPr>
                <w:rFonts w:hint="eastAsia"/>
                <w:color w:val="auto"/>
                <w:sz w:val="24"/>
                <w:szCs w:val="24"/>
                <w:highlight w:val="none"/>
                <w:lang w:val="en-US" w:eastAsia="zh-CN" w:bidi="ar"/>
              </w:rPr>
              <w:t>导轴</w:t>
            </w:r>
            <w:r>
              <w:rPr>
                <w:rFonts w:hint="default"/>
                <w:color w:val="auto"/>
                <w:sz w:val="24"/>
                <w:szCs w:val="24"/>
                <w:highlight w:val="none"/>
                <w:lang w:bidi="ar"/>
              </w:rPr>
              <w:t>油</w:t>
            </w:r>
            <w:r>
              <w:rPr>
                <w:rFonts w:hint="default"/>
                <w:bCs/>
                <w:color w:val="auto"/>
                <w:kern w:val="2"/>
                <w:sz w:val="24"/>
                <w:szCs w:val="24"/>
                <w:highlight w:val="none"/>
              </w:rPr>
              <w:t>的产生量为0.02</w:t>
            </w:r>
            <w:r>
              <w:rPr>
                <w:rFonts w:hint="eastAsia"/>
                <w:bCs/>
                <w:color w:val="auto"/>
                <w:kern w:val="2"/>
                <w:sz w:val="24"/>
                <w:szCs w:val="24"/>
                <w:highlight w:val="none"/>
                <w:lang w:val="en-US" w:eastAsia="zh-CN"/>
              </w:rPr>
              <w:t>5</w:t>
            </w:r>
            <w:r>
              <w:rPr>
                <w:rFonts w:hint="default"/>
                <w:bCs/>
                <w:color w:val="auto"/>
                <w:kern w:val="2"/>
                <w:sz w:val="24"/>
                <w:szCs w:val="24"/>
                <w:highlight w:val="none"/>
              </w:rPr>
              <w:t>t/a</w:t>
            </w:r>
            <w:r>
              <w:rPr>
                <w:rFonts w:hint="default"/>
                <w:color w:val="auto"/>
                <w:kern w:val="2"/>
                <w:sz w:val="24"/>
                <w:szCs w:val="24"/>
                <w:highlight w:val="none"/>
              </w:rPr>
              <w:t>。根据《国家危险废物名录》（</w:t>
            </w:r>
            <w:r>
              <w:rPr>
                <w:rFonts w:hint="default"/>
                <w:bCs/>
                <w:color w:val="auto"/>
                <w:kern w:val="2"/>
                <w:sz w:val="24"/>
                <w:szCs w:val="24"/>
                <w:highlight w:val="none"/>
              </w:rPr>
              <w:t>2021年版</w:t>
            </w:r>
            <w:r>
              <w:rPr>
                <w:rFonts w:hint="default"/>
                <w:color w:val="auto"/>
                <w:kern w:val="2"/>
                <w:sz w:val="24"/>
                <w:szCs w:val="24"/>
                <w:highlight w:val="none"/>
              </w:rPr>
              <w:t>），废</w:t>
            </w:r>
            <w:r>
              <w:rPr>
                <w:rFonts w:hint="eastAsia"/>
                <w:color w:val="auto"/>
                <w:sz w:val="24"/>
                <w:szCs w:val="24"/>
                <w:highlight w:val="none"/>
                <w:lang w:val="en-US" w:eastAsia="zh-CN" w:bidi="ar"/>
              </w:rPr>
              <w:t>导轴</w:t>
            </w:r>
            <w:r>
              <w:rPr>
                <w:rFonts w:hint="default"/>
                <w:color w:val="auto"/>
                <w:sz w:val="24"/>
                <w:szCs w:val="24"/>
                <w:highlight w:val="none"/>
                <w:lang w:bidi="ar"/>
              </w:rPr>
              <w:t>油</w:t>
            </w:r>
            <w:r>
              <w:rPr>
                <w:rFonts w:hint="default"/>
                <w:color w:val="auto"/>
                <w:kern w:val="2"/>
                <w:sz w:val="24"/>
                <w:szCs w:val="24"/>
                <w:highlight w:val="none"/>
              </w:rPr>
              <w:t>属于HW08类别中900-249-08类别的废物。在厂区危险废物暂存间暂存，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p>
          <w:p>
            <w:pPr>
              <w:keepNext w:val="0"/>
              <w:keepLines w:val="0"/>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eastAsia"/>
                <w:color w:val="auto"/>
                <w:kern w:val="2"/>
                <w:sz w:val="24"/>
                <w:szCs w:val="24"/>
                <w:highlight w:val="none"/>
                <w:lang w:val="en-US" w:eastAsia="zh-CN"/>
              </w:rPr>
              <w:t>7</w:t>
            </w:r>
            <w:r>
              <w:rPr>
                <w:rFonts w:hint="default"/>
                <w:color w:val="auto"/>
                <w:kern w:val="2"/>
                <w:sz w:val="24"/>
                <w:szCs w:val="24"/>
                <w:highlight w:val="none"/>
              </w:rPr>
              <w:t>）废抹布、废手套</w:t>
            </w:r>
          </w:p>
          <w:p>
            <w:pPr>
              <w:keepNext w:val="0"/>
              <w:keepLines w:val="0"/>
              <w:suppressLineNumbers w:val="0"/>
              <w:spacing w:before="0" w:beforeAutospacing="0" w:after="0" w:afterAutospacing="0" w:line="360" w:lineRule="auto"/>
              <w:ind w:left="0" w:right="0" w:firstLine="480"/>
              <w:jc w:val="both"/>
              <w:rPr>
                <w:rFonts w:hint="default"/>
                <w:bCs/>
                <w:color w:val="auto"/>
                <w:kern w:val="2"/>
                <w:sz w:val="24"/>
                <w:szCs w:val="24"/>
                <w:highlight w:val="none"/>
              </w:rPr>
            </w:pPr>
            <w:r>
              <w:rPr>
                <w:rFonts w:hint="default"/>
                <w:color w:val="auto"/>
                <w:kern w:val="2"/>
                <w:sz w:val="24"/>
                <w:szCs w:val="24"/>
                <w:highlight w:val="none"/>
              </w:rPr>
              <w:t>项目在生产的过程中会产生一定量含</w:t>
            </w:r>
            <w:r>
              <w:rPr>
                <w:rFonts w:hint="default"/>
                <w:color w:val="auto"/>
                <w:sz w:val="24"/>
                <w:szCs w:val="24"/>
                <w:highlight w:val="none"/>
                <w:lang w:bidi="ar"/>
              </w:rPr>
              <w:t>润滑油</w:t>
            </w:r>
            <w:r>
              <w:rPr>
                <w:rFonts w:hint="default"/>
                <w:color w:val="auto"/>
                <w:kern w:val="2"/>
                <w:sz w:val="24"/>
                <w:szCs w:val="24"/>
                <w:highlight w:val="none"/>
              </w:rPr>
              <w:t>的废弃物，具体为废抹布和废手套</w:t>
            </w:r>
            <w:r>
              <w:rPr>
                <w:rFonts w:hint="default"/>
                <w:color w:val="auto"/>
                <w:kern w:val="2"/>
                <w:sz w:val="24"/>
                <w:szCs w:val="22"/>
                <w:highlight w:val="none"/>
              </w:rPr>
              <w:t>。</w:t>
            </w:r>
            <w:r>
              <w:rPr>
                <w:rFonts w:hint="default"/>
                <w:color w:val="auto"/>
                <w:kern w:val="2"/>
                <w:sz w:val="24"/>
                <w:szCs w:val="24"/>
                <w:highlight w:val="none"/>
              </w:rPr>
              <w:t>根据建设单位提供资料，项目废抹布、废手套年产生量约0.02t/a，根据《国家危险废物名录》（2021年版），废抹布、废手套属于HW49类别中900--041-49</w:t>
            </w:r>
            <w:r>
              <w:rPr>
                <w:rFonts w:hint="default"/>
                <w:bCs/>
                <w:color w:val="auto"/>
                <w:kern w:val="2"/>
                <w:sz w:val="24"/>
                <w:szCs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kern w:val="2"/>
                <w:sz w:val="24"/>
                <w:szCs w:val="24"/>
                <w:highlight w:val="none"/>
              </w:rPr>
              <w:t>，不外排。</w:t>
            </w:r>
          </w:p>
          <w:p>
            <w:pPr>
              <w:keepNext w:val="0"/>
              <w:keepLines w:val="0"/>
              <w:suppressLineNumbers w:val="0"/>
              <w:spacing w:before="0" w:beforeAutospacing="0" w:after="0" w:afterAutospacing="0" w:line="360" w:lineRule="auto"/>
              <w:ind w:left="0" w:right="0" w:firstLine="480"/>
              <w:jc w:val="both"/>
              <w:rPr>
                <w:rFonts w:hint="eastAsia" w:eastAsia="宋体"/>
                <w:color w:val="auto"/>
                <w:sz w:val="24"/>
                <w:szCs w:val="22"/>
                <w:highlight w:val="none"/>
                <w:lang w:eastAsia="zh-CN"/>
              </w:rPr>
            </w:pPr>
            <w:r>
              <w:rPr>
                <w:rFonts w:hint="eastAsia"/>
                <w:color w:val="auto"/>
                <w:sz w:val="24"/>
                <w:szCs w:val="22"/>
                <w:highlight w:val="none"/>
                <w:lang w:val="en-US" w:eastAsia="zh-CN"/>
              </w:rPr>
              <w:t>8</w:t>
            </w:r>
            <w:r>
              <w:rPr>
                <w:rFonts w:hint="default"/>
                <w:color w:val="auto"/>
                <w:sz w:val="24"/>
                <w:szCs w:val="22"/>
                <w:highlight w:val="none"/>
              </w:rPr>
              <w:t>）</w:t>
            </w:r>
            <w:r>
              <w:rPr>
                <w:rFonts w:hint="eastAsia"/>
                <w:color w:val="auto"/>
                <w:sz w:val="24"/>
                <w:szCs w:val="22"/>
                <w:highlight w:val="none"/>
                <w:lang w:eastAsia="zh-CN"/>
              </w:rPr>
              <w:t>含助焊剂废毛毡</w:t>
            </w:r>
          </w:p>
          <w:p>
            <w:pPr>
              <w:keepNext w:val="0"/>
              <w:keepLines w:val="0"/>
              <w:suppressLineNumbers w:val="0"/>
              <w:spacing w:before="0" w:beforeAutospacing="0" w:after="0" w:afterAutospacing="0" w:line="360" w:lineRule="auto"/>
              <w:ind w:left="0" w:right="0" w:firstLine="480"/>
              <w:jc w:val="both"/>
              <w:rPr>
                <w:rFonts w:hint="default"/>
                <w:color w:val="auto"/>
                <w:highlight w:val="none"/>
              </w:rPr>
            </w:pPr>
            <w:r>
              <w:rPr>
                <w:rFonts w:hint="default"/>
                <w:color w:val="auto"/>
                <w:kern w:val="2"/>
                <w:sz w:val="24"/>
                <w:szCs w:val="24"/>
                <w:highlight w:val="none"/>
              </w:rPr>
              <w:t>根据建设单位提供资料，项目</w:t>
            </w:r>
            <w:r>
              <w:rPr>
                <w:rFonts w:hint="eastAsia"/>
                <w:color w:val="auto"/>
                <w:kern w:val="2"/>
                <w:sz w:val="24"/>
                <w:szCs w:val="24"/>
                <w:highlight w:val="none"/>
                <w:lang w:eastAsia="zh-CN"/>
              </w:rPr>
              <w:t>含助焊剂废毛毡</w:t>
            </w:r>
            <w:r>
              <w:rPr>
                <w:rFonts w:hint="default"/>
                <w:color w:val="auto"/>
                <w:kern w:val="2"/>
                <w:sz w:val="24"/>
                <w:szCs w:val="24"/>
                <w:highlight w:val="none"/>
              </w:rPr>
              <w:t>产生量约0.5t/a。根据《国家危险废物名录》（2021年版），</w:t>
            </w:r>
            <w:r>
              <w:rPr>
                <w:rFonts w:hint="eastAsia"/>
                <w:color w:val="auto"/>
                <w:kern w:val="2"/>
                <w:sz w:val="24"/>
                <w:szCs w:val="24"/>
                <w:highlight w:val="none"/>
                <w:lang w:eastAsia="zh-CN"/>
              </w:rPr>
              <w:t>含助焊剂废毛毡</w:t>
            </w:r>
            <w:r>
              <w:rPr>
                <w:rFonts w:hint="default"/>
                <w:color w:val="auto"/>
                <w:kern w:val="2"/>
                <w:sz w:val="24"/>
                <w:szCs w:val="24"/>
                <w:highlight w:val="none"/>
              </w:rPr>
              <w:t xml:space="preserve">属于危险废物，类别为 HW49 其他废物，废物代码 900-041-49。 </w:t>
            </w:r>
            <w:r>
              <w:rPr>
                <w:rFonts w:hint="eastAsia"/>
                <w:color w:val="auto"/>
                <w:kern w:val="2"/>
                <w:sz w:val="24"/>
                <w:szCs w:val="24"/>
                <w:highlight w:val="none"/>
                <w:lang w:eastAsia="zh-CN"/>
              </w:rPr>
              <w:t>含助焊剂废毛毡</w:t>
            </w:r>
            <w:r>
              <w:rPr>
                <w:rFonts w:hint="default"/>
                <w:color w:val="auto"/>
                <w:kern w:val="2"/>
                <w:sz w:val="24"/>
                <w:szCs w:val="24"/>
                <w:highlight w:val="none"/>
              </w:rPr>
              <w:t>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p>
          <w:p>
            <w:pPr>
              <w:keepNext w:val="0"/>
              <w:keepLines w:val="0"/>
              <w:suppressLineNumbers w:val="0"/>
              <w:spacing w:before="0" w:beforeAutospacing="0" w:after="0" w:afterAutospacing="0" w:line="360" w:lineRule="auto"/>
              <w:ind w:left="0" w:right="0" w:firstLine="480"/>
              <w:jc w:val="both"/>
              <w:rPr>
                <w:rFonts w:hint="default"/>
                <w:color w:val="auto"/>
                <w:sz w:val="24"/>
                <w:szCs w:val="22"/>
                <w:highlight w:val="none"/>
              </w:rPr>
            </w:pPr>
            <w:r>
              <w:rPr>
                <w:rFonts w:hint="eastAsia"/>
                <w:color w:val="auto"/>
                <w:sz w:val="24"/>
                <w:szCs w:val="22"/>
                <w:highlight w:val="none"/>
                <w:lang w:val="en-US" w:eastAsia="zh-CN"/>
              </w:rPr>
              <w:t>9</w:t>
            </w:r>
            <w:r>
              <w:rPr>
                <w:rFonts w:hint="default"/>
                <w:color w:val="auto"/>
                <w:sz w:val="24"/>
                <w:szCs w:val="22"/>
                <w:highlight w:val="none"/>
              </w:rPr>
              <w:t>）拉丝油废液</w:t>
            </w:r>
          </w:p>
          <w:p>
            <w:pPr>
              <w:keepNext w:val="0"/>
              <w:keepLines w:val="0"/>
              <w:suppressLineNumbers w:val="0"/>
              <w:spacing w:before="0" w:beforeAutospacing="0" w:after="0" w:afterAutospacing="0" w:line="360" w:lineRule="auto"/>
              <w:ind w:left="0" w:right="0" w:firstLine="480"/>
              <w:jc w:val="both"/>
              <w:rPr>
                <w:rFonts w:hint="default"/>
                <w:color w:val="auto"/>
                <w:kern w:val="2"/>
                <w:sz w:val="21"/>
                <w:szCs w:val="24"/>
                <w:highlight w:val="none"/>
              </w:rPr>
            </w:pPr>
            <w:r>
              <w:rPr>
                <w:rFonts w:hint="default"/>
                <w:color w:val="auto"/>
                <w:kern w:val="2"/>
                <w:sz w:val="24"/>
                <w:szCs w:val="24"/>
                <w:highlight w:val="none"/>
              </w:rPr>
              <w:t>根据建设单位提供资料</w:t>
            </w:r>
            <w:r>
              <w:rPr>
                <w:rFonts w:hint="default"/>
                <w:color w:val="auto"/>
                <w:kern w:val="2"/>
                <w:sz w:val="24"/>
                <w:szCs w:val="32"/>
                <w:highlight w:val="none"/>
              </w:rPr>
              <w:t>，项目拉丝油废液的产生量为拉丝液用量的1</w:t>
            </w:r>
            <w:r>
              <w:rPr>
                <w:rFonts w:hint="eastAsia"/>
                <w:color w:val="auto"/>
                <w:kern w:val="2"/>
                <w:sz w:val="24"/>
                <w:szCs w:val="32"/>
                <w:highlight w:val="none"/>
                <w:lang w:val="en-US" w:eastAsia="zh-CN"/>
              </w:rPr>
              <w:t>0</w:t>
            </w:r>
            <w:r>
              <w:rPr>
                <w:rFonts w:hint="default"/>
                <w:color w:val="auto"/>
                <w:kern w:val="2"/>
                <w:sz w:val="24"/>
                <w:szCs w:val="32"/>
                <w:highlight w:val="none"/>
              </w:rPr>
              <w:t>%，则拉丝油废液产生量为</w:t>
            </w:r>
            <w:r>
              <w:rPr>
                <w:rFonts w:hint="eastAsia"/>
                <w:color w:val="auto"/>
                <w:kern w:val="2"/>
                <w:sz w:val="24"/>
                <w:szCs w:val="32"/>
                <w:highlight w:val="none"/>
                <w:lang w:val="en-US" w:eastAsia="zh-CN"/>
              </w:rPr>
              <w:t>3.8</w:t>
            </w:r>
            <w:r>
              <w:rPr>
                <w:rFonts w:hint="default"/>
                <w:color w:val="auto"/>
                <w:kern w:val="2"/>
                <w:sz w:val="24"/>
                <w:szCs w:val="32"/>
                <w:highlight w:val="none"/>
              </w:rPr>
              <w:t>t/a。</w:t>
            </w:r>
            <w:r>
              <w:rPr>
                <w:rFonts w:hint="default"/>
                <w:color w:val="auto"/>
                <w:kern w:val="2"/>
                <w:sz w:val="24"/>
                <w:szCs w:val="24"/>
                <w:highlight w:val="none"/>
              </w:rPr>
              <w:t>根据《国家危险废物名录》（</w:t>
            </w:r>
            <w:r>
              <w:rPr>
                <w:rFonts w:hint="default"/>
                <w:bCs/>
                <w:color w:val="auto"/>
                <w:kern w:val="2"/>
                <w:sz w:val="24"/>
                <w:szCs w:val="24"/>
                <w:highlight w:val="none"/>
              </w:rPr>
              <w:t>2021年版</w:t>
            </w:r>
            <w:r>
              <w:rPr>
                <w:rFonts w:hint="default"/>
                <w:color w:val="auto"/>
                <w:kern w:val="2"/>
                <w:sz w:val="24"/>
                <w:szCs w:val="24"/>
                <w:highlight w:val="none"/>
              </w:rPr>
              <w:t>），</w:t>
            </w:r>
            <w:r>
              <w:rPr>
                <w:rFonts w:hint="default"/>
                <w:color w:val="auto"/>
                <w:kern w:val="2"/>
                <w:sz w:val="24"/>
                <w:szCs w:val="32"/>
                <w:highlight w:val="none"/>
              </w:rPr>
              <w:t>拉丝油废液</w:t>
            </w:r>
            <w:r>
              <w:rPr>
                <w:rFonts w:hint="default"/>
                <w:color w:val="auto"/>
                <w:kern w:val="2"/>
                <w:sz w:val="24"/>
                <w:szCs w:val="24"/>
                <w:highlight w:val="none"/>
              </w:rPr>
              <w:t>属于HW08类别中900-249-08类别的废物。在厂区危险废物暂存间暂存，</w:t>
            </w:r>
            <w:r>
              <w:rPr>
                <w:rFonts w:hint="default"/>
                <w:bCs/>
                <w:color w:val="auto"/>
                <w:spacing w:val="-10"/>
                <w:sz w:val="24"/>
                <w:szCs w:val="24"/>
                <w:highlight w:val="none"/>
              </w:rPr>
              <w:t>定期交由有资质的单位处置</w:t>
            </w:r>
            <w:r>
              <w:rPr>
                <w:rFonts w:hint="default"/>
                <w:color w:val="auto"/>
                <w:kern w:val="2"/>
                <w:sz w:val="24"/>
                <w:szCs w:val="24"/>
                <w:highlight w:val="none"/>
              </w:rPr>
              <w:t>，不外排。</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eastAsia"/>
                <w:color w:val="auto"/>
                <w:kern w:val="2"/>
                <w:sz w:val="24"/>
                <w:szCs w:val="22"/>
                <w:highlight w:val="none"/>
                <w:lang w:val="en-US" w:eastAsia="zh-CN"/>
              </w:rPr>
              <w:t>10</w:t>
            </w:r>
            <w:r>
              <w:rPr>
                <w:rFonts w:hint="default"/>
                <w:color w:val="auto"/>
                <w:kern w:val="2"/>
                <w:sz w:val="24"/>
                <w:szCs w:val="22"/>
                <w:highlight w:val="none"/>
              </w:rPr>
              <w:t>）废</w:t>
            </w:r>
            <w:r>
              <w:rPr>
                <w:rFonts w:hint="default"/>
                <w:snapToGrid w:val="0"/>
                <w:color w:val="auto"/>
                <w:sz w:val="24"/>
                <w:szCs w:val="24"/>
                <w:highlight w:val="none"/>
              </w:rPr>
              <w:t>助焊剂包装桶</w:t>
            </w:r>
          </w:p>
          <w:p>
            <w:pPr>
              <w:keepNext w:val="0"/>
              <w:keepLines w:val="0"/>
              <w:suppressLineNumbers w:val="0"/>
              <w:spacing w:before="0" w:beforeAutospacing="0" w:after="0" w:afterAutospacing="0" w:line="360" w:lineRule="auto"/>
              <w:ind w:left="0" w:right="0" w:firstLine="480"/>
              <w:jc w:val="both"/>
              <w:rPr>
                <w:rFonts w:hint="default"/>
                <w:snapToGrid w:val="0"/>
                <w:color w:val="auto"/>
                <w:sz w:val="24"/>
                <w:szCs w:val="24"/>
                <w:highlight w:val="none"/>
              </w:rPr>
            </w:pPr>
            <w:r>
              <w:rPr>
                <w:rFonts w:hint="default"/>
                <w:snapToGrid w:val="0"/>
                <w:color w:val="auto"/>
                <w:sz w:val="24"/>
                <w:szCs w:val="24"/>
                <w:highlight w:val="none"/>
              </w:rPr>
              <w:t>项目在使用助焊剂时，会产生废助焊剂包装桶。项目年用助焊剂3.6吨，助焊剂包装规格均为25kg/桶，则年产生助焊剂包装桶为144个，每个重量按照1kg计算，则产生助焊剂包装桶0.144t/a。</w:t>
            </w:r>
            <w:r>
              <w:rPr>
                <w:rFonts w:hint="default"/>
                <w:color w:val="auto"/>
                <w:kern w:val="2"/>
                <w:sz w:val="24"/>
                <w:szCs w:val="24"/>
                <w:highlight w:val="none"/>
              </w:rPr>
              <w:t>根据《国家危险废物名录》（2021年版），</w:t>
            </w:r>
            <w:r>
              <w:rPr>
                <w:rFonts w:hint="default"/>
                <w:snapToGrid w:val="0"/>
                <w:color w:val="auto"/>
                <w:sz w:val="24"/>
                <w:szCs w:val="24"/>
                <w:highlight w:val="none"/>
              </w:rPr>
              <w:t>助焊剂废包装桶</w:t>
            </w:r>
            <w:r>
              <w:rPr>
                <w:rFonts w:hint="default"/>
                <w:color w:val="auto"/>
                <w:kern w:val="2"/>
                <w:sz w:val="24"/>
                <w:szCs w:val="24"/>
                <w:highlight w:val="none"/>
              </w:rPr>
              <w:t>属于HW49类别中900-041-49</w:t>
            </w:r>
            <w:r>
              <w:rPr>
                <w:rFonts w:hint="default"/>
                <w:bCs/>
                <w:color w:val="auto"/>
                <w:kern w:val="2"/>
                <w:sz w:val="24"/>
                <w:szCs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kern w:val="2"/>
                <w:sz w:val="24"/>
                <w:szCs w:val="24"/>
                <w:highlight w:val="none"/>
              </w:rPr>
              <w:t>，不外排。</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snapToGrid w:val="0"/>
                <w:color w:val="auto"/>
                <w:sz w:val="24"/>
                <w:szCs w:val="24"/>
                <w:highlight w:val="none"/>
              </w:rPr>
            </w:pPr>
            <w:r>
              <w:rPr>
                <w:rFonts w:hint="eastAsia"/>
                <w:snapToGrid w:val="0"/>
                <w:color w:val="auto"/>
                <w:sz w:val="24"/>
                <w:szCs w:val="24"/>
                <w:highlight w:val="none"/>
                <w:lang w:val="en-US" w:eastAsia="zh-CN"/>
              </w:rPr>
              <w:t>11</w:t>
            </w:r>
            <w:r>
              <w:rPr>
                <w:rFonts w:hint="default"/>
                <w:snapToGrid w:val="0"/>
                <w:color w:val="auto"/>
                <w:sz w:val="24"/>
                <w:szCs w:val="24"/>
                <w:highlight w:val="none"/>
              </w:rPr>
              <w:t>）废抗氧化剂包装桶</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bCs/>
                <w:color w:val="auto"/>
                <w:kern w:val="2"/>
                <w:sz w:val="24"/>
                <w:szCs w:val="24"/>
                <w:highlight w:val="none"/>
              </w:rPr>
            </w:pPr>
            <w:r>
              <w:rPr>
                <w:rFonts w:hint="default"/>
                <w:snapToGrid w:val="0"/>
                <w:color w:val="auto"/>
                <w:sz w:val="24"/>
                <w:szCs w:val="24"/>
                <w:highlight w:val="none"/>
              </w:rPr>
              <w:t>项目在使用抗氧化剂时，会产生废抗氧化剂包装桶。项目年用抗氧化剂0.025吨，抗氧化剂包装规格为</w:t>
            </w:r>
            <w:r>
              <w:rPr>
                <w:rFonts w:hint="eastAsia"/>
                <w:snapToGrid w:val="0"/>
                <w:color w:val="auto"/>
                <w:sz w:val="24"/>
                <w:szCs w:val="24"/>
                <w:highlight w:val="none"/>
                <w:lang w:val="en-US" w:eastAsia="zh-CN"/>
              </w:rPr>
              <w:t>25</w:t>
            </w:r>
            <w:r>
              <w:rPr>
                <w:rFonts w:hint="default"/>
                <w:snapToGrid w:val="0"/>
                <w:color w:val="auto"/>
                <w:sz w:val="24"/>
                <w:szCs w:val="24"/>
                <w:highlight w:val="none"/>
              </w:rPr>
              <w:t>kg/桶，则年产生抗氧化剂包装桶为</w:t>
            </w:r>
            <w:r>
              <w:rPr>
                <w:rFonts w:hint="eastAsia"/>
                <w:snapToGrid w:val="0"/>
                <w:color w:val="auto"/>
                <w:sz w:val="24"/>
                <w:szCs w:val="24"/>
                <w:highlight w:val="none"/>
                <w:lang w:val="en-US" w:eastAsia="zh-CN"/>
              </w:rPr>
              <w:t>1</w:t>
            </w:r>
            <w:r>
              <w:rPr>
                <w:rFonts w:hint="default"/>
                <w:snapToGrid w:val="0"/>
                <w:color w:val="auto"/>
                <w:sz w:val="24"/>
                <w:szCs w:val="24"/>
                <w:highlight w:val="none"/>
              </w:rPr>
              <w:t>个，每个重量按照1kg计算，则产生抗氧化剂包装桶0.00</w:t>
            </w:r>
            <w:r>
              <w:rPr>
                <w:rFonts w:hint="eastAsia"/>
                <w:snapToGrid w:val="0"/>
                <w:color w:val="auto"/>
                <w:sz w:val="24"/>
                <w:szCs w:val="24"/>
                <w:highlight w:val="none"/>
                <w:lang w:val="en-US" w:eastAsia="zh-CN"/>
              </w:rPr>
              <w:t>1</w:t>
            </w:r>
            <w:r>
              <w:rPr>
                <w:rFonts w:hint="default"/>
                <w:snapToGrid w:val="0"/>
                <w:color w:val="auto"/>
                <w:sz w:val="24"/>
                <w:szCs w:val="24"/>
                <w:highlight w:val="none"/>
              </w:rPr>
              <w:t>t/a。</w:t>
            </w:r>
            <w:r>
              <w:rPr>
                <w:rFonts w:hint="default"/>
                <w:color w:val="auto"/>
                <w:kern w:val="2"/>
                <w:sz w:val="24"/>
                <w:szCs w:val="24"/>
                <w:highlight w:val="none"/>
              </w:rPr>
              <w:t>根据《国家危险废物名录》（2021年版），</w:t>
            </w:r>
            <w:r>
              <w:rPr>
                <w:rFonts w:hint="default"/>
                <w:snapToGrid w:val="0"/>
                <w:color w:val="auto"/>
                <w:sz w:val="24"/>
                <w:szCs w:val="24"/>
                <w:highlight w:val="none"/>
              </w:rPr>
              <w:t>废抗氧化剂包装桶</w:t>
            </w:r>
            <w:r>
              <w:rPr>
                <w:rFonts w:hint="default"/>
                <w:color w:val="auto"/>
                <w:kern w:val="2"/>
                <w:sz w:val="24"/>
                <w:szCs w:val="24"/>
                <w:highlight w:val="none"/>
              </w:rPr>
              <w:t>属于HW49类别中900-041-49</w:t>
            </w:r>
            <w:r>
              <w:rPr>
                <w:rFonts w:hint="default"/>
                <w:bCs/>
                <w:color w:val="auto"/>
                <w:kern w:val="2"/>
                <w:sz w:val="24"/>
                <w:szCs w:val="24"/>
                <w:highlight w:val="none"/>
              </w:rPr>
              <w:t>的危险废物，在厂区危废暂存间暂存，</w:t>
            </w:r>
            <w:r>
              <w:rPr>
                <w:rFonts w:hint="default"/>
                <w:bCs/>
                <w:color w:val="auto"/>
                <w:spacing w:val="-10"/>
                <w:sz w:val="24"/>
                <w:szCs w:val="24"/>
                <w:highlight w:val="none"/>
              </w:rPr>
              <w:t>定期交由有资质的单位处置</w:t>
            </w:r>
            <w:r>
              <w:rPr>
                <w:rFonts w:hint="default"/>
                <w:bCs/>
                <w:color w:val="auto"/>
                <w:kern w:val="2"/>
                <w:sz w:val="24"/>
                <w:szCs w:val="24"/>
                <w:highlight w:val="none"/>
              </w:rPr>
              <w:t>，不外排。</w:t>
            </w:r>
          </w:p>
          <w:p>
            <w:pPr>
              <w:keepNext w:val="0"/>
              <w:keepLines w:val="0"/>
              <w:widowControl/>
              <w:suppressLineNumbers w:val="0"/>
              <w:spacing w:before="0" w:beforeAutospacing="0" w:after="0" w:afterAutospacing="0" w:line="360" w:lineRule="auto"/>
              <w:ind w:left="0" w:right="0" w:firstLine="480"/>
              <w:jc w:val="both"/>
              <w:rPr>
                <w:rFonts w:hint="default"/>
                <w:color w:val="auto"/>
                <w:sz w:val="24"/>
                <w:szCs w:val="24"/>
                <w:highlight w:val="none"/>
              </w:rPr>
            </w:pPr>
            <w:r>
              <w:rPr>
                <w:rFonts w:hint="default"/>
                <w:color w:val="auto"/>
                <w:sz w:val="24"/>
                <w:szCs w:val="24"/>
                <w:highlight w:val="none"/>
              </w:rPr>
              <w:t>1</w:t>
            </w:r>
            <w:r>
              <w:rPr>
                <w:rFonts w:hint="eastAsia"/>
                <w:color w:val="auto"/>
                <w:sz w:val="24"/>
                <w:szCs w:val="24"/>
                <w:highlight w:val="none"/>
                <w:lang w:val="en-US" w:eastAsia="zh-CN"/>
              </w:rPr>
              <w:t>2</w:t>
            </w:r>
            <w:r>
              <w:rPr>
                <w:rFonts w:hint="default"/>
                <w:color w:val="auto"/>
                <w:sz w:val="24"/>
                <w:szCs w:val="24"/>
                <w:highlight w:val="none"/>
              </w:rPr>
              <w:t>）喷淋塔更换废水</w:t>
            </w:r>
          </w:p>
          <w:p>
            <w:pPr>
              <w:keepNext w:val="0"/>
              <w:keepLines w:val="0"/>
              <w:suppressLineNumbers w:val="0"/>
              <w:spacing w:before="0" w:beforeAutospacing="0" w:after="0" w:afterAutospacing="0" w:line="360" w:lineRule="auto"/>
              <w:ind w:left="0" w:right="0" w:firstLine="480"/>
              <w:jc w:val="both"/>
              <w:rPr>
                <w:rFonts w:hint="default"/>
                <w:color w:val="auto"/>
                <w:sz w:val="24"/>
                <w:highlight w:val="none"/>
              </w:rPr>
            </w:pPr>
            <w:r>
              <w:rPr>
                <w:rFonts w:hint="default"/>
                <w:color w:val="auto"/>
                <w:sz w:val="24"/>
                <w:highlight w:val="none"/>
              </w:rPr>
              <w:t>根据前文分析可知，喷淋塔循环补充水量为</w:t>
            </w:r>
            <w:r>
              <w:rPr>
                <w:rFonts w:hint="eastAsia"/>
                <w:color w:val="auto"/>
                <w:sz w:val="24"/>
                <w:highlight w:val="none"/>
                <w:lang w:val="en-US" w:eastAsia="zh-CN"/>
              </w:rPr>
              <w:t>739.2</w:t>
            </w:r>
            <w:r>
              <w:rPr>
                <w:rFonts w:hint="default"/>
                <w:color w:val="auto"/>
                <w:sz w:val="24"/>
                <w:highlight w:val="none"/>
              </w:rPr>
              <w:t>m³/a、</w:t>
            </w:r>
            <w:r>
              <w:rPr>
                <w:rFonts w:hint="eastAsia"/>
                <w:color w:val="auto"/>
                <w:sz w:val="24"/>
                <w:highlight w:val="none"/>
                <w:lang w:val="en-US" w:eastAsia="zh-CN"/>
              </w:rPr>
              <w:t>2.464</w:t>
            </w:r>
            <w:r>
              <w:rPr>
                <w:rFonts w:hint="default"/>
                <w:color w:val="auto"/>
                <w:sz w:val="24"/>
                <w:highlight w:val="none"/>
              </w:rPr>
              <w:t>m</w:t>
            </w:r>
            <w:r>
              <w:rPr>
                <w:rFonts w:hint="default"/>
                <w:color w:val="auto"/>
                <w:sz w:val="24"/>
                <w:highlight w:val="none"/>
                <w:vertAlign w:val="superscript"/>
              </w:rPr>
              <w:t>3</w:t>
            </w:r>
            <w:r>
              <w:rPr>
                <w:rFonts w:hint="default"/>
                <w:color w:val="auto"/>
                <w:sz w:val="24"/>
                <w:highlight w:val="none"/>
              </w:rPr>
              <w:t>/d。</w:t>
            </w:r>
            <w:r>
              <w:rPr>
                <w:rFonts w:hint="default"/>
                <w:color w:val="auto"/>
                <w:sz w:val="24"/>
                <w:highlight w:val="none"/>
                <w:lang w:bidi="ar"/>
              </w:rPr>
              <w:t>喷淋塔用水定期捞渣后循环使用，</w:t>
            </w:r>
            <w:r>
              <w:rPr>
                <w:rFonts w:hint="default"/>
                <w:color w:val="auto"/>
                <w:sz w:val="24"/>
                <w:szCs w:val="24"/>
                <w:highlight w:val="none"/>
              </w:rPr>
              <w:t>随着喷淋塔用水的循环使用，水中的盐分逐渐堆积。因此，项目每半年更换一次喷淋用水。</w:t>
            </w:r>
            <w:r>
              <w:rPr>
                <w:rFonts w:hint="default"/>
                <w:color w:val="auto"/>
                <w:sz w:val="24"/>
                <w:highlight w:val="none"/>
              </w:rPr>
              <w:t>喷淋塔更换废水产生量为</w:t>
            </w:r>
            <w:r>
              <w:rPr>
                <w:rFonts w:hint="eastAsia"/>
                <w:color w:val="auto"/>
                <w:sz w:val="24"/>
                <w:highlight w:val="none"/>
                <w:lang w:val="en-US" w:eastAsia="zh-CN"/>
              </w:rPr>
              <w:t>3</w:t>
            </w:r>
            <w:r>
              <w:rPr>
                <w:rFonts w:hint="default"/>
                <w:color w:val="auto"/>
                <w:sz w:val="24"/>
                <w:highlight w:val="none"/>
              </w:rPr>
              <w:t>m³/a、</w:t>
            </w:r>
            <w:r>
              <w:rPr>
                <w:rFonts w:hint="eastAsia"/>
                <w:color w:val="auto"/>
                <w:sz w:val="24"/>
                <w:highlight w:val="none"/>
                <w:lang w:val="en-US" w:eastAsia="zh-CN"/>
              </w:rPr>
              <w:t>0.01</w:t>
            </w:r>
            <w:r>
              <w:rPr>
                <w:rFonts w:hint="default"/>
                <w:color w:val="auto"/>
                <w:sz w:val="24"/>
                <w:highlight w:val="none"/>
              </w:rPr>
              <w:t>m</w:t>
            </w:r>
            <w:r>
              <w:rPr>
                <w:rFonts w:hint="default"/>
                <w:color w:val="auto"/>
                <w:sz w:val="24"/>
                <w:highlight w:val="none"/>
                <w:vertAlign w:val="superscript"/>
              </w:rPr>
              <w:t>3</w:t>
            </w:r>
            <w:r>
              <w:rPr>
                <w:rFonts w:hint="default"/>
                <w:color w:val="auto"/>
                <w:sz w:val="24"/>
                <w:highlight w:val="none"/>
              </w:rPr>
              <w:t>/d</w:t>
            </w:r>
            <w:r>
              <w:rPr>
                <w:rFonts w:hint="default"/>
                <w:color w:val="auto"/>
                <w:sz w:val="24"/>
                <w:szCs w:val="24"/>
                <w:highlight w:val="none"/>
              </w:rPr>
              <w:t>。</w:t>
            </w:r>
            <w:r>
              <w:rPr>
                <w:rFonts w:hint="default"/>
                <w:color w:val="auto"/>
                <w:sz w:val="24"/>
                <w:highlight w:val="none"/>
              </w:rPr>
              <w:t>根据《国家危险废物名录》（</w:t>
            </w:r>
            <w:r>
              <w:rPr>
                <w:rFonts w:hint="default"/>
                <w:bCs/>
                <w:color w:val="auto"/>
                <w:sz w:val="24"/>
                <w:highlight w:val="none"/>
              </w:rPr>
              <w:t>2021年版</w:t>
            </w:r>
            <w:r>
              <w:rPr>
                <w:rFonts w:hint="default"/>
                <w:color w:val="auto"/>
                <w:sz w:val="24"/>
                <w:highlight w:val="none"/>
              </w:rPr>
              <w:t>），喷淋塔更换废水属于HW</w:t>
            </w:r>
            <w:r>
              <w:rPr>
                <w:rFonts w:hint="eastAsia"/>
                <w:color w:val="auto"/>
                <w:sz w:val="24"/>
                <w:highlight w:val="none"/>
                <w:lang w:val="en-US" w:eastAsia="zh-CN"/>
              </w:rPr>
              <w:t>09</w:t>
            </w:r>
            <w:r>
              <w:rPr>
                <w:rFonts w:hint="eastAsia" w:ascii="Times New Roman" w:hAnsi="Times New Roman" w:eastAsia="宋体" w:cs="Times New Roman"/>
                <w:b w:val="0"/>
                <w:bCs w:val="0"/>
                <w:color w:val="auto"/>
                <w:kern w:val="2"/>
                <w:sz w:val="24"/>
                <w:szCs w:val="24"/>
                <w:highlight w:val="none"/>
                <w:lang w:val="en-US" w:eastAsia="zh-CN" w:bidi="ar-SA"/>
              </w:rPr>
              <w:t>油/水、烃/水混合物或乳化液，危废代码为900-007-09</w:t>
            </w:r>
            <w:r>
              <w:rPr>
                <w:rFonts w:hint="default"/>
                <w:color w:val="auto"/>
                <w:sz w:val="24"/>
                <w:highlight w:val="none"/>
              </w:rPr>
              <w:t>。喷淋塔更换废水</w:t>
            </w:r>
            <w:r>
              <w:rPr>
                <w:rFonts w:hint="default"/>
                <w:color w:val="auto"/>
                <w:sz w:val="24"/>
                <w:szCs w:val="20"/>
                <w:highlight w:val="none"/>
              </w:rPr>
              <w:t>用塑料桶盛装，</w:t>
            </w:r>
            <w:r>
              <w:rPr>
                <w:rFonts w:hint="default"/>
                <w:color w:val="auto"/>
                <w:sz w:val="24"/>
                <w:highlight w:val="none"/>
              </w:rPr>
              <w:t>在厂区危险废物暂存间暂存，</w:t>
            </w:r>
            <w:r>
              <w:rPr>
                <w:rFonts w:hint="default"/>
                <w:bCs/>
                <w:color w:val="auto"/>
                <w:spacing w:val="-10"/>
                <w:sz w:val="24"/>
                <w:szCs w:val="24"/>
                <w:highlight w:val="none"/>
              </w:rPr>
              <w:t>定期交由有资质的单位处置</w:t>
            </w:r>
            <w:r>
              <w:rPr>
                <w:rFonts w:hint="default"/>
                <w:color w:val="auto"/>
                <w:sz w:val="24"/>
                <w:highlight w:val="none"/>
              </w:rPr>
              <w:t>，不外排。</w:t>
            </w:r>
          </w:p>
          <w:p>
            <w:pPr>
              <w:keepNext w:val="0"/>
              <w:keepLines w:val="0"/>
              <w:widowControl/>
              <w:suppressLineNumbers w:val="0"/>
              <w:spacing w:before="0" w:beforeAutospacing="0" w:after="0" w:afterAutospacing="0" w:line="360" w:lineRule="auto"/>
              <w:ind w:left="0" w:right="0" w:firstLine="480"/>
              <w:rPr>
                <w:rFonts w:hint="default"/>
                <w:color w:val="auto"/>
                <w:sz w:val="24"/>
                <w:szCs w:val="24"/>
                <w:highlight w:val="none"/>
                <w:lang w:bidi="ar"/>
              </w:rPr>
            </w:pPr>
            <w:r>
              <w:rPr>
                <w:rFonts w:hint="default"/>
                <w:color w:val="auto"/>
                <w:sz w:val="24"/>
                <w:szCs w:val="24"/>
                <w:highlight w:val="none"/>
                <w:lang w:bidi="ar"/>
              </w:rPr>
              <w:t>1</w:t>
            </w:r>
            <w:r>
              <w:rPr>
                <w:rFonts w:hint="eastAsia"/>
                <w:color w:val="auto"/>
                <w:sz w:val="24"/>
                <w:szCs w:val="24"/>
                <w:highlight w:val="none"/>
                <w:lang w:val="en-US" w:eastAsia="zh-CN" w:bidi="ar"/>
              </w:rPr>
              <w:t>3</w:t>
            </w:r>
            <w:r>
              <w:rPr>
                <w:rFonts w:hint="default"/>
                <w:color w:val="auto"/>
                <w:sz w:val="24"/>
                <w:szCs w:val="24"/>
                <w:highlight w:val="none"/>
                <w:lang w:bidi="ar"/>
              </w:rPr>
              <w:t>）喷淋塔沉渣</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default"/>
                <w:color w:val="auto"/>
                <w:highlight w:val="none"/>
              </w:rPr>
            </w:pPr>
            <w:r>
              <w:rPr>
                <w:rFonts w:hint="default"/>
                <w:snapToGrid w:val="0"/>
                <w:color w:val="auto"/>
                <w:sz w:val="24"/>
                <w:szCs w:val="24"/>
                <w:highlight w:val="none"/>
              </w:rPr>
              <w:t>喷淋塔在处理</w:t>
            </w:r>
            <w:r>
              <w:rPr>
                <w:rFonts w:hint="eastAsia"/>
                <w:snapToGrid w:val="0"/>
                <w:color w:val="auto"/>
                <w:sz w:val="24"/>
                <w:szCs w:val="24"/>
                <w:highlight w:val="none"/>
              </w:rPr>
              <w:t>热浸</w:t>
            </w:r>
            <w:r>
              <w:rPr>
                <w:rFonts w:hint="default"/>
                <w:snapToGrid w:val="0"/>
                <w:color w:val="auto"/>
                <w:sz w:val="24"/>
                <w:szCs w:val="24"/>
                <w:highlight w:val="none"/>
              </w:rPr>
              <w:t>锡工序</w:t>
            </w:r>
            <w:r>
              <w:rPr>
                <w:rFonts w:hint="eastAsia"/>
                <w:snapToGrid w:val="0"/>
                <w:color w:val="auto"/>
                <w:sz w:val="24"/>
                <w:szCs w:val="24"/>
                <w:highlight w:val="none"/>
                <w:lang w:val="en-US" w:eastAsia="zh-CN"/>
              </w:rPr>
              <w:t>会</w:t>
            </w:r>
            <w:r>
              <w:rPr>
                <w:rFonts w:hint="default"/>
                <w:snapToGrid w:val="0"/>
                <w:color w:val="auto"/>
                <w:sz w:val="24"/>
                <w:szCs w:val="24"/>
                <w:highlight w:val="none"/>
              </w:rPr>
              <w:t>产生</w:t>
            </w:r>
            <w:r>
              <w:rPr>
                <w:rFonts w:hint="default"/>
                <w:color w:val="auto"/>
                <w:sz w:val="24"/>
                <w:szCs w:val="24"/>
                <w:highlight w:val="none"/>
                <w:lang w:bidi="ar"/>
              </w:rPr>
              <w:t>锡及其化合物</w:t>
            </w:r>
            <w:r>
              <w:rPr>
                <w:rFonts w:hint="default"/>
                <w:snapToGrid w:val="0"/>
                <w:color w:val="auto"/>
                <w:sz w:val="24"/>
                <w:szCs w:val="24"/>
                <w:highlight w:val="none"/>
              </w:rPr>
              <w:t>，会产生少量的喷淋塔沉渣。锡及其化合物的产生量为0.00</w:t>
            </w:r>
            <w:r>
              <w:rPr>
                <w:rFonts w:hint="eastAsia"/>
                <w:snapToGrid w:val="0"/>
                <w:color w:val="auto"/>
                <w:sz w:val="24"/>
                <w:szCs w:val="24"/>
                <w:highlight w:val="none"/>
                <w:lang w:val="en-US" w:eastAsia="zh-CN"/>
              </w:rPr>
              <w:t>34</w:t>
            </w:r>
            <w:r>
              <w:rPr>
                <w:rFonts w:hint="default"/>
                <w:snapToGrid w:val="0"/>
                <w:color w:val="auto"/>
                <w:sz w:val="24"/>
                <w:szCs w:val="24"/>
                <w:highlight w:val="none"/>
              </w:rPr>
              <w:t>t/a，废气收集效率为80%，废气处理效率为</w:t>
            </w:r>
            <w:r>
              <w:rPr>
                <w:rFonts w:hint="eastAsia"/>
                <w:snapToGrid w:val="0"/>
                <w:color w:val="auto"/>
                <w:sz w:val="24"/>
                <w:szCs w:val="24"/>
                <w:highlight w:val="none"/>
                <w:lang w:val="en-US" w:eastAsia="zh-CN"/>
              </w:rPr>
              <w:t>85</w:t>
            </w:r>
            <w:r>
              <w:rPr>
                <w:rFonts w:hint="default"/>
                <w:snapToGrid w:val="0"/>
                <w:color w:val="auto"/>
                <w:sz w:val="24"/>
                <w:szCs w:val="24"/>
                <w:highlight w:val="none"/>
              </w:rPr>
              <w:t>%。因此，项目喷淋塔沉渣的产生量为</w:t>
            </w:r>
            <w:r>
              <w:rPr>
                <w:rFonts w:hint="eastAsia"/>
                <w:snapToGrid w:val="0"/>
                <w:color w:val="auto"/>
                <w:sz w:val="24"/>
                <w:szCs w:val="24"/>
                <w:highlight w:val="none"/>
                <w:lang w:val="en-US" w:eastAsia="zh-CN"/>
              </w:rPr>
              <w:t>0.0029</w:t>
            </w:r>
            <w:r>
              <w:rPr>
                <w:rFonts w:hint="default"/>
                <w:snapToGrid w:val="0"/>
                <w:color w:val="auto"/>
                <w:sz w:val="24"/>
                <w:szCs w:val="24"/>
                <w:highlight w:val="none"/>
              </w:rPr>
              <w:t>t/a，</w:t>
            </w:r>
            <w:r>
              <w:rPr>
                <w:rFonts w:hint="eastAsia" w:ascii="Times New Roman" w:hAnsi="Times New Roman" w:eastAsia="宋体" w:cs="Times New Roman"/>
                <w:color w:val="auto"/>
                <w:sz w:val="24"/>
                <w:highlight w:val="none"/>
                <w:lang w:val="en-US" w:eastAsia="zh-CN"/>
              </w:rPr>
              <w:t>喷淋塔沉渣</w:t>
            </w:r>
            <w:r>
              <w:rPr>
                <w:rFonts w:hint="default" w:ascii="Times New Roman" w:hAnsi="Times New Roman" w:eastAsia="宋体" w:cs="Times New Roman"/>
                <w:color w:val="auto"/>
                <w:sz w:val="24"/>
                <w:highlight w:val="none"/>
              </w:rPr>
              <w:t>属</w:t>
            </w:r>
            <w:r>
              <w:rPr>
                <w:rFonts w:hint="default"/>
                <w:color w:val="auto"/>
                <w:sz w:val="24"/>
                <w:highlight w:val="none"/>
              </w:rPr>
              <w:t>于</w:t>
            </w:r>
            <w:r>
              <w:rPr>
                <w:rFonts w:hint="eastAsia" w:ascii="Times New Roman" w:hAnsi="Times New Roman" w:eastAsia="宋体" w:cs="Times New Roman"/>
                <w:color w:val="auto"/>
                <w:sz w:val="24"/>
                <w:highlight w:val="none"/>
              </w:rPr>
              <w:t>HW09油/水、烃/水混合物或乳化液</w:t>
            </w:r>
            <w:r>
              <w:rPr>
                <w:rFonts w:hint="eastAsia" w:ascii="Times New Roman" w:hAnsi="Times New Roman" w:eastAsia="宋体" w:cs="Times New Roman"/>
                <w:color w:val="auto"/>
                <w:sz w:val="24"/>
                <w:highlight w:val="none"/>
                <w:lang w:val="en-US" w:eastAsia="zh-CN"/>
              </w:rPr>
              <w:t>危废代码为900-007-09</w:t>
            </w:r>
            <w:r>
              <w:rPr>
                <w:rFonts w:hint="eastAsia"/>
                <w:color w:val="auto"/>
                <w:sz w:val="24"/>
                <w:highlight w:val="none"/>
                <w:lang w:val="en-US" w:eastAsia="zh-CN"/>
              </w:rPr>
              <w:t>，</w:t>
            </w:r>
            <w:r>
              <w:rPr>
                <w:rFonts w:hint="default"/>
                <w:bCs/>
                <w:color w:val="auto"/>
                <w:spacing w:val="-10"/>
                <w:sz w:val="24"/>
                <w:szCs w:val="24"/>
                <w:highlight w:val="none"/>
              </w:rPr>
              <w:t>定期交由有资质的单位处置</w:t>
            </w:r>
            <w:r>
              <w:rPr>
                <w:rFonts w:hint="default"/>
                <w:color w:val="auto"/>
                <w:sz w:val="24"/>
                <w:highlight w:val="none"/>
              </w:rPr>
              <w:t>，不外排。</w:t>
            </w:r>
          </w:p>
          <w:p>
            <w:pPr>
              <w:keepNext w:val="0"/>
              <w:keepLines w:val="0"/>
              <w:suppressLineNumbers w:val="0"/>
              <w:adjustRightInd w:val="0"/>
              <w:snapToGrid w:val="0"/>
              <w:spacing w:before="0" w:beforeAutospacing="0" w:after="0" w:afterAutospacing="0" w:line="360" w:lineRule="auto"/>
              <w:ind w:left="0" w:right="0" w:firstLine="480"/>
              <w:rPr>
                <w:rFonts w:hint="default"/>
                <w:snapToGrid w:val="0"/>
                <w:color w:val="auto"/>
                <w:sz w:val="24"/>
                <w:szCs w:val="24"/>
                <w:highlight w:val="none"/>
              </w:rPr>
            </w:pPr>
            <w:r>
              <w:rPr>
                <w:rFonts w:hint="default"/>
                <w:snapToGrid w:val="0"/>
                <w:color w:val="auto"/>
                <w:sz w:val="24"/>
                <w:szCs w:val="24"/>
                <w:highlight w:val="none"/>
              </w:rPr>
              <w:t>1</w:t>
            </w:r>
            <w:r>
              <w:rPr>
                <w:rFonts w:hint="eastAsia"/>
                <w:snapToGrid w:val="0"/>
                <w:color w:val="auto"/>
                <w:sz w:val="24"/>
                <w:szCs w:val="24"/>
                <w:highlight w:val="none"/>
                <w:lang w:val="en-US" w:eastAsia="zh-CN"/>
              </w:rPr>
              <w:t>4</w:t>
            </w:r>
            <w:r>
              <w:rPr>
                <w:rFonts w:hint="default"/>
                <w:snapToGrid w:val="0"/>
                <w:color w:val="auto"/>
                <w:sz w:val="24"/>
                <w:szCs w:val="24"/>
                <w:highlight w:val="none"/>
              </w:rPr>
              <w:t>）废活性炭</w:t>
            </w:r>
          </w:p>
          <w:p>
            <w:pPr>
              <w:keepNext w:val="0"/>
              <w:keepLines w:val="0"/>
              <w:suppressLineNumbers w:val="0"/>
              <w:adjustRightInd w:val="0"/>
              <w:snapToGrid w:val="0"/>
              <w:spacing w:before="0" w:beforeAutospacing="0" w:after="0" w:afterAutospacing="0" w:line="360" w:lineRule="auto"/>
              <w:ind w:left="0" w:right="0" w:firstLine="480"/>
              <w:rPr>
                <w:rFonts w:hint="default"/>
                <w:b/>
                <w:bCs/>
                <w:color w:val="auto"/>
                <w:kern w:val="21"/>
                <w:sz w:val="24"/>
                <w:highlight w:val="none"/>
              </w:rPr>
            </w:pPr>
            <w:r>
              <w:rPr>
                <w:rFonts w:hint="default"/>
                <w:snapToGrid w:val="0"/>
                <w:color w:val="auto"/>
                <w:sz w:val="24"/>
                <w:szCs w:val="24"/>
                <w:highlight w:val="none"/>
              </w:rPr>
              <w:t>二级活性炭吸附装置需定期更换活性炭，参考《现代涂装手册》（化学工业出版社，陈治良主编），活性炭的吸附容量一般为0.25g废气/g活性炭。废活性炭属于危险废物HW49其他废物，危废代码为900-039-49，更换的活性炭暂存在危废仓，定期交由有资质的单位处置。</w:t>
            </w:r>
          </w:p>
          <w:p>
            <w:pPr>
              <w:keepNext w:val="0"/>
              <w:keepLines w:val="0"/>
              <w:suppressLineNumbers w:val="0"/>
              <w:adjustRightInd w:val="0"/>
              <w:snapToGrid w:val="0"/>
              <w:spacing w:before="0" w:beforeAutospacing="0" w:after="0" w:afterAutospacing="0" w:line="240" w:lineRule="auto"/>
              <w:ind w:left="0" w:right="0" w:firstLine="482"/>
              <w:jc w:val="center"/>
              <w:rPr>
                <w:rFonts w:hint="default"/>
                <w:b/>
                <w:bCs/>
                <w:color w:val="auto"/>
                <w:kern w:val="21"/>
                <w:sz w:val="24"/>
                <w:highlight w:val="none"/>
              </w:rPr>
            </w:pPr>
            <w:r>
              <w:rPr>
                <w:rFonts w:hint="default"/>
                <w:b/>
                <w:bCs/>
                <w:color w:val="auto"/>
                <w:kern w:val="21"/>
                <w:sz w:val="24"/>
                <w:highlight w:val="none"/>
              </w:rPr>
              <w:t>表4-</w:t>
            </w:r>
            <w:r>
              <w:rPr>
                <w:rFonts w:hint="eastAsia"/>
                <w:b/>
                <w:bCs/>
                <w:color w:val="auto"/>
                <w:kern w:val="21"/>
                <w:sz w:val="24"/>
                <w:highlight w:val="none"/>
                <w:lang w:val="en-US" w:eastAsia="zh-CN"/>
              </w:rPr>
              <w:t>16</w:t>
            </w:r>
            <w:r>
              <w:rPr>
                <w:rFonts w:hint="default"/>
                <w:b/>
                <w:bCs/>
                <w:color w:val="auto"/>
                <w:kern w:val="21"/>
                <w:sz w:val="24"/>
                <w:highlight w:val="none"/>
              </w:rPr>
              <w:t xml:space="preserve">  二级活性炭吸附装置参数表</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8"/>
              <w:gridCol w:w="1770"/>
              <w:gridCol w:w="3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adjustRightInd w:val="0"/>
                    <w:snapToGrid w:val="0"/>
                    <w:spacing w:before="0" w:beforeAutospacing="0" w:after="0" w:afterAutospacing="0" w:line="240" w:lineRule="auto"/>
                    <w:ind w:left="0" w:right="0" w:firstLine="422"/>
                    <w:jc w:val="center"/>
                    <w:rPr>
                      <w:rFonts w:hint="default"/>
                      <w:b/>
                      <w:bCs/>
                      <w:color w:val="auto"/>
                      <w:kern w:val="21"/>
                      <w:sz w:val="21"/>
                      <w:highlight w:val="none"/>
                    </w:rPr>
                  </w:pPr>
                  <w:r>
                    <w:rPr>
                      <w:rFonts w:hint="default"/>
                      <w:b/>
                      <w:bCs/>
                      <w:color w:val="auto"/>
                      <w:kern w:val="21"/>
                      <w:sz w:val="21"/>
                      <w:highlight w:val="none"/>
                    </w:rPr>
                    <w:t>参数</w:t>
                  </w:r>
                </w:p>
              </w:tc>
              <w:tc>
                <w:tcPr>
                  <w:tcW w:w="1073" w:type="pct"/>
                  <w:vAlign w:val="center"/>
                </w:tcPr>
                <w:p>
                  <w:pPr>
                    <w:keepNext w:val="0"/>
                    <w:keepLines w:val="0"/>
                    <w:suppressLineNumbers w:val="0"/>
                    <w:adjustRightInd w:val="0"/>
                    <w:snapToGrid w:val="0"/>
                    <w:spacing w:before="0" w:beforeAutospacing="0" w:after="0" w:afterAutospacing="0" w:line="240" w:lineRule="auto"/>
                    <w:ind w:left="0" w:right="0" w:firstLine="422"/>
                    <w:jc w:val="center"/>
                    <w:rPr>
                      <w:rFonts w:hint="default"/>
                      <w:b/>
                      <w:bCs/>
                      <w:color w:val="auto"/>
                      <w:kern w:val="21"/>
                      <w:sz w:val="21"/>
                      <w:highlight w:val="none"/>
                    </w:rPr>
                  </w:pPr>
                  <w:r>
                    <w:rPr>
                      <w:rFonts w:hint="default"/>
                      <w:b/>
                      <w:bCs/>
                      <w:color w:val="auto"/>
                      <w:kern w:val="21"/>
                      <w:sz w:val="21"/>
                      <w:highlight w:val="none"/>
                    </w:rPr>
                    <w:t>指标</w:t>
                  </w:r>
                </w:p>
              </w:tc>
              <w:tc>
                <w:tcPr>
                  <w:tcW w:w="2144" w:type="pct"/>
                  <w:vAlign w:val="center"/>
                </w:tcPr>
                <w:p>
                  <w:pPr>
                    <w:keepNext w:val="0"/>
                    <w:keepLines w:val="0"/>
                    <w:suppressLineNumbers w:val="0"/>
                    <w:adjustRightInd w:val="0"/>
                    <w:snapToGrid w:val="0"/>
                    <w:spacing w:before="0" w:beforeAutospacing="0" w:after="0" w:afterAutospacing="0" w:line="240" w:lineRule="auto"/>
                    <w:ind w:left="0" w:right="0" w:firstLine="422"/>
                    <w:jc w:val="center"/>
                    <w:rPr>
                      <w:rFonts w:hint="default"/>
                      <w:b/>
                      <w:bCs/>
                      <w:color w:val="auto"/>
                      <w:kern w:val="21"/>
                      <w:sz w:val="21"/>
                      <w:highlight w:val="none"/>
                    </w:rPr>
                  </w:pPr>
                  <w:r>
                    <w:rPr>
                      <w:rFonts w:hint="default"/>
                      <w:b/>
                      <w:bCs/>
                      <w:color w:val="auto"/>
                      <w:kern w:val="21"/>
                      <w:sz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设计风量</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eastAsia"/>
                      <w:color w:val="auto"/>
                      <w:kern w:val="1"/>
                      <w:sz w:val="21"/>
                      <w:highlight w:val="none"/>
                      <w:lang w:val="en-US" w:eastAsia="zh-CN"/>
                    </w:rPr>
                    <w:t>56</w:t>
                  </w:r>
                  <w:r>
                    <w:rPr>
                      <w:rFonts w:hint="default"/>
                      <w:color w:val="auto"/>
                      <w:kern w:val="1"/>
                      <w:sz w:val="21"/>
                      <w:highlight w:val="none"/>
                    </w:rPr>
                    <w:t>00m</w:t>
                  </w:r>
                  <w:r>
                    <w:rPr>
                      <w:rFonts w:hint="default"/>
                      <w:color w:val="auto"/>
                      <w:kern w:val="1"/>
                      <w:sz w:val="21"/>
                      <w:highlight w:val="none"/>
                      <w:vertAlign w:val="superscript"/>
                    </w:rPr>
                    <w:t>3</w:t>
                  </w:r>
                  <w:r>
                    <w:rPr>
                      <w:rFonts w:hint="default"/>
                      <w:color w:val="auto"/>
                      <w:kern w:val="1"/>
                      <w:sz w:val="21"/>
                      <w:highlight w:val="none"/>
                    </w:rPr>
                    <w:t>/h</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采用变频风机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单级活性炭炭层横截面积</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eastAsia"/>
                      <w:color w:val="auto"/>
                      <w:kern w:val="1"/>
                      <w:sz w:val="21"/>
                      <w:highlight w:val="none"/>
                      <w:lang w:val="en-US" w:eastAsia="zh-CN"/>
                    </w:rPr>
                    <w:t>4</w:t>
                  </w:r>
                  <w:r>
                    <w:rPr>
                      <w:rFonts w:hint="default"/>
                      <w:color w:val="auto"/>
                      <w:kern w:val="1"/>
                      <w:sz w:val="21"/>
                      <w:highlight w:val="none"/>
                    </w:rPr>
                    <w:t>m</w:t>
                  </w:r>
                  <w:r>
                    <w:rPr>
                      <w:rFonts w:hint="default"/>
                      <w:color w:val="auto"/>
                      <w:kern w:val="1"/>
                      <w:sz w:val="21"/>
                      <w:highlight w:val="none"/>
                      <w:vertAlign w:val="superscript"/>
                    </w:rPr>
                    <w:t>2</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方形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活性炭形态</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蜂窝状</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炭层实际厚度</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0.</w:t>
                  </w:r>
                  <w:r>
                    <w:rPr>
                      <w:rFonts w:hint="eastAsia"/>
                      <w:color w:val="auto"/>
                      <w:kern w:val="1"/>
                      <w:sz w:val="21"/>
                      <w:highlight w:val="none"/>
                      <w:lang w:val="en-US" w:eastAsia="zh-CN"/>
                    </w:rPr>
                    <w:t>60</w:t>
                  </w:r>
                  <w:r>
                    <w:rPr>
                      <w:rFonts w:hint="default"/>
                      <w:color w:val="auto"/>
                      <w:kern w:val="1"/>
                      <w:sz w:val="21"/>
                      <w:highlight w:val="none"/>
                    </w:rPr>
                    <w:t>m</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项目共设置2层炭层，单层的厚度为0.</w:t>
                  </w:r>
                  <w:r>
                    <w:rPr>
                      <w:rFonts w:hint="eastAsia"/>
                      <w:color w:val="auto"/>
                      <w:kern w:val="1"/>
                      <w:sz w:val="21"/>
                      <w:highlight w:val="none"/>
                      <w:lang w:val="en-US" w:eastAsia="zh-CN"/>
                    </w:rPr>
                    <w:t>30</w:t>
                  </w:r>
                  <w:r>
                    <w:rPr>
                      <w:rFonts w:hint="default"/>
                      <w:color w:val="auto"/>
                      <w:kern w:val="1"/>
                      <w:sz w:val="21"/>
                      <w:highlight w:val="none"/>
                    </w:rPr>
                    <w:t>m，2层的厚度为0.</w:t>
                  </w:r>
                  <w:r>
                    <w:rPr>
                      <w:rFonts w:hint="eastAsia"/>
                      <w:color w:val="auto"/>
                      <w:kern w:val="1"/>
                      <w:sz w:val="21"/>
                      <w:highlight w:val="none"/>
                      <w:lang w:val="en-US" w:eastAsia="zh-CN"/>
                    </w:rPr>
                    <w:t>60</w:t>
                  </w:r>
                  <w:r>
                    <w:rPr>
                      <w:rFonts w:hint="default"/>
                      <w:color w:val="auto"/>
                      <w:kern w:val="1"/>
                      <w:sz w:val="21"/>
                      <w:highlight w:val="none"/>
                    </w:rPr>
                    <w:t>m，炭层间间距为0.1m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过滤风速</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0.</w:t>
                  </w:r>
                  <w:r>
                    <w:rPr>
                      <w:rFonts w:hint="eastAsia"/>
                      <w:color w:val="auto"/>
                      <w:kern w:val="1"/>
                      <w:sz w:val="21"/>
                      <w:highlight w:val="none"/>
                      <w:lang w:val="en-US" w:eastAsia="zh-CN"/>
                    </w:rPr>
                    <w:t>65</w:t>
                  </w:r>
                  <w:r>
                    <w:rPr>
                      <w:rFonts w:hint="default"/>
                      <w:color w:val="auto"/>
                      <w:kern w:val="1"/>
                      <w:sz w:val="21"/>
                      <w:highlight w:val="none"/>
                    </w:rPr>
                    <w:t>m/s</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根据《吸附法工业有机废气治理工程技术规范》(HJ2026-2013中使用蜂窝活性炭风速小于1.2m/s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单个活性炭箱体停留时间</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0.9</w:t>
                  </w:r>
                  <w:r>
                    <w:rPr>
                      <w:rFonts w:hint="eastAsia"/>
                      <w:color w:val="auto"/>
                      <w:kern w:val="1"/>
                      <w:sz w:val="21"/>
                      <w:highlight w:val="none"/>
                      <w:lang w:val="en-US" w:eastAsia="zh-CN"/>
                    </w:rPr>
                    <w:t>2</w:t>
                  </w:r>
                  <w:r>
                    <w:rPr>
                      <w:rFonts w:hint="default"/>
                      <w:color w:val="auto"/>
                      <w:kern w:val="1"/>
                      <w:sz w:val="21"/>
                      <w:highlight w:val="none"/>
                    </w:rPr>
                    <w:t>s</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满足污染物在活性炭箱内的接触吸附时间0.5~2s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2层活性炭炭层实际体积</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eastAsia"/>
                      <w:color w:val="auto"/>
                      <w:kern w:val="1"/>
                      <w:sz w:val="21"/>
                      <w:highlight w:val="none"/>
                      <w:lang w:val="en-US" w:eastAsia="zh-CN"/>
                    </w:rPr>
                    <w:t>2.4</w:t>
                  </w:r>
                  <w:r>
                    <w:rPr>
                      <w:rFonts w:hint="default"/>
                      <w:color w:val="auto"/>
                      <w:kern w:val="1"/>
                      <w:sz w:val="21"/>
                      <w:highlight w:val="none"/>
                    </w:rPr>
                    <w:t>m</w:t>
                  </w:r>
                  <w:r>
                    <w:rPr>
                      <w:rFonts w:hint="default"/>
                      <w:color w:val="auto"/>
                      <w:kern w:val="1"/>
                      <w:sz w:val="21"/>
                      <w:highlight w:val="none"/>
                      <w:vertAlign w:val="superscript"/>
                    </w:rPr>
                    <w:t>3</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堆积密度</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0.45g/cm</w:t>
                  </w:r>
                  <w:r>
                    <w:rPr>
                      <w:rFonts w:hint="default"/>
                      <w:color w:val="auto"/>
                      <w:kern w:val="1"/>
                      <w:sz w:val="21"/>
                      <w:highlight w:val="none"/>
                      <w:vertAlign w:val="superscript"/>
                    </w:rPr>
                    <w:t>3</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单个活性炭箱体单次填装活性炭量</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eastAsia"/>
                      <w:color w:val="auto"/>
                      <w:kern w:val="1"/>
                      <w:sz w:val="21"/>
                      <w:highlight w:val="none"/>
                      <w:lang w:val="en-US" w:eastAsia="zh-CN"/>
                    </w:rPr>
                    <w:t>1.08</w:t>
                  </w:r>
                  <w:r>
                    <w:rPr>
                      <w:rFonts w:hint="default"/>
                      <w:color w:val="auto"/>
                      <w:kern w:val="1"/>
                      <w:sz w:val="21"/>
                      <w:highlight w:val="none"/>
                    </w:rPr>
                    <w:t>t</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81"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二级活性炭箱体单次填装活性炭量</w:t>
                  </w:r>
                </w:p>
              </w:tc>
              <w:tc>
                <w:tcPr>
                  <w:tcW w:w="1073"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eastAsia"/>
                      <w:color w:val="auto"/>
                      <w:kern w:val="1"/>
                      <w:sz w:val="21"/>
                      <w:highlight w:val="none"/>
                      <w:lang w:val="en-US" w:eastAsia="zh-CN"/>
                    </w:rPr>
                    <w:t>2.16</w:t>
                  </w:r>
                  <w:r>
                    <w:rPr>
                      <w:rFonts w:hint="default"/>
                      <w:color w:val="auto"/>
                      <w:kern w:val="1"/>
                      <w:sz w:val="21"/>
                      <w:highlight w:val="none"/>
                    </w:rPr>
                    <w:t>t</w:t>
                  </w:r>
                </w:p>
              </w:tc>
              <w:tc>
                <w:tcPr>
                  <w:tcW w:w="2144" w:type="pct"/>
                  <w:vAlign w:val="center"/>
                </w:tcPr>
                <w:p>
                  <w:pPr>
                    <w:keepNext w:val="0"/>
                    <w:keepLines w:val="0"/>
                    <w:suppressLineNumbers w:val="0"/>
                    <w:suppressAutoHyphens/>
                    <w:spacing w:before="0" w:beforeAutospacing="0" w:after="0" w:afterAutospacing="0" w:line="240" w:lineRule="auto"/>
                    <w:ind w:left="0" w:right="0" w:firstLine="0" w:firstLineChars="0"/>
                    <w:jc w:val="center"/>
                    <w:rPr>
                      <w:rFonts w:hint="default"/>
                      <w:color w:val="auto"/>
                      <w:kern w:val="1"/>
                      <w:sz w:val="21"/>
                      <w:highlight w:val="none"/>
                    </w:rPr>
                  </w:pPr>
                  <w:r>
                    <w:rPr>
                      <w:rFonts w:hint="default"/>
                      <w:color w:val="auto"/>
                      <w:kern w:val="1"/>
                      <w:sz w:val="21"/>
                      <w:highlight w:val="none"/>
                    </w:rPr>
                    <w:t>/</w:t>
                  </w:r>
                </w:p>
              </w:tc>
            </w:tr>
          </w:tbl>
          <w:p>
            <w:pPr>
              <w:keepNext w:val="0"/>
              <w:keepLines w:val="0"/>
              <w:suppressLineNumbers w:val="0"/>
              <w:autoSpaceDE w:val="0"/>
              <w:autoSpaceDN w:val="0"/>
              <w:adjustRightInd w:val="0"/>
              <w:spacing w:before="0" w:beforeAutospacing="0" w:after="0" w:afterAutospacing="0" w:line="240" w:lineRule="auto"/>
              <w:ind w:left="0" w:right="0" w:firstLine="478"/>
              <w:jc w:val="center"/>
              <w:rPr>
                <w:rFonts w:hint="default"/>
                <w:b/>
                <w:bCs/>
                <w:color w:val="auto"/>
                <w:kern w:val="2"/>
                <w:sz w:val="24"/>
                <w:szCs w:val="24"/>
                <w:highlight w:val="none"/>
              </w:rPr>
            </w:pPr>
            <w:r>
              <w:rPr>
                <w:rFonts w:hint="default"/>
                <w:b/>
                <w:bCs/>
                <w:color w:val="auto"/>
                <w:spacing w:val="-1"/>
                <w:kern w:val="30"/>
                <w:position w:val="-1"/>
                <w:sz w:val="24"/>
                <w:szCs w:val="24"/>
                <w:highlight w:val="none"/>
              </w:rPr>
              <w:t>表4-1</w:t>
            </w:r>
            <w:r>
              <w:rPr>
                <w:rFonts w:hint="eastAsia"/>
                <w:b/>
                <w:bCs/>
                <w:color w:val="auto"/>
                <w:spacing w:val="-1"/>
                <w:kern w:val="30"/>
                <w:position w:val="-1"/>
                <w:sz w:val="24"/>
                <w:szCs w:val="24"/>
                <w:highlight w:val="none"/>
                <w:lang w:val="en-US" w:eastAsia="zh-CN"/>
              </w:rPr>
              <w:t>7</w:t>
            </w:r>
            <w:r>
              <w:rPr>
                <w:rFonts w:hint="default"/>
                <w:b/>
                <w:bCs/>
                <w:color w:val="auto"/>
                <w:spacing w:val="-1"/>
                <w:kern w:val="30"/>
                <w:position w:val="-1"/>
                <w:sz w:val="24"/>
                <w:szCs w:val="24"/>
                <w:highlight w:val="none"/>
              </w:rPr>
              <w:t xml:space="preserve">  项目废活性炭产生情况</w:t>
            </w:r>
          </w:p>
          <w:tbl>
            <w:tblPr>
              <w:tblStyle w:val="3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623"/>
              <w:gridCol w:w="1346"/>
              <w:gridCol w:w="1110"/>
              <w:gridCol w:w="1394"/>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33"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吸附废气量（t/a）</w:t>
                  </w:r>
                </w:p>
              </w:tc>
              <w:tc>
                <w:tcPr>
                  <w:tcW w:w="984"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理论活性炭用量（t/a）</w:t>
                  </w:r>
                </w:p>
              </w:tc>
              <w:tc>
                <w:tcPr>
                  <w:tcW w:w="816"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一次填装量（t）</w:t>
                  </w:r>
                </w:p>
              </w:tc>
              <w:tc>
                <w:tcPr>
                  <w:tcW w:w="673"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更换次数（次/年）</w:t>
                  </w:r>
                </w:p>
              </w:tc>
              <w:tc>
                <w:tcPr>
                  <w:tcW w:w="845"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总填装量（t/a）</w:t>
                  </w:r>
                </w:p>
              </w:tc>
              <w:tc>
                <w:tcPr>
                  <w:tcW w:w="846" w:type="pct"/>
                  <w:vAlign w:val="center"/>
                </w:tcPr>
                <w:p>
                  <w:pPr>
                    <w:keepNext w:val="0"/>
                    <w:keepLines w:val="0"/>
                    <w:suppressLineNumbers w:val="0"/>
                    <w:topLinePunct/>
                    <w:spacing w:before="0" w:beforeAutospacing="0" w:after="0" w:afterAutospacing="0" w:line="240" w:lineRule="auto"/>
                    <w:ind w:left="0" w:right="0" w:firstLine="0" w:firstLineChars="0"/>
                    <w:jc w:val="both"/>
                    <w:textAlignment w:val="baseline"/>
                    <w:rPr>
                      <w:rFonts w:hint="default"/>
                      <w:b/>
                      <w:bCs/>
                      <w:color w:val="auto"/>
                      <w:spacing w:val="-1"/>
                      <w:kern w:val="30"/>
                      <w:position w:val="-1"/>
                      <w:sz w:val="21"/>
                      <w:highlight w:val="none"/>
                    </w:rPr>
                  </w:pPr>
                  <w:r>
                    <w:rPr>
                      <w:rFonts w:hint="default"/>
                      <w:b/>
                      <w:bCs/>
                      <w:color w:val="auto"/>
                      <w:spacing w:val="-1"/>
                      <w:kern w:val="30"/>
                      <w:position w:val="-1"/>
                      <w:sz w:val="21"/>
                      <w:highlight w:val="none"/>
                    </w:rPr>
                    <w:t>废活性炭产生量（t/a）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3"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eastAsia="宋体"/>
                      <w:color w:val="auto"/>
                      <w:spacing w:val="-1"/>
                      <w:kern w:val="30"/>
                      <w:position w:val="-1"/>
                      <w:sz w:val="21"/>
                      <w:highlight w:val="none"/>
                      <w:lang w:val="en-US" w:eastAsia="zh-CN"/>
                    </w:rPr>
                  </w:pPr>
                  <w:r>
                    <w:rPr>
                      <w:rFonts w:hint="eastAsia"/>
                      <w:color w:val="auto"/>
                      <w:spacing w:val="-1"/>
                      <w:kern w:val="30"/>
                      <w:position w:val="-1"/>
                      <w:sz w:val="21"/>
                      <w:highlight w:val="none"/>
                      <w:lang w:val="en-US" w:eastAsia="zh-CN"/>
                    </w:rPr>
                    <w:t>1.6450</w:t>
                  </w:r>
                </w:p>
              </w:tc>
              <w:tc>
                <w:tcPr>
                  <w:tcW w:w="984"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eastAsia="宋体"/>
                      <w:color w:val="auto"/>
                      <w:spacing w:val="-1"/>
                      <w:kern w:val="30"/>
                      <w:position w:val="-1"/>
                      <w:sz w:val="21"/>
                      <w:highlight w:val="none"/>
                      <w:lang w:val="en-US" w:eastAsia="zh-CN"/>
                    </w:rPr>
                  </w:pPr>
                  <w:r>
                    <w:rPr>
                      <w:rFonts w:hint="eastAsia"/>
                      <w:color w:val="auto"/>
                      <w:spacing w:val="-1"/>
                      <w:kern w:val="30"/>
                      <w:position w:val="-1"/>
                      <w:sz w:val="21"/>
                      <w:highlight w:val="none"/>
                      <w:lang w:val="en-US" w:eastAsia="zh-CN"/>
                    </w:rPr>
                    <w:t>6.58</w:t>
                  </w:r>
                </w:p>
              </w:tc>
              <w:tc>
                <w:tcPr>
                  <w:tcW w:w="816"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eastAsia="宋体"/>
                      <w:color w:val="auto"/>
                      <w:spacing w:val="-1"/>
                      <w:kern w:val="30"/>
                      <w:position w:val="-1"/>
                      <w:sz w:val="21"/>
                      <w:highlight w:val="none"/>
                      <w:lang w:val="en-US" w:eastAsia="zh-CN"/>
                    </w:rPr>
                  </w:pPr>
                  <w:r>
                    <w:rPr>
                      <w:rFonts w:hint="eastAsia"/>
                      <w:color w:val="auto"/>
                      <w:kern w:val="1"/>
                      <w:sz w:val="21"/>
                      <w:highlight w:val="none"/>
                      <w:lang w:val="en-US" w:eastAsia="zh-CN"/>
                    </w:rPr>
                    <w:t>2.16</w:t>
                  </w:r>
                </w:p>
              </w:tc>
              <w:tc>
                <w:tcPr>
                  <w:tcW w:w="673"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color w:val="auto"/>
                      <w:spacing w:val="-1"/>
                      <w:kern w:val="30"/>
                      <w:position w:val="-1"/>
                      <w:sz w:val="21"/>
                      <w:highlight w:val="none"/>
                    </w:rPr>
                  </w:pPr>
                  <w:r>
                    <w:rPr>
                      <w:rFonts w:hint="eastAsia"/>
                      <w:color w:val="auto"/>
                      <w:spacing w:val="-1"/>
                      <w:kern w:val="30"/>
                      <w:position w:val="-1"/>
                      <w:sz w:val="21"/>
                      <w:highlight w:val="none"/>
                      <w:lang w:val="en-US" w:eastAsia="zh-CN"/>
                    </w:rPr>
                    <w:t>4</w:t>
                  </w:r>
                </w:p>
              </w:tc>
              <w:tc>
                <w:tcPr>
                  <w:tcW w:w="845"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eastAsia="宋体"/>
                      <w:color w:val="auto"/>
                      <w:spacing w:val="-1"/>
                      <w:kern w:val="30"/>
                      <w:position w:val="-1"/>
                      <w:sz w:val="21"/>
                      <w:highlight w:val="none"/>
                      <w:lang w:val="en-US" w:eastAsia="zh-CN"/>
                    </w:rPr>
                  </w:pPr>
                  <w:r>
                    <w:rPr>
                      <w:rFonts w:hint="eastAsia"/>
                      <w:color w:val="auto"/>
                      <w:spacing w:val="-1"/>
                      <w:kern w:val="30"/>
                      <w:position w:val="-1"/>
                      <w:sz w:val="21"/>
                      <w:highlight w:val="none"/>
                      <w:lang w:val="en-US" w:eastAsia="zh-CN"/>
                    </w:rPr>
                    <w:t>8.64</w:t>
                  </w:r>
                </w:p>
              </w:tc>
              <w:tc>
                <w:tcPr>
                  <w:tcW w:w="846" w:type="pct"/>
                  <w:vAlign w:val="center"/>
                </w:tcPr>
                <w:p>
                  <w:pPr>
                    <w:keepNext w:val="0"/>
                    <w:keepLines w:val="0"/>
                    <w:suppressLineNumbers w:val="0"/>
                    <w:topLinePunct/>
                    <w:spacing w:before="0" w:beforeAutospacing="0" w:after="0" w:afterAutospacing="0" w:line="240" w:lineRule="auto"/>
                    <w:ind w:left="0" w:right="0" w:firstLine="0" w:firstLineChars="0"/>
                    <w:jc w:val="center"/>
                    <w:textAlignment w:val="baseline"/>
                    <w:rPr>
                      <w:rFonts w:hint="default" w:eastAsia="宋体"/>
                      <w:color w:val="auto"/>
                      <w:spacing w:val="-1"/>
                      <w:kern w:val="30"/>
                      <w:position w:val="-1"/>
                      <w:sz w:val="21"/>
                      <w:highlight w:val="none"/>
                      <w:lang w:val="en-US" w:eastAsia="zh-CN"/>
                    </w:rPr>
                  </w:pPr>
                  <w:r>
                    <w:rPr>
                      <w:rFonts w:hint="eastAsia"/>
                      <w:color w:val="auto"/>
                      <w:spacing w:val="-1"/>
                      <w:kern w:val="30"/>
                      <w:position w:val="-1"/>
                      <w:sz w:val="21"/>
                      <w:highlight w:val="none"/>
                      <w:lang w:val="en-US" w:eastAsia="zh-CN"/>
                    </w:rPr>
                    <w:t>10.285</w:t>
                  </w:r>
                </w:p>
              </w:tc>
            </w:tr>
          </w:tbl>
          <w:p>
            <w:pPr>
              <w:keepNext w:val="0"/>
              <w:keepLines w:val="0"/>
              <w:suppressLineNumbers w:val="0"/>
              <w:adjustRightInd w:val="0"/>
              <w:snapToGrid w:val="0"/>
              <w:spacing w:before="0" w:beforeAutospacing="0" w:after="0" w:afterAutospacing="0" w:line="360" w:lineRule="auto"/>
              <w:ind w:left="0" w:right="0" w:firstLine="480"/>
              <w:rPr>
                <w:rFonts w:hint="default"/>
                <w:snapToGrid w:val="0"/>
                <w:color w:val="auto"/>
                <w:sz w:val="24"/>
                <w:szCs w:val="24"/>
                <w:highlight w:val="none"/>
              </w:rPr>
            </w:pPr>
            <w:r>
              <w:rPr>
                <w:rFonts w:hint="default"/>
                <w:snapToGrid w:val="0"/>
                <w:color w:val="auto"/>
                <w:sz w:val="24"/>
                <w:szCs w:val="24"/>
                <w:highlight w:val="none"/>
              </w:rPr>
              <w:t>项目需要吸附</w:t>
            </w:r>
            <w:r>
              <w:rPr>
                <w:rFonts w:hint="eastAsia"/>
                <w:snapToGrid w:val="0"/>
                <w:color w:val="auto"/>
                <w:sz w:val="24"/>
                <w:szCs w:val="24"/>
                <w:highlight w:val="none"/>
                <w:lang w:val="en-US" w:eastAsia="zh-CN"/>
              </w:rPr>
              <w:t>1.6450</w:t>
            </w:r>
            <w:r>
              <w:rPr>
                <w:rFonts w:hint="default"/>
                <w:snapToGrid w:val="0"/>
                <w:color w:val="auto"/>
                <w:sz w:val="24"/>
                <w:szCs w:val="24"/>
                <w:highlight w:val="none"/>
              </w:rPr>
              <w:t>t/a有机废气所需活性炭的量为</w:t>
            </w:r>
            <w:r>
              <w:rPr>
                <w:rFonts w:hint="eastAsia"/>
                <w:snapToGrid w:val="0"/>
                <w:color w:val="auto"/>
                <w:sz w:val="24"/>
                <w:szCs w:val="24"/>
                <w:highlight w:val="none"/>
                <w:lang w:val="en-US" w:eastAsia="zh-CN"/>
              </w:rPr>
              <w:t>6.58</w:t>
            </w:r>
            <w:r>
              <w:rPr>
                <w:rFonts w:hint="default"/>
                <w:snapToGrid w:val="0"/>
                <w:color w:val="auto"/>
                <w:sz w:val="24"/>
                <w:szCs w:val="24"/>
                <w:highlight w:val="none"/>
              </w:rPr>
              <w:t>t/a，而项目实际填装量为</w:t>
            </w:r>
            <w:r>
              <w:rPr>
                <w:rFonts w:hint="eastAsia"/>
                <w:snapToGrid w:val="0"/>
                <w:color w:val="auto"/>
                <w:sz w:val="24"/>
                <w:szCs w:val="24"/>
                <w:highlight w:val="none"/>
                <w:lang w:eastAsia="zh-CN"/>
              </w:rPr>
              <w:t>10.285</w:t>
            </w:r>
            <w:r>
              <w:rPr>
                <w:rFonts w:hint="default"/>
                <w:snapToGrid w:val="0"/>
                <w:color w:val="auto"/>
                <w:sz w:val="24"/>
                <w:szCs w:val="24"/>
                <w:highlight w:val="none"/>
              </w:rPr>
              <w:t>t/a，可满足吸附要求。</w:t>
            </w:r>
          </w:p>
          <w:p>
            <w:pPr>
              <w:keepNext w:val="0"/>
              <w:keepLines w:val="0"/>
              <w:widowControl/>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eastAsia"/>
                <w:color w:val="auto"/>
                <w:kern w:val="2"/>
                <w:sz w:val="24"/>
                <w:szCs w:val="24"/>
                <w:highlight w:val="none"/>
                <w:lang w:val="en-US" w:eastAsia="zh-CN"/>
              </w:rPr>
              <w:t>15</w:t>
            </w:r>
            <w:r>
              <w:rPr>
                <w:rFonts w:hint="default"/>
                <w:color w:val="auto"/>
                <w:kern w:val="2"/>
                <w:sz w:val="24"/>
                <w:szCs w:val="24"/>
                <w:highlight w:val="none"/>
              </w:rPr>
              <w:t>）废污泥</w:t>
            </w:r>
          </w:p>
          <w:p>
            <w:pPr>
              <w:keepNext w:val="0"/>
              <w:keepLines w:val="0"/>
              <w:widowControl/>
              <w:suppressLineNumbers w:val="0"/>
              <w:spacing w:before="0" w:beforeAutospacing="0" w:after="0" w:afterAutospacing="0" w:line="360" w:lineRule="auto"/>
              <w:ind w:left="0" w:right="0" w:firstLine="480"/>
              <w:jc w:val="both"/>
              <w:rPr>
                <w:rFonts w:hint="default"/>
                <w:color w:val="auto"/>
                <w:sz w:val="24"/>
                <w:highlight w:val="none"/>
              </w:rPr>
            </w:pPr>
            <w:r>
              <w:rPr>
                <w:rFonts w:hint="default"/>
                <w:color w:val="auto"/>
                <w:kern w:val="2"/>
                <w:sz w:val="24"/>
                <w:szCs w:val="24"/>
                <w:highlight w:val="none"/>
              </w:rPr>
              <w:t>项目一体化冷却水设施运行过程中将产生少量的废污泥，参考《集中式污染治理设施产排污系数手册》（环境保护部华南环境科学研究所，2010年修订）中“表4工业废水集中处理设施的物化与生化污泥产生系数表”其他行业，含水率80%污泥产生系数为6t/万t-废水处理量。本项目生产废水处理量为</w:t>
            </w:r>
            <w:r>
              <w:rPr>
                <w:rFonts w:hint="eastAsia"/>
                <w:color w:val="auto"/>
                <w:kern w:val="2"/>
                <w:sz w:val="24"/>
                <w:szCs w:val="24"/>
                <w:highlight w:val="none"/>
                <w:lang w:val="en-US" w:eastAsia="zh-CN"/>
              </w:rPr>
              <w:t>234</w:t>
            </w:r>
            <w:r>
              <w:rPr>
                <w:rFonts w:hint="default"/>
                <w:color w:val="auto"/>
                <w:kern w:val="2"/>
                <w:sz w:val="24"/>
                <w:szCs w:val="24"/>
                <w:highlight w:val="none"/>
              </w:rPr>
              <w:t>t/a，则含水率为80%的污泥产生量为</w:t>
            </w:r>
            <w:r>
              <w:rPr>
                <w:rFonts w:hint="eastAsia"/>
                <w:color w:val="auto"/>
                <w:kern w:val="2"/>
                <w:sz w:val="24"/>
                <w:szCs w:val="24"/>
                <w:highlight w:val="none"/>
                <w:lang w:val="en-US" w:eastAsia="zh-CN"/>
              </w:rPr>
              <w:t>0.14</w:t>
            </w:r>
            <w:r>
              <w:rPr>
                <w:rFonts w:hint="default"/>
                <w:color w:val="auto"/>
                <w:kern w:val="2"/>
                <w:sz w:val="24"/>
                <w:szCs w:val="24"/>
                <w:highlight w:val="none"/>
              </w:rPr>
              <w:t>t/a。</w:t>
            </w:r>
            <w:r>
              <w:rPr>
                <w:rFonts w:hint="eastAsia"/>
                <w:color w:val="auto"/>
                <w:kern w:val="2"/>
                <w:sz w:val="24"/>
                <w:szCs w:val="24"/>
                <w:highlight w:val="none"/>
                <w:lang w:val="en-US" w:eastAsia="zh-CN"/>
              </w:rPr>
              <w:t>污泥</w:t>
            </w:r>
            <w:r>
              <w:rPr>
                <w:rFonts w:hint="default" w:ascii="Times New Roman" w:hAnsi="Times New Roman" w:eastAsia="宋体" w:cs="Times New Roman"/>
                <w:color w:val="auto"/>
                <w:sz w:val="24"/>
                <w:highlight w:val="none"/>
              </w:rPr>
              <w:t>属</w:t>
            </w:r>
            <w:r>
              <w:rPr>
                <w:rFonts w:hint="default"/>
                <w:color w:val="auto"/>
                <w:sz w:val="24"/>
                <w:highlight w:val="none"/>
              </w:rPr>
              <w:t>于HW49类别中</w:t>
            </w:r>
            <w:r>
              <w:rPr>
                <w:rFonts w:hint="eastAsia"/>
                <w:color w:val="auto"/>
                <w:sz w:val="24"/>
                <w:highlight w:val="none"/>
                <w:lang w:val="en-US" w:eastAsia="zh-CN"/>
              </w:rPr>
              <w:t>900-210-08</w:t>
            </w:r>
            <w:r>
              <w:rPr>
                <w:rFonts w:hint="default"/>
                <w:color w:val="auto"/>
                <w:sz w:val="24"/>
                <w:highlight w:val="none"/>
              </w:rPr>
              <w:t>类别的废物</w:t>
            </w:r>
            <w:r>
              <w:rPr>
                <w:rFonts w:hint="default"/>
                <w:bCs/>
                <w:color w:val="auto"/>
                <w:spacing w:val="-10"/>
                <w:sz w:val="24"/>
                <w:szCs w:val="24"/>
                <w:highlight w:val="none"/>
              </w:rPr>
              <w:t>定期交由有资质的单位处置</w:t>
            </w:r>
            <w:r>
              <w:rPr>
                <w:rFonts w:hint="default"/>
                <w:color w:val="auto"/>
                <w:sz w:val="24"/>
                <w:highlight w:val="none"/>
              </w:rPr>
              <w:t>，不外排。</w:t>
            </w:r>
          </w:p>
          <w:p>
            <w:pPr>
              <w:keepNext w:val="0"/>
              <w:keepLines w:val="0"/>
              <w:suppressLineNumbers w:val="0"/>
              <w:adjustRightInd w:val="0"/>
              <w:snapToGrid w:val="0"/>
              <w:spacing w:before="0" w:beforeAutospacing="0" w:after="0" w:afterAutospacing="0" w:line="360" w:lineRule="auto"/>
              <w:ind w:left="0" w:right="0" w:firstLine="480"/>
              <w:rPr>
                <w:rFonts w:hint="default" w:eastAsia="宋体"/>
                <w:snapToGrid w:val="0"/>
                <w:color w:val="auto"/>
                <w:sz w:val="24"/>
                <w:szCs w:val="24"/>
                <w:highlight w:val="none"/>
                <w:lang w:val="en-US" w:eastAsia="zh-CN"/>
              </w:rPr>
            </w:pPr>
            <w:r>
              <w:rPr>
                <w:rFonts w:hint="default"/>
                <w:snapToGrid w:val="0"/>
                <w:color w:val="auto"/>
                <w:sz w:val="24"/>
                <w:szCs w:val="24"/>
                <w:highlight w:val="none"/>
              </w:rPr>
              <w:t>1</w:t>
            </w:r>
            <w:r>
              <w:rPr>
                <w:rFonts w:hint="eastAsia"/>
                <w:snapToGrid w:val="0"/>
                <w:color w:val="auto"/>
                <w:sz w:val="24"/>
                <w:szCs w:val="24"/>
                <w:highlight w:val="none"/>
                <w:lang w:val="en-US" w:eastAsia="zh-CN"/>
              </w:rPr>
              <w:t>6</w:t>
            </w:r>
            <w:r>
              <w:rPr>
                <w:rFonts w:hint="default"/>
                <w:snapToGrid w:val="0"/>
                <w:color w:val="auto"/>
                <w:sz w:val="24"/>
                <w:szCs w:val="24"/>
                <w:highlight w:val="none"/>
              </w:rPr>
              <w:t>）废</w:t>
            </w:r>
            <w:r>
              <w:rPr>
                <w:rFonts w:hint="eastAsia"/>
                <w:snapToGrid w:val="0"/>
                <w:color w:val="auto"/>
                <w:sz w:val="24"/>
                <w:szCs w:val="24"/>
                <w:highlight w:val="none"/>
                <w:lang w:val="en-US" w:eastAsia="zh-CN"/>
              </w:rPr>
              <w:t>过滤纤维网</w:t>
            </w:r>
          </w:p>
          <w:p>
            <w:pPr>
              <w:keepNext w:val="0"/>
              <w:keepLines w:val="0"/>
              <w:widowControl w:val="0"/>
              <w:suppressLineNumbers w:val="0"/>
              <w:spacing w:before="0" w:beforeAutospacing="0" w:after="0" w:afterAutospacing="0" w:line="360" w:lineRule="auto"/>
              <w:ind w:left="0" w:right="0" w:firstLine="440" w:firstLineChars="200"/>
              <w:jc w:val="both"/>
              <w:rPr>
                <w:rFonts w:hint="default"/>
                <w:color w:val="auto"/>
                <w:sz w:val="24"/>
                <w:highlight w:val="none"/>
              </w:rPr>
            </w:pPr>
            <w:r>
              <w:rPr>
                <w:rFonts w:hint="eastAsia" w:ascii="Times New Roman" w:hAnsi="Times New Roman" w:eastAsia="宋体" w:cs="宋体"/>
                <w:bCs/>
                <w:color w:val="auto"/>
                <w:spacing w:val="-10"/>
                <w:kern w:val="2"/>
                <w:sz w:val="24"/>
                <w:szCs w:val="24"/>
                <w:highlight w:val="none"/>
                <w:lang w:val="en-US" w:eastAsia="zh-CN" w:bidi="ar"/>
              </w:rPr>
              <w:t>项目“水喷淋</w:t>
            </w:r>
            <w:r>
              <w:rPr>
                <w:rFonts w:hint="default" w:ascii="Times New Roman" w:hAnsi="Times New Roman" w:eastAsia="宋体" w:cs="Times New Roman"/>
                <w:bCs/>
                <w:color w:val="auto"/>
                <w:spacing w:val="-10"/>
                <w:kern w:val="2"/>
                <w:sz w:val="24"/>
                <w:szCs w:val="24"/>
                <w:highlight w:val="none"/>
                <w:lang w:val="en-US" w:eastAsia="zh-CN" w:bidi="ar"/>
              </w:rPr>
              <w:t>+</w:t>
            </w:r>
            <w:r>
              <w:rPr>
                <w:rFonts w:hint="eastAsia" w:ascii="Times New Roman" w:hAnsi="Times New Roman" w:eastAsia="宋体" w:cs="宋体"/>
                <w:bCs/>
                <w:color w:val="auto"/>
                <w:spacing w:val="-10"/>
                <w:kern w:val="2"/>
                <w:sz w:val="24"/>
                <w:szCs w:val="24"/>
                <w:highlight w:val="none"/>
                <w:lang w:val="en-US" w:eastAsia="zh-CN" w:bidi="ar"/>
              </w:rPr>
              <w:t>干式过滤器</w:t>
            </w:r>
            <w:r>
              <w:rPr>
                <w:rFonts w:hint="default" w:ascii="Times New Roman" w:hAnsi="Times New Roman" w:eastAsia="宋体" w:cs="Times New Roman"/>
                <w:bCs/>
                <w:color w:val="auto"/>
                <w:spacing w:val="-10"/>
                <w:kern w:val="2"/>
                <w:sz w:val="24"/>
                <w:szCs w:val="24"/>
                <w:highlight w:val="none"/>
                <w:lang w:val="en-US" w:eastAsia="zh-CN" w:bidi="ar"/>
              </w:rPr>
              <w:t>+</w:t>
            </w:r>
            <w:r>
              <w:rPr>
                <w:rFonts w:hint="eastAsia" w:ascii="Times New Roman" w:hAnsi="Times New Roman" w:eastAsia="宋体" w:cs="宋体"/>
                <w:bCs/>
                <w:color w:val="auto"/>
                <w:spacing w:val="-10"/>
                <w:kern w:val="2"/>
                <w:sz w:val="24"/>
                <w:szCs w:val="24"/>
                <w:highlight w:val="none"/>
                <w:lang w:val="en-US" w:eastAsia="zh-CN" w:bidi="ar"/>
              </w:rPr>
              <w:t>二级活性炭吸附装置”需定期更换干式过滤器过滤纤维网，</w:t>
            </w:r>
            <w:r>
              <w:rPr>
                <w:rFonts w:hint="eastAsia" w:ascii="Times New Roman" w:hAnsi="Times New Roman" w:eastAsia="宋体" w:cs="宋体"/>
                <w:color w:val="auto"/>
                <w:kern w:val="2"/>
                <w:sz w:val="24"/>
                <w:szCs w:val="24"/>
                <w:highlight w:val="none"/>
                <w:lang w:val="en-US" w:eastAsia="zh-CN" w:bidi="ar"/>
              </w:rPr>
              <w:t>废过滤纤维网</w:t>
            </w:r>
            <w:r>
              <w:rPr>
                <w:rFonts w:hint="eastAsia" w:ascii="Times New Roman" w:hAnsi="Times New Roman" w:eastAsia="宋体" w:cs="宋体"/>
                <w:bCs/>
                <w:color w:val="auto"/>
                <w:spacing w:val="-10"/>
                <w:kern w:val="2"/>
                <w:sz w:val="24"/>
                <w:szCs w:val="24"/>
                <w:highlight w:val="none"/>
                <w:lang w:val="en-US" w:eastAsia="zh-CN" w:bidi="ar"/>
              </w:rPr>
              <w:t>产生量为</w:t>
            </w:r>
            <w:r>
              <w:rPr>
                <w:rFonts w:hint="default" w:ascii="Times New Roman" w:hAnsi="Times New Roman" w:eastAsia="宋体" w:cs="Times New Roman"/>
                <w:bCs/>
                <w:color w:val="auto"/>
                <w:spacing w:val="-10"/>
                <w:kern w:val="2"/>
                <w:sz w:val="24"/>
                <w:szCs w:val="24"/>
                <w:highlight w:val="none"/>
                <w:lang w:val="en-US" w:eastAsia="zh-CN" w:bidi="ar"/>
              </w:rPr>
              <w:t>0.01t/a</w:t>
            </w:r>
            <w:r>
              <w:rPr>
                <w:rFonts w:hint="eastAsia" w:ascii="Times New Roman" w:hAnsi="Times New Roman" w:eastAsia="宋体" w:cs="宋体"/>
                <w:bCs/>
                <w:color w:val="auto"/>
                <w:spacing w:val="-10"/>
                <w:kern w:val="2"/>
                <w:sz w:val="24"/>
                <w:szCs w:val="24"/>
                <w:highlight w:val="none"/>
                <w:lang w:val="en-US" w:eastAsia="zh-CN" w:bidi="ar"/>
              </w:rPr>
              <w:t>，</w:t>
            </w:r>
            <w:r>
              <w:rPr>
                <w:rFonts w:hint="eastAsia" w:ascii="Times New Roman" w:hAnsi="Times New Roman" w:eastAsia="宋体" w:cs="宋体"/>
                <w:color w:val="auto"/>
                <w:kern w:val="2"/>
                <w:sz w:val="24"/>
                <w:szCs w:val="24"/>
                <w:highlight w:val="none"/>
                <w:lang w:val="en-US" w:eastAsia="zh-CN" w:bidi="ar"/>
              </w:rPr>
              <w:t>属于危险废物</w:t>
            </w:r>
            <w:r>
              <w:rPr>
                <w:rFonts w:hint="default" w:ascii="Times New Roman" w:hAnsi="Times New Roman" w:eastAsia="宋体" w:cs="Times New Roman"/>
                <w:color w:val="auto"/>
                <w:kern w:val="2"/>
                <w:sz w:val="24"/>
                <w:szCs w:val="22"/>
                <w:highlight w:val="none"/>
                <w:lang w:val="en-US" w:eastAsia="zh-CN" w:bidi="ar"/>
              </w:rPr>
              <w:t>HW49</w:t>
            </w:r>
            <w:r>
              <w:rPr>
                <w:rFonts w:hint="eastAsia" w:ascii="Times New Roman" w:hAnsi="Times New Roman" w:eastAsia="宋体" w:cs="宋体"/>
                <w:color w:val="auto"/>
                <w:kern w:val="2"/>
                <w:sz w:val="24"/>
                <w:szCs w:val="22"/>
                <w:highlight w:val="none"/>
                <w:lang w:val="en-US" w:eastAsia="zh-CN" w:bidi="ar"/>
              </w:rPr>
              <w:t>其他废物，危废代码为</w:t>
            </w:r>
            <w:r>
              <w:rPr>
                <w:rFonts w:hint="default" w:ascii="Times New Roman" w:hAnsi="Times New Roman" w:eastAsia="宋体" w:cs="Times New Roman"/>
                <w:color w:val="auto"/>
                <w:kern w:val="2"/>
                <w:sz w:val="24"/>
                <w:szCs w:val="22"/>
                <w:highlight w:val="none"/>
                <w:lang w:val="en-US" w:eastAsia="zh-CN" w:bidi="ar"/>
              </w:rPr>
              <w:t>900-041-49</w:t>
            </w:r>
            <w:r>
              <w:rPr>
                <w:rFonts w:hint="eastAsia" w:ascii="Times New Roman" w:hAnsi="Times New Roman" w:eastAsia="宋体" w:cs="宋体"/>
                <w:color w:val="auto"/>
                <w:kern w:val="2"/>
                <w:sz w:val="24"/>
                <w:szCs w:val="22"/>
                <w:highlight w:val="none"/>
                <w:lang w:val="en-US" w:eastAsia="zh-CN" w:bidi="ar"/>
              </w:rPr>
              <w:t>，属于含有或沾染毒性、感染性危险废物的废弃包装物、容器、过滤吸附介质，更换的废过滤纤维网</w:t>
            </w:r>
            <w:r>
              <w:rPr>
                <w:rFonts w:hint="eastAsia" w:ascii="Times New Roman" w:hAnsi="Times New Roman" w:eastAsia="宋体" w:cs="宋体"/>
                <w:bCs/>
                <w:color w:val="auto"/>
                <w:spacing w:val="-10"/>
                <w:kern w:val="2"/>
                <w:sz w:val="24"/>
                <w:szCs w:val="24"/>
                <w:highlight w:val="none"/>
                <w:lang w:val="en-US" w:eastAsia="zh-CN" w:bidi="ar"/>
              </w:rPr>
              <w:t>暂存在危废暂存间，定期交由</w:t>
            </w:r>
            <w:r>
              <w:rPr>
                <w:rFonts w:hint="eastAsia" w:ascii="Times New Roman" w:hAnsi="Times New Roman" w:eastAsia="宋体" w:cs="宋体"/>
                <w:color w:val="auto"/>
                <w:kern w:val="2"/>
                <w:sz w:val="24"/>
                <w:szCs w:val="24"/>
                <w:highlight w:val="none"/>
                <w:lang w:val="en-US" w:eastAsia="zh-CN" w:bidi="ar"/>
              </w:rPr>
              <w:t>有危险废物处置资质的单位</w:t>
            </w:r>
            <w:r>
              <w:rPr>
                <w:rFonts w:hint="eastAsia" w:ascii="Times New Roman" w:hAnsi="Times New Roman" w:eastAsia="宋体" w:cs="宋体"/>
                <w:bCs/>
                <w:color w:val="auto"/>
                <w:spacing w:val="-10"/>
                <w:kern w:val="2"/>
                <w:sz w:val="24"/>
                <w:szCs w:val="24"/>
                <w:highlight w:val="none"/>
                <w:lang w:val="en-US" w:eastAsia="zh-CN" w:bidi="ar"/>
              </w:rPr>
              <w:t>处置。</w:t>
            </w:r>
          </w:p>
          <w:p>
            <w:pPr>
              <w:keepNext w:val="0"/>
              <w:keepLines w:val="0"/>
              <w:suppressLineNumbers w:val="0"/>
              <w:spacing w:before="0" w:beforeAutospacing="0" w:after="0" w:afterAutospacing="0" w:line="360" w:lineRule="auto"/>
              <w:ind w:left="0" w:right="0" w:firstLine="480"/>
              <w:jc w:val="both"/>
              <w:rPr>
                <w:rFonts w:hint="default"/>
                <w:b/>
                <w:bCs/>
                <w:color w:val="auto"/>
                <w:kern w:val="2"/>
                <w:sz w:val="24"/>
                <w:szCs w:val="24"/>
                <w:highlight w:val="none"/>
              </w:rPr>
            </w:pPr>
            <w:r>
              <w:rPr>
                <w:rFonts w:hint="default"/>
                <w:color w:val="auto"/>
                <w:sz w:val="24"/>
                <w:szCs w:val="22"/>
                <w:highlight w:val="none"/>
              </w:rPr>
              <w:t>综上，项目固废产生及处置情况详见下表。</w:t>
            </w:r>
          </w:p>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表4-1</w:t>
            </w:r>
            <w:r>
              <w:rPr>
                <w:rFonts w:hint="eastAsia"/>
                <w:b/>
                <w:bCs/>
                <w:color w:val="auto"/>
                <w:kern w:val="2"/>
                <w:sz w:val="24"/>
                <w:szCs w:val="24"/>
                <w:highlight w:val="none"/>
                <w:lang w:val="en-US" w:eastAsia="zh-CN"/>
              </w:rPr>
              <w:t>8</w:t>
            </w:r>
            <w:r>
              <w:rPr>
                <w:rFonts w:hint="default"/>
                <w:b/>
                <w:bCs/>
                <w:color w:val="auto"/>
                <w:kern w:val="2"/>
                <w:sz w:val="24"/>
                <w:szCs w:val="24"/>
                <w:highlight w:val="none"/>
              </w:rPr>
              <w:t xml:space="preserve">  项目固体废物一览表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784"/>
              <w:gridCol w:w="1203"/>
              <w:gridCol w:w="888"/>
              <w:gridCol w:w="842"/>
              <w:gridCol w:w="1083"/>
              <w:gridCol w:w="655"/>
              <w:gridCol w:w="721"/>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固体废物名称</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固体废物类别</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固体废物代码</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产生量（t/a）</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最大储存量（t）</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产生工序及装置</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eastAsia"/>
                      <w:b/>
                      <w:color w:val="auto"/>
                      <w:sz w:val="21"/>
                      <w:highlight w:val="none"/>
                      <w:lang w:val="en-US" w:eastAsia="zh-CN"/>
                    </w:rPr>
                    <w:t>产污</w:t>
                  </w:r>
                  <w:r>
                    <w:rPr>
                      <w:rFonts w:hint="default"/>
                      <w:b/>
                      <w:color w:val="auto"/>
                      <w:sz w:val="21"/>
                      <w:highlight w:val="none"/>
                    </w:rPr>
                    <w:t>周期</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危险特性</w:t>
                  </w:r>
                </w:p>
              </w:tc>
              <w:tc>
                <w:tcPr>
                  <w:tcW w:w="62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
                      <w:color w:val="auto"/>
                      <w:sz w:val="21"/>
                      <w:highlight w:val="none"/>
                    </w:rPr>
                  </w:pPr>
                  <w:r>
                    <w:rPr>
                      <w:rFonts w:hint="default"/>
                      <w:b/>
                      <w:color w:val="auto"/>
                      <w:sz w:val="21"/>
                      <w:highlight w:val="none"/>
                    </w:rPr>
                    <w:t>利用处置方式和去向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边角料</w:t>
                  </w:r>
                </w:p>
              </w:tc>
              <w:tc>
                <w:tcPr>
                  <w:tcW w:w="475"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r>
                    <w:rPr>
                      <w:rFonts w:hint="default"/>
                      <w:bCs/>
                      <w:color w:val="auto"/>
                      <w:sz w:val="21"/>
                      <w:highlight w:val="none"/>
                    </w:rPr>
                    <w:t>一般工业固体废物</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334-00</w:t>
                  </w:r>
                  <w:r>
                    <w:rPr>
                      <w:rFonts w:hint="eastAsia"/>
                      <w:bCs/>
                      <w:color w:val="auto"/>
                      <w:sz w:val="21"/>
                      <w:highlight w:val="none"/>
                      <w:lang w:val="en-US" w:eastAsia="zh-CN"/>
                    </w:rPr>
                    <w:t>0</w:t>
                  </w:r>
                  <w:r>
                    <w:rPr>
                      <w:rFonts w:hint="default"/>
                      <w:bCs/>
                      <w:color w:val="auto"/>
                      <w:sz w:val="21"/>
                      <w:highlight w:val="none"/>
                    </w:rPr>
                    <w:t>-10</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0.4</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拉丝</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bCs/>
                      <w:color w:val="auto"/>
                      <w:sz w:val="21"/>
                      <w:highlight w:val="none"/>
                      <w:lang w:val="en-US" w:eastAsia="zh-CN"/>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28"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r>
                    <w:rPr>
                      <w:rFonts w:hint="default"/>
                      <w:bCs/>
                      <w:color w:val="auto"/>
                      <w:sz w:val="21"/>
                      <w:highlight w:val="none"/>
                    </w:rPr>
                    <w:t>交由专业公司回收处理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锡渣</w:t>
                  </w:r>
                </w:p>
              </w:tc>
              <w:tc>
                <w:tcPr>
                  <w:tcW w:w="475"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val="en-US"/>
                    </w:rPr>
                  </w:pPr>
                  <w:r>
                    <w:rPr>
                      <w:rFonts w:hint="eastAsia"/>
                      <w:bCs/>
                      <w:color w:val="auto"/>
                      <w:sz w:val="21"/>
                      <w:highlight w:val="none"/>
                      <w:lang w:val="en-US" w:eastAsia="zh-CN"/>
                    </w:rPr>
                    <w:t>334-000-99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0.34</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rPr>
                    <w:t>热浸锡</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废包装材料</w:t>
                  </w:r>
                </w:p>
              </w:tc>
              <w:tc>
                <w:tcPr>
                  <w:tcW w:w="475"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val="en-US"/>
                    </w:rPr>
                  </w:pPr>
                  <w:r>
                    <w:rPr>
                      <w:rFonts w:hint="eastAsia"/>
                      <w:bCs/>
                      <w:color w:val="auto"/>
                      <w:sz w:val="21"/>
                      <w:highlight w:val="none"/>
                      <w:lang w:val="en-US" w:eastAsia="zh-CN"/>
                    </w:rPr>
                    <w:t>334-000-07</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1</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包装</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olor w:val="auto"/>
                      <w:sz w:val="21"/>
                      <w:highlight w:val="none"/>
                      <w:lang w:val="en-US" w:eastAsia="zh-CN"/>
                    </w:rPr>
                    <w:t>含油</w:t>
                  </w:r>
                  <w:r>
                    <w:rPr>
                      <w:rFonts w:hint="default"/>
                      <w:color w:val="auto"/>
                      <w:sz w:val="21"/>
                      <w:highlight w:val="none"/>
                    </w:rPr>
                    <w:t>废铜线</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eastAsia="宋体"/>
                      <w:bCs/>
                      <w:color w:val="auto"/>
                      <w:sz w:val="21"/>
                      <w:highlight w:val="none"/>
                      <w:lang w:val="en-US" w:eastAsia="zh-CN"/>
                    </w:rPr>
                  </w:pPr>
                  <w:r>
                    <w:rPr>
                      <w:rFonts w:hint="default"/>
                      <w:color w:val="auto"/>
                      <w:kern w:val="2"/>
                      <w:sz w:val="21"/>
                      <w:highlight w:val="none"/>
                    </w:rPr>
                    <w:t>HW</w:t>
                  </w:r>
                  <w:r>
                    <w:rPr>
                      <w:rFonts w:hint="eastAsia"/>
                      <w:color w:val="auto"/>
                      <w:kern w:val="2"/>
                      <w:sz w:val="21"/>
                      <w:highlight w:val="none"/>
                      <w:lang w:val="en-US" w:eastAsia="zh-CN"/>
                    </w:rPr>
                    <w:t>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color w:val="auto"/>
                      <w:kern w:val="2"/>
                      <w:sz w:val="21"/>
                      <w:highlight w:val="none"/>
                    </w:rPr>
                    <w:t>900-</w:t>
                  </w:r>
                  <w:r>
                    <w:rPr>
                      <w:rFonts w:hint="eastAsia"/>
                      <w:color w:val="auto"/>
                      <w:kern w:val="2"/>
                      <w:sz w:val="21"/>
                      <w:highlight w:val="none"/>
                      <w:lang w:val="en-US" w:eastAsia="zh-CN"/>
                    </w:rPr>
                    <w:t>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bCs/>
                      <w:color w:val="auto"/>
                      <w:sz w:val="21"/>
                      <w:highlight w:val="none"/>
                    </w:rPr>
                    <w:t>10.1</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bCs/>
                      <w:color w:val="auto"/>
                      <w:sz w:val="21"/>
                      <w:highlight w:val="none"/>
                    </w:rPr>
                    <w:t>6</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Cs/>
                      <w:color w:val="auto"/>
                      <w:sz w:val="21"/>
                      <w:szCs w:val="21"/>
                      <w:highlight w:val="none"/>
                      <w:lang w:val="en-US" w:eastAsia="zh-CN" w:bidi="ar-SA"/>
                    </w:rPr>
                  </w:pPr>
                  <w:r>
                    <w:rPr>
                      <w:rFonts w:hint="default"/>
                      <w:bCs/>
                      <w:color w:val="auto"/>
                      <w:sz w:val="21"/>
                      <w:highlight w:val="none"/>
                    </w:rPr>
                    <w:t>拉丝</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eastAsia"/>
                      <w:color w:val="auto"/>
                      <w:sz w:val="21"/>
                      <w:szCs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r>
                    <w:rPr>
                      <w:rFonts w:hint="default"/>
                      <w:bCs/>
                      <w:color w:val="auto"/>
                      <w:sz w:val="21"/>
                      <w:highlight w:val="none"/>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废润滑油</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0.02</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设备的维护和保养</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both"/>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废润滑油包装桶</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0.02</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废拉丝油包装桶</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color w:val="auto"/>
                      <w:kern w:val="2"/>
                      <w:sz w:val="21"/>
                      <w:highlight w:val="none"/>
                      <w:lang w:val="en-US" w:eastAsia="zh-CN"/>
                    </w:rPr>
                    <w:t>0.152</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废导轴油包装桶</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0.001</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val="en-US" w:eastAsia="zh-CN"/>
                    </w:rPr>
                  </w:pPr>
                  <w:r>
                    <w:rPr>
                      <w:rFonts w:hint="default"/>
                      <w:color w:val="auto"/>
                      <w:kern w:val="2"/>
                      <w:sz w:val="21"/>
                      <w:highlight w:val="none"/>
                    </w:rPr>
                    <w:t>废导轴油</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color w:val="auto"/>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0.025</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废抹布、废手套</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HW49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900-041-49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0.02</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设备维护</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bCs/>
                      <w:color w:val="auto"/>
                      <w:sz w:val="21"/>
                      <w:highlight w:val="none"/>
                      <w:lang w:val="en-US" w:eastAsia="zh-CN"/>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eastAsia="zh-CN"/>
                    </w:rPr>
                  </w:pPr>
                  <w:r>
                    <w:rPr>
                      <w:rFonts w:hint="eastAsia"/>
                      <w:color w:val="auto"/>
                      <w:kern w:val="2"/>
                      <w:sz w:val="21"/>
                      <w:highlight w:val="none"/>
                      <w:lang w:eastAsia="zh-CN"/>
                    </w:rPr>
                    <w:t>含助焊剂废毛毡</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0.5</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2</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清洁</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sz w:val="21"/>
                      <w:szCs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拉丝油废液</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900-249-08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3.8</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bCs/>
                      <w:color w:val="auto"/>
                      <w:sz w:val="21"/>
                      <w:highlight w:val="none"/>
                      <w:lang w:eastAsia="zh-CN"/>
                    </w:rPr>
                  </w:pPr>
                  <w:r>
                    <w:rPr>
                      <w:rFonts w:hint="eastAsia"/>
                      <w:bCs/>
                      <w:color w:val="auto"/>
                      <w:sz w:val="21"/>
                      <w:highlight w:val="none"/>
                      <w:lang w:val="en-US" w:eastAsia="zh-CN"/>
                    </w:rPr>
                    <w:t>2</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废助焊剂包装桶</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0.144</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bCs/>
                      <w:color w:val="auto"/>
                      <w:sz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snapToGrid w:val="0"/>
                      <w:color w:val="auto"/>
                      <w:sz w:val="21"/>
                      <w:highlight w:val="none"/>
                    </w:rPr>
                    <w:t>废抗氧化剂包装桶</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0.001</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0.25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物料储存</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bCs/>
                      <w:color w:val="auto"/>
                      <w:sz w:val="21"/>
                      <w:highlight w:val="none"/>
                      <w:lang w:val="en-US" w:eastAsia="zh-CN"/>
                    </w:rPr>
                    <w:t>每天</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default"/>
                      <w:color w:val="auto"/>
                      <w:sz w:val="21"/>
                      <w:highlight w:val="none"/>
                    </w:rPr>
                    <w:t>喷淋塔更换废水</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lang w:val="en-US" w:eastAsia="zh-CN"/>
                    </w:rPr>
                  </w:pPr>
                  <w:r>
                    <w:rPr>
                      <w:rFonts w:hint="default"/>
                      <w:color w:val="auto"/>
                      <w:kern w:val="2"/>
                      <w:sz w:val="21"/>
                      <w:highlight w:val="none"/>
                    </w:rPr>
                    <w:t>HW</w:t>
                  </w:r>
                  <w:r>
                    <w:rPr>
                      <w:rFonts w:hint="eastAsia"/>
                      <w:color w:val="auto"/>
                      <w:kern w:val="2"/>
                      <w:sz w:val="21"/>
                      <w:highlight w:val="none"/>
                      <w:lang w:val="en-US" w:eastAsia="zh-CN"/>
                    </w:rPr>
                    <w:t>09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900-007-09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snapToGrid w:val="0"/>
                      <w:color w:val="auto"/>
                      <w:sz w:val="21"/>
                      <w:highlight w:val="none"/>
                      <w:lang w:eastAsia="zh-CN"/>
                    </w:rPr>
                  </w:pPr>
                  <w:r>
                    <w:rPr>
                      <w:rFonts w:hint="eastAsia"/>
                      <w:snapToGrid w:val="0"/>
                      <w:color w:val="auto"/>
                      <w:sz w:val="21"/>
                      <w:highlight w:val="none"/>
                      <w:lang w:val="en-US" w:eastAsia="zh-CN"/>
                    </w:rPr>
                    <w:t>3</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3.5</w:t>
                  </w:r>
                </w:p>
              </w:tc>
              <w:tc>
                <w:tcPr>
                  <w:tcW w:w="656"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废气处理装置</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喷淋塔沉渣</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color w:val="auto"/>
                      <w:kern w:val="2"/>
                      <w:sz w:val="21"/>
                      <w:highlight w:val="none"/>
                    </w:rPr>
                  </w:pPr>
                  <w:r>
                    <w:rPr>
                      <w:rFonts w:hint="default"/>
                      <w:color w:val="auto"/>
                      <w:kern w:val="2"/>
                      <w:sz w:val="21"/>
                      <w:highlight w:val="none"/>
                    </w:rPr>
                    <w:t>HW</w:t>
                  </w:r>
                  <w:r>
                    <w:rPr>
                      <w:rFonts w:hint="eastAsia"/>
                      <w:color w:val="auto"/>
                      <w:kern w:val="2"/>
                      <w:sz w:val="21"/>
                      <w:highlight w:val="none"/>
                      <w:lang w:val="en-US" w:eastAsia="zh-CN"/>
                    </w:rPr>
                    <w:t>09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color w:val="auto"/>
                      <w:kern w:val="2"/>
                      <w:sz w:val="21"/>
                      <w:highlight w:val="none"/>
                    </w:rPr>
                  </w:pPr>
                  <w:r>
                    <w:rPr>
                      <w:rFonts w:hint="eastAsia"/>
                      <w:color w:val="auto"/>
                      <w:kern w:val="2"/>
                      <w:sz w:val="21"/>
                      <w:highlight w:val="none"/>
                      <w:lang w:val="en-US" w:eastAsia="zh-CN"/>
                    </w:rPr>
                    <w:t>900-007-09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snapToGrid w:val="0"/>
                      <w:color w:val="auto"/>
                      <w:sz w:val="21"/>
                      <w:highlight w:val="none"/>
                      <w:lang w:val="en-US" w:eastAsia="zh-CN"/>
                    </w:rPr>
                  </w:pPr>
                  <w:r>
                    <w:rPr>
                      <w:rFonts w:hint="eastAsia"/>
                      <w:snapToGrid w:val="0"/>
                      <w:color w:val="auto"/>
                      <w:sz w:val="21"/>
                      <w:highlight w:val="none"/>
                      <w:lang w:val="en-US" w:eastAsia="zh-CN"/>
                    </w:rPr>
                    <w:t>0.0029</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0.5</w:t>
                  </w:r>
                </w:p>
              </w:tc>
              <w:tc>
                <w:tcPr>
                  <w:tcW w:w="656"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废气处理装置</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w:t>
                  </w:r>
                  <w:r>
                    <w:rPr>
                      <w:rFonts w:hint="eastAsia"/>
                      <w:bCs/>
                      <w:color w:val="auto"/>
                      <w:sz w:val="21"/>
                      <w:highlight w:val="none"/>
                      <w:lang w:val="en-US" w:eastAsia="zh-CN"/>
                    </w:rPr>
                    <w:t>/</w:t>
                  </w:r>
                  <w:r>
                    <w:rPr>
                      <w:rFonts w:hint="default"/>
                      <w:bCs/>
                      <w:color w:val="auto"/>
                      <w:sz w:val="21"/>
                      <w:highlight w:val="none"/>
                    </w:rPr>
                    <w:t>I</w:t>
                  </w:r>
                  <w:r>
                    <w:rPr>
                      <w:rFonts w:hint="eastAsia"/>
                      <w:bCs/>
                      <w:color w:val="auto"/>
                      <w:sz w:val="21"/>
                      <w:highlight w:val="none"/>
                      <w:lang w:val="en-US" w:eastAsia="zh-CN"/>
                    </w:rPr>
                    <w:t>n</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废活性炭</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900-039-49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snapToGrid w:val="0"/>
                      <w:color w:val="auto"/>
                      <w:sz w:val="21"/>
                      <w:highlight w:val="none"/>
                      <w:lang w:eastAsia="zh-CN"/>
                    </w:rPr>
                  </w:pPr>
                  <w:r>
                    <w:rPr>
                      <w:rFonts w:hint="eastAsia"/>
                      <w:snapToGrid w:val="0"/>
                      <w:color w:val="auto"/>
                      <w:sz w:val="21"/>
                      <w:highlight w:val="none"/>
                      <w:lang w:eastAsia="zh-CN"/>
                    </w:rPr>
                    <w:t>10.285</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w:t>
                  </w:r>
                </w:p>
              </w:tc>
              <w:tc>
                <w:tcPr>
                  <w:tcW w:w="656" w:type="pct"/>
                  <w:vAlign w:val="center"/>
                </w:tcPr>
                <w:p>
                  <w:pPr>
                    <w:keepNext w:val="0"/>
                    <w:keepLines w:val="0"/>
                    <w:suppressLineNumbers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废气处理装置</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color w:val="auto"/>
                      <w:sz w:val="21"/>
                      <w:szCs w:val="21"/>
                      <w:highlight w:val="none"/>
                      <w:lang w:val="en-US" w:eastAsia="zh-CN"/>
                    </w:rPr>
                    <w:t>每季</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T、I</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废污泥</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eastAsia="zh-CN"/>
                    </w:rPr>
                  </w:pPr>
                  <w:r>
                    <w:rPr>
                      <w:rFonts w:hint="eastAsia"/>
                      <w:color w:val="auto"/>
                      <w:kern w:val="2"/>
                      <w:sz w:val="21"/>
                      <w:highlight w:val="none"/>
                      <w:lang w:eastAsia="zh-CN"/>
                    </w:rPr>
                    <w:t>HW08</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Cs/>
                      <w:color w:val="auto"/>
                      <w:sz w:val="21"/>
                      <w:szCs w:val="21"/>
                      <w:highlight w:val="none"/>
                      <w:lang w:val="en-US" w:eastAsia="zh-CN" w:bidi="ar-SA"/>
                    </w:rPr>
                  </w:pPr>
                  <w:r>
                    <w:rPr>
                      <w:rFonts w:hint="eastAsia"/>
                      <w:bCs/>
                      <w:color w:val="auto"/>
                      <w:sz w:val="21"/>
                      <w:highlight w:val="none"/>
                      <w:lang w:eastAsia="zh-CN"/>
                    </w:rPr>
                    <w:t>900-210-08</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eastAsia"/>
                      <w:bCs/>
                      <w:color w:val="auto"/>
                      <w:sz w:val="21"/>
                      <w:highlight w:val="none"/>
                      <w:lang w:val="en-US" w:eastAsia="zh-CN"/>
                    </w:rPr>
                    <w:t>0.14</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eastAsia"/>
                      <w:bCs/>
                      <w:color w:val="auto"/>
                      <w:sz w:val="21"/>
                      <w:highlight w:val="none"/>
                      <w:lang w:val="en-US" w:eastAsia="zh-CN"/>
                    </w:rPr>
                    <w:t>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eastAsia"/>
                      <w:bCs/>
                      <w:color w:val="auto"/>
                      <w:sz w:val="21"/>
                      <w:highlight w:val="none"/>
                    </w:rPr>
                    <w:t>退火机</w:t>
                  </w:r>
                  <w:r>
                    <w:rPr>
                      <w:rFonts w:hint="default"/>
                      <w:bCs/>
                      <w:color w:val="auto"/>
                      <w:sz w:val="21"/>
                      <w:highlight w:val="none"/>
                    </w:rPr>
                    <w:t>冷却水处理</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eastAsia"/>
                      <w:bCs/>
                      <w:color w:val="auto"/>
                      <w:sz w:val="21"/>
                      <w:highlight w:val="none"/>
                      <w:lang w:val="en-US" w:eastAsia="zh-CN"/>
                    </w:rPr>
                    <w:t>半年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bCs/>
                      <w:color w:val="auto"/>
                      <w:sz w:val="21"/>
                      <w:highlight w:val="none"/>
                    </w:rPr>
                    <w:t>/</w:t>
                  </w:r>
                </w:p>
              </w:tc>
              <w:tc>
                <w:tcPr>
                  <w:tcW w:w="628"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过滤纤维网</w:t>
                  </w:r>
                </w:p>
              </w:tc>
              <w:tc>
                <w:tcPr>
                  <w:tcW w:w="475"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color w:val="auto"/>
                      <w:kern w:val="2"/>
                      <w:sz w:val="21"/>
                      <w:highlight w:val="none"/>
                      <w:lang w:val="en-US" w:eastAsia="zh-CN"/>
                    </w:rPr>
                  </w:pPr>
                  <w:r>
                    <w:rPr>
                      <w:rFonts w:hint="default"/>
                      <w:color w:val="auto"/>
                      <w:kern w:val="2"/>
                      <w:sz w:val="21"/>
                      <w:highlight w:val="none"/>
                      <w:lang w:val="en-US" w:eastAsia="zh-CN"/>
                    </w:rPr>
                    <w:t>HW</w:t>
                  </w:r>
                  <w:r>
                    <w:rPr>
                      <w:rFonts w:hint="eastAsia"/>
                      <w:color w:val="auto"/>
                      <w:kern w:val="2"/>
                      <w:sz w:val="21"/>
                      <w:highlight w:val="none"/>
                      <w:lang w:val="en-US" w:eastAsia="zh-CN"/>
                    </w:rPr>
                    <w:t>09</w:t>
                  </w:r>
                </w:p>
              </w:tc>
              <w:tc>
                <w:tcPr>
                  <w:tcW w:w="729"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color w:val="auto"/>
                      <w:kern w:val="2"/>
                      <w:sz w:val="21"/>
                      <w:highlight w:val="none"/>
                      <w:lang w:val="en-US" w:eastAsia="zh-CN"/>
                    </w:rPr>
                  </w:pPr>
                  <w:r>
                    <w:rPr>
                      <w:rFonts w:hint="default"/>
                      <w:color w:val="auto"/>
                      <w:kern w:val="2"/>
                      <w:sz w:val="21"/>
                      <w:highlight w:val="none"/>
                      <w:lang w:val="en-US" w:eastAsia="zh-CN"/>
                    </w:rPr>
                    <w:t>900-041-49</w:t>
                  </w:r>
                </w:p>
              </w:tc>
              <w:tc>
                <w:tcPr>
                  <w:tcW w:w="538"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bCs/>
                      <w:color w:val="auto"/>
                      <w:sz w:val="21"/>
                      <w:highlight w:val="none"/>
                      <w:lang w:val="en-US" w:eastAsia="zh-CN"/>
                    </w:rPr>
                  </w:pPr>
                  <w:r>
                    <w:rPr>
                      <w:rFonts w:hint="eastAsia"/>
                      <w:bCs/>
                      <w:color w:val="auto"/>
                      <w:sz w:val="21"/>
                      <w:highlight w:val="none"/>
                      <w:lang w:val="en-US" w:eastAsia="zh-CN"/>
                    </w:rPr>
                    <w:t>0.01</w:t>
                  </w:r>
                </w:p>
              </w:tc>
              <w:tc>
                <w:tcPr>
                  <w:tcW w:w="510"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0.05</w:t>
                  </w:r>
                </w:p>
              </w:tc>
              <w:tc>
                <w:tcPr>
                  <w:tcW w:w="656"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bCs/>
                      <w:color w:val="auto"/>
                      <w:sz w:val="21"/>
                      <w:highlight w:val="none"/>
                    </w:rPr>
                  </w:pPr>
                  <w:r>
                    <w:rPr>
                      <w:rFonts w:hint="default"/>
                      <w:color w:val="auto"/>
                      <w:sz w:val="21"/>
                      <w:highlight w:val="none"/>
                    </w:rPr>
                    <w:t>废气处理装置</w:t>
                  </w:r>
                </w:p>
              </w:tc>
              <w:tc>
                <w:tcPr>
                  <w:tcW w:w="39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eastAsia="宋体"/>
                      <w:bCs/>
                      <w:color w:val="auto"/>
                      <w:sz w:val="21"/>
                      <w:highlight w:val="none"/>
                      <w:lang w:eastAsia="zh-CN"/>
                    </w:rPr>
                  </w:pPr>
                  <w:r>
                    <w:rPr>
                      <w:rFonts w:hint="eastAsia"/>
                      <w:bCs/>
                      <w:color w:val="auto"/>
                      <w:sz w:val="21"/>
                      <w:highlight w:val="none"/>
                      <w:lang w:val="en-US" w:eastAsia="zh-CN"/>
                    </w:rPr>
                    <w:t>一年</w:t>
                  </w:r>
                </w:p>
              </w:tc>
              <w:tc>
                <w:tcPr>
                  <w:tcW w:w="437"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bCs/>
                      <w:color w:val="auto"/>
                      <w:sz w:val="21"/>
                      <w:highlight w:val="none"/>
                    </w:rPr>
                  </w:pPr>
                  <w:r>
                    <w:rPr>
                      <w:rFonts w:hint="default" w:ascii="Times New Roman" w:hAnsi="Times New Roman" w:eastAsia="宋体" w:cs="Calibri"/>
                      <w:bCs/>
                      <w:color w:val="auto"/>
                      <w:kern w:val="2"/>
                      <w:sz w:val="21"/>
                      <w:szCs w:val="21"/>
                      <w:highlight w:val="none"/>
                      <w:lang w:val="en-US" w:eastAsia="zh-CN" w:bidi="ar"/>
                    </w:rPr>
                    <w:t>T</w:t>
                  </w:r>
                  <w:r>
                    <w:rPr>
                      <w:rFonts w:hint="eastAsia" w:ascii="Times New Roman" w:hAnsi="Times New Roman" w:eastAsia="宋体" w:cs="Calibri"/>
                      <w:bCs/>
                      <w:color w:val="auto"/>
                      <w:kern w:val="2"/>
                      <w:sz w:val="21"/>
                      <w:szCs w:val="21"/>
                      <w:highlight w:val="none"/>
                      <w:lang w:val="en-US" w:eastAsia="zh-CN" w:bidi="ar"/>
                    </w:rPr>
                    <w:t>、</w:t>
                  </w:r>
                  <w:r>
                    <w:rPr>
                      <w:rFonts w:hint="default" w:ascii="Times New Roman" w:hAnsi="Times New Roman" w:eastAsia="宋体" w:cs="Calibri"/>
                      <w:bCs/>
                      <w:color w:val="auto"/>
                      <w:kern w:val="2"/>
                      <w:sz w:val="21"/>
                      <w:szCs w:val="21"/>
                      <w:highlight w:val="none"/>
                      <w:lang w:val="en-US" w:eastAsia="zh-CN" w:bidi="ar"/>
                    </w:rPr>
                    <w:t>In</w:t>
                  </w:r>
                </w:p>
              </w:tc>
              <w:tc>
                <w:tcPr>
                  <w:tcW w:w="628"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420"/>
                    <w:jc w:val="center"/>
                    <w:rPr>
                      <w:rFonts w:hint="default"/>
                      <w:bCs/>
                      <w:color w:val="auto"/>
                      <w:sz w:val="21"/>
                      <w:highlight w:val="none"/>
                    </w:rPr>
                  </w:pPr>
                </w:p>
              </w:tc>
            </w:tr>
          </w:tbl>
          <w:p>
            <w:pPr>
              <w:keepNext w:val="0"/>
              <w:keepLines w:val="0"/>
              <w:widowControl/>
              <w:suppressLineNumbers w:val="0"/>
              <w:spacing w:before="0" w:beforeAutospacing="0" w:after="0" w:afterAutospacing="0" w:line="360" w:lineRule="auto"/>
              <w:ind w:left="0" w:right="0" w:firstLine="0" w:firstLineChars="0"/>
              <w:jc w:val="both"/>
              <w:rPr>
                <w:rFonts w:hint="default"/>
                <w:b/>
                <w:bCs/>
                <w:color w:val="auto"/>
                <w:kern w:val="2"/>
                <w:sz w:val="24"/>
                <w:szCs w:val="24"/>
                <w:highlight w:val="none"/>
              </w:rPr>
            </w:pPr>
            <w:r>
              <w:rPr>
                <w:rFonts w:hint="default"/>
                <w:color w:val="auto"/>
                <w:kern w:val="2"/>
                <w:sz w:val="21"/>
                <w:szCs w:val="24"/>
                <w:highlight w:val="none"/>
              </w:rPr>
              <w:t>注：T毒性、C腐蚀性、I易燃性、In感染性</w:t>
            </w:r>
          </w:p>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表4-1</w:t>
            </w:r>
            <w:r>
              <w:rPr>
                <w:rFonts w:hint="eastAsia"/>
                <w:b/>
                <w:bCs/>
                <w:color w:val="auto"/>
                <w:kern w:val="2"/>
                <w:sz w:val="24"/>
                <w:szCs w:val="24"/>
                <w:highlight w:val="none"/>
                <w:lang w:val="en-US" w:eastAsia="zh-CN"/>
              </w:rPr>
              <w:t>9</w:t>
            </w:r>
            <w:r>
              <w:rPr>
                <w:rFonts w:hint="default"/>
                <w:b/>
                <w:bCs/>
                <w:color w:val="auto"/>
                <w:kern w:val="2"/>
                <w:sz w:val="24"/>
                <w:szCs w:val="24"/>
                <w:highlight w:val="none"/>
              </w:rPr>
              <w:t xml:space="preserve">  项目危险废物贮存场所基本情况</w:t>
            </w:r>
          </w:p>
          <w:tbl>
            <w:tblPr>
              <w:tblStyle w:val="3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43"/>
              <w:gridCol w:w="694"/>
              <w:gridCol w:w="1275"/>
              <w:gridCol w:w="795"/>
              <w:gridCol w:w="1305"/>
              <w:gridCol w:w="750"/>
              <w:gridCol w:w="795"/>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贮存场所名称</w:t>
                  </w:r>
                </w:p>
              </w:tc>
              <w:tc>
                <w:tcPr>
                  <w:tcW w:w="39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位置</w:t>
                  </w:r>
                </w:p>
              </w:tc>
              <w:tc>
                <w:tcPr>
                  <w:tcW w:w="42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占地面积</w:t>
                  </w: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危废名称</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危废类别</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危废代码</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贮存方式</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贮存能力</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
                      <w:color w:val="auto"/>
                      <w:sz w:val="21"/>
                      <w:highlight w:val="none"/>
                    </w:rPr>
                  </w:pPr>
                  <w:r>
                    <w:rPr>
                      <w:rFonts w:hint="default"/>
                      <w:b/>
                      <w:color w:val="auto"/>
                      <w:sz w:val="21"/>
                      <w:highlight w:val="none"/>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危废暂存间</w:t>
                  </w:r>
                </w:p>
              </w:tc>
              <w:tc>
                <w:tcPr>
                  <w:tcW w:w="390"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西南侧</w:t>
                  </w:r>
                </w:p>
              </w:tc>
              <w:tc>
                <w:tcPr>
                  <w:tcW w:w="421"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20</w:t>
                  </w:r>
                  <w:r>
                    <w:rPr>
                      <w:rFonts w:hint="default"/>
                      <w:bCs/>
                      <w:color w:val="auto"/>
                      <w:sz w:val="21"/>
                      <w:highlight w:val="none"/>
                    </w:rPr>
                    <w:t>m</w:t>
                  </w:r>
                  <w:r>
                    <w:rPr>
                      <w:rFonts w:hint="default"/>
                      <w:bCs/>
                      <w:color w:val="auto"/>
                      <w:sz w:val="21"/>
                      <w:highlight w:val="none"/>
                      <w:vertAlign w:val="superscript"/>
                    </w:rPr>
                    <w:t>2</w:t>
                  </w:r>
                </w:p>
              </w:tc>
              <w:tc>
                <w:tcPr>
                  <w:tcW w:w="773" w:type="pct"/>
                  <w:vAlign w:val="center"/>
                </w:tcPr>
                <w:p>
                  <w:pPr>
                    <w:keepNext w:val="0"/>
                    <w:keepLines w:val="0"/>
                    <w:suppressLineNumbers w:val="0"/>
                    <w:snapToGrid w:val="0"/>
                    <w:spacing w:before="0" w:beforeAutospacing="0" w:after="0" w:afterAutospacing="0" w:line="240" w:lineRule="auto"/>
                    <w:ind w:left="0" w:leftChars="0" w:right="0" w:rightChars="0" w:firstLine="0" w:firstLineChars="0"/>
                    <w:jc w:val="center"/>
                    <w:rPr>
                      <w:rFonts w:hint="default"/>
                      <w:b w:val="0"/>
                      <w:bCs/>
                      <w:color w:val="auto"/>
                      <w:sz w:val="21"/>
                      <w:highlight w:val="none"/>
                    </w:rPr>
                  </w:pPr>
                  <w:r>
                    <w:rPr>
                      <w:rFonts w:hint="eastAsia"/>
                      <w:color w:val="auto"/>
                      <w:sz w:val="21"/>
                      <w:highlight w:val="none"/>
                      <w:lang w:val="en-US" w:eastAsia="zh-CN"/>
                    </w:rPr>
                    <w:t>含油</w:t>
                  </w:r>
                  <w:r>
                    <w:rPr>
                      <w:rFonts w:hint="default"/>
                      <w:color w:val="auto"/>
                      <w:sz w:val="21"/>
                      <w:highlight w:val="none"/>
                    </w:rPr>
                    <w:t>废铜线</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b w:val="0"/>
                      <w:bCs/>
                      <w:color w:val="auto"/>
                      <w:sz w:val="21"/>
                      <w:highlight w:val="none"/>
                      <w:lang w:val="en-US"/>
                    </w:rPr>
                  </w:pPr>
                  <w:r>
                    <w:rPr>
                      <w:rFonts w:hint="default"/>
                      <w:color w:val="auto"/>
                      <w:kern w:val="2"/>
                      <w:sz w:val="21"/>
                      <w:highlight w:val="none"/>
                    </w:rPr>
                    <w:t>HW</w:t>
                  </w:r>
                  <w:r>
                    <w:rPr>
                      <w:rFonts w:hint="eastAsia"/>
                      <w:color w:val="auto"/>
                      <w:kern w:val="2"/>
                      <w:sz w:val="21"/>
                      <w:highlight w:val="none"/>
                      <w:lang w:val="en-US" w:eastAsia="zh-CN"/>
                    </w:rPr>
                    <w:t>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b w:val="0"/>
                      <w:bCs/>
                      <w:color w:val="auto"/>
                      <w:sz w:val="21"/>
                      <w:highlight w:val="none"/>
                      <w:lang w:val="en-US"/>
                    </w:rPr>
                  </w:pPr>
                  <w:r>
                    <w:rPr>
                      <w:rFonts w:hint="default"/>
                      <w:color w:val="auto"/>
                      <w:kern w:val="2"/>
                      <w:sz w:val="21"/>
                      <w:highlight w:val="none"/>
                    </w:rPr>
                    <w:t>900-</w:t>
                  </w:r>
                  <w:r>
                    <w:rPr>
                      <w:rFonts w:hint="eastAsia"/>
                      <w:color w:val="auto"/>
                      <w:kern w:val="2"/>
                      <w:sz w:val="21"/>
                      <w:highlight w:val="none"/>
                      <w:lang w:val="en-US" w:eastAsia="zh-CN"/>
                    </w:rPr>
                    <w:t>041</w:t>
                  </w:r>
                  <w:r>
                    <w:rPr>
                      <w:rFonts w:hint="default"/>
                      <w:color w:val="auto"/>
                      <w:kern w:val="2"/>
                      <w:sz w:val="21"/>
                      <w:highlight w:val="none"/>
                    </w:rPr>
                    <w:t>-</w:t>
                  </w:r>
                  <w:r>
                    <w:rPr>
                      <w:rFonts w:hint="eastAsia"/>
                      <w:color w:val="auto"/>
                      <w:kern w:val="2"/>
                      <w:sz w:val="21"/>
                      <w:highlight w:val="none"/>
                      <w:lang w:val="en-US" w:eastAsia="zh-CN"/>
                    </w:rPr>
                    <w:t>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b w:val="0"/>
                      <w:bCs/>
                      <w:color w:val="auto"/>
                      <w:sz w:val="21"/>
                      <w:highlight w:val="none"/>
                      <w:lang w:val="en-US" w:eastAsia="zh-CN"/>
                    </w:rPr>
                  </w:pPr>
                  <w:r>
                    <w:rPr>
                      <w:rFonts w:hint="eastAsia"/>
                      <w:b w:val="0"/>
                      <w:bCs/>
                      <w:color w:val="auto"/>
                      <w:sz w:val="21"/>
                      <w:highlight w:val="none"/>
                      <w:lang w:val="en-US" w:eastAsia="zh-CN"/>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b w:val="0"/>
                      <w:bCs/>
                      <w:color w:val="auto"/>
                      <w:sz w:val="21"/>
                      <w:highlight w:val="none"/>
                      <w:lang w:val="en-US" w:eastAsia="zh-CN"/>
                    </w:rPr>
                  </w:pPr>
                  <w:r>
                    <w:rPr>
                      <w:rFonts w:hint="eastAsia"/>
                      <w:b w:val="0"/>
                      <w:bCs/>
                      <w:color w:val="auto"/>
                      <w:sz w:val="21"/>
                      <w:highlight w:val="none"/>
                      <w:lang w:val="en-US" w:eastAsia="zh-CN"/>
                    </w:rPr>
                    <w:t>6</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 w:val="0"/>
                      <w:bCs/>
                      <w:color w:val="auto"/>
                      <w:sz w:val="21"/>
                      <w:highlight w:val="none"/>
                      <w:lang w:val="en-US" w:eastAsia="zh-CN"/>
                    </w:rPr>
                  </w:pPr>
                  <w:r>
                    <w:rPr>
                      <w:rFonts w:hint="eastAsia"/>
                      <w:b w:val="0"/>
                      <w:bCs/>
                      <w:color w:val="auto"/>
                      <w:sz w:val="21"/>
                      <w:highlight w:val="none"/>
                      <w:lang w:val="en-US" w:eastAsia="zh-CN"/>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废润滑油</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废润滑油包装桶</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bCs/>
                      <w:color w:val="auto"/>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lang w:bidi="ar"/>
                    </w:rPr>
                    <w:t>废拉丝油包装桶</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bCs/>
                      <w:color w:val="auto"/>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废导轴油包装桶</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color w:val="auto"/>
                      <w:kern w:val="2"/>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废导轴油</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bidi="ar-SA"/>
                    </w:rPr>
                  </w:pPr>
                  <w:r>
                    <w:rPr>
                      <w:rFonts w:hint="default"/>
                      <w:color w:val="auto"/>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eastAsia"/>
                      <w:color w:val="auto"/>
                      <w:sz w:val="21"/>
                      <w:highlight w:val="none"/>
                      <w:lang w:val="en-US" w:eastAsia="zh-CN"/>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废抹布、废手套</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color w:val="auto"/>
                      <w:kern w:val="2"/>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eastAsia="zh-CN"/>
                    </w:rPr>
                  </w:pPr>
                  <w:r>
                    <w:rPr>
                      <w:rFonts w:hint="eastAsia"/>
                      <w:color w:val="auto"/>
                      <w:kern w:val="2"/>
                      <w:sz w:val="21"/>
                      <w:highlight w:val="none"/>
                      <w:lang w:eastAsia="zh-CN"/>
                    </w:rPr>
                    <w:t>含助焊剂废毛毡</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拉丝油废液</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900-249-08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废助焊剂包装桶</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snapToGrid w:val="0"/>
                      <w:color w:val="auto"/>
                      <w:sz w:val="21"/>
                      <w:highlight w:val="none"/>
                    </w:rPr>
                    <w:t>废抗氧化剂包装桶</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bCs/>
                      <w:color w:val="auto"/>
                      <w:sz w:val="21"/>
                      <w:highlight w:val="none"/>
                      <w:lang w:val="en-US" w:eastAsia="zh-CN"/>
                    </w:rPr>
                    <w:t>0.5</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sz w:val="21"/>
                      <w:highlight w:val="none"/>
                    </w:rPr>
                    <w:t>喷淋塔更换废水</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w:t>
                  </w:r>
                  <w:r>
                    <w:rPr>
                      <w:rFonts w:hint="eastAsia"/>
                      <w:color w:val="auto"/>
                      <w:kern w:val="2"/>
                      <w:sz w:val="21"/>
                      <w:highlight w:val="none"/>
                      <w:lang w:val="en-US" w:eastAsia="zh-CN"/>
                    </w:rPr>
                    <w:t>07</w:t>
                  </w:r>
                  <w:r>
                    <w:rPr>
                      <w:rFonts w:hint="default"/>
                      <w:color w:val="auto"/>
                      <w:kern w:val="2"/>
                      <w:sz w:val="21"/>
                      <w:highlight w:val="none"/>
                    </w:rPr>
                    <w:t>-</w:t>
                  </w:r>
                  <w:r>
                    <w:rPr>
                      <w:rFonts w:hint="eastAsia"/>
                      <w:color w:val="auto"/>
                      <w:kern w:val="2"/>
                      <w:sz w:val="21"/>
                      <w:highlight w:val="none"/>
                      <w:lang w:val="en-US" w:eastAsia="zh-CN"/>
                    </w:rPr>
                    <w:t>0</w:t>
                  </w:r>
                  <w:r>
                    <w:rPr>
                      <w:rFonts w:hint="default"/>
                      <w:color w:val="auto"/>
                      <w:kern w:val="2"/>
                      <w:sz w:val="21"/>
                      <w:highlight w:val="none"/>
                    </w:rPr>
                    <w:t>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桶装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5t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喷淋塔沉渣</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1t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废活性炭</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bCs/>
                      <w:color w:val="auto"/>
                      <w:sz w:val="21"/>
                      <w:highlight w:val="none"/>
                    </w:rPr>
                    <w:t>900-039-49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2t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val="en-US" w:eastAsia="zh-CN"/>
                    </w:rPr>
                    <w:t>3</w:t>
                  </w:r>
                  <w:r>
                    <w:rPr>
                      <w:rFonts w:hint="default"/>
                      <w:bCs/>
                      <w:color w:val="auto"/>
                      <w:sz w:val="21"/>
                      <w:highlight w:val="none"/>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color w:val="auto"/>
                      <w:sz w:val="21"/>
                      <w:highlight w:val="none"/>
                    </w:rPr>
                  </w:pPr>
                  <w:r>
                    <w:rPr>
                      <w:rFonts w:hint="default"/>
                      <w:color w:val="auto"/>
                      <w:sz w:val="21"/>
                      <w:highlight w:val="none"/>
                    </w:rPr>
                    <w:t>废污泥</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color w:val="auto"/>
                      <w:kern w:val="2"/>
                      <w:sz w:val="21"/>
                      <w:highlight w:val="none"/>
                    </w:rPr>
                  </w:pPr>
                  <w:r>
                    <w:rPr>
                      <w:rFonts w:hint="eastAsia"/>
                      <w:color w:val="auto"/>
                      <w:kern w:val="2"/>
                      <w:sz w:val="21"/>
                      <w:highlight w:val="none"/>
                      <w:lang w:eastAsia="zh-CN"/>
                    </w:rPr>
                    <w:t>HW08</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bCs/>
                      <w:color w:val="auto"/>
                      <w:sz w:val="21"/>
                      <w:highlight w:val="none"/>
                      <w:lang w:eastAsia="zh-CN"/>
                    </w:rPr>
                    <w:t>900-210-08</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bCs/>
                      <w:color w:val="auto"/>
                      <w:sz w:val="21"/>
                      <w:highlight w:val="none"/>
                      <w:lang w:val="en-US" w:eastAsia="zh-CN"/>
                    </w:rPr>
                    <w:t>4</w:t>
                  </w:r>
                  <w:r>
                    <w:rPr>
                      <w:rFonts w:hint="default"/>
                      <w:bCs/>
                      <w:color w:val="auto"/>
                      <w:sz w:val="21"/>
                      <w:highlight w:val="none"/>
                    </w:rPr>
                    <w:t>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390"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421"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default" w:eastAsia="宋体"/>
                      <w:color w:val="auto"/>
                      <w:sz w:val="21"/>
                      <w:highlight w:val="none"/>
                      <w:lang w:val="en-US" w:eastAsia="zh-CN"/>
                    </w:rPr>
                  </w:pPr>
                  <w:r>
                    <w:rPr>
                      <w:rFonts w:hint="eastAsia"/>
                      <w:color w:val="auto"/>
                      <w:sz w:val="21"/>
                      <w:highlight w:val="none"/>
                      <w:lang w:val="en-US" w:eastAsia="zh-CN"/>
                    </w:rPr>
                    <w:t>废过滤纤维网</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HW49</w:t>
                  </w:r>
                </w:p>
              </w:tc>
              <w:tc>
                <w:tcPr>
                  <w:tcW w:w="791" w:type="pct"/>
                  <w:vAlign w:val="center"/>
                </w:tcPr>
                <w:p>
                  <w:pPr>
                    <w:keepNext w:val="0"/>
                    <w:keepLines w:val="0"/>
                    <w:suppressLineNumbers w:val="0"/>
                    <w:autoSpaceDE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kern w:val="2"/>
                      <w:sz w:val="21"/>
                      <w:highlight w:val="none"/>
                    </w:rPr>
                    <w:t>900-041-49</w:t>
                  </w:r>
                </w:p>
              </w:tc>
              <w:tc>
                <w:tcPr>
                  <w:tcW w:w="455"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val="en-US" w:eastAsia="zh-CN"/>
                    </w:rPr>
                  </w:pPr>
                  <w:r>
                    <w:rPr>
                      <w:rFonts w:hint="eastAsia"/>
                      <w:color w:val="auto"/>
                      <w:kern w:val="2"/>
                      <w:sz w:val="21"/>
                      <w:highlight w:val="none"/>
                      <w:lang w:val="en-US" w:eastAsia="zh-CN"/>
                    </w:rPr>
                    <w:t>袋装</w:t>
                  </w:r>
                </w:p>
              </w:tc>
              <w:tc>
                <w:tcPr>
                  <w:tcW w:w="482"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lang w:val="en-US" w:eastAsia="zh-CN"/>
                    </w:rPr>
                  </w:pPr>
                  <w:r>
                    <w:rPr>
                      <w:rFonts w:hint="eastAsia"/>
                      <w:bCs/>
                      <w:color w:val="auto"/>
                      <w:sz w:val="21"/>
                      <w:highlight w:val="none"/>
                      <w:lang w:val="en-US" w:eastAsia="zh-CN"/>
                    </w:rPr>
                    <w:t>0.05t</w:t>
                  </w:r>
                </w:p>
              </w:tc>
              <w:tc>
                <w:tcPr>
                  <w:tcW w:w="70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1年</w:t>
                  </w:r>
                </w:p>
              </w:tc>
            </w:tr>
          </w:tbl>
          <w:p>
            <w:pPr>
              <w:pStyle w:val="111"/>
              <w:keepNext w:val="0"/>
              <w:keepLines w:val="0"/>
              <w:suppressLineNumbers w:val="0"/>
              <w:spacing w:before="120" w:beforeLines="5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3、环境管理要求</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（1）</w:t>
            </w:r>
            <w:r>
              <w:rPr>
                <w:rFonts w:ascii="Times New Roman" w:hAnsi="Times New Roman"/>
                <w:color w:val="auto"/>
                <w:highlight w:val="none"/>
              </w:rPr>
              <w:t>一般固废间</w:t>
            </w:r>
            <w:r>
              <w:rPr>
                <w:rFonts w:hint="default" w:ascii="Times New Roman" w:hAnsi="Times New Roman"/>
                <w:color w:val="auto"/>
                <w:highlight w:val="none"/>
              </w:rPr>
              <w:t>和危废暂存间的设置要求</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560" w:firstLineChars="200"/>
              <w:jc w:val="both"/>
              <w:textAlignment w:val="auto"/>
              <w:rPr>
                <w:rFonts w:hint="default" w:ascii="Times New Roman" w:hAnsi="Times New Roman"/>
                <w:color w:val="auto"/>
                <w:highlight w:val="none"/>
              </w:rPr>
            </w:pPr>
            <w:r>
              <w:rPr>
                <w:rFonts w:hint="default" w:ascii="Times New Roman" w:hAnsi="Times New Roman"/>
                <w:color w:val="auto"/>
                <w:highlight w:val="none"/>
              </w:rPr>
              <w:t>一</w:t>
            </w:r>
            <w:r>
              <w:rPr>
                <w:rFonts w:hint="default" w:ascii="Times New Roman" w:hAnsi="Times New Roman" w:eastAsia="宋体" w:cs="Times New Roman"/>
                <w:color w:val="auto"/>
                <w:kern w:val="2"/>
                <w:sz w:val="24"/>
                <w:szCs w:val="24"/>
                <w:highlight w:val="none"/>
                <w:lang w:val="en-US" w:eastAsia="zh-CN" w:bidi="ar-SA"/>
              </w:rPr>
              <w:t>般固废间的建设应满足《中华人民共和国固体废物环境污染防治法》、《一般工业固体废物管理台账制定指南（试行）》（生态环境部公告2021年第82号）中的相关规定。</w:t>
            </w:r>
            <w:r>
              <w:rPr>
                <w:rFonts w:hint="eastAsia" w:ascii="Times New Roman" w:hAnsi="Times New Roman" w:eastAsia="宋体" w:cs="Times New Roman"/>
                <w:color w:val="auto"/>
                <w:kern w:val="2"/>
                <w:sz w:val="24"/>
                <w:szCs w:val="24"/>
                <w:highlight w:val="none"/>
                <w:lang w:val="en-US" w:eastAsia="zh-CN" w:bidi="ar-SA"/>
              </w:rPr>
              <w:fldChar w:fldCharType="begin"/>
            </w:r>
            <w:r>
              <w:rPr>
                <w:rFonts w:hint="eastAsia" w:ascii="Times New Roman" w:hAnsi="Times New Roman" w:eastAsia="宋体" w:cs="Times New Roman"/>
                <w:color w:val="auto"/>
                <w:kern w:val="2"/>
                <w:sz w:val="24"/>
                <w:szCs w:val="24"/>
                <w:highlight w:val="none"/>
                <w:lang w:val="en-US" w:eastAsia="zh-CN" w:bidi="ar-SA"/>
              </w:rPr>
              <w:instrText xml:space="preserve"> = 1 \* GB3 \* MERGEFORMAT </w:instrText>
            </w:r>
            <w:r>
              <w:rPr>
                <w:rFonts w:hint="eastAsia" w:ascii="Times New Roman" w:hAnsi="Times New Roman" w:eastAsia="宋体" w:cs="Times New Roman"/>
                <w:color w:val="auto"/>
                <w:kern w:val="2"/>
                <w:sz w:val="24"/>
                <w:szCs w:val="24"/>
                <w:highlight w:val="none"/>
                <w:lang w:val="en-US" w:eastAsia="zh-CN" w:bidi="ar-SA"/>
              </w:rPr>
              <w:fldChar w:fldCharType="separate"/>
            </w:r>
            <w:r>
              <w:rPr>
                <w:rFonts w:hint="eastAsia" w:ascii="Times New Roman" w:hAnsi="Times New Roman" w:eastAsia="宋体" w:cs="Times New Roman"/>
                <w:color w:val="auto"/>
                <w:kern w:val="2"/>
                <w:sz w:val="24"/>
                <w:szCs w:val="24"/>
                <w:highlight w:val="none"/>
                <w:lang w:val="en-US" w:eastAsia="zh-CN" w:bidi="ar-SA"/>
              </w:rPr>
              <w:t>①</w:t>
            </w:r>
            <w:r>
              <w:rPr>
                <w:rFonts w:hint="eastAsia" w:ascii="Times New Roman" w:hAnsi="Times New Roman" w:eastAsia="宋体" w:cs="Times New Roman"/>
                <w:color w:val="auto"/>
                <w:kern w:val="2"/>
                <w:sz w:val="24"/>
                <w:szCs w:val="24"/>
                <w:highlight w:val="none"/>
                <w:lang w:val="en-US" w:eastAsia="zh-CN" w:bidi="ar-SA"/>
              </w:rPr>
              <w:fldChar w:fldCharType="end"/>
            </w:r>
            <w:r>
              <w:rPr>
                <w:rFonts w:hint="eastAsia" w:ascii="Times New Roman" w:hAnsi="Times New Roman" w:eastAsia="宋体" w:cs="Times New Roman"/>
                <w:color w:val="auto"/>
                <w:kern w:val="2"/>
                <w:sz w:val="24"/>
                <w:szCs w:val="24"/>
                <w:highlight w:val="none"/>
                <w:lang w:val="en-US" w:eastAsia="zh-CN" w:bidi="ar-SA"/>
              </w:rPr>
              <w:t>产生、收集、贮存、运输、利用、处置固体废物的单位和其他生产经营者，应当采取防扬散、防流失、防渗漏或者其他防止污染环境的措施，不得擅自倾倒、堆放、丢弃、遗撒固体废物。</w:t>
            </w:r>
            <w:r>
              <w:rPr>
                <w:rFonts w:hint="eastAsia" w:ascii="Times New Roman" w:hAnsi="Times New Roman" w:eastAsia="宋体" w:cs="Times New Roman"/>
                <w:color w:val="auto"/>
                <w:kern w:val="2"/>
                <w:sz w:val="24"/>
                <w:szCs w:val="24"/>
                <w:highlight w:val="none"/>
                <w:lang w:val="en-US" w:eastAsia="zh-CN" w:bidi="ar-SA"/>
              </w:rPr>
              <w:fldChar w:fldCharType="begin"/>
            </w:r>
            <w:r>
              <w:rPr>
                <w:rFonts w:hint="eastAsia" w:ascii="Times New Roman" w:hAnsi="Times New Roman" w:eastAsia="宋体" w:cs="Times New Roman"/>
                <w:color w:val="auto"/>
                <w:kern w:val="2"/>
                <w:sz w:val="24"/>
                <w:szCs w:val="24"/>
                <w:highlight w:val="none"/>
                <w:lang w:val="en-US" w:eastAsia="zh-CN" w:bidi="ar-SA"/>
              </w:rPr>
              <w:instrText xml:space="preserve"> = 2 \* GB3 \* MERGEFORMAT </w:instrText>
            </w:r>
            <w:r>
              <w:rPr>
                <w:rFonts w:hint="eastAsia" w:ascii="Times New Roman" w:hAnsi="Times New Roman" w:eastAsia="宋体" w:cs="Times New Roman"/>
                <w:color w:val="auto"/>
                <w:kern w:val="2"/>
                <w:sz w:val="24"/>
                <w:szCs w:val="24"/>
                <w:highlight w:val="none"/>
                <w:lang w:val="en-US" w:eastAsia="zh-CN" w:bidi="ar-SA"/>
              </w:rPr>
              <w:fldChar w:fldCharType="separate"/>
            </w:r>
            <w:r>
              <w:rPr>
                <w:rFonts w:hint="eastAsia" w:ascii="Times New Roman" w:hAnsi="Times New Roman" w:eastAsia="宋体" w:cs="Times New Roman"/>
                <w:color w:val="auto"/>
                <w:kern w:val="2"/>
                <w:sz w:val="24"/>
                <w:szCs w:val="24"/>
                <w:highlight w:val="none"/>
                <w:lang w:val="en-US" w:eastAsia="zh-CN" w:bidi="ar-SA"/>
              </w:rPr>
              <w:t>②</w:t>
            </w:r>
            <w:r>
              <w:rPr>
                <w:rFonts w:hint="eastAsia" w:ascii="Times New Roman" w:hAnsi="Times New Roman" w:eastAsia="宋体" w:cs="Times New Roman"/>
                <w:color w:val="auto"/>
                <w:kern w:val="2"/>
                <w:sz w:val="24"/>
                <w:szCs w:val="24"/>
                <w:highlight w:val="none"/>
                <w:lang w:val="en-US" w:eastAsia="zh-CN" w:bidi="ar-SA"/>
              </w:rPr>
              <w:fldChar w:fldCharType="end"/>
            </w:r>
            <w:r>
              <w:rPr>
                <w:rFonts w:hint="eastAsia" w:ascii="Times New Roman" w:hAnsi="Times New Roman" w:eastAsia="宋体" w:cs="Times New Roman"/>
                <w:color w:val="auto"/>
                <w:kern w:val="2"/>
                <w:sz w:val="24"/>
                <w:szCs w:val="24"/>
                <w:highlight w:val="none"/>
                <w:lang w:val="en-US" w:eastAsia="zh-CN" w:bidi="ar-SA"/>
              </w:rPr>
              <w:t>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r>
              <w:rPr>
                <w:rFonts w:hint="eastAsia" w:ascii="Times New Roman" w:hAnsi="Times New Roman" w:eastAsia="宋体" w:cs="Times New Roman"/>
                <w:color w:val="auto"/>
                <w:kern w:val="2"/>
                <w:sz w:val="24"/>
                <w:szCs w:val="24"/>
                <w:highlight w:val="none"/>
                <w:lang w:val="en-US" w:eastAsia="zh-CN" w:bidi="ar-SA"/>
              </w:rPr>
              <w:fldChar w:fldCharType="begin"/>
            </w:r>
            <w:r>
              <w:rPr>
                <w:rFonts w:hint="eastAsia" w:ascii="Times New Roman" w:hAnsi="Times New Roman" w:eastAsia="宋体" w:cs="Times New Roman"/>
                <w:color w:val="auto"/>
                <w:kern w:val="2"/>
                <w:sz w:val="24"/>
                <w:szCs w:val="24"/>
                <w:highlight w:val="none"/>
                <w:lang w:val="en-US" w:eastAsia="zh-CN" w:bidi="ar-SA"/>
              </w:rPr>
              <w:instrText xml:space="preserve"> = 3 \* GB3 \* MERGEFORMAT </w:instrText>
            </w:r>
            <w:r>
              <w:rPr>
                <w:rFonts w:hint="eastAsia" w:ascii="Times New Roman" w:hAnsi="Times New Roman" w:eastAsia="宋体" w:cs="Times New Roman"/>
                <w:color w:val="auto"/>
                <w:kern w:val="2"/>
                <w:sz w:val="24"/>
                <w:szCs w:val="24"/>
                <w:highlight w:val="none"/>
                <w:lang w:val="en-US" w:eastAsia="zh-CN" w:bidi="ar-SA"/>
              </w:rPr>
              <w:fldChar w:fldCharType="separate"/>
            </w:r>
            <w:r>
              <w:rPr>
                <w:rFonts w:hint="eastAsia" w:ascii="Times New Roman" w:hAnsi="Times New Roman" w:eastAsia="宋体" w:cs="Times New Roman"/>
                <w:color w:val="auto"/>
                <w:kern w:val="2"/>
                <w:sz w:val="24"/>
                <w:szCs w:val="24"/>
                <w:highlight w:val="none"/>
                <w:lang w:val="en-US" w:eastAsia="zh-CN" w:bidi="ar-SA"/>
              </w:rPr>
              <w:t>③</w:t>
            </w:r>
            <w:r>
              <w:rPr>
                <w:rFonts w:hint="eastAsia" w:ascii="Times New Roman" w:hAnsi="Times New Roman" w:eastAsia="宋体" w:cs="Times New Roman"/>
                <w:color w:val="auto"/>
                <w:kern w:val="2"/>
                <w:sz w:val="24"/>
                <w:szCs w:val="24"/>
                <w:highlight w:val="none"/>
                <w:lang w:val="en-US" w:eastAsia="zh-CN" w:bidi="ar-SA"/>
              </w:rPr>
              <w:fldChar w:fldCharType="end"/>
            </w:r>
            <w:r>
              <w:rPr>
                <w:rFonts w:hint="eastAsia" w:ascii="Times New Roman" w:hAnsi="Times New Roman" w:eastAsia="宋体" w:cs="Times New Roman"/>
                <w:color w:val="auto"/>
                <w:kern w:val="2"/>
                <w:sz w:val="24"/>
                <w:szCs w:val="24"/>
                <w:highlight w:val="none"/>
                <w:lang w:val="en-US" w:eastAsia="zh-CN" w:bidi="ar-SA"/>
              </w:rPr>
              <w:t>产生工业固体废物的单位委托他人运输、利用、处置工业固体废物的，应当对受托方的主体资格和技术能力进行核实，依法签订书面合同，在合同中约定污染防治要求。</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危废暂存间建设应满足《危险废物贮存污染控制标准》（GB18597-2023）相关要求，主要包括：</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①贮存设施应根据危险废物的形态、物理化学性质、包装形式和污染物迁移途径，采取必要的防风、防晒、防雨、防漏、防渗、防腐以及其他环境污染防治措施，不应露天堆放危险废物。</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②贮存设施应根据危险废物的类别、数量、形态、物理化学性质和污染防治等要求设置必要的贮存分区，避免不相容的危险废物接触、混合。</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③贮存设施或贮存分区内地面、墙面裙脚、堵截泄漏的围堰、接触危险废物的隔板和墙体等应采用坚固的材料建造，表面无裂缝。</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color w:val="auto"/>
                <w:highlight w:val="none"/>
                <w:vertAlign w:val="superscript"/>
              </w:rPr>
              <w:t>-7</w:t>
            </w:r>
            <w:r>
              <w:rPr>
                <w:rFonts w:hint="default" w:ascii="Times New Roman" w:hAnsi="Times New Roman"/>
                <w:color w:val="auto"/>
                <w:highlight w:val="none"/>
              </w:rPr>
              <w:t>cm/s)，或至少2mm厚高密度聚乙烯膜等人工防渗材料(渗透系数不大于10</w:t>
            </w:r>
            <w:r>
              <w:rPr>
                <w:rFonts w:hint="default" w:ascii="Times New Roman" w:hAnsi="Times New Roman"/>
                <w:color w:val="auto"/>
                <w:highlight w:val="none"/>
                <w:vertAlign w:val="superscript"/>
              </w:rPr>
              <w:t>-10c</w:t>
            </w:r>
            <w:r>
              <w:rPr>
                <w:rFonts w:hint="default" w:ascii="Times New Roman" w:hAnsi="Times New Roman"/>
                <w:color w:val="auto"/>
                <w:highlight w:val="none"/>
              </w:rPr>
              <w:t>m/s)，或其他防渗性能等效的材料。</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⑤同一贮存设施宜采用相同的防渗、防腐工艺(包括防渗、防腐结构或材料），</w:t>
            </w:r>
          </w:p>
          <w:p>
            <w:pPr>
              <w:pStyle w:val="111"/>
              <w:keepNext w:val="0"/>
              <w:keepLines w:val="0"/>
              <w:suppressLineNumbers w:val="0"/>
              <w:spacing w:before="0" w:beforeAutospacing="0" w:after="0" w:afterAutospacing="0"/>
              <w:ind w:left="0" w:right="0" w:firstLine="0" w:firstLineChars="0"/>
              <w:rPr>
                <w:rFonts w:hint="default" w:ascii="Times New Roman" w:hAnsi="Times New Roman"/>
                <w:color w:val="auto"/>
                <w:highlight w:val="none"/>
              </w:rPr>
            </w:pPr>
            <w:r>
              <w:rPr>
                <w:rFonts w:hint="default" w:ascii="Times New Roman" w:hAnsi="Times New Roman"/>
                <w:color w:val="auto"/>
                <w:highlight w:val="none"/>
              </w:rPr>
              <w:t>防渗、防腐材料应覆盖所有可能与废物及其渗滤液、渗漏液等接触的构筑物表面：采用不同防渗、防腐工艺应分别建设贮存分区。</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⑥贮存设施应采取技术和管理措施防止无关人员进入。</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（2）日常管理和台账要求</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一般工业固废交由合法、合规的单位收集处理。建设单位应建立严格危险废物管理体系，将危险废物委托具有惠州市生态环境局认可的危废处理资质单位处置，禁止将危险废物提供或委托给无危险废物经营许可证的单位。严格执行危废五联单转移制度等管理要求，并落实《广东省生态环境厅关于加快推进危险废物处理设施建设工作的通知》（粤环函〔2020〕329号）相关要求，做到：坚持减量化、资源化、无害化原则，妥善利用或处置产生的危险废物；规范危险废物贮存场所建设，根据危险废物的种类和特性进行分区、分类贮存，按照相关规范要求，设置防雨、防扬散、防渗漏等设施，最大贮存期限一般不超过一年；按照国家和本市有关要求制定危险废物年度管理计划，并进行在线申报备案；结合自身实际，建立危险废物台账，如实记载危险废物的种类、数量、性质、产生环节、流向、贮存、利用处置等信息，并在信息系统中及时申报，申报数据应与台账、管理计划数据相一致。</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五、地下水</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项目不涉及地下水开采，不会影响当地地下水水位，不会产生地面沉降、岩溶塌陷等不良水文地质灾害；地下水污染主要是由于污染物迁移穿过包气带进入含水层造成，项目建设后占地范围内进行全面硬底化，生产车间、</w:t>
            </w:r>
            <w:r>
              <w:rPr>
                <w:rFonts w:ascii="Times New Roman" w:hAnsi="Times New Roman"/>
                <w:color w:val="auto"/>
                <w:highlight w:val="none"/>
              </w:rPr>
              <w:t>一般固废间</w:t>
            </w:r>
            <w:r>
              <w:rPr>
                <w:rFonts w:hint="default" w:ascii="Times New Roman" w:hAnsi="Times New Roman"/>
                <w:color w:val="auto"/>
                <w:highlight w:val="none"/>
              </w:rPr>
              <w:t>、危废暂存间均按要求做好防渗措施，在生产运营过程中加强维护，如发生防渗层破损，应及时修补，避免污染物入渗地下水，故本项目不存在地下水污染途径，因此，本项目不开展地下水环境影响评价工作。</w:t>
            </w:r>
          </w:p>
          <w:p>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项目各防治区域的装置及其防渗技术要求见</w:t>
            </w:r>
            <w:r>
              <w:rPr>
                <w:rFonts w:hint="eastAsia" w:eastAsia="宋体" w:cs="Times New Roman"/>
                <w:color w:val="auto"/>
                <w:kern w:val="2"/>
                <w:sz w:val="24"/>
                <w:szCs w:val="24"/>
                <w:highlight w:val="none"/>
                <w:lang w:val="en-US" w:eastAsia="zh-CN" w:bidi="ar"/>
              </w:rPr>
              <w:t>下表</w:t>
            </w:r>
            <w:r>
              <w:rPr>
                <w:rFonts w:hint="default" w:ascii="Times New Roman" w:hAnsi="Times New Roman" w:eastAsia="宋体" w:cs="Times New Roman"/>
                <w:color w:val="auto"/>
                <w:kern w:val="2"/>
                <w:sz w:val="24"/>
                <w:szCs w:val="24"/>
                <w:highlight w:val="none"/>
                <w:lang w:val="en-US" w:eastAsia="zh-CN" w:bidi="ar"/>
              </w:rPr>
              <w:t>。</w:t>
            </w:r>
          </w:p>
          <w:p>
            <w:pPr>
              <w:keepNext w:val="0"/>
              <w:keepLines w:val="0"/>
              <w:numPr>
                <w:ilvl w:val="0"/>
                <w:numId w:val="0"/>
              </w:numPr>
              <w:suppressLineNumbers w:val="0"/>
              <w:tabs>
                <w:tab w:val="left" w:pos="0"/>
              </w:tabs>
              <w:autoSpaceDE w:val="0"/>
              <w:autoSpaceDN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highlight w:val="none"/>
                <w:lang w:val="en-US"/>
              </w:rPr>
            </w:pPr>
            <w:r>
              <w:rPr>
                <w:rFonts w:hint="default" w:ascii="Times New Roman" w:hAnsi="Times New Roman" w:eastAsia="宋体" w:cs="宋体"/>
                <w:b/>
                <w:bCs/>
                <w:color w:val="auto"/>
                <w:sz w:val="24"/>
                <w:szCs w:val="24"/>
                <w:highlight w:val="none"/>
                <w:lang w:val="en-US" w:eastAsia="zh-CN" w:bidi="ar-SA"/>
              </w:rPr>
              <w:t>表4-</w:t>
            </w:r>
            <w:r>
              <w:rPr>
                <w:rFonts w:hint="eastAsia" w:cs="宋体"/>
                <w:b/>
                <w:bCs/>
                <w:color w:val="auto"/>
                <w:sz w:val="24"/>
                <w:szCs w:val="24"/>
                <w:highlight w:val="none"/>
                <w:lang w:val="en-US" w:eastAsia="zh-CN" w:bidi="ar-SA"/>
              </w:rPr>
              <w:t>20</w:t>
            </w:r>
            <w:r>
              <w:rPr>
                <w:rFonts w:hint="default" w:ascii="Times New Roman" w:hAnsi="Times New Roman" w:eastAsia="宋体" w:cs="宋体"/>
                <w:b/>
                <w:bCs/>
                <w:color w:val="auto"/>
                <w:sz w:val="24"/>
                <w:szCs w:val="24"/>
                <w:highlight w:val="none"/>
                <w:lang w:val="en-US" w:eastAsia="zh-CN" w:bidi="ar-SA"/>
              </w:rPr>
              <w:t xml:space="preserve">  </w:t>
            </w:r>
            <w:r>
              <w:rPr>
                <w:rFonts w:hint="default" w:ascii="Times New Roman" w:hAnsi="Times New Roman" w:eastAsia="宋体" w:cs="Times New Roman"/>
                <w:b/>
                <w:bCs w:val="0"/>
                <w:color w:val="auto"/>
                <w:kern w:val="2"/>
                <w:sz w:val="24"/>
                <w:szCs w:val="22"/>
                <w:highlight w:val="none"/>
                <w:lang w:val="en-US" w:eastAsia="zh-CN" w:bidi="ar"/>
              </w:rPr>
              <w:t>防渗分区参照表</w:t>
            </w:r>
          </w:p>
          <w:tbl>
            <w:tblPr>
              <w:tblStyle w:val="3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1614"/>
              <w:gridCol w:w="1373"/>
              <w:gridCol w:w="1677"/>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Cs w:val="21"/>
                      <w:highlight w:val="none"/>
                      <w:lang w:val="en-US" w:bidi="ar"/>
                    </w:rPr>
                  </w:pPr>
                  <w:r>
                    <w:rPr>
                      <w:rFonts w:hint="default" w:ascii="Times New Roman" w:hAnsi="Times New Roman" w:eastAsia="宋体" w:cs="Times New Roman"/>
                      <w:b/>
                      <w:bCs w:val="0"/>
                      <w:color w:val="auto"/>
                      <w:kern w:val="2"/>
                      <w:sz w:val="21"/>
                      <w:szCs w:val="21"/>
                      <w:highlight w:val="none"/>
                      <w:lang w:val="en-US" w:eastAsia="zh-CN" w:bidi="ar"/>
                    </w:rPr>
                    <w:t>防渗分区</w:t>
                  </w: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Cs w:val="21"/>
                      <w:highlight w:val="none"/>
                      <w:lang w:val="en-US" w:bidi="ar"/>
                    </w:rPr>
                  </w:pPr>
                  <w:r>
                    <w:rPr>
                      <w:rFonts w:hint="default" w:ascii="Times New Roman" w:hAnsi="Times New Roman" w:eastAsia="宋体" w:cs="Times New Roman"/>
                      <w:b/>
                      <w:bCs w:val="0"/>
                      <w:color w:val="auto"/>
                      <w:kern w:val="2"/>
                      <w:sz w:val="21"/>
                      <w:szCs w:val="21"/>
                      <w:highlight w:val="none"/>
                      <w:lang w:val="en-US" w:eastAsia="zh-CN" w:bidi="ar"/>
                    </w:rPr>
                    <w:t>天然包气带防污性能</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Cs w:val="21"/>
                      <w:highlight w:val="none"/>
                      <w:lang w:val="en-US" w:bidi="ar"/>
                    </w:rPr>
                  </w:pPr>
                  <w:r>
                    <w:rPr>
                      <w:rFonts w:hint="default" w:ascii="Times New Roman" w:hAnsi="Times New Roman" w:eastAsia="宋体" w:cs="Times New Roman"/>
                      <w:b/>
                      <w:bCs w:val="0"/>
                      <w:color w:val="auto"/>
                      <w:kern w:val="2"/>
                      <w:sz w:val="21"/>
                      <w:szCs w:val="21"/>
                      <w:highlight w:val="none"/>
                      <w:lang w:val="en-US" w:eastAsia="zh-CN" w:bidi="ar"/>
                    </w:rPr>
                    <w:t>污染控制难易程度</w:t>
                  </w:r>
                </w:p>
              </w:tc>
              <w:tc>
                <w:tcPr>
                  <w:tcW w:w="10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Cs w:val="21"/>
                      <w:highlight w:val="none"/>
                      <w:lang w:val="en-US" w:bidi="ar"/>
                    </w:rPr>
                  </w:pPr>
                  <w:r>
                    <w:rPr>
                      <w:rFonts w:hint="default" w:ascii="Times New Roman" w:hAnsi="Times New Roman" w:eastAsia="宋体" w:cs="Times New Roman"/>
                      <w:b/>
                      <w:bCs w:val="0"/>
                      <w:color w:val="auto"/>
                      <w:kern w:val="2"/>
                      <w:sz w:val="21"/>
                      <w:szCs w:val="21"/>
                      <w:highlight w:val="none"/>
                      <w:lang w:val="en-US" w:eastAsia="zh-CN" w:bidi="ar"/>
                    </w:rPr>
                    <w:t>污染物类型</w:t>
                  </w:r>
                </w:p>
              </w:tc>
              <w:tc>
                <w:tcPr>
                  <w:tcW w:w="13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val="0"/>
                      <w:color w:val="auto"/>
                      <w:szCs w:val="21"/>
                      <w:highlight w:val="none"/>
                      <w:lang w:val="en-US" w:bidi="ar"/>
                    </w:rPr>
                  </w:pPr>
                  <w:r>
                    <w:rPr>
                      <w:rFonts w:hint="default" w:ascii="Times New Roman" w:hAnsi="Times New Roman" w:eastAsia="宋体" w:cs="Times New Roman"/>
                      <w:b/>
                      <w:bCs w:val="0"/>
                      <w:color w:val="auto"/>
                      <w:kern w:val="2"/>
                      <w:sz w:val="21"/>
                      <w:szCs w:val="21"/>
                      <w:highlight w:val="none"/>
                      <w:lang w:val="en-US" w:eastAsia="zh-CN" w:bidi="ar"/>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重点防渗区</w:t>
                  </w: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弱</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难</w:t>
                  </w:r>
                </w:p>
              </w:tc>
              <w:tc>
                <w:tcPr>
                  <w:tcW w:w="101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重金属、持久性有机物污染物</w:t>
                  </w:r>
                </w:p>
              </w:tc>
              <w:tc>
                <w:tcPr>
                  <w:tcW w:w="1318"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等效黏土防渗层Mb≥6.0m，K≤1×10</w:t>
                  </w:r>
                  <w:r>
                    <w:rPr>
                      <w:rFonts w:hint="default" w:ascii="Times New Roman" w:hAnsi="Times New Roman" w:eastAsia="宋体" w:cs="Times New Roman"/>
                      <w:color w:val="auto"/>
                      <w:kern w:val="2"/>
                      <w:sz w:val="21"/>
                      <w:szCs w:val="21"/>
                      <w:highlight w:val="none"/>
                      <w:vertAlign w:val="superscript"/>
                      <w:lang w:val="en-US" w:eastAsia="zh-CN" w:bidi="ar"/>
                    </w:rPr>
                    <w:t>-7</w:t>
                  </w:r>
                  <w:r>
                    <w:rPr>
                      <w:rFonts w:hint="default" w:ascii="Times New Roman" w:hAnsi="Times New Roman" w:eastAsia="宋体" w:cs="Times New Roman"/>
                      <w:color w:val="auto"/>
                      <w:kern w:val="2"/>
                      <w:sz w:val="21"/>
                      <w:szCs w:val="21"/>
                      <w:highlight w:val="none"/>
                      <w:lang w:val="en-US" w:eastAsia="zh-CN" w:bidi="ar"/>
                    </w:rPr>
                    <w:t>cm/s；或参照GB18598执行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中-强</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难</w:t>
                  </w:r>
                </w:p>
              </w:tc>
              <w:tc>
                <w:tcPr>
                  <w:tcW w:w="101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131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弱</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易</w:t>
                  </w:r>
                </w:p>
              </w:tc>
              <w:tc>
                <w:tcPr>
                  <w:tcW w:w="101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131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一般防渗区</w:t>
                  </w: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弱</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易-难</w:t>
                  </w:r>
                </w:p>
              </w:tc>
              <w:tc>
                <w:tcPr>
                  <w:tcW w:w="101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其他类型</w:t>
                  </w:r>
                </w:p>
              </w:tc>
              <w:tc>
                <w:tcPr>
                  <w:tcW w:w="1318"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等效黏土防渗层Mb≥1.5m，K≤1×10</w:t>
                  </w:r>
                  <w:r>
                    <w:rPr>
                      <w:rFonts w:hint="default" w:ascii="Times New Roman" w:hAnsi="Times New Roman" w:eastAsia="宋体" w:cs="Times New Roman"/>
                      <w:color w:val="auto"/>
                      <w:kern w:val="2"/>
                      <w:sz w:val="21"/>
                      <w:szCs w:val="21"/>
                      <w:highlight w:val="none"/>
                      <w:vertAlign w:val="superscript"/>
                      <w:lang w:val="en-US" w:eastAsia="zh-CN" w:bidi="ar"/>
                    </w:rPr>
                    <w:t>-7</w:t>
                  </w:r>
                  <w:r>
                    <w:rPr>
                      <w:rFonts w:hint="default" w:ascii="Times New Roman" w:hAnsi="Times New Roman" w:eastAsia="宋体" w:cs="Times New Roman"/>
                      <w:color w:val="auto"/>
                      <w:kern w:val="2"/>
                      <w:sz w:val="21"/>
                      <w:szCs w:val="21"/>
                      <w:highlight w:val="none"/>
                      <w:lang w:val="en-US" w:eastAsia="zh-CN" w:bidi="ar"/>
                    </w:rPr>
                    <w:t>cm/s；或参照GB16889执行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中-强</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难</w:t>
                  </w:r>
                </w:p>
              </w:tc>
              <w:tc>
                <w:tcPr>
                  <w:tcW w:w="101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131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中</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易</w:t>
                  </w:r>
                </w:p>
              </w:tc>
              <w:tc>
                <w:tcPr>
                  <w:tcW w:w="101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重金属、持久性有机物污染物</w:t>
                  </w:r>
                </w:p>
              </w:tc>
              <w:tc>
                <w:tcPr>
                  <w:tcW w:w="131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强</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易</w:t>
                  </w:r>
                </w:p>
              </w:tc>
              <w:tc>
                <w:tcPr>
                  <w:tcW w:w="101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c>
                <w:tcPr>
                  <w:tcW w:w="1318"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简单防渗区</w:t>
                  </w:r>
                </w:p>
              </w:tc>
              <w:tc>
                <w:tcPr>
                  <w:tcW w:w="9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中-强</w:t>
                  </w:r>
                </w:p>
              </w:tc>
              <w:tc>
                <w:tcPr>
                  <w:tcW w:w="8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易</w:t>
                  </w:r>
                </w:p>
              </w:tc>
              <w:tc>
                <w:tcPr>
                  <w:tcW w:w="101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其他类型</w:t>
                  </w:r>
                </w:p>
              </w:tc>
              <w:tc>
                <w:tcPr>
                  <w:tcW w:w="13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Cs w:val="21"/>
                      <w:highlight w:val="none"/>
                      <w:lang w:val="en-US" w:bidi="ar"/>
                    </w:rPr>
                  </w:pPr>
                  <w:r>
                    <w:rPr>
                      <w:rFonts w:hint="default" w:ascii="Times New Roman" w:hAnsi="Times New Roman" w:eastAsia="宋体" w:cs="Times New Roman"/>
                      <w:color w:val="auto"/>
                      <w:kern w:val="2"/>
                      <w:sz w:val="21"/>
                      <w:szCs w:val="21"/>
                      <w:highlight w:val="none"/>
                      <w:lang w:val="en-US" w:eastAsia="zh-CN" w:bidi="ar"/>
                    </w:rPr>
                    <w:t>一般地面硬化</w:t>
                  </w:r>
                </w:p>
              </w:tc>
            </w:tr>
          </w:tbl>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项目采取分区防护措施如下：</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按照场地天然包气带防污性能、污染控制难易程度及污染物类型，将全场进行分区防治，分别是：</w:t>
            </w:r>
            <w:r>
              <w:rPr>
                <w:rFonts w:hint="eastAsia" w:cs="Times New Roman"/>
                <w:b w:val="0"/>
                <w:bCs w:val="0"/>
                <w:color w:val="auto"/>
                <w:kern w:val="2"/>
                <w:sz w:val="24"/>
                <w:szCs w:val="24"/>
                <w:highlight w:val="none"/>
                <w:lang w:val="en-US" w:eastAsia="zh-CN" w:bidi="ar-SA"/>
              </w:rPr>
              <w:t>简单防渗区</w:t>
            </w:r>
            <w:r>
              <w:rPr>
                <w:rFonts w:hint="eastAsia" w:ascii="Times New Roman" w:hAnsi="Times New Roman" w:eastAsia="宋体" w:cs="Times New Roman"/>
                <w:b w:val="0"/>
                <w:bCs w:val="0"/>
                <w:color w:val="auto"/>
                <w:kern w:val="2"/>
                <w:sz w:val="24"/>
                <w:szCs w:val="24"/>
                <w:highlight w:val="none"/>
                <w:lang w:val="en-US" w:eastAsia="zh-CN" w:bidi="ar-SA"/>
              </w:rPr>
              <w:t>、一般防渗区及重点防渗区。</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简单防渗区</w:t>
            </w:r>
            <w:r>
              <w:rPr>
                <w:rFonts w:hint="eastAsia" w:ascii="Times New Roman" w:hAnsi="Times New Roman" w:eastAsia="宋体" w:cs="Times New Roman"/>
                <w:b w:val="0"/>
                <w:bCs w:val="0"/>
                <w:color w:val="auto"/>
                <w:kern w:val="2"/>
                <w:sz w:val="24"/>
                <w:szCs w:val="24"/>
                <w:highlight w:val="none"/>
                <w:lang w:val="en-US" w:eastAsia="zh-CN" w:bidi="ar-SA"/>
              </w:rPr>
              <w:t>：办公区、卫生间等非污染防治区采用一般地面硬化。</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一般防渗区：生产车间、车间办公室</w:t>
            </w:r>
            <w:r>
              <w:rPr>
                <w:rFonts w:hint="eastAsia" w:cs="Times New Roman"/>
                <w:b w:val="0"/>
                <w:bCs w:val="0"/>
                <w:color w:val="auto"/>
                <w:kern w:val="2"/>
                <w:sz w:val="24"/>
                <w:szCs w:val="24"/>
                <w:highlight w:val="none"/>
                <w:lang w:val="en-US" w:eastAsia="zh-CN" w:bidi="ar-SA"/>
              </w:rPr>
              <w:t>、一般固废间</w:t>
            </w:r>
            <w:r>
              <w:rPr>
                <w:rFonts w:hint="eastAsia" w:ascii="Times New Roman" w:hAnsi="Times New Roman" w:eastAsia="宋体" w:cs="Times New Roman"/>
                <w:b w:val="0"/>
                <w:bCs w:val="0"/>
                <w:color w:val="auto"/>
                <w:kern w:val="2"/>
                <w:sz w:val="24"/>
                <w:szCs w:val="24"/>
                <w:highlight w:val="none"/>
                <w:lang w:val="en-US" w:eastAsia="zh-CN" w:bidi="ar-SA"/>
              </w:rPr>
              <w:t>等一般防渗区参照《环境影响评价技术导则地下水环境》（HJ610-2016）中一般防渗区的防渗要求进行防渗设计，防渗性能应等效于1.5m厚渗透系数为1.0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-7</w:t>
            </w:r>
            <w:r>
              <w:rPr>
                <w:rFonts w:hint="eastAsia" w:ascii="Times New Roman" w:hAnsi="Times New Roman" w:eastAsia="宋体" w:cs="Times New Roman"/>
                <w:b w:val="0"/>
                <w:bCs w:val="0"/>
                <w:color w:val="auto"/>
                <w:kern w:val="2"/>
                <w:sz w:val="24"/>
                <w:szCs w:val="24"/>
                <w:highlight w:val="none"/>
                <w:lang w:val="en-US" w:eastAsia="zh-CN" w:bidi="ar-SA"/>
              </w:rPr>
              <w:t>cm/s的黏土层的防渗性能。</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重点防渗区：原料仓，危废暂存间等重点防渗区参照《环境影响评价技术导则 地下水环境》（HJ610- 2016）中重点防渗区的防渗要求进行防渗设计，防渗性能应等效于6.0m厚渗透系数为1.0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10</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-7</w:t>
            </w:r>
            <w:r>
              <w:rPr>
                <w:rFonts w:hint="eastAsia" w:ascii="Times New Roman" w:hAnsi="Times New Roman" w:eastAsia="宋体" w:cs="Times New Roman"/>
                <w:b w:val="0"/>
                <w:bCs w:val="0"/>
                <w:color w:val="auto"/>
                <w:kern w:val="2"/>
                <w:sz w:val="24"/>
                <w:szCs w:val="24"/>
                <w:highlight w:val="none"/>
                <w:lang w:val="en-US" w:eastAsia="zh-CN" w:bidi="ar-SA"/>
              </w:rPr>
              <w:t>cm/s的黏土层的防渗性能。</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根据现场踏勘，项目生产、生活供水均由市政自来水厂供给，不涉及开采地下水。生产车间及拟建的一般固废暂存间和危废暂存间均实现硬底化处理，并铺设防腐防渗层，满足地下水分区防控的要求。</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六、土壤</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color w:val="auto"/>
                <w:highlight w:val="none"/>
              </w:rPr>
            </w:pPr>
            <w:r>
              <w:rPr>
                <w:rFonts w:hint="default" w:ascii="Times New Roman" w:hAnsi="Times New Roman"/>
                <w:color w:val="auto"/>
                <w:highlight w:val="none"/>
              </w:rPr>
              <w:t>项目占地范围内均已进行了硬化处理，故不存在地面漫流、垂直入渗的污染途径。因此，本项目不开展土壤环境影响评价工作。</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七、环境风险</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1、环境风险物质</w:t>
            </w:r>
          </w:p>
          <w:p>
            <w:pPr>
              <w:pStyle w:val="111"/>
              <w:keepNext w:val="0"/>
              <w:keepLines w:val="0"/>
              <w:suppressLineNumbers w:val="0"/>
              <w:spacing w:before="0" w:beforeAutospacing="0" w:after="0" w:afterAutospacing="0"/>
              <w:ind w:left="0" w:right="0" w:firstLine="480" w:firstLineChars="200"/>
              <w:rPr>
                <w:rFonts w:hint="default" w:ascii="Times New Roman" w:hAnsi="Times New Roman"/>
                <w:b/>
                <w:bCs/>
                <w:color w:val="auto"/>
                <w:highlight w:val="none"/>
              </w:rPr>
            </w:pPr>
            <w:r>
              <w:rPr>
                <w:rFonts w:hint="default" w:ascii="Times New Roman" w:hAnsi="Times New Roman"/>
                <w:color w:val="auto"/>
                <w:highlight w:val="none"/>
              </w:rPr>
              <w:t>根据《建设项目环境风险评价技术导则》（HJ 169-2018）及《危险化学品重大危险源辨识》（GB18218-2018），项目涉及的风险物质为拉丝油、润滑油等。</w:t>
            </w:r>
          </w:p>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b/>
                <w:bCs/>
                <w:color w:val="auto"/>
                <w:kern w:val="2"/>
                <w:sz w:val="24"/>
                <w:szCs w:val="24"/>
                <w:highlight w:val="none"/>
              </w:rPr>
              <w:t>表4-</w:t>
            </w:r>
            <w:r>
              <w:rPr>
                <w:rFonts w:hint="eastAsia"/>
                <w:b/>
                <w:bCs/>
                <w:color w:val="auto"/>
                <w:kern w:val="2"/>
                <w:sz w:val="24"/>
                <w:szCs w:val="24"/>
                <w:highlight w:val="none"/>
                <w:lang w:val="en-US" w:eastAsia="zh-CN"/>
              </w:rPr>
              <w:t>21</w:t>
            </w:r>
            <w:r>
              <w:rPr>
                <w:rFonts w:hint="default"/>
                <w:b/>
                <w:bCs/>
                <w:color w:val="auto"/>
                <w:kern w:val="2"/>
                <w:sz w:val="24"/>
                <w:szCs w:val="24"/>
                <w:highlight w:val="none"/>
              </w:rPr>
              <w:t xml:space="preserve">  危险物质数量与临界量比值Q核算表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341"/>
              <w:gridCol w:w="1375"/>
              <w:gridCol w:w="1377"/>
              <w:gridCol w:w="1897"/>
              <w:gridCol w:w="1588"/>
              <w:gridCol w:w="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序号</w:t>
                  </w:r>
                </w:p>
              </w:tc>
              <w:tc>
                <w:tcPr>
                  <w:tcW w:w="813"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危险物质</w:t>
                  </w:r>
                </w:p>
              </w:tc>
              <w:tc>
                <w:tcPr>
                  <w:tcW w:w="8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color w:val="auto"/>
                      <w:spacing w:val="0"/>
                      <w:position w:val="0"/>
                      <w:sz w:val="21"/>
                      <w:szCs w:val="21"/>
                      <w:highlight w:val="none"/>
                      <w:lang w:val="en-US" w:eastAsia="zh-CN"/>
                    </w:rPr>
                    <w:t>临界值类别</w:t>
                  </w: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临界量Qn（t）</w:t>
                  </w:r>
                </w:p>
              </w:tc>
              <w:tc>
                <w:tcPr>
                  <w:tcW w:w="1150"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厂内最大存在量qn（t）</w:t>
                  </w:r>
                </w:p>
              </w:tc>
              <w:tc>
                <w:tcPr>
                  <w:tcW w:w="963"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szCs w:val="24"/>
                      <w:highlight w:val="none"/>
                    </w:rPr>
                  </w:pPr>
                  <w:r>
                    <w:rPr>
                      <w:rFonts w:hint="default"/>
                      <w:b/>
                      <w:bCs/>
                      <w:color w:val="auto"/>
                      <w:kern w:val="2"/>
                      <w:sz w:val="21"/>
                      <w:szCs w:val="24"/>
                      <w:highlight w:val="none"/>
                    </w:rPr>
                    <w:t>qn/Qn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0" w:hRule="atLeast"/>
                <w:jc w:val="center"/>
              </w:trPr>
              <w:tc>
                <w:tcPr>
                  <w:tcW w:w="40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1</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highlight w:val="none"/>
                    </w:rPr>
                    <w:t>拉丝油</w:t>
                  </w:r>
                </w:p>
              </w:tc>
              <w:tc>
                <w:tcPr>
                  <w:tcW w:w="833" w:type="pct"/>
                  <w:vMerge w:val="restart"/>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pacing w:val="0"/>
                      <w:kern w:val="2"/>
                      <w:position w:val="0"/>
                      <w:sz w:val="21"/>
                      <w:szCs w:val="21"/>
                      <w:highlight w:val="none"/>
                      <w:lang w:val="en-US" w:eastAsia="zh-CN"/>
                    </w:rPr>
                    <w:t>油类物质（矿物油类，如石油、汽油、柴油；生物柴油等）</w:t>
                  </w: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bCs/>
                      <w:color w:val="auto"/>
                      <w:sz w:val="21"/>
                      <w:highlight w:val="none"/>
                    </w:rPr>
                    <w:t>0.5</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highlight w:val="none"/>
                    </w:rPr>
                    <w:t>润滑油</w:t>
                  </w:r>
                </w:p>
              </w:tc>
              <w:tc>
                <w:tcPr>
                  <w:tcW w:w="833"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bCs/>
                      <w:color w:val="auto"/>
                      <w:sz w:val="21"/>
                      <w:highlight w:val="none"/>
                    </w:rPr>
                    <w:t>0.2</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3</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highlight w:val="none"/>
                    </w:rPr>
                    <w:t>导轴油</w:t>
                  </w:r>
                </w:p>
              </w:tc>
              <w:tc>
                <w:tcPr>
                  <w:tcW w:w="833"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bCs/>
                      <w:color w:val="auto"/>
                      <w:sz w:val="21"/>
                      <w:highlight w:val="none"/>
                    </w:rPr>
                    <w:t>0.25</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4</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sz w:val="21"/>
                      <w:highlight w:val="none"/>
                      <w:lang w:bidi="ar"/>
                    </w:rPr>
                    <w:t>废润滑油</w:t>
                  </w:r>
                </w:p>
              </w:tc>
              <w:tc>
                <w:tcPr>
                  <w:tcW w:w="833"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bCs/>
                      <w:color w:val="auto"/>
                      <w:sz w:val="21"/>
                      <w:highlight w:val="none"/>
                    </w:rPr>
                    <w:t>0.5</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kern w:val="2"/>
                      <w:sz w:val="21"/>
                      <w:szCs w:val="24"/>
                      <w:highlight w:val="none"/>
                      <w:lang w:val="en-US" w:eastAsia="zh-CN"/>
                    </w:rPr>
                  </w:pPr>
                  <w:r>
                    <w:rPr>
                      <w:rFonts w:hint="eastAsia"/>
                      <w:color w:val="auto"/>
                      <w:kern w:val="2"/>
                      <w:sz w:val="21"/>
                      <w:szCs w:val="24"/>
                      <w:highlight w:val="none"/>
                      <w:lang w:val="en-US" w:eastAsia="zh-CN"/>
                    </w:rPr>
                    <w:t>5</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kern w:val="2"/>
                      <w:sz w:val="21"/>
                      <w:highlight w:val="none"/>
                    </w:rPr>
                    <w:t>导轴油</w:t>
                  </w:r>
                </w:p>
              </w:tc>
              <w:tc>
                <w:tcPr>
                  <w:tcW w:w="833"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0.5</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jc w:val="center"/>
              </w:trPr>
              <w:tc>
                <w:tcPr>
                  <w:tcW w:w="402"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kern w:val="2"/>
                      <w:sz w:val="21"/>
                      <w:szCs w:val="24"/>
                      <w:highlight w:val="none"/>
                      <w:lang w:eastAsia="zh-CN"/>
                    </w:rPr>
                  </w:pPr>
                  <w:r>
                    <w:rPr>
                      <w:rFonts w:hint="eastAsia"/>
                      <w:color w:val="auto"/>
                      <w:kern w:val="2"/>
                      <w:sz w:val="21"/>
                      <w:szCs w:val="24"/>
                      <w:highlight w:val="none"/>
                      <w:lang w:val="en-US" w:eastAsia="zh-CN"/>
                    </w:rPr>
                    <w:t>6</w:t>
                  </w:r>
                </w:p>
              </w:tc>
              <w:tc>
                <w:tcPr>
                  <w:tcW w:w="81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sz w:val="21"/>
                      <w:highlight w:val="none"/>
                    </w:rPr>
                    <w:t>拉丝油废液</w:t>
                  </w:r>
                </w:p>
              </w:tc>
              <w:tc>
                <w:tcPr>
                  <w:tcW w:w="833" w:type="pct"/>
                  <w:vMerge w:val="continue"/>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p>
              </w:tc>
              <w:tc>
                <w:tcPr>
                  <w:tcW w:w="835" w:type="pc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2500</w:t>
                  </w:r>
                </w:p>
              </w:tc>
              <w:tc>
                <w:tcPr>
                  <w:tcW w:w="1150"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szCs w:val="24"/>
                      <w:highlight w:val="none"/>
                      <w:lang w:eastAsia="zh-CN"/>
                    </w:rPr>
                  </w:pPr>
                  <w:r>
                    <w:rPr>
                      <w:rFonts w:hint="eastAsia"/>
                      <w:bCs/>
                      <w:color w:val="auto"/>
                      <w:sz w:val="21"/>
                      <w:highlight w:val="none"/>
                      <w:lang w:val="en-US" w:eastAsia="zh-CN"/>
                    </w:rPr>
                    <w:t>2</w:t>
                  </w:r>
                </w:p>
              </w:tc>
              <w:tc>
                <w:tcPr>
                  <w:tcW w:w="963" w:type="pct"/>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bCs/>
                      <w:color w:val="auto"/>
                      <w:sz w:val="21"/>
                      <w:highlight w:val="none"/>
                      <w:lang w:val="en-US" w:eastAsia="zh-CN"/>
                    </w:rPr>
                  </w:pPr>
                  <w:r>
                    <w:rPr>
                      <w:rFonts w:hint="eastAsia"/>
                      <w:bCs/>
                      <w:color w:val="auto"/>
                      <w:sz w:val="21"/>
                      <w:highlight w:val="none"/>
                      <w:lang w:val="en-US" w:eastAsia="zh-CN"/>
                    </w:rPr>
                    <w:t>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5" w:type="pct"/>
                  <w:gridSpan w:val="5"/>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szCs w:val="24"/>
                      <w:highlight w:val="none"/>
                    </w:rPr>
                  </w:pPr>
                  <w:r>
                    <w:rPr>
                      <w:rFonts w:hint="default"/>
                      <w:color w:val="auto"/>
                      <w:kern w:val="2"/>
                      <w:sz w:val="21"/>
                      <w:szCs w:val="24"/>
                      <w:highlight w:val="none"/>
                    </w:rPr>
                    <w:t>合计Q</w:t>
                  </w:r>
                </w:p>
              </w:tc>
              <w:tc>
                <w:tcPr>
                  <w:tcW w:w="964" w:type="pct"/>
                  <w:gridSpan w:val="2"/>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kern w:val="2"/>
                      <w:sz w:val="21"/>
                      <w:szCs w:val="24"/>
                      <w:highlight w:val="none"/>
                      <w:lang w:val="en-US" w:eastAsia="zh-CN"/>
                    </w:rPr>
                  </w:pPr>
                  <w:r>
                    <w:rPr>
                      <w:rFonts w:hint="eastAsia"/>
                      <w:color w:val="auto"/>
                      <w:kern w:val="2"/>
                      <w:sz w:val="21"/>
                      <w:szCs w:val="24"/>
                      <w:highlight w:val="none"/>
                      <w:lang w:val="en-US" w:eastAsia="zh-CN"/>
                    </w:rPr>
                    <w:t>0.001508</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default"/>
                <w:color w:val="auto"/>
                <w:kern w:val="2"/>
                <w:sz w:val="24"/>
                <w:szCs w:val="24"/>
                <w:highlight w:val="none"/>
              </w:rPr>
            </w:pPr>
            <w:r>
              <w:rPr>
                <w:rFonts w:hint="default"/>
                <w:color w:val="auto"/>
                <w:kern w:val="2"/>
                <w:sz w:val="24"/>
                <w:szCs w:val="24"/>
                <w:highlight w:val="none"/>
              </w:rPr>
              <w:t>经计算，项目危险物质数量与临界量的比值Q=</w:t>
            </w:r>
            <w:r>
              <w:rPr>
                <w:rFonts w:hint="eastAsia"/>
                <w:color w:val="auto"/>
                <w:kern w:val="2"/>
                <w:sz w:val="24"/>
                <w:szCs w:val="24"/>
                <w:highlight w:val="none"/>
                <w:lang w:val="en-US" w:eastAsia="zh-CN"/>
              </w:rPr>
              <w:t>0.001508</w:t>
            </w:r>
            <w:r>
              <w:rPr>
                <w:rFonts w:hint="default"/>
                <w:color w:val="auto"/>
                <w:kern w:val="2"/>
                <w:sz w:val="24"/>
                <w:szCs w:val="24"/>
                <w:highlight w:val="none"/>
              </w:rPr>
              <w:t>，属于Q&lt;1范围。则本项目环境风险潜势为Ⅰ。</w:t>
            </w:r>
          </w:p>
          <w:p>
            <w:pPr>
              <w:pStyle w:val="111"/>
              <w:keepNext w:val="0"/>
              <w:keepLines w:val="0"/>
              <w:suppressLineNumbers w:val="0"/>
              <w:spacing w:before="0" w:beforeAutospacing="0" w:after="0" w:afterAutospacing="0"/>
              <w:ind w:left="0" w:right="0" w:firstLine="482" w:firstLineChars="200"/>
              <w:rPr>
                <w:rFonts w:hint="default" w:ascii="Times New Roman" w:hAnsi="Times New Roman"/>
                <w:b/>
                <w:bCs/>
                <w:color w:val="auto"/>
                <w:highlight w:val="none"/>
              </w:rPr>
            </w:pPr>
            <w:r>
              <w:rPr>
                <w:rFonts w:hint="default" w:ascii="Times New Roman" w:hAnsi="Times New Roman"/>
                <w:b/>
                <w:bCs/>
                <w:color w:val="auto"/>
                <w:highlight w:val="none"/>
              </w:rPr>
              <w:t>2、环境风险识别</w:t>
            </w:r>
          </w:p>
          <w:p>
            <w:pPr>
              <w:pStyle w:val="111"/>
              <w:keepNext w:val="0"/>
              <w:keepLines w:val="0"/>
              <w:suppressLineNumbers w:val="0"/>
              <w:spacing w:before="0" w:beforeAutospacing="0" w:after="0" w:afterAutospacing="0"/>
              <w:ind w:left="0" w:right="0" w:firstLine="480" w:firstLineChars="200"/>
              <w:rPr>
                <w:rFonts w:hint="default"/>
                <w:b/>
                <w:bCs/>
                <w:color w:val="auto"/>
                <w:kern w:val="2"/>
                <w:sz w:val="24"/>
                <w:szCs w:val="24"/>
                <w:highlight w:val="none"/>
              </w:rPr>
            </w:pPr>
            <w:r>
              <w:rPr>
                <w:rFonts w:hint="default" w:ascii="Times New Roman" w:hAnsi="Times New Roman"/>
                <w:color w:val="auto"/>
                <w:highlight w:val="none"/>
              </w:rPr>
              <w:t>项目涉及的环境风险类型主要为危险物质泄漏、火灾事故引发的伴生/次生污染物排放。</w:t>
            </w:r>
          </w:p>
          <w:p>
            <w:pPr>
              <w:keepNext w:val="0"/>
              <w:keepLines w:val="0"/>
              <w:suppressLineNumbers w:val="0"/>
              <w:spacing w:before="0" w:beforeAutospacing="0" w:after="0" w:afterAutospacing="0" w:line="240" w:lineRule="auto"/>
              <w:ind w:left="0" w:right="0" w:firstLine="0" w:firstLineChars="0"/>
              <w:jc w:val="center"/>
              <w:rPr>
                <w:rFonts w:hint="default"/>
                <w:b/>
                <w:bCs/>
                <w:color w:val="auto"/>
                <w:kern w:val="2"/>
                <w:sz w:val="24"/>
                <w:szCs w:val="24"/>
                <w:highlight w:val="none"/>
              </w:rPr>
            </w:pPr>
            <w:r>
              <w:rPr>
                <w:rFonts w:hint="default"/>
                <w:b/>
                <w:bCs/>
                <w:color w:val="auto"/>
                <w:kern w:val="2"/>
                <w:sz w:val="24"/>
                <w:szCs w:val="24"/>
                <w:highlight w:val="none"/>
              </w:rPr>
              <w:t>表4-2</w:t>
            </w:r>
            <w:r>
              <w:rPr>
                <w:rFonts w:hint="eastAsia"/>
                <w:b/>
                <w:bCs/>
                <w:color w:val="auto"/>
                <w:kern w:val="2"/>
                <w:sz w:val="24"/>
                <w:szCs w:val="24"/>
                <w:highlight w:val="none"/>
                <w:lang w:val="en-US" w:eastAsia="zh-CN"/>
              </w:rPr>
              <w:t>2</w:t>
            </w:r>
            <w:r>
              <w:rPr>
                <w:rFonts w:hint="default"/>
                <w:b/>
                <w:bCs/>
                <w:color w:val="auto"/>
                <w:kern w:val="2"/>
                <w:sz w:val="24"/>
                <w:szCs w:val="24"/>
                <w:highlight w:val="none"/>
              </w:rPr>
              <w:t xml:space="preserve">  风险源识别</w:t>
            </w:r>
          </w:p>
          <w:tbl>
            <w:tblPr>
              <w:tblStyle w:val="36"/>
              <w:tblW w:w="8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000"/>
              <w:gridCol w:w="1316"/>
              <w:gridCol w:w="690"/>
              <w:gridCol w:w="1319"/>
              <w:gridCol w:w="1185"/>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事故类型</w:t>
                  </w:r>
                </w:p>
              </w:tc>
              <w:tc>
                <w:tcPr>
                  <w:tcW w:w="100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环境风险描述</w:t>
                  </w:r>
                </w:p>
              </w:tc>
              <w:tc>
                <w:tcPr>
                  <w:tcW w:w="1316"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涉及化学品/污染物</w:t>
                  </w:r>
                </w:p>
              </w:tc>
              <w:tc>
                <w:tcPr>
                  <w:tcW w:w="69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风险类别</w:t>
                  </w:r>
                </w:p>
              </w:tc>
              <w:tc>
                <w:tcPr>
                  <w:tcW w:w="1319"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影响途径及后果</w:t>
                  </w:r>
                </w:p>
              </w:tc>
              <w:tc>
                <w:tcPr>
                  <w:tcW w:w="118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危险单元</w:t>
                  </w:r>
                </w:p>
              </w:tc>
              <w:tc>
                <w:tcPr>
                  <w:tcW w:w="199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21"/>
                      <w:highlight w:val="none"/>
                    </w:rPr>
                  </w:pPr>
                  <w:r>
                    <w:rPr>
                      <w:rFonts w:hint="default"/>
                      <w:b/>
                      <w:bCs/>
                      <w:color w:val="auto"/>
                      <w:kern w:val="2"/>
                      <w:sz w:val="21"/>
                      <w:highlight w:val="none"/>
                    </w:rPr>
                    <w:t>风险防范措施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危险废物泄漏</w:t>
                  </w:r>
                </w:p>
              </w:tc>
              <w:tc>
                <w:tcPr>
                  <w:tcW w:w="100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污染地表水和地下水</w:t>
                  </w:r>
                </w:p>
              </w:tc>
              <w:tc>
                <w:tcPr>
                  <w:tcW w:w="1316"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拉丝油、润滑油、导轴油、废润滑油</w:t>
                  </w:r>
                </w:p>
              </w:tc>
              <w:tc>
                <w:tcPr>
                  <w:tcW w:w="69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涉水</w:t>
                  </w:r>
                </w:p>
              </w:tc>
              <w:tc>
                <w:tcPr>
                  <w:tcW w:w="1319"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通过雨水管排放到附近水体，影响水生环境</w:t>
                  </w:r>
                </w:p>
              </w:tc>
              <w:tc>
                <w:tcPr>
                  <w:tcW w:w="118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生产车间、原料仓库、危险废物暂存间</w:t>
                  </w:r>
                </w:p>
              </w:tc>
              <w:tc>
                <w:tcPr>
                  <w:tcW w:w="199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生产车间、原料仓库、危险废物暂存间设置缓坡，做好防渗措施。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火灾、爆炸伴生污染</w:t>
                  </w:r>
                </w:p>
              </w:tc>
              <w:tc>
                <w:tcPr>
                  <w:tcW w:w="100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燃烧烟尘及污染物污染周围大气环境</w:t>
                  </w:r>
                </w:p>
              </w:tc>
              <w:tc>
                <w:tcPr>
                  <w:tcW w:w="1316"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CO、烟尘</w:t>
                  </w:r>
                </w:p>
              </w:tc>
              <w:tc>
                <w:tcPr>
                  <w:tcW w:w="69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涉气</w:t>
                  </w:r>
                </w:p>
              </w:tc>
              <w:tc>
                <w:tcPr>
                  <w:tcW w:w="1319"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通过燃烧烟气扩散，对周围大气环境造成短时污染</w:t>
                  </w:r>
                </w:p>
              </w:tc>
              <w:tc>
                <w:tcPr>
                  <w:tcW w:w="1185" w:type="dxa"/>
                  <w:vMerge w:val="restart"/>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生产车间、原料仓库、危废暂存间</w:t>
                  </w:r>
                </w:p>
              </w:tc>
              <w:tc>
                <w:tcPr>
                  <w:tcW w:w="199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配备足量灭火器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keepNext w:val="0"/>
                    <w:keepLines w:val="0"/>
                    <w:widowControl/>
                    <w:suppressLineNumbers w:val="0"/>
                    <w:spacing w:before="0" w:beforeAutospacing="0" w:after="0" w:afterAutospacing="0" w:line="240" w:lineRule="auto"/>
                    <w:ind w:left="0" w:right="0" w:firstLine="420"/>
                    <w:jc w:val="center"/>
                    <w:rPr>
                      <w:rFonts w:hint="default"/>
                      <w:color w:val="auto"/>
                      <w:kern w:val="2"/>
                      <w:sz w:val="21"/>
                      <w:highlight w:val="none"/>
                    </w:rPr>
                  </w:pPr>
                </w:p>
              </w:tc>
              <w:tc>
                <w:tcPr>
                  <w:tcW w:w="100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消防废水进入附近水体</w:t>
                  </w:r>
                </w:p>
              </w:tc>
              <w:tc>
                <w:tcPr>
                  <w:tcW w:w="1316"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拉丝油、润滑油、COD</w:t>
                  </w:r>
                  <w:r>
                    <w:rPr>
                      <w:rFonts w:hint="default"/>
                      <w:color w:val="auto"/>
                      <w:kern w:val="2"/>
                      <w:sz w:val="21"/>
                      <w:highlight w:val="none"/>
                      <w:vertAlign w:val="subscript"/>
                    </w:rPr>
                    <w:t>Cr</w:t>
                  </w:r>
                  <w:r>
                    <w:rPr>
                      <w:rFonts w:hint="default"/>
                      <w:color w:val="auto"/>
                      <w:kern w:val="2"/>
                      <w:sz w:val="21"/>
                      <w:highlight w:val="none"/>
                    </w:rPr>
                    <w:t>、SS等</w:t>
                  </w:r>
                </w:p>
              </w:tc>
              <w:tc>
                <w:tcPr>
                  <w:tcW w:w="69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涉水</w:t>
                  </w:r>
                </w:p>
              </w:tc>
              <w:tc>
                <w:tcPr>
                  <w:tcW w:w="1319"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通过雨水管排放到附近水体，影响水生环境</w:t>
                  </w:r>
                </w:p>
              </w:tc>
              <w:tc>
                <w:tcPr>
                  <w:tcW w:w="1185" w:type="dxa"/>
                  <w:vMerge w:val="continue"/>
                  <w:vAlign w:val="center"/>
                </w:tcPr>
                <w:p>
                  <w:pPr>
                    <w:keepNext w:val="0"/>
                    <w:keepLines w:val="0"/>
                    <w:widowControl/>
                    <w:suppressLineNumbers w:val="0"/>
                    <w:spacing w:before="0" w:beforeAutospacing="0" w:after="0" w:afterAutospacing="0" w:line="240" w:lineRule="auto"/>
                    <w:ind w:left="0" w:right="0" w:firstLine="420"/>
                    <w:jc w:val="center"/>
                    <w:rPr>
                      <w:rFonts w:hint="default"/>
                      <w:color w:val="auto"/>
                      <w:kern w:val="2"/>
                      <w:sz w:val="21"/>
                      <w:highlight w:val="none"/>
                    </w:rPr>
                  </w:pPr>
                </w:p>
              </w:tc>
              <w:tc>
                <w:tcPr>
                  <w:tcW w:w="199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落实防止火灾措施，在雨水管网的厂区出口处设置一个闸门，发生事故时及时关闭闸门，防止</w:t>
                  </w:r>
                  <w:r>
                    <w:rPr>
                      <w:rFonts w:hint="eastAsia"/>
                      <w:color w:val="auto"/>
                      <w:kern w:val="2"/>
                      <w:sz w:val="21"/>
                      <w:highlight w:val="none"/>
                    </w:rPr>
                    <w:t>泄漏液体</w:t>
                  </w:r>
                  <w:r>
                    <w:rPr>
                      <w:rFonts w:hint="default"/>
                      <w:color w:val="auto"/>
                      <w:kern w:val="2"/>
                      <w:sz w:val="21"/>
                      <w:highlight w:val="none"/>
                    </w:rPr>
                    <w:t>和消防废水流出厂区，将其可能产生的环境影响控制在厂区之内。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废气处理设施事故排放</w:t>
                  </w:r>
                </w:p>
              </w:tc>
              <w:tc>
                <w:tcPr>
                  <w:tcW w:w="100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未经处理达标的废气直接排入大气中</w:t>
                  </w:r>
                </w:p>
              </w:tc>
              <w:tc>
                <w:tcPr>
                  <w:tcW w:w="1316"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非甲烷总烃、</w:t>
                  </w:r>
                  <w:r>
                    <w:rPr>
                      <w:rFonts w:hint="default"/>
                      <w:color w:val="auto"/>
                      <w:kern w:val="2"/>
                      <w:sz w:val="21"/>
                      <w:highlight w:val="none"/>
                    </w:rPr>
                    <w:t>锡及其化合物</w:t>
                  </w:r>
                </w:p>
              </w:tc>
              <w:tc>
                <w:tcPr>
                  <w:tcW w:w="690"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涉气</w:t>
                  </w:r>
                </w:p>
              </w:tc>
              <w:tc>
                <w:tcPr>
                  <w:tcW w:w="1319"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废气处理设施部分出现故障，生产过程中产生的废气不能及时处理直接排放到大气</w:t>
                  </w:r>
                </w:p>
              </w:tc>
              <w:tc>
                <w:tcPr>
                  <w:tcW w:w="1185" w:type="dxa"/>
                  <w:vAlign w:val="center"/>
                </w:tcPr>
                <w:p>
                  <w:pPr>
                    <w:keepNext w:val="0"/>
                    <w:keepLines w:val="0"/>
                    <w:widowControl/>
                    <w:suppressLineNumbers w:val="0"/>
                    <w:spacing w:before="0" w:beforeAutospacing="0" w:after="0" w:afterAutospacing="0" w:line="240" w:lineRule="auto"/>
                    <w:ind w:left="0" w:leftChars="0" w:right="0" w:firstLine="0" w:firstLineChars="0"/>
                    <w:jc w:val="both"/>
                    <w:rPr>
                      <w:rFonts w:hint="default"/>
                      <w:color w:val="auto"/>
                      <w:kern w:val="2"/>
                      <w:sz w:val="21"/>
                      <w:highlight w:val="none"/>
                    </w:rPr>
                  </w:pPr>
                  <w:r>
                    <w:rPr>
                      <w:rFonts w:hint="default"/>
                      <w:color w:val="auto"/>
                      <w:kern w:val="2"/>
                      <w:sz w:val="21"/>
                      <w:highlight w:val="none"/>
                    </w:rPr>
                    <w:t>废气处理设施</w:t>
                  </w:r>
                </w:p>
              </w:tc>
              <w:tc>
                <w:tcPr>
                  <w:tcW w:w="199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加强检修，发现事故情况立即停止生产。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废</w:t>
                  </w:r>
                  <w:r>
                    <w:rPr>
                      <w:rFonts w:hint="eastAsia" w:ascii="Times New Roman" w:hAnsi="Times New Roman" w:eastAsia="宋体" w:cs="Times New Roman"/>
                      <w:b w:val="0"/>
                      <w:bCs w:val="0"/>
                      <w:color w:val="auto"/>
                      <w:kern w:val="2"/>
                      <w:sz w:val="21"/>
                      <w:szCs w:val="21"/>
                      <w:highlight w:val="none"/>
                      <w:vertAlign w:val="baseline"/>
                      <w:lang w:val="en-US" w:eastAsia="zh-CN" w:bidi="ar-SA"/>
                    </w:rPr>
                    <w:t>水</w:t>
                  </w:r>
                  <w:r>
                    <w:rPr>
                      <w:rFonts w:hint="default" w:ascii="Times New Roman" w:hAnsi="Times New Roman" w:eastAsia="宋体" w:cs="Times New Roman"/>
                      <w:b w:val="0"/>
                      <w:bCs w:val="0"/>
                      <w:color w:val="auto"/>
                      <w:kern w:val="2"/>
                      <w:sz w:val="21"/>
                      <w:szCs w:val="21"/>
                      <w:highlight w:val="none"/>
                      <w:vertAlign w:val="baseline"/>
                      <w:lang w:val="en-US" w:eastAsia="zh-CN" w:bidi="ar-SA"/>
                    </w:rPr>
                    <w:t>处理设施事故排放</w:t>
                  </w:r>
                </w:p>
              </w:tc>
              <w:tc>
                <w:tcPr>
                  <w:tcW w:w="1000"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未经处理的废</w:t>
                  </w:r>
                  <w:r>
                    <w:rPr>
                      <w:rFonts w:hint="eastAsia" w:ascii="Times New Roman" w:hAnsi="Times New Roman" w:eastAsia="宋体" w:cs="Times New Roman"/>
                      <w:b w:val="0"/>
                      <w:bCs w:val="0"/>
                      <w:color w:val="auto"/>
                      <w:kern w:val="2"/>
                      <w:sz w:val="21"/>
                      <w:szCs w:val="21"/>
                      <w:highlight w:val="none"/>
                      <w:vertAlign w:val="baseline"/>
                      <w:lang w:val="en-US" w:eastAsia="zh-CN" w:bidi="ar-SA"/>
                    </w:rPr>
                    <w:t>水</w:t>
                  </w:r>
                  <w:r>
                    <w:rPr>
                      <w:rFonts w:hint="default" w:ascii="Times New Roman" w:hAnsi="Times New Roman" w:eastAsia="宋体" w:cs="Times New Roman"/>
                      <w:b w:val="0"/>
                      <w:bCs w:val="0"/>
                      <w:color w:val="auto"/>
                      <w:kern w:val="2"/>
                      <w:sz w:val="21"/>
                      <w:szCs w:val="21"/>
                      <w:highlight w:val="none"/>
                      <w:vertAlign w:val="baseline"/>
                      <w:lang w:val="en-US" w:eastAsia="zh-CN" w:bidi="ar-SA"/>
                    </w:rPr>
                    <w:t>排入</w:t>
                  </w:r>
                  <w:r>
                    <w:rPr>
                      <w:rFonts w:hint="eastAsia" w:ascii="Times New Roman" w:hAnsi="Times New Roman" w:eastAsia="宋体" w:cs="Times New Roman"/>
                      <w:b w:val="0"/>
                      <w:bCs w:val="0"/>
                      <w:color w:val="auto"/>
                      <w:kern w:val="2"/>
                      <w:sz w:val="21"/>
                      <w:szCs w:val="21"/>
                      <w:highlight w:val="none"/>
                      <w:vertAlign w:val="baseline"/>
                      <w:lang w:val="en-US" w:eastAsia="zh-CN" w:bidi="ar-SA"/>
                    </w:rPr>
                    <w:t>附近水体</w:t>
                  </w:r>
                </w:p>
              </w:tc>
              <w:tc>
                <w:tcPr>
                  <w:tcW w:w="1316"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color w:val="auto"/>
                      <w:kern w:val="2"/>
                      <w:sz w:val="24"/>
                      <w:szCs w:val="24"/>
                      <w:highlight w:val="none"/>
                      <w:vertAlign w:val="subscript"/>
                      <w:lang w:val="en-US" w:eastAsia="zh-CN" w:bidi="ar-SA"/>
                    </w:rPr>
                  </w:pPr>
                  <w:r>
                    <w:rPr>
                      <w:rFonts w:hint="eastAsia" w:cs="Times New Roman"/>
                      <w:b w:val="0"/>
                      <w:bCs w:val="0"/>
                      <w:color w:val="auto"/>
                      <w:kern w:val="2"/>
                      <w:sz w:val="21"/>
                      <w:szCs w:val="21"/>
                      <w:highlight w:val="none"/>
                      <w:vertAlign w:val="baseline"/>
                      <w:lang w:val="en-US" w:eastAsia="zh-CN" w:bidi="ar-SA"/>
                    </w:rPr>
                    <w:t>pH、</w:t>
                  </w:r>
                  <w:r>
                    <w:rPr>
                      <w:rFonts w:hint="eastAsia" w:ascii="Times New Roman" w:hAnsi="Times New Roman" w:eastAsia="宋体" w:cs="Times New Roman"/>
                      <w:b w:val="0"/>
                      <w:bCs w:val="0"/>
                      <w:color w:val="auto"/>
                      <w:kern w:val="2"/>
                      <w:sz w:val="21"/>
                      <w:szCs w:val="21"/>
                      <w:highlight w:val="none"/>
                      <w:vertAlign w:val="baseline"/>
                      <w:lang w:val="en-US" w:eastAsia="zh-CN" w:bidi="ar-SA"/>
                    </w:rPr>
                    <w:t>COD</w:t>
                  </w:r>
                  <w:r>
                    <w:rPr>
                      <w:rFonts w:hint="eastAsia" w:ascii="Times New Roman" w:hAnsi="Times New Roman" w:eastAsia="宋体" w:cs="Times New Roman"/>
                      <w:b w:val="0"/>
                      <w:bCs w:val="0"/>
                      <w:color w:val="auto"/>
                      <w:kern w:val="2"/>
                      <w:sz w:val="21"/>
                      <w:szCs w:val="21"/>
                      <w:highlight w:val="none"/>
                      <w:vertAlign w:val="subscript"/>
                      <w:lang w:val="en-US" w:eastAsia="zh-CN" w:bidi="ar-SA"/>
                    </w:rPr>
                    <w:t>Cr</w:t>
                  </w:r>
                  <w:r>
                    <w:rPr>
                      <w:rFonts w:hint="default" w:ascii="Times New Roman" w:hAnsi="Times New Roman" w:eastAsia="宋体"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s="Times New Roman"/>
                      <w:b w:val="0"/>
                      <w:bCs w:val="0"/>
                      <w:color w:val="auto"/>
                      <w:kern w:val="2"/>
                      <w:sz w:val="21"/>
                      <w:szCs w:val="21"/>
                      <w:highlight w:val="none"/>
                      <w:vertAlign w:val="baseline"/>
                      <w:lang w:val="en-US" w:eastAsia="zh-CN" w:bidi="ar-SA"/>
                    </w:rPr>
                    <w:t>BOD</w:t>
                  </w:r>
                  <w:r>
                    <w:rPr>
                      <w:rFonts w:hint="eastAsia" w:ascii="Times New Roman" w:hAnsi="Times New Roman" w:eastAsia="宋体" w:cs="Times New Roman"/>
                      <w:b w:val="0"/>
                      <w:bCs w:val="0"/>
                      <w:color w:val="auto"/>
                      <w:kern w:val="2"/>
                      <w:sz w:val="21"/>
                      <w:szCs w:val="21"/>
                      <w:highlight w:val="none"/>
                      <w:vertAlign w:val="subscript"/>
                      <w:lang w:val="en-US" w:eastAsia="zh-CN" w:bidi="ar-SA"/>
                    </w:rPr>
                    <w:t>5</w:t>
                  </w:r>
                  <w:r>
                    <w:rPr>
                      <w:rFonts w:hint="default" w:ascii="Times New Roman" w:hAnsi="Times New Roman" w:eastAsia="宋体"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s="Times New Roman"/>
                      <w:b w:val="0"/>
                      <w:bCs w:val="0"/>
                      <w:color w:val="auto"/>
                      <w:kern w:val="2"/>
                      <w:sz w:val="21"/>
                      <w:szCs w:val="21"/>
                      <w:highlight w:val="none"/>
                      <w:vertAlign w:val="baseline"/>
                      <w:lang w:val="en-US" w:eastAsia="zh-CN" w:bidi="ar-SA"/>
                    </w:rPr>
                    <w:t>SS</w:t>
                  </w:r>
                  <w:r>
                    <w:rPr>
                      <w:rFonts w:hint="default" w:ascii="Times New Roman" w:hAnsi="Times New Roman" w:eastAsia="宋体" w:cs="Times New Roman"/>
                      <w:b w:val="0"/>
                      <w:bCs w:val="0"/>
                      <w:color w:val="auto"/>
                      <w:kern w:val="2"/>
                      <w:sz w:val="21"/>
                      <w:szCs w:val="21"/>
                      <w:highlight w:val="none"/>
                      <w:vertAlign w:val="baseline"/>
                      <w:lang w:val="en-US" w:eastAsia="zh-CN" w:bidi="ar-SA"/>
                    </w:rPr>
                    <w:t>、</w:t>
                  </w:r>
                  <w:r>
                    <w:rPr>
                      <w:rFonts w:hint="eastAsia" w:ascii="Times New Roman" w:hAnsi="Times New Roman" w:eastAsia="宋体" w:cs="Times New Roman"/>
                      <w:b w:val="0"/>
                      <w:bCs w:val="0"/>
                      <w:color w:val="auto"/>
                      <w:kern w:val="2"/>
                      <w:sz w:val="21"/>
                      <w:szCs w:val="21"/>
                      <w:highlight w:val="none"/>
                      <w:vertAlign w:val="baseline"/>
                      <w:lang w:val="en-US" w:eastAsia="zh-CN" w:bidi="ar-SA"/>
                    </w:rPr>
                    <w:t>氨氮、TP</w:t>
                  </w:r>
                </w:p>
              </w:tc>
              <w:tc>
                <w:tcPr>
                  <w:tcW w:w="690"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涉水</w:t>
                  </w:r>
                </w:p>
              </w:tc>
              <w:tc>
                <w:tcPr>
                  <w:tcW w:w="1319"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排放到附近水体，影响水生环境</w:t>
                  </w:r>
                </w:p>
              </w:tc>
              <w:tc>
                <w:tcPr>
                  <w:tcW w:w="1185"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一体化冷却水处理设施</w:t>
                  </w:r>
                </w:p>
              </w:tc>
              <w:tc>
                <w:tcPr>
                  <w:tcW w:w="1994" w:type="dxa"/>
                  <w:vAlign w:val="center"/>
                </w:tcPr>
                <w:p>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加强检修，发现事故情况立即停止生产。</w:t>
                  </w:r>
                </w:p>
              </w:tc>
            </w:tr>
          </w:tbl>
          <w:p>
            <w:pPr>
              <w:pStyle w:val="113"/>
              <w:keepNext w:val="0"/>
              <w:keepLines w:val="0"/>
              <w:suppressLineNumbers w:val="0"/>
              <w:spacing w:before="120" w:beforeLines="50" w:beforeAutospacing="0" w:after="0" w:afterAutospacing="0"/>
              <w:ind w:left="0" w:right="0" w:firstLine="482" w:firstLineChars="200"/>
              <w:rPr>
                <w:rFonts w:hint="default" w:ascii="Times New Roman" w:hAnsi="Times New Roman"/>
                <w:b/>
                <w:bCs/>
                <w:color w:val="auto"/>
                <w:sz w:val="24"/>
                <w:highlight w:val="none"/>
              </w:rPr>
            </w:pPr>
            <w:r>
              <w:rPr>
                <w:rFonts w:hint="default" w:ascii="Times New Roman" w:hAnsi="Times New Roman"/>
                <w:b/>
                <w:bCs/>
                <w:color w:val="auto"/>
                <w:sz w:val="24"/>
                <w:highlight w:val="none"/>
              </w:rPr>
              <w:t>3、环境风险防范措施</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color w:val="auto"/>
                <w:sz w:val="24"/>
                <w:highlight w:val="none"/>
              </w:rPr>
              <w:t>（1）</w:t>
            </w:r>
            <w:r>
              <w:rPr>
                <w:rFonts w:hint="default" w:ascii="Times New Roman" w:hAnsi="Times New Roman" w:eastAsia="宋体" w:cs="Times New Roman"/>
                <w:b w:val="0"/>
                <w:bCs w:val="0"/>
                <w:color w:val="auto"/>
                <w:kern w:val="2"/>
                <w:sz w:val="24"/>
                <w:szCs w:val="24"/>
                <w:highlight w:val="none"/>
                <w:lang w:val="en-US" w:eastAsia="zh-CN" w:bidi="ar-SA"/>
              </w:rPr>
              <w:t>废气事故排放风险防范措施</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A、</w:t>
            </w:r>
            <w:r>
              <w:rPr>
                <w:rFonts w:hint="default" w:ascii="Times New Roman" w:hAnsi="Times New Roman" w:eastAsia="宋体" w:cs="Times New Roman"/>
                <w:b w:val="0"/>
                <w:bCs w:val="0"/>
                <w:color w:val="auto"/>
                <w:kern w:val="2"/>
                <w:sz w:val="24"/>
                <w:szCs w:val="24"/>
                <w:highlight w:val="none"/>
                <w:lang w:val="en-US" w:eastAsia="zh-CN" w:bidi="ar-SA"/>
              </w:rPr>
              <w:t>设专人负责废气处理设施的运行，密切监视废气产生状况的波动，定期检查废气处理设施是否正常运转。</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B、</w:t>
            </w:r>
            <w:r>
              <w:rPr>
                <w:rFonts w:hint="default" w:ascii="Times New Roman" w:hAnsi="Times New Roman" w:eastAsia="宋体" w:cs="Times New Roman"/>
                <w:b w:val="0"/>
                <w:bCs w:val="0"/>
                <w:color w:val="auto"/>
                <w:kern w:val="2"/>
                <w:sz w:val="24"/>
                <w:szCs w:val="24"/>
                <w:highlight w:val="none"/>
                <w:lang w:val="en-US" w:eastAsia="zh-CN" w:bidi="ar-SA"/>
              </w:rPr>
              <w:t>废气处理设施管道破裂，导致有机废气和</w:t>
            </w:r>
            <w:r>
              <w:rPr>
                <w:rFonts w:hint="eastAsia" w:cs="Times New Roman"/>
                <w:b w:val="0"/>
                <w:bCs w:val="0"/>
                <w:color w:val="auto"/>
                <w:kern w:val="2"/>
                <w:sz w:val="24"/>
                <w:szCs w:val="24"/>
                <w:highlight w:val="none"/>
                <w:lang w:val="en-US" w:eastAsia="zh-CN" w:bidi="ar-SA"/>
              </w:rPr>
              <w:t>锡及其化合物</w:t>
            </w:r>
            <w:r>
              <w:rPr>
                <w:rFonts w:hint="default" w:ascii="Times New Roman" w:hAnsi="Times New Roman" w:eastAsia="宋体" w:cs="Times New Roman"/>
                <w:b w:val="0"/>
                <w:bCs w:val="0"/>
                <w:color w:val="auto"/>
                <w:kern w:val="2"/>
                <w:sz w:val="24"/>
                <w:szCs w:val="24"/>
                <w:highlight w:val="none"/>
                <w:lang w:val="en-US" w:eastAsia="zh-CN" w:bidi="ar-SA"/>
              </w:rPr>
              <w:t>泄漏至车间，可通过在车间设置局部排风系统，每班工作人员都要对废气处理设施进行检查，一旦发现废气处理设施出现异常，立即启动排风系统，相关安全人员及时处理，处理作业时应佩带防毒面具。</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C、</w:t>
            </w:r>
            <w:r>
              <w:rPr>
                <w:rFonts w:hint="default" w:ascii="Times New Roman" w:hAnsi="Times New Roman" w:eastAsia="宋体" w:cs="Times New Roman"/>
                <w:b w:val="0"/>
                <w:bCs w:val="0"/>
                <w:color w:val="auto"/>
                <w:kern w:val="2"/>
                <w:sz w:val="24"/>
                <w:szCs w:val="24"/>
                <w:highlight w:val="none"/>
                <w:lang w:val="en-US" w:eastAsia="zh-CN" w:bidi="ar-SA"/>
              </w:rPr>
              <w:t>现场作业人员定时记录废气处理状况，如对风机、废气处理设施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p>
          <w:p>
            <w:pPr>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D、</w:t>
            </w:r>
            <w:r>
              <w:rPr>
                <w:rFonts w:hint="default" w:ascii="Times New Roman" w:hAnsi="Times New Roman" w:eastAsia="宋体" w:cs="Times New Roman"/>
                <w:b w:val="0"/>
                <w:bCs w:val="0"/>
                <w:color w:val="auto"/>
                <w:kern w:val="2"/>
                <w:sz w:val="24"/>
                <w:szCs w:val="24"/>
                <w:highlight w:val="none"/>
                <w:lang w:val="en-US" w:eastAsia="zh-CN" w:bidi="ar-SA"/>
              </w:rPr>
              <w:t>对于废气处理设施所有的易损部件（如皮带、轴承）等，废气处理设施负责人要及时委托采购人员购买备用件，一旦发生损坏及时更换。</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2</w:t>
            </w:r>
            <w:r>
              <w:rPr>
                <w:rFonts w:hint="eastAsia" w:ascii="Times New Roman" w:hAnsi="Times New Roman"/>
                <w:color w:val="auto"/>
                <w:sz w:val="24"/>
                <w:highlight w:val="none"/>
                <w:lang w:eastAsia="zh-CN"/>
              </w:rPr>
              <w:t>）</w:t>
            </w:r>
            <w:r>
              <w:rPr>
                <w:rFonts w:hint="default" w:ascii="Times New Roman" w:hAnsi="Times New Roman"/>
                <w:color w:val="auto"/>
                <w:sz w:val="24"/>
                <w:highlight w:val="none"/>
              </w:rPr>
              <w:t>火灾风险防范措施</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①加强对可燃物质的安全管理，保证安全生产，保护环境，原辅料的的贮存过程中必须按照国家《仓库防火安全管理规则》等规定做到安全贮存。</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②要求厂方加强对原辅料的安全管理工作，做到专人管理、专人负责，原辅料的储存场所必须保持干燥，室温应在35℃以下，并有相应的防火安全措施。储存应远离热源和避免阳光直射，禁止一切烟火，设置防火标示牌。</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③采用防爆型照明、通风设施，禁止使用易产生火花的机械设备和工具。储区应备有合适的材料收容泄漏物。</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④加强设备维护保养，防止因摩擦引起杂质等燃烧。</w:t>
            </w:r>
          </w:p>
          <w:p>
            <w:pPr>
              <w:pStyle w:val="1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color w:val="auto"/>
                <w:sz w:val="24"/>
                <w:highlight w:val="none"/>
              </w:rPr>
            </w:pPr>
            <w:r>
              <w:rPr>
                <w:rFonts w:hint="default" w:ascii="Times New Roman" w:hAnsi="Times New Roman"/>
                <w:color w:val="auto"/>
                <w:sz w:val="24"/>
                <w:highlight w:val="none"/>
              </w:rPr>
              <w:t>⑤在雨水管网、污水管网的厂区出口处设置闸门，发生事故时可及时关闭闸门，防止消防废水流出厂区，将其可能产生的环境影响控制在厂区之内，从传播途径控制污染物，减少火灾水污染物扩散范围。</w:t>
            </w:r>
          </w:p>
          <w:p>
            <w:pPr>
              <w:pStyle w:val="12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59" w:lineRule="auto"/>
              <w:ind w:left="0" w:right="0" w:firstLine="476"/>
              <w:jc w:val="both"/>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3）一体化冷却水处理设施风险防范措施</w:t>
            </w:r>
          </w:p>
          <w:p>
            <w:pPr>
              <w:pStyle w:val="12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6"/>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①建立管理责任制</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落实管理责任人</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并做好日常管理、监查工作。应定期巡查</w:t>
            </w:r>
            <w:r>
              <w:rPr>
                <w:rFonts w:hint="eastAsia" w:ascii="Times New Roman" w:hAnsi="Times New Roman" w:cs="Times New Roman"/>
                <w:color w:val="auto"/>
                <w:kern w:val="2"/>
                <w:sz w:val="24"/>
                <w:szCs w:val="24"/>
                <w:highlight w:val="none"/>
                <w:lang w:val="en-US" w:eastAsia="zh-CN" w:bidi="ar-SA"/>
              </w:rPr>
              <w:t>一体化冷却水处理设施</w:t>
            </w:r>
            <w:r>
              <w:rPr>
                <w:rFonts w:hint="default" w:ascii="Times New Roman" w:hAnsi="Times New Roman" w:eastAsia="宋体" w:cs="Times New Roman"/>
                <w:color w:val="auto"/>
                <w:kern w:val="2"/>
                <w:sz w:val="24"/>
                <w:szCs w:val="24"/>
                <w:highlight w:val="none"/>
                <w:lang w:val="en-US" w:eastAsia="zh-CN" w:bidi="ar-SA"/>
              </w:rPr>
              <w:t>运行情况</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加强车间管理，若发现异常应尽快进行检修处理，避免造成废水达不到回用标准；</w:t>
            </w:r>
          </w:p>
          <w:p>
            <w:pPr>
              <w:pStyle w:val="12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8"/>
              <w:jc w:val="both"/>
              <w:textAlignment w:val="auto"/>
              <w:rPr>
                <w:rFonts w:hint="default" w:ascii="Times New Roman" w:hAnsi="Times New Roman" w:eastAsia="宋体"/>
                <w:color w:val="auto"/>
                <w:sz w:val="24"/>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②当厂区</w:t>
            </w:r>
            <w:r>
              <w:rPr>
                <w:rFonts w:hint="eastAsia" w:ascii="Times New Roman" w:hAnsi="Times New Roman" w:cs="Times New Roman"/>
                <w:color w:val="auto"/>
                <w:kern w:val="2"/>
                <w:sz w:val="24"/>
                <w:szCs w:val="24"/>
                <w:highlight w:val="none"/>
                <w:lang w:val="en-US" w:eastAsia="zh-CN" w:bidi="ar-SA"/>
              </w:rPr>
              <w:t>一体化冷却水处理设施</w:t>
            </w:r>
            <w:r>
              <w:rPr>
                <w:rFonts w:hint="default" w:ascii="Times New Roman" w:hAnsi="Times New Roman" w:eastAsia="宋体" w:cs="Times New Roman"/>
                <w:color w:val="auto"/>
                <w:kern w:val="2"/>
                <w:sz w:val="24"/>
                <w:szCs w:val="24"/>
                <w:highlight w:val="none"/>
                <w:lang w:val="en-US" w:eastAsia="zh-CN" w:bidi="ar-SA"/>
              </w:rPr>
              <w:t>出现故障时</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应立即停产</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严禁超标废水排放至外环境中，防止突发环境污染事故的扩大和蔓延，杜绝事故废水流入外环境。</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w:t>
            </w:r>
            <w:r>
              <w:rPr>
                <w:rFonts w:hint="eastAsia" w:ascii="Times New Roman" w:hAnsi="Times New Roman"/>
                <w:color w:val="auto"/>
                <w:sz w:val="24"/>
                <w:highlight w:val="none"/>
                <w:lang w:val="en-US" w:eastAsia="zh-CN"/>
              </w:rPr>
              <w:t>4</w:t>
            </w:r>
            <w:r>
              <w:rPr>
                <w:rFonts w:hint="default" w:ascii="Times New Roman" w:hAnsi="Times New Roman"/>
                <w:color w:val="auto"/>
                <w:sz w:val="24"/>
                <w:highlight w:val="none"/>
              </w:rPr>
              <w:t>）危废间风险防范措施</w:t>
            </w:r>
          </w:p>
          <w:p>
            <w:pPr>
              <w:pStyle w:val="113"/>
              <w:keepNext w:val="0"/>
              <w:keepLines w:val="0"/>
              <w:suppressLineNumbers w:val="0"/>
              <w:spacing w:before="0" w:beforeAutospacing="0" w:after="0" w:afterAutospacing="0"/>
              <w:ind w:left="0" w:right="0" w:firstLine="480" w:firstLineChars="200"/>
              <w:rPr>
                <w:rFonts w:hint="default" w:ascii="Times New Roman" w:hAnsi="Times New Roman"/>
                <w:color w:val="auto"/>
                <w:sz w:val="24"/>
                <w:highlight w:val="none"/>
              </w:rPr>
            </w:pPr>
            <w:r>
              <w:rPr>
                <w:rFonts w:hint="default" w:ascii="Times New Roman" w:hAnsi="Times New Roman"/>
                <w:color w:val="auto"/>
                <w:sz w:val="24"/>
                <w:highlight w:val="none"/>
              </w:rPr>
              <w:t>建设单位应严格按照《危险废物贮存污染控制标准》（GB18597-2023）对危废间进行设计和建设，危险废物必须使用符合标准的容器盛装，盛装危险废物的容器上必须粘贴标签，标签内容应包括废物类别、行业来源、废物代码、危险废物和危险特性以及符合防风、防雨、防晒、防渗透的要求。同时按相关法律法规将危险废物交由具有相应类型危险废物处理资质单位处理。危险废物实行分类收集后置于贮存设施内，贮存时限一般不得超过一年，并设专人管理。企业还需健全产生单位内部管理制度，包括落实危险废物产生信息公开制度，建立员工培训和固体废物管理员制度，建立和完善突发危险废物环境应急预案，并报当地环保部门备案。</w:t>
            </w:r>
          </w:p>
          <w:p>
            <w:pPr>
              <w:keepNext w:val="0"/>
              <w:keepLines w:val="0"/>
              <w:suppressLineNumbers w:val="0"/>
              <w:autoSpaceDE w:val="0"/>
              <w:autoSpaceDN w:val="0"/>
              <w:adjustRightInd w:val="0"/>
              <w:spacing w:before="0" w:beforeAutospacing="0" w:after="0" w:afterAutospacing="0" w:line="360" w:lineRule="auto"/>
              <w:ind w:left="0" w:right="0" w:firstLine="480"/>
              <w:jc w:val="both"/>
              <w:rPr>
                <w:rFonts w:hint="default"/>
                <w:color w:val="auto"/>
                <w:kern w:val="2"/>
                <w:sz w:val="21"/>
                <w:szCs w:val="24"/>
                <w:highlight w:val="none"/>
              </w:rPr>
            </w:pPr>
            <w:r>
              <w:rPr>
                <w:rFonts w:hint="default"/>
                <w:color w:val="auto"/>
                <w:sz w:val="24"/>
                <w:szCs w:val="24"/>
                <w:highlight w:val="none"/>
              </w:rPr>
              <w:t>项目做好上述风险防范措施，则项目环境风险影响可以减少到最低，项目的环境风险可控。</w:t>
            </w:r>
          </w:p>
        </w:tc>
      </w:tr>
    </w:tbl>
    <w:p>
      <w:pPr>
        <w:adjustRightInd w:val="0"/>
        <w:snapToGrid w:val="0"/>
        <w:spacing w:line="360" w:lineRule="auto"/>
        <w:ind w:firstLine="562"/>
        <w:rPr>
          <w:b/>
          <w:color w:val="auto"/>
          <w:szCs w:val="28"/>
          <w:highlight w:val="none"/>
        </w:rPr>
        <w:sectPr>
          <w:pgSz w:w="11907" w:h="16840"/>
          <w:pgMar w:top="1701" w:right="1531" w:bottom="2127" w:left="1531" w:header="851" w:footer="851" w:gutter="0"/>
          <w:cols w:space="720" w:num="1"/>
          <w:docGrid w:linePitch="312" w:charSpace="0"/>
        </w:sectPr>
      </w:pPr>
    </w:p>
    <w:p>
      <w:pPr>
        <w:widowControl/>
        <w:spacing w:before="100" w:beforeAutospacing="1" w:after="100" w:afterAutospacing="1"/>
        <w:ind w:firstLine="600"/>
        <w:jc w:val="center"/>
        <w:outlineLvl w:val="0"/>
        <w:rPr>
          <w:rFonts w:eastAsia="黑体"/>
          <w:snapToGrid w:val="0"/>
          <w:color w:val="auto"/>
          <w:sz w:val="30"/>
          <w:szCs w:val="30"/>
          <w:highlight w:val="none"/>
        </w:rPr>
      </w:pPr>
      <w:r>
        <w:rPr>
          <w:rFonts w:eastAsia="黑体"/>
          <w:snapToGrid w:val="0"/>
          <w:color w:val="auto"/>
          <w:sz w:val="30"/>
          <w:szCs w:val="30"/>
          <w:highlight w:val="none"/>
        </w:rPr>
        <w:t>五、</w:t>
      </w:r>
      <w:bookmarkStart w:id="3" w:name="_Hlk54167917"/>
      <w:r>
        <w:rPr>
          <w:rFonts w:eastAsia="黑体"/>
          <w:snapToGrid w:val="0"/>
          <w:color w:val="auto"/>
          <w:sz w:val="30"/>
          <w:szCs w:val="30"/>
          <w:highlight w:val="none"/>
        </w:rPr>
        <w:t>环境保护措施监督检查清单</w:t>
      </w:r>
      <w:bookmarkEnd w:id="3"/>
    </w:p>
    <w:tbl>
      <w:tblPr>
        <w:tblStyle w:val="35"/>
        <w:tblW w:w="49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404"/>
        <w:gridCol w:w="1435"/>
        <w:gridCol w:w="1581"/>
        <w:gridCol w:w="34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tcBorders>
              <w:tl2br w:val="single" w:color="auto" w:sz="4" w:space="0"/>
            </w:tcBorders>
          </w:tcPr>
          <w:p>
            <w:pPr>
              <w:keepNext w:val="0"/>
              <w:keepLines w:val="0"/>
              <w:suppressLineNumbers w:val="0"/>
              <w:adjustRightInd w:val="0"/>
              <w:snapToGrid w:val="0"/>
              <w:spacing w:before="0" w:beforeAutospacing="0" w:after="0" w:afterAutospacing="0" w:line="240" w:lineRule="auto"/>
              <w:ind w:left="0" w:right="0" w:firstLine="0" w:firstLineChars="0"/>
              <w:jc w:val="right"/>
              <w:rPr>
                <w:rFonts w:hint="default"/>
                <w:color w:val="auto"/>
                <w:kern w:val="2"/>
                <w:sz w:val="21"/>
                <w:highlight w:val="none"/>
              </w:rPr>
            </w:pPr>
            <w:r>
              <w:rPr>
                <w:rFonts w:hint="default"/>
                <w:color w:val="auto"/>
                <w:kern w:val="2"/>
                <w:sz w:val="21"/>
                <w:highlight w:val="none"/>
              </w:rPr>
              <w:t>内容</w:t>
            </w:r>
          </w:p>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kern w:val="2"/>
                <w:sz w:val="21"/>
                <w:highlight w:val="none"/>
              </w:rPr>
            </w:pPr>
          </w:p>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kern w:val="2"/>
                <w:sz w:val="21"/>
                <w:highlight w:val="none"/>
              </w:rPr>
            </w:pPr>
            <w:r>
              <w:rPr>
                <w:rFonts w:hint="default"/>
                <w:color w:val="auto"/>
                <w:kern w:val="2"/>
                <w:sz w:val="21"/>
                <w:highlight w:val="none"/>
              </w:rPr>
              <w:t>要素</w:t>
            </w: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排放口(编号、名称)/污染源</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污染物项目</w:t>
            </w:r>
          </w:p>
        </w:tc>
        <w:tc>
          <w:tcPr>
            <w:tcW w:w="85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环境保护措施</w:t>
            </w: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86"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大气环境</w:t>
            </w:r>
          </w:p>
        </w:tc>
        <w:tc>
          <w:tcPr>
            <w:tcW w:w="756"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DA001废气排放口</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非甲烷总烃</w:t>
            </w:r>
          </w:p>
        </w:tc>
        <w:tc>
          <w:tcPr>
            <w:tcW w:w="851"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水喷淋+干式过滤器+二级活性炭吸附装置</w:t>
            </w:r>
          </w:p>
        </w:tc>
        <w:tc>
          <w:tcPr>
            <w:tcW w:w="1832"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bCs/>
                <w:color w:val="auto"/>
                <w:kern w:val="2"/>
                <w:sz w:val="21"/>
                <w:highlight w:val="none"/>
              </w:rPr>
            </w:pPr>
            <w:r>
              <w:rPr>
                <w:rFonts w:hint="default"/>
                <w:color w:val="auto"/>
                <w:kern w:val="2"/>
                <w:sz w:val="21"/>
                <w:highlight w:val="none"/>
              </w:rPr>
              <w:t>《固定污染源挥发性有机物综合排放标准》（DB44/2367-2022）表1挥发性有机物排放限值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ascii="Times New Roman" w:hAnsi="Times New Roman" w:eastAsia="宋体" w:cs="Times New Roman"/>
                <w:color w:val="auto"/>
                <w:kern w:val="2"/>
                <w:sz w:val="21"/>
                <w:highlight w:val="none"/>
                <w:lang w:val="en-US" w:eastAsia="zh-CN"/>
              </w:rPr>
              <w:t>TVOC</w:t>
            </w:r>
          </w:p>
        </w:tc>
        <w:tc>
          <w:tcPr>
            <w:tcW w:w="851"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1832"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color w:val="auto"/>
                <w:kern w:val="2"/>
                <w:sz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锡及其化合物</w:t>
            </w:r>
          </w:p>
        </w:tc>
        <w:tc>
          <w:tcPr>
            <w:tcW w:w="851"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bCs/>
                <w:color w:val="auto"/>
                <w:kern w:val="2"/>
                <w:sz w:val="21"/>
                <w:highlight w:val="none"/>
              </w:rPr>
            </w:pPr>
            <w:r>
              <w:rPr>
                <w:rFonts w:hint="default" w:ascii="Times New Roman" w:hAnsi="Times New Roman" w:eastAsiaTheme="minorEastAsia"/>
                <w:bCs/>
                <w:color w:val="auto"/>
                <w:kern w:val="2"/>
                <w:sz w:val="21"/>
                <w:highlight w:val="none"/>
                <w:lang w:eastAsia="zh-CN" w:bidi="ar"/>
              </w:rPr>
              <w:t>《大气污染物排放限值》（DB44/27-2001）第二时段二级标准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无组织</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（厂界）</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锡及其化合物</w:t>
            </w:r>
          </w:p>
        </w:tc>
        <w:tc>
          <w:tcPr>
            <w:tcW w:w="851" w:type="pct"/>
            <w:vMerge w:val="restart"/>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rPr>
                <w:rFonts w:hint="default" w:ascii="Times New Roman" w:hAnsi="Times New Roman" w:cs="Times New Roman" w:eastAsiaTheme="minorEastAsia"/>
                <w:color w:val="auto"/>
                <w:kern w:val="2"/>
                <w:sz w:val="21"/>
                <w:szCs w:val="21"/>
                <w:highlight w:val="none"/>
                <w:lang w:val="en-US" w:eastAsia="zh-CN" w:bidi="ar-SA"/>
              </w:rPr>
            </w:pPr>
            <w:r>
              <w:rPr>
                <w:rFonts w:hint="default" w:eastAsiaTheme="minorEastAsia"/>
                <w:color w:val="auto"/>
                <w:kern w:val="2"/>
                <w:sz w:val="21"/>
                <w:highlight w:val="none"/>
              </w:rPr>
              <w:t>加强车间通风换气</w:t>
            </w:r>
          </w:p>
        </w:tc>
        <w:tc>
          <w:tcPr>
            <w:tcW w:w="1832" w:type="pct"/>
            <w:vMerge w:val="restart"/>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cs="Times New Roman" w:eastAsiaTheme="minorEastAsia"/>
                <w:color w:val="auto"/>
                <w:kern w:val="2"/>
                <w:sz w:val="21"/>
                <w:szCs w:val="21"/>
                <w:highlight w:val="none"/>
                <w:lang w:val="en-US" w:eastAsia="zh-CN" w:bidi="ar-SA"/>
              </w:rPr>
            </w:pPr>
            <w:r>
              <w:rPr>
                <w:rFonts w:hint="default" w:eastAsiaTheme="minorEastAsia"/>
                <w:color w:val="auto"/>
                <w:kern w:val="2"/>
                <w:sz w:val="21"/>
                <w:highlight w:val="none"/>
              </w:rPr>
              <w:t>广东省《大气污染物排放限值》（DB44/27-2001）第二时段无组织排放监控点浓度限值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非甲烷总烃</w:t>
            </w:r>
          </w:p>
        </w:tc>
        <w:tc>
          <w:tcPr>
            <w:tcW w:w="851"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rPr>
                <w:rFonts w:hint="default" w:eastAsiaTheme="minorEastAsia"/>
                <w:color w:val="auto"/>
                <w:kern w:val="2"/>
                <w:sz w:val="21"/>
                <w:highlight w:val="none"/>
              </w:rPr>
            </w:pPr>
          </w:p>
        </w:tc>
        <w:tc>
          <w:tcPr>
            <w:tcW w:w="1832"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eastAsiaTheme="minorEastAsia"/>
                <w:color w:val="auto"/>
                <w:kern w:val="2"/>
                <w:sz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无组织</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（厂区内）</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Theme="minorEastAsia"/>
                <w:color w:val="auto"/>
                <w:kern w:val="2"/>
                <w:sz w:val="21"/>
                <w:highlight w:val="none"/>
              </w:rPr>
            </w:pPr>
            <w:r>
              <w:rPr>
                <w:rFonts w:hint="default" w:eastAsiaTheme="minorEastAsia"/>
                <w:color w:val="auto"/>
                <w:kern w:val="2"/>
                <w:sz w:val="21"/>
                <w:highlight w:val="none"/>
              </w:rPr>
              <w:t>非甲烷总烃</w:t>
            </w:r>
          </w:p>
        </w:tc>
        <w:tc>
          <w:tcPr>
            <w:tcW w:w="851"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rPr>
                <w:rFonts w:hint="default" w:eastAsiaTheme="minorEastAsia"/>
                <w:color w:val="auto"/>
                <w:kern w:val="2"/>
                <w:sz w:val="21"/>
                <w:highlight w:val="none"/>
              </w:rPr>
            </w:pP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eastAsiaTheme="minorEastAsia"/>
                <w:color w:val="auto"/>
                <w:kern w:val="2"/>
                <w:sz w:val="21"/>
                <w:highlight w:val="none"/>
              </w:rPr>
            </w:pPr>
            <w:r>
              <w:rPr>
                <w:rFonts w:hint="default" w:eastAsiaTheme="minorEastAsia"/>
                <w:color w:val="auto"/>
                <w:kern w:val="2"/>
                <w:sz w:val="21"/>
                <w:highlight w:val="none"/>
              </w:rPr>
              <w:t>广东省《固定污染源挥发性有机物综合排放标准》（DB44/2367-2022）中表3厂区内VOCs无组织排放限值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restar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地表水环境</w:t>
            </w: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直接冷却水</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eastAsia" w:cs="Times New Roman"/>
                <w:b w:val="0"/>
                <w:bCs/>
                <w:color w:val="auto"/>
                <w:sz w:val="21"/>
                <w:szCs w:val="21"/>
                <w:highlight w:val="none"/>
                <w:lang w:val="en-US" w:eastAsia="zh-CN"/>
              </w:rPr>
              <w:t>pH、</w:t>
            </w:r>
            <w:r>
              <w:rPr>
                <w:rFonts w:hint="eastAsia" w:ascii="Times New Roman" w:hAnsi="Times New Roman" w:eastAsia="宋体" w:cs="Times New Roman"/>
                <w:b w:val="0"/>
                <w:bCs/>
                <w:color w:val="auto"/>
                <w:sz w:val="21"/>
                <w:szCs w:val="21"/>
                <w:highlight w:val="none"/>
                <w:lang w:val="en-US" w:eastAsia="zh-CN"/>
              </w:rPr>
              <w:t>COD</w:t>
            </w:r>
            <w:r>
              <w:rPr>
                <w:rFonts w:hint="eastAsia" w:ascii="Times New Roman" w:hAnsi="Times New Roman" w:eastAsia="宋体" w:cs="Times New Roman"/>
                <w:b w:val="0"/>
                <w:bCs/>
                <w:color w:val="auto"/>
                <w:sz w:val="21"/>
                <w:szCs w:val="21"/>
                <w:highlight w:val="none"/>
                <w:vertAlign w:val="subscript"/>
                <w:lang w:val="en-US" w:eastAsia="zh-CN"/>
              </w:rPr>
              <w:t>Cr</w:t>
            </w:r>
            <w:r>
              <w:rPr>
                <w:rFonts w:hint="eastAsia" w:ascii="Times New Roman" w:hAnsi="Times New Roman" w:eastAsia="宋体" w:cs="Times New Roman"/>
                <w:b w:val="0"/>
                <w:bCs/>
                <w:color w:val="auto"/>
                <w:sz w:val="21"/>
                <w:szCs w:val="21"/>
                <w:highlight w:val="none"/>
                <w:lang w:val="en-US" w:eastAsia="zh-CN"/>
              </w:rPr>
              <w:t>、BOD</w:t>
            </w:r>
            <w:r>
              <w:rPr>
                <w:rFonts w:hint="eastAsia" w:ascii="Times New Roman" w:hAnsi="Times New Roman" w:eastAsia="宋体" w:cs="Times New Roman"/>
                <w:b w:val="0"/>
                <w:bCs/>
                <w:color w:val="auto"/>
                <w:sz w:val="21"/>
                <w:szCs w:val="21"/>
                <w:highlight w:val="none"/>
                <w:vertAlign w:val="subscript"/>
                <w:lang w:val="en-US" w:eastAsia="zh-CN"/>
              </w:rPr>
              <w:t>5</w:t>
            </w:r>
            <w:r>
              <w:rPr>
                <w:rFonts w:hint="eastAsia" w:ascii="Times New Roman" w:hAnsi="Times New Roman" w:eastAsia="宋体" w:cs="Times New Roman"/>
                <w:b w:val="0"/>
                <w:bCs/>
                <w:color w:val="auto"/>
                <w:sz w:val="21"/>
                <w:szCs w:val="21"/>
                <w:highlight w:val="none"/>
                <w:lang w:val="en-US" w:eastAsia="zh-CN"/>
              </w:rPr>
              <w:t>、SS、NH</w:t>
            </w:r>
            <w:r>
              <w:rPr>
                <w:rFonts w:hint="eastAsia" w:ascii="Times New Roman" w:hAnsi="Times New Roman" w:eastAsia="宋体" w:cs="Times New Roman"/>
                <w:b w:val="0"/>
                <w:bCs/>
                <w:color w:val="auto"/>
                <w:sz w:val="21"/>
                <w:szCs w:val="21"/>
                <w:highlight w:val="none"/>
                <w:vertAlign w:val="subscript"/>
                <w:lang w:val="en-US" w:eastAsia="zh-CN"/>
              </w:rPr>
              <w:t>3</w:t>
            </w:r>
            <w:r>
              <w:rPr>
                <w:rFonts w:hint="eastAsia" w:ascii="Times New Roman" w:hAnsi="Times New Roman" w:eastAsia="宋体" w:cs="Times New Roman"/>
                <w:b w:val="0"/>
                <w:bCs/>
                <w:color w:val="auto"/>
                <w:sz w:val="21"/>
                <w:szCs w:val="21"/>
                <w:highlight w:val="none"/>
                <w:lang w:val="en-US" w:eastAsia="zh-CN"/>
              </w:rPr>
              <w:t>-N、TP</w:t>
            </w:r>
          </w:p>
        </w:tc>
        <w:tc>
          <w:tcPr>
            <w:tcW w:w="85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经</w:t>
            </w:r>
            <w:r>
              <w:rPr>
                <w:rFonts w:hint="eastAsia"/>
                <w:color w:val="auto"/>
                <w:sz w:val="21"/>
                <w:highlight w:val="none"/>
              </w:rPr>
              <w:t>一体化处理设施</w:t>
            </w:r>
            <w:r>
              <w:rPr>
                <w:rFonts w:hint="default"/>
                <w:color w:val="auto"/>
                <w:sz w:val="21"/>
                <w:highlight w:val="none"/>
              </w:rPr>
              <w:t>处理后循环回用，不外排</w:t>
            </w: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both"/>
              <w:rPr>
                <w:rFonts w:hint="default" w:eastAsia="宋体"/>
                <w:color w:val="auto"/>
                <w:sz w:val="21"/>
                <w:highlight w:val="none"/>
                <w:lang w:val="en-US" w:eastAsia="zh-CN"/>
              </w:rPr>
            </w:pPr>
            <w:r>
              <w:rPr>
                <w:rFonts w:hint="default"/>
                <w:color w:val="auto"/>
                <w:sz w:val="21"/>
                <w:highlight w:val="none"/>
              </w:rPr>
              <w:t>《城市污水再生利用 工业用水水质》(GBT 19923-2005)敞开式循环冷却水系统补充水标准</w:t>
            </w:r>
            <w:r>
              <w:rPr>
                <w:rFonts w:hint="eastAsia"/>
                <w:color w:val="auto"/>
                <w:sz w:val="21"/>
                <w:szCs w:val="21"/>
                <w:highlight w:val="none"/>
                <w:lang w:val="en-US" w:eastAsia="zh-CN"/>
              </w:rPr>
              <w:t>后回用冷却水槽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间接冷却水</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SS</w:t>
            </w:r>
          </w:p>
        </w:tc>
        <w:tc>
          <w:tcPr>
            <w:tcW w:w="85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循环使用，不外排</w:t>
            </w: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Merge w:val="continue"/>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生活污水</w:t>
            </w:r>
          </w:p>
        </w:tc>
        <w:tc>
          <w:tcPr>
            <w:tcW w:w="773" w:type="pct"/>
            <w:vAlign w:val="center"/>
          </w:tcPr>
          <w:p>
            <w:pPr>
              <w:keepNext w:val="0"/>
              <w:keepLines w:val="0"/>
              <w:suppressLineNumbers w:val="0"/>
              <w:spacing w:before="0" w:beforeAutospacing="0" w:after="0" w:afterAutospacing="0" w:line="240" w:lineRule="auto"/>
              <w:ind w:left="0" w:right="0" w:firstLine="420"/>
              <w:jc w:val="center"/>
              <w:rPr>
                <w:rFonts w:hint="default"/>
                <w:color w:val="auto"/>
                <w:kern w:val="2"/>
                <w:sz w:val="21"/>
                <w:highlight w:val="none"/>
              </w:rPr>
            </w:pPr>
            <w:r>
              <w:rPr>
                <w:rFonts w:hint="default"/>
                <w:color w:val="auto"/>
                <w:kern w:val="2"/>
                <w:sz w:val="21"/>
                <w:highlight w:val="none"/>
              </w:rPr>
              <w:t>COD</w:t>
            </w:r>
            <w:r>
              <w:rPr>
                <w:rFonts w:hint="default"/>
                <w:color w:val="auto"/>
                <w:kern w:val="2"/>
                <w:sz w:val="21"/>
                <w:highlight w:val="none"/>
                <w:vertAlign w:val="subscript"/>
              </w:rPr>
              <w:t>Cr</w:t>
            </w:r>
            <w:r>
              <w:rPr>
                <w:rFonts w:hint="default"/>
                <w:color w:val="auto"/>
                <w:kern w:val="2"/>
                <w:sz w:val="21"/>
                <w:highlight w:val="none"/>
              </w:rPr>
              <w:t>、BOD</w:t>
            </w:r>
            <w:r>
              <w:rPr>
                <w:rFonts w:hint="default"/>
                <w:color w:val="auto"/>
                <w:kern w:val="2"/>
                <w:sz w:val="21"/>
                <w:highlight w:val="none"/>
                <w:vertAlign w:val="subscript"/>
              </w:rPr>
              <w:t>5</w:t>
            </w:r>
            <w:r>
              <w:rPr>
                <w:rFonts w:hint="default"/>
                <w:color w:val="auto"/>
                <w:kern w:val="2"/>
                <w:sz w:val="21"/>
                <w:highlight w:val="none"/>
              </w:rPr>
              <w:t>、NH</w:t>
            </w:r>
            <w:r>
              <w:rPr>
                <w:rFonts w:hint="default"/>
                <w:color w:val="auto"/>
                <w:kern w:val="2"/>
                <w:sz w:val="21"/>
                <w:highlight w:val="none"/>
                <w:vertAlign w:val="subscript"/>
              </w:rPr>
              <w:t>3</w:t>
            </w:r>
            <w:r>
              <w:rPr>
                <w:rFonts w:hint="default"/>
                <w:color w:val="auto"/>
                <w:kern w:val="2"/>
                <w:sz w:val="21"/>
                <w:highlight w:val="none"/>
              </w:rPr>
              <w:t>-N、SS</w:t>
            </w:r>
          </w:p>
        </w:tc>
        <w:tc>
          <w:tcPr>
            <w:tcW w:w="851" w:type="pct"/>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三级化粪池</w:t>
            </w: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《城镇污水处理厂污染物排放标》</w:t>
            </w:r>
          </w:p>
          <w:p>
            <w:pPr>
              <w:keepNext w:val="0"/>
              <w:keepLines w:val="0"/>
              <w:suppressLineNumbers w:val="0"/>
              <w:adjustRightInd w:val="0"/>
              <w:snapToGrid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（GB18918-2002）一级 A 标准与广东省《水污染物排放限值》第二时段一级标准的较严值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声环境</w:t>
            </w:r>
          </w:p>
        </w:tc>
        <w:tc>
          <w:tcPr>
            <w:tcW w:w="75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设备噪声</w:t>
            </w:r>
          </w:p>
        </w:tc>
        <w:tc>
          <w:tcPr>
            <w:tcW w:w="773"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等效连续A声级</w:t>
            </w:r>
          </w:p>
        </w:tc>
        <w:tc>
          <w:tcPr>
            <w:tcW w:w="851"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选用低噪声设备，设备减振、隔声、消音等，对厂房门窗采取密封隔音措施</w:t>
            </w:r>
          </w:p>
        </w:tc>
        <w:tc>
          <w:tcPr>
            <w:tcW w:w="1832"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rPr>
                <w:rFonts w:hint="default"/>
                <w:color w:val="auto"/>
                <w:kern w:val="2"/>
                <w:sz w:val="21"/>
                <w:highlight w:val="none"/>
              </w:rPr>
            </w:pPr>
            <w:r>
              <w:rPr>
                <w:rFonts w:hint="default"/>
                <w:color w:val="auto"/>
                <w:kern w:val="2"/>
                <w:sz w:val="21"/>
                <w:highlight w:val="none"/>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电磁辐射</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固体废物</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olor w:val="auto"/>
                <w:kern w:val="2"/>
                <w:sz w:val="21"/>
                <w:highlight w:val="none"/>
              </w:rPr>
            </w:pPr>
            <w:r>
              <w:rPr>
                <w:rFonts w:hint="default"/>
                <w:color w:val="auto"/>
                <w:kern w:val="2"/>
                <w:sz w:val="21"/>
                <w:highlight w:val="none"/>
              </w:rPr>
              <w:t>项目内设置多个垃圾收集</w:t>
            </w:r>
            <w:r>
              <w:rPr>
                <w:rFonts w:hint="eastAsia"/>
                <w:color w:val="auto"/>
                <w:kern w:val="2"/>
                <w:sz w:val="21"/>
                <w:highlight w:val="none"/>
              </w:rPr>
              <w:t>桶</w:t>
            </w:r>
            <w:r>
              <w:rPr>
                <w:rFonts w:hint="default"/>
                <w:color w:val="auto"/>
                <w:kern w:val="2"/>
                <w:sz w:val="21"/>
                <w:highlight w:val="none"/>
              </w:rPr>
              <w:t>，生活垃圾全部分类收集，由环卫部门统一清运；</w:t>
            </w:r>
            <w:r>
              <w:rPr>
                <w:rFonts w:hint="default"/>
                <w:color w:val="auto"/>
                <w:sz w:val="21"/>
                <w:highlight w:val="none"/>
              </w:rPr>
              <w:t>边角料、锡渣、废包装材料</w:t>
            </w:r>
            <w:r>
              <w:rPr>
                <w:rFonts w:hint="default"/>
                <w:color w:val="auto"/>
                <w:kern w:val="2"/>
                <w:sz w:val="21"/>
                <w:highlight w:val="none"/>
              </w:rPr>
              <w:t>暂存在固体废物暂存间，交由专业回收公司处理；</w:t>
            </w:r>
            <w:r>
              <w:rPr>
                <w:rFonts w:hint="eastAsia"/>
                <w:color w:val="auto"/>
                <w:kern w:val="2"/>
                <w:sz w:val="21"/>
                <w:highlight w:val="none"/>
                <w:lang w:val="en-US" w:eastAsia="zh-CN"/>
              </w:rPr>
              <w:t>含油</w:t>
            </w:r>
            <w:r>
              <w:rPr>
                <w:rFonts w:hint="default"/>
                <w:color w:val="auto"/>
                <w:sz w:val="21"/>
                <w:highlight w:val="none"/>
              </w:rPr>
              <w:t>废铜线</w:t>
            </w:r>
            <w:r>
              <w:rPr>
                <w:rFonts w:hint="eastAsia"/>
                <w:color w:val="auto"/>
                <w:sz w:val="21"/>
                <w:highlight w:val="none"/>
                <w:lang w:eastAsia="zh-CN"/>
              </w:rPr>
              <w:t>、</w:t>
            </w:r>
            <w:r>
              <w:rPr>
                <w:rFonts w:hint="default"/>
                <w:color w:val="auto"/>
                <w:sz w:val="21"/>
                <w:highlight w:val="none"/>
                <w:lang w:bidi="ar"/>
              </w:rPr>
              <w:t>废润滑油，废润滑油包装桶，废拉丝油包装桶，</w:t>
            </w:r>
            <w:r>
              <w:rPr>
                <w:rFonts w:hint="default"/>
                <w:color w:val="auto"/>
                <w:kern w:val="2"/>
                <w:sz w:val="21"/>
                <w:highlight w:val="none"/>
              </w:rPr>
              <w:t>废导轴油包装桶，废导轴油</w:t>
            </w:r>
            <w:r>
              <w:rPr>
                <w:rFonts w:hint="eastAsia"/>
                <w:color w:val="auto"/>
                <w:kern w:val="2"/>
                <w:sz w:val="21"/>
                <w:highlight w:val="none"/>
                <w:lang w:eastAsia="zh-CN"/>
              </w:rPr>
              <w:t>，</w:t>
            </w:r>
            <w:r>
              <w:rPr>
                <w:rFonts w:hint="default"/>
                <w:color w:val="auto"/>
                <w:kern w:val="2"/>
                <w:sz w:val="21"/>
                <w:highlight w:val="none"/>
              </w:rPr>
              <w:t>废抹布、废手套，</w:t>
            </w:r>
            <w:r>
              <w:rPr>
                <w:rFonts w:hint="eastAsia"/>
                <w:color w:val="auto"/>
                <w:kern w:val="2"/>
                <w:sz w:val="21"/>
                <w:highlight w:val="none"/>
                <w:lang w:eastAsia="zh-CN"/>
              </w:rPr>
              <w:t>含助焊剂废毛毡</w:t>
            </w:r>
            <w:r>
              <w:rPr>
                <w:rFonts w:hint="default"/>
                <w:color w:val="auto"/>
                <w:kern w:val="2"/>
                <w:sz w:val="21"/>
                <w:highlight w:val="none"/>
              </w:rPr>
              <w:t>、</w:t>
            </w:r>
            <w:r>
              <w:rPr>
                <w:rFonts w:hint="default"/>
                <w:color w:val="auto"/>
                <w:sz w:val="21"/>
                <w:highlight w:val="none"/>
              </w:rPr>
              <w:t>拉丝油废液，</w:t>
            </w:r>
            <w:r>
              <w:rPr>
                <w:rFonts w:hint="default"/>
                <w:color w:val="auto"/>
                <w:kern w:val="2"/>
                <w:sz w:val="21"/>
                <w:highlight w:val="none"/>
              </w:rPr>
              <w:t>废助焊剂包装桶，</w:t>
            </w:r>
            <w:r>
              <w:rPr>
                <w:rFonts w:hint="default"/>
                <w:snapToGrid w:val="0"/>
                <w:color w:val="auto"/>
                <w:sz w:val="21"/>
                <w:highlight w:val="none"/>
              </w:rPr>
              <w:t>废抗氧化剂包装桶，</w:t>
            </w:r>
            <w:r>
              <w:rPr>
                <w:rFonts w:hint="default"/>
                <w:color w:val="auto"/>
                <w:sz w:val="21"/>
                <w:highlight w:val="none"/>
              </w:rPr>
              <w:t>喷淋塔更换废水、喷淋沉渣、废活性炭、</w:t>
            </w:r>
            <w:r>
              <w:rPr>
                <w:rFonts w:hint="eastAsia"/>
                <w:color w:val="auto"/>
                <w:sz w:val="21"/>
                <w:highlight w:val="none"/>
                <w:lang w:val="en-US" w:eastAsia="zh-CN"/>
              </w:rPr>
              <w:t>废污泥、废过滤纤维网</w:t>
            </w:r>
            <w:r>
              <w:rPr>
                <w:rFonts w:hint="default"/>
                <w:color w:val="auto"/>
                <w:kern w:val="2"/>
                <w:sz w:val="21"/>
                <w:highlight w:val="none"/>
              </w:rPr>
              <w:t>暂存在危险废物暂存间，定期交由危险废物处理资质的单位处理；危废暂存间地面做好防腐防渗措施，贮存不同危险废物时应做好分类、分区措施，存放点应做好缓坡，并设置相应警示标志及危险废物标识。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土壤及地下水污染防治措施</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olor w:val="auto"/>
                <w:kern w:val="2"/>
                <w:sz w:val="21"/>
                <w:highlight w:val="none"/>
              </w:rPr>
            </w:pPr>
            <w:r>
              <w:rPr>
                <w:rFonts w:hint="default"/>
                <w:color w:val="auto"/>
                <w:kern w:val="2"/>
                <w:sz w:val="21"/>
                <w:highlight w:val="none"/>
              </w:rPr>
              <w:t>生产车间地面已硬化，按要求做好防渗措施；危废暂存间按重点防渗区要求采取防渗措施。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生态保护措施</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pacing w:val="-8"/>
                <w:kern w:val="2"/>
                <w:sz w:val="21"/>
                <w:highlight w:val="none"/>
              </w:rPr>
            </w:pPr>
            <w:r>
              <w:rPr>
                <w:rFonts w:hint="default"/>
                <w:color w:val="auto"/>
                <w:spacing w:val="-8"/>
                <w:kern w:val="2"/>
                <w:sz w:val="21"/>
                <w:highlight w:val="none"/>
              </w:rPr>
              <w:t>环境风险</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pacing w:val="-8"/>
                <w:kern w:val="2"/>
                <w:sz w:val="21"/>
                <w:highlight w:val="none"/>
              </w:rPr>
            </w:pPr>
            <w:r>
              <w:rPr>
                <w:rFonts w:hint="default"/>
                <w:color w:val="auto"/>
                <w:spacing w:val="-8"/>
                <w:kern w:val="2"/>
                <w:sz w:val="21"/>
                <w:highlight w:val="none"/>
              </w:rPr>
              <w:t>防范措施</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420"/>
              <w:rPr>
                <w:rFonts w:hint="default"/>
                <w:color w:val="auto"/>
                <w:kern w:val="2"/>
                <w:sz w:val="21"/>
                <w:highlight w:val="none"/>
              </w:rPr>
            </w:pPr>
            <w:r>
              <w:rPr>
                <w:rFonts w:hint="default"/>
                <w:color w:val="auto"/>
                <w:sz w:val="21"/>
                <w:highlight w:val="none"/>
                <w:lang w:bidi="ar"/>
              </w:rPr>
              <w:t>加强对可燃物质的</w:t>
            </w:r>
            <w:r>
              <w:rPr>
                <w:rFonts w:hint="default" w:ascii="Times New Roman" w:hAnsi="Times New Roman" w:eastAsia="宋体" w:cs="Times New Roman"/>
                <w:color w:val="auto"/>
                <w:sz w:val="21"/>
                <w:highlight w:val="none"/>
                <w:lang w:bidi="ar"/>
              </w:rPr>
              <w:t>安全管理，</w:t>
            </w:r>
            <w:r>
              <w:rPr>
                <w:rFonts w:hint="eastAsia" w:ascii="Times New Roman" w:hAnsi="Times New Roman" w:eastAsia="宋体" w:cs="Times New Roman"/>
                <w:color w:val="auto"/>
                <w:sz w:val="21"/>
                <w:highlight w:val="none"/>
                <w:lang w:val="en-US" w:eastAsia="zh-CN" w:bidi="ar"/>
              </w:rPr>
              <w:t>危废间</w:t>
            </w:r>
            <w:r>
              <w:rPr>
                <w:rFonts w:hint="default" w:ascii="Times New Roman" w:hAnsi="Times New Roman" w:eastAsia="宋体" w:cs="Times New Roman"/>
                <w:color w:val="auto"/>
                <w:sz w:val="21"/>
                <w:highlight w:val="none"/>
                <w:lang w:bidi="ar"/>
              </w:rPr>
              <w:t>四周设置围堰，地面采取防渗；加强</w:t>
            </w:r>
            <w:r>
              <w:rPr>
                <w:rFonts w:hint="eastAsia" w:ascii="Times New Roman" w:hAnsi="Times New Roman" w:eastAsia="宋体" w:cs="Times New Roman"/>
                <w:color w:val="auto"/>
                <w:sz w:val="21"/>
                <w:highlight w:val="none"/>
                <w:lang w:val="en-US" w:eastAsia="zh-CN" w:bidi="ar"/>
              </w:rPr>
              <w:t>废水</w:t>
            </w:r>
            <w:r>
              <w:rPr>
                <w:rFonts w:hint="default" w:ascii="Times New Roman" w:hAnsi="Times New Roman" w:eastAsia="宋体" w:cs="Times New Roman"/>
                <w:color w:val="auto"/>
                <w:sz w:val="21"/>
                <w:highlight w:val="none"/>
                <w:lang w:bidi="ar"/>
              </w:rPr>
              <w:t>处理设施、废气处理设施管理及维护，避免事故排放</w:t>
            </w:r>
            <w:r>
              <w:rPr>
                <w:rFonts w:hint="default"/>
                <w:color w:val="auto"/>
                <w:sz w:val="21"/>
                <w:highlight w:val="none"/>
                <w:lang w:bidi="ar"/>
              </w:rPr>
              <w:t>，并在厂内采取导流方式将消防废水统一收集，集中处理；危废间应设置围堰，做好防渗、防漏等措施；环保部门负责编制《废气处理设施运行巡查制度》，定期对废气处理装置进行巡查，发现问题做到及时整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6" w:type="pct"/>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pacing w:val="-8"/>
                <w:kern w:val="2"/>
                <w:sz w:val="21"/>
                <w:highlight w:val="none"/>
              </w:rPr>
            </w:pPr>
            <w:r>
              <w:rPr>
                <w:rFonts w:hint="default"/>
                <w:color w:val="auto"/>
                <w:spacing w:val="-8"/>
                <w:kern w:val="2"/>
                <w:sz w:val="21"/>
                <w:highlight w:val="none"/>
              </w:rPr>
              <w:t>其他环境</w:t>
            </w:r>
          </w:p>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pacing w:val="-8"/>
                <w:kern w:val="2"/>
                <w:sz w:val="21"/>
                <w:highlight w:val="none"/>
              </w:rPr>
            </w:pPr>
            <w:r>
              <w:rPr>
                <w:rFonts w:hint="default"/>
                <w:color w:val="auto"/>
                <w:spacing w:val="-8"/>
                <w:kern w:val="2"/>
                <w:sz w:val="21"/>
                <w:highlight w:val="none"/>
              </w:rPr>
              <w:t>管理要求</w:t>
            </w:r>
          </w:p>
        </w:tc>
        <w:tc>
          <w:tcPr>
            <w:tcW w:w="4213" w:type="pct"/>
            <w:gridSpan w:val="4"/>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无</w:t>
            </w:r>
          </w:p>
        </w:tc>
      </w:tr>
    </w:tbl>
    <w:p>
      <w:pPr>
        <w:widowControl/>
        <w:spacing w:before="100" w:beforeAutospacing="1" w:after="100" w:afterAutospacing="1"/>
        <w:ind w:firstLine="480"/>
        <w:jc w:val="center"/>
        <w:outlineLvl w:val="0"/>
        <w:rPr>
          <w:rFonts w:eastAsia="黑体"/>
          <w:snapToGrid w:val="0"/>
          <w:color w:val="auto"/>
          <w:sz w:val="30"/>
          <w:szCs w:val="30"/>
          <w:highlight w:val="none"/>
        </w:rPr>
      </w:pPr>
      <w:r>
        <w:rPr>
          <w:snapToGrid w:val="0"/>
          <w:color w:val="auto"/>
          <w:sz w:val="24"/>
          <w:szCs w:val="20"/>
          <w:highlight w:val="none"/>
        </w:rPr>
        <w:br w:type="page"/>
      </w:r>
      <w:r>
        <w:rPr>
          <w:rFonts w:eastAsia="黑体"/>
          <w:snapToGrid w:val="0"/>
          <w:color w:val="auto"/>
          <w:sz w:val="30"/>
          <w:szCs w:val="30"/>
          <w:highlight w:val="none"/>
        </w:rPr>
        <w:t>六、结论</w:t>
      </w:r>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keepNext w:val="0"/>
              <w:keepLines w:val="0"/>
              <w:suppressLineNumbers w:val="0"/>
              <w:spacing w:before="0" w:beforeAutospacing="0" w:after="0" w:afterAutospacing="0" w:line="360" w:lineRule="auto"/>
              <w:ind w:left="0" w:right="0" w:firstLine="480"/>
              <w:jc w:val="both"/>
              <w:rPr>
                <w:rFonts w:hint="default"/>
                <w:color w:val="auto"/>
                <w:kern w:val="2"/>
                <w:sz w:val="24"/>
                <w:szCs w:val="24"/>
                <w:highlight w:val="none"/>
              </w:rPr>
            </w:pPr>
            <w:r>
              <w:rPr>
                <w:rFonts w:hint="default"/>
                <w:color w:val="auto"/>
                <w:sz w:val="24"/>
                <w:highlight w:val="none"/>
              </w:rPr>
              <w:t>项目建设符合国家及地方产业政策、相关法律法规及环保规划的要求，符合博罗县“三线一单”环境分区管控方案，项目按建设项目“三同时”制度要求，逐一落实污染治理措施，并在运营过程中加强环保设施管理，保证各项污染物达标排放，则项目建设对周围环境影响不明显。因此，从环境保护角度考虑，项目的建设是可行的。</w:t>
            </w:r>
          </w:p>
        </w:tc>
      </w:tr>
    </w:tbl>
    <w:p>
      <w:pPr>
        <w:pStyle w:val="66"/>
        <w:rPr>
          <w:color w:val="auto"/>
          <w:sz w:val="10"/>
          <w:szCs w:val="10"/>
          <w:highlight w:val="none"/>
        </w:rPr>
        <w:sectPr>
          <w:pgSz w:w="11906" w:h="16838"/>
          <w:pgMar w:top="1417" w:right="1417" w:bottom="1417" w:left="1417" w:header="851" w:footer="992" w:gutter="0"/>
          <w:cols w:space="720" w:num="1"/>
          <w:formProt w:val="0"/>
          <w:docGrid w:type="lines" w:linePitch="312" w:charSpace="0"/>
        </w:sectPr>
      </w:pPr>
    </w:p>
    <w:p>
      <w:pPr>
        <w:ind w:firstLine="640"/>
        <w:outlineLvl w:val="0"/>
        <w:rPr>
          <w:rFonts w:eastAsia="黑体"/>
          <w:snapToGrid w:val="0"/>
          <w:color w:val="auto"/>
          <w:sz w:val="32"/>
          <w:szCs w:val="32"/>
          <w:highlight w:val="none"/>
        </w:rPr>
      </w:pPr>
      <w:bookmarkStart w:id="4" w:name="_Toc68637616"/>
      <w:r>
        <w:rPr>
          <w:rFonts w:eastAsia="黑体"/>
          <w:snapToGrid w:val="0"/>
          <w:color w:val="auto"/>
          <w:sz w:val="32"/>
          <w:szCs w:val="32"/>
          <w:highlight w:val="none"/>
        </w:rPr>
        <w:t>附表</w:t>
      </w:r>
      <w:bookmarkEnd w:id="4"/>
    </w:p>
    <w:p>
      <w:pPr>
        <w:adjustRightInd w:val="0"/>
        <w:snapToGrid w:val="0"/>
        <w:spacing w:line="240" w:lineRule="auto"/>
        <w:ind w:firstLine="0" w:firstLineChars="0"/>
        <w:jc w:val="center"/>
        <w:rPr>
          <w:b/>
          <w:bCs/>
          <w:color w:val="auto"/>
          <w:kern w:val="18"/>
          <w:sz w:val="24"/>
          <w:szCs w:val="24"/>
          <w:highlight w:val="none"/>
        </w:rPr>
      </w:pPr>
      <w:bookmarkStart w:id="5" w:name="_Toc68637617"/>
      <w:r>
        <w:rPr>
          <w:b/>
          <w:bCs/>
          <w:color w:val="auto"/>
          <w:kern w:val="18"/>
          <w:sz w:val="24"/>
          <w:szCs w:val="24"/>
          <w:highlight w:val="none"/>
        </w:rPr>
        <w:t>建设项目污染物排放量汇总表</w:t>
      </w:r>
      <w:bookmarkEnd w:id="5"/>
    </w:p>
    <w:tbl>
      <w:tblPr>
        <w:tblStyle w:val="3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93"/>
        <w:gridCol w:w="1950"/>
        <w:gridCol w:w="1150"/>
        <w:gridCol w:w="1325"/>
        <w:gridCol w:w="1265"/>
        <w:gridCol w:w="1559"/>
        <w:gridCol w:w="1372"/>
        <w:gridCol w:w="1513"/>
        <w:gridCol w:w="16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993" w:type="dxa"/>
            <w:tcBorders>
              <w:tl2br w:val="single" w:color="auto" w:sz="4" w:space="0"/>
            </w:tcBorders>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 xml:space="preserve">          项目</w:t>
            </w:r>
          </w:p>
          <w:p>
            <w:pPr>
              <w:keepNext w:val="0"/>
              <w:keepLines w:val="0"/>
              <w:suppressLineNumbers w:val="0"/>
              <w:spacing w:before="0" w:beforeAutospacing="0" w:after="0" w:afterAutospacing="0" w:line="240" w:lineRule="auto"/>
              <w:ind w:left="0" w:right="0" w:firstLine="0" w:firstLineChars="0"/>
              <w:jc w:val="both"/>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分类</w:t>
            </w:r>
          </w:p>
        </w:tc>
        <w:tc>
          <w:tcPr>
            <w:tcW w:w="1950"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污染物名称</w:t>
            </w:r>
          </w:p>
        </w:tc>
        <w:tc>
          <w:tcPr>
            <w:tcW w:w="1150"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现有工程</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排放量（固体废物产生量）</w:t>
            </w:r>
            <w:r>
              <w:rPr>
                <w:rFonts w:hint="default" w:eastAsia="黑体"/>
                <w:snapToGrid w:val="0"/>
                <w:color w:val="auto"/>
                <w:spacing w:val="-6"/>
                <w:kern w:val="21"/>
                <w:sz w:val="21"/>
                <w:highlight w:val="none"/>
              </w:rPr>
              <w:fldChar w:fldCharType="begin"/>
            </w:r>
            <w:r>
              <w:rPr>
                <w:rFonts w:hint="default" w:eastAsia="黑体"/>
                <w:snapToGrid w:val="0"/>
                <w:color w:val="auto"/>
                <w:spacing w:val="-6"/>
                <w:kern w:val="21"/>
                <w:sz w:val="21"/>
                <w:highlight w:val="none"/>
              </w:rPr>
              <w:instrText xml:space="preserve"> = 1 \* GB3 \* MERGEFORMAT </w:instrText>
            </w:r>
            <w:r>
              <w:rPr>
                <w:rFonts w:hint="default" w:eastAsia="黑体"/>
                <w:snapToGrid w:val="0"/>
                <w:color w:val="auto"/>
                <w:spacing w:val="-6"/>
                <w:kern w:val="21"/>
                <w:sz w:val="21"/>
                <w:highlight w:val="none"/>
              </w:rPr>
              <w:fldChar w:fldCharType="separate"/>
            </w:r>
            <w:r>
              <w:rPr>
                <w:rFonts w:hint="default" w:eastAsia="黑体"/>
                <w:color w:val="auto"/>
                <w:sz w:val="21"/>
                <w:highlight w:val="none"/>
              </w:rPr>
              <w:t>①</w:t>
            </w:r>
            <w:r>
              <w:rPr>
                <w:rFonts w:hint="default" w:eastAsia="黑体"/>
                <w:snapToGrid w:val="0"/>
                <w:color w:val="auto"/>
                <w:spacing w:val="-6"/>
                <w:kern w:val="21"/>
                <w:sz w:val="21"/>
                <w:highlight w:val="none"/>
              </w:rPr>
              <w:fldChar w:fldCharType="end"/>
            </w:r>
          </w:p>
        </w:tc>
        <w:tc>
          <w:tcPr>
            <w:tcW w:w="1325"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现有工程</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许可排放量</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fldChar w:fldCharType="begin"/>
            </w:r>
            <w:r>
              <w:rPr>
                <w:rFonts w:hint="default" w:eastAsia="黑体"/>
                <w:snapToGrid w:val="0"/>
                <w:color w:val="auto"/>
                <w:spacing w:val="-6"/>
                <w:kern w:val="21"/>
                <w:sz w:val="21"/>
                <w:highlight w:val="none"/>
              </w:rPr>
              <w:instrText xml:space="preserve"> = 2 \* GB3 \* MERGEFORMAT </w:instrText>
            </w:r>
            <w:r>
              <w:rPr>
                <w:rFonts w:hint="default" w:eastAsia="黑体"/>
                <w:snapToGrid w:val="0"/>
                <w:color w:val="auto"/>
                <w:spacing w:val="-6"/>
                <w:kern w:val="21"/>
                <w:sz w:val="21"/>
                <w:highlight w:val="none"/>
              </w:rPr>
              <w:fldChar w:fldCharType="separate"/>
            </w:r>
            <w:r>
              <w:rPr>
                <w:rFonts w:hint="default" w:eastAsia="黑体"/>
                <w:snapToGrid w:val="0"/>
                <w:color w:val="auto"/>
                <w:spacing w:val="-6"/>
                <w:kern w:val="21"/>
                <w:sz w:val="21"/>
                <w:highlight w:val="none"/>
              </w:rPr>
              <w:t>②</w:t>
            </w:r>
            <w:r>
              <w:rPr>
                <w:rFonts w:hint="default" w:eastAsia="黑体"/>
                <w:snapToGrid w:val="0"/>
                <w:color w:val="auto"/>
                <w:spacing w:val="-6"/>
                <w:kern w:val="21"/>
                <w:sz w:val="21"/>
                <w:highlight w:val="none"/>
              </w:rPr>
              <w:fldChar w:fldCharType="end"/>
            </w:r>
          </w:p>
        </w:tc>
        <w:tc>
          <w:tcPr>
            <w:tcW w:w="1265"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在建工程</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排放量（固体废物产生量）</w:t>
            </w:r>
            <w:r>
              <w:rPr>
                <w:rFonts w:hint="default" w:eastAsia="黑体"/>
                <w:snapToGrid w:val="0"/>
                <w:color w:val="auto"/>
                <w:spacing w:val="-6"/>
                <w:kern w:val="21"/>
                <w:sz w:val="21"/>
                <w:highlight w:val="none"/>
              </w:rPr>
              <w:fldChar w:fldCharType="begin"/>
            </w:r>
            <w:r>
              <w:rPr>
                <w:rFonts w:hint="default" w:eastAsia="黑体"/>
                <w:snapToGrid w:val="0"/>
                <w:color w:val="auto"/>
                <w:spacing w:val="-6"/>
                <w:kern w:val="21"/>
                <w:sz w:val="21"/>
                <w:highlight w:val="none"/>
              </w:rPr>
              <w:instrText xml:space="preserve"> = 3 \* GB3 \* MERGEFORMAT </w:instrText>
            </w:r>
            <w:r>
              <w:rPr>
                <w:rFonts w:hint="default" w:eastAsia="黑体"/>
                <w:snapToGrid w:val="0"/>
                <w:color w:val="auto"/>
                <w:spacing w:val="-6"/>
                <w:kern w:val="21"/>
                <w:sz w:val="21"/>
                <w:highlight w:val="none"/>
              </w:rPr>
              <w:fldChar w:fldCharType="separate"/>
            </w:r>
            <w:r>
              <w:rPr>
                <w:rFonts w:hint="default" w:eastAsia="黑体"/>
                <w:color w:val="auto"/>
                <w:sz w:val="21"/>
                <w:highlight w:val="none"/>
              </w:rPr>
              <w:t>③</w:t>
            </w:r>
            <w:r>
              <w:rPr>
                <w:rFonts w:hint="default" w:eastAsia="黑体"/>
                <w:snapToGrid w:val="0"/>
                <w:color w:val="auto"/>
                <w:spacing w:val="-6"/>
                <w:kern w:val="21"/>
                <w:sz w:val="21"/>
                <w:highlight w:val="none"/>
              </w:rPr>
              <w:fldChar w:fldCharType="end"/>
            </w:r>
          </w:p>
        </w:tc>
        <w:tc>
          <w:tcPr>
            <w:tcW w:w="1559"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本项目</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排放量（固体废物产生量）</w:t>
            </w:r>
            <w:r>
              <w:rPr>
                <w:rFonts w:hint="default" w:eastAsia="黑体"/>
                <w:snapToGrid w:val="0"/>
                <w:color w:val="auto"/>
                <w:spacing w:val="-6"/>
                <w:kern w:val="21"/>
                <w:sz w:val="21"/>
                <w:highlight w:val="none"/>
              </w:rPr>
              <w:fldChar w:fldCharType="begin"/>
            </w:r>
            <w:r>
              <w:rPr>
                <w:rFonts w:hint="default" w:eastAsia="黑体"/>
                <w:snapToGrid w:val="0"/>
                <w:color w:val="auto"/>
                <w:spacing w:val="-6"/>
                <w:kern w:val="21"/>
                <w:sz w:val="21"/>
                <w:highlight w:val="none"/>
              </w:rPr>
              <w:instrText xml:space="preserve"> = 4 \* GB3 \* MERGEFORMAT </w:instrText>
            </w:r>
            <w:r>
              <w:rPr>
                <w:rFonts w:hint="default" w:eastAsia="黑体"/>
                <w:snapToGrid w:val="0"/>
                <w:color w:val="auto"/>
                <w:spacing w:val="-6"/>
                <w:kern w:val="21"/>
                <w:sz w:val="21"/>
                <w:highlight w:val="none"/>
              </w:rPr>
              <w:fldChar w:fldCharType="separate"/>
            </w:r>
            <w:r>
              <w:rPr>
                <w:rFonts w:hint="default" w:eastAsia="黑体"/>
                <w:color w:val="auto"/>
                <w:sz w:val="21"/>
                <w:highlight w:val="none"/>
              </w:rPr>
              <w:t>④</w:t>
            </w:r>
            <w:r>
              <w:rPr>
                <w:rFonts w:hint="default" w:eastAsia="黑体"/>
                <w:snapToGrid w:val="0"/>
                <w:color w:val="auto"/>
                <w:spacing w:val="-6"/>
                <w:kern w:val="21"/>
                <w:sz w:val="21"/>
                <w:highlight w:val="none"/>
              </w:rPr>
              <w:fldChar w:fldCharType="end"/>
            </w:r>
          </w:p>
        </w:tc>
        <w:tc>
          <w:tcPr>
            <w:tcW w:w="1372"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16"/>
                <w:kern w:val="21"/>
                <w:sz w:val="21"/>
                <w:highlight w:val="none"/>
              </w:rPr>
            </w:pPr>
            <w:r>
              <w:rPr>
                <w:rFonts w:hint="default" w:eastAsia="黑体"/>
                <w:snapToGrid w:val="0"/>
                <w:color w:val="auto"/>
                <w:spacing w:val="-16"/>
                <w:kern w:val="21"/>
                <w:sz w:val="21"/>
                <w:highlight w:val="none"/>
              </w:rPr>
              <w:t>以新带老削减量</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16"/>
                <w:kern w:val="21"/>
                <w:sz w:val="21"/>
                <w:highlight w:val="none"/>
              </w:rPr>
            </w:pPr>
            <w:r>
              <w:rPr>
                <w:rFonts w:hint="default" w:eastAsia="黑体"/>
                <w:snapToGrid w:val="0"/>
                <w:color w:val="auto"/>
                <w:spacing w:val="-16"/>
                <w:kern w:val="21"/>
                <w:sz w:val="21"/>
                <w:highlight w:val="none"/>
              </w:rPr>
              <w:t>（新建项目不填）</w:t>
            </w:r>
            <w:r>
              <w:rPr>
                <w:rFonts w:hint="default" w:eastAsia="黑体"/>
                <w:snapToGrid w:val="0"/>
                <w:color w:val="auto"/>
                <w:spacing w:val="-16"/>
                <w:kern w:val="21"/>
                <w:sz w:val="21"/>
                <w:highlight w:val="none"/>
              </w:rPr>
              <w:fldChar w:fldCharType="begin"/>
            </w:r>
            <w:r>
              <w:rPr>
                <w:rFonts w:hint="default" w:eastAsia="黑体"/>
                <w:snapToGrid w:val="0"/>
                <w:color w:val="auto"/>
                <w:spacing w:val="-16"/>
                <w:kern w:val="21"/>
                <w:sz w:val="21"/>
                <w:highlight w:val="none"/>
              </w:rPr>
              <w:instrText xml:space="preserve"> = 5 \* GB3 \* MERGEFORMAT </w:instrText>
            </w:r>
            <w:r>
              <w:rPr>
                <w:rFonts w:hint="default" w:eastAsia="黑体"/>
                <w:snapToGrid w:val="0"/>
                <w:color w:val="auto"/>
                <w:spacing w:val="-16"/>
                <w:kern w:val="21"/>
                <w:sz w:val="21"/>
                <w:highlight w:val="none"/>
              </w:rPr>
              <w:fldChar w:fldCharType="separate"/>
            </w:r>
            <w:r>
              <w:rPr>
                <w:rFonts w:hint="default" w:eastAsia="黑体"/>
                <w:color w:val="auto"/>
                <w:sz w:val="21"/>
                <w:highlight w:val="none"/>
              </w:rPr>
              <w:t>⑤</w:t>
            </w:r>
            <w:r>
              <w:rPr>
                <w:rFonts w:hint="default" w:eastAsia="黑体"/>
                <w:snapToGrid w:val="0"/>
                <w:color w:val="auto"/>
                <w:spacing w:val="-16"/>
                <w:kern w:val="21"/>
                <w:sz w:val="21"/>
                <w:highlight w:val="none"/>
              </w:rPr>
              <w:fldChar w:fldCharType="end"/>
            </w:r>
          </w:p>
        </w:tc>
        <w:tc>
          <w:tcPr>
            <w:tcW w:w="1513"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16"/>
                <w:kern w:val="21"/>
                <w:sz w:val="21"/>
                <w:highlight w:val="none"/>
              </w:rPr>
            </w:pPr>
            <w:r>
              <w:rPr>
                <w:rFonts w:hint="default" w:eastAsia="黑体"/>
                <w:snapToGrid w:val="0"/>
                <w:color w:val="auto"/>
                <w:spacing w:val="-16"/>
                <w:kern w:val="21"/>
                <w:sz w:val="21"/>
                <w:highlight w:val="none"/>
              </w:rPr>
              <w:t>本项目建成后</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16"/>
                <w:kern w:val="21"/>
                <w:sz w:val="21"/>
                <w:highlight w:val="none"/>
              </w:rPr>
            </w:pPr>
            <w:r>
              <w:rPr>
                <w:rFonts w:hint="default" w:eastAsia="黑体"/>
                <w:snapToGrid w:val="0"/>
                <w:color w:val="auto"/>
                <w:spacing w:val="-16"/>
                <w:kern w:val="21"/>
                <w:sz w:val="21"/>
                <w:highlight w:val="none"/>
              </w:rPr>
              <w:t>全厂排放量（固体废物产生量）</w:t>
            </w:r>
            <w:r>
              <w:rPr>
                <w:rFonts w:hint="default" w:eastAsia="黑体"/>
                <w:snapToGrid w:val="0"/>
                <w:color w:val="auto"/>
                <w:spacing w:val="-16"/>
                <w:kern w:val="21"/>
                <w:sz w:val="21"/>
                <w:highlight w:val="none"/>
              </w:rPr>
              <w:fldChar w:fldCharType="begin"/>
            </w:r>
            <w:r>
              <w:rPr>
                <w:rFonts w:hint="default" w:eastAsia="黑体"/>
                <w:snapToGrid w:val="0"/>
                <w:color w:val="auto"/>
                <w:spacing w:val="-16"/>
                <w:kern w:val="21"/>
                <w:sz w:val="21"/>
                <w:highlight w:val="none"/>
              </w:rPr>
              <w:instrText xml:space="preserve"> = 6 \* GB3 \* MERGEFORMAT </w:instrText>
            </w:r>
            <w:r>
              <w:rPr>
                <w:rFonts w:hint="default" w:eastAsia="黑体"/>
                <w:snapToGrid w:val="0"/>
                <w:color w:val="auto"/>
                <w:spacing w:val="-16"/>
                <w:kern w:val="21"/>
                <w:sz w:val="21"/>
                <w:highlight w:val="none"/>
              </w:rPr>
              <w:fldChar w:fldCharType="separate"/>
            </w:r>
            <w:r>
              <w:rPr>
                <w:rFonts w:hint="default" w:eastAsia="黑体"/>
                <w:color w:val="auto"/>
                <w:sz w:val="21"/>
                <w:highlight w:val="none"/>
              </w:rPr>
              <w:t>⑥</w:t>
            </w:r>
            <w:r>
              <w:rPr>
                <w:rFonts w:hint="default" w:eastAsia="黑体"/>
                <w:snapToGrid w:val="0"/>
                <w:color w:val="auto"/>
                <w:spacing w:val="-16"/>
                <w:kern w:val="21"/>
                <w:sz w:val="21"/>
                <w:highlight w:val="none"/>
              </w:rPr>
              <w:fldChar w:fldCharType="end"/>
            </w:r>
          </w:p>
        </w:tc>
        <w:tc>
          <w:tcPr>
            <w:tcW w:w="1661" w:type="dxa"/>
            <w:tcMar>
              <w:left w:w="28" w:type="dxa"/>
              <w:right w:w="28" w:type="dxa"/>
            </w:tcMar>
            <w:vAlign w:val="center"/>
          </w:tcPr>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t>变化量</w:t>
            </w:r>
          </w:p>
          <w:p>
            <w:pPr>
              <w:keepNext w:val="0"/>
              <w:keepLines w:val="0"/>
              <w:suppressLineNumbers w:val="0"/>
              <w:spacing w:before="0" w:beforeAutospacing="0" w:after="0" w:afterAutospacing="0" w:line="240" w:lineRule="auto"/>
              <w:ind w:left="0" w:right="0" w:firstLine="0" w:firstLineChars="0"/>
              <w:jc w:val="center"/>
              <w:rPr>
                <w:rFonts w:hint="default" w:eastAsia="黑体"/>
                <w:snapToGrid w:val="0"/>
                <w:color w:val="auto"/>
                <w:spacing w:val="-6"/>
                <w:kern w:val="21"/>
                <w:sz w:val="21"/>
                <w:highlight w:val="none"/>
              </w:rPr>
            </w:pPr>
            <w:r>
              <w:rPr>
                <w:rFonts w:hint="default" w:eastAsia="黑体"/>
                <w:snapToGrid w:val="0"/>
                <w:color w:val="auto"/>
                <w:spacing w:val="-6"/>
                <w:kern w:val="21"/>
                <w:sz w:val="21"/>
                <w:highlight w:val="none"/>
              </w:rPr>
              <w:fldChar w:fldCharType="begin"/>
            </w:r>
            <w:r>
              <w:rPr>
                <w:rFonts w:hint="default" w:eastAsia="黑体"/>
                <w:snapToGrid w:val="0"/>
                <w:color w:val="auto"/>
                <w:spacing w:val="-6"/>
                <w:kern w:val="21"/>
                <w:sz w:val="21"/>
                <w:highlight w:val="none"/>
              </w:rPr>
              <w:instrText xml:space="preserve"> = 7 \* GB3 \* MERGEFORMAT </w:instrText>
            </w:r>
            <w:r>
              <w:rPr>
                <w:rFonts w:hint="default" w:eastAsia="黑体"/>
                <w:snapToGrid w:val="0"/>
                <w:color w:val="auto"/>
                <w:spacing w:val="-6"/>
                <w:kern w:val="21"/>
                <w:sz w:val="21"/>
                <w:highlight w:val="none"/>
              </w:rPr>
              <w:fldChar w:fldCharType="separate"/>
            </w:r>
            <w:r>
              <w:rPr>
                <w:rFonts w:hint="default" w:eastAsia="黑体"/>
                <w:color w:val="auto"/>
                <w:sz w:val="21"/>
                <w:highlight w:val="none"/>
              </w:rPr>
              <w:t>⑦</w:t>
            </w:r>
            <w:r>
              <w:rPr>
                <w:rFonts w:hint="default" w:eastAsia="黑体"/>
                <w:snapToGrid w:val="0"/>
                <w:color w:val="auto"/>
                <w:spacing w:val="-6"/>
                <w:kern w:val="21"/>
                <w:sz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93"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废气</w:t>
            </w:r>
          </w:p>
        </w:tc>
        <w:tc>
          <w:tcPr>
            <w:tcW w:w="1950"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bCs/>
                <w:color w:val="auto"/>
                <w:sz w:val="21"/>
                <w:highlight w:val="none"/>
              </w:rPr>
              <w:t>非甲烷总烃</w:t>
            </w:r>
          </w:p>
        </w:tc>
        <w:tc>
          <w:tcPr>
            <w:tcW w:w="1150" w:type="dxa"/>
            <w:vAlign w:val="center"/>
          </w:tcPr>
          <w:p>
            <w:pPr>
              <w:keepNext w:val="0"/>
              <w:keepLines w:val="0"/>
              <w:suppressLineNumbers w:val="0"/>
              <w:spacing w:before="0" w:beforeAutospacing="0" w:after="0" w:afterAutospacing="0" w:line="240" w:lineRule="auto"/>
              <w:ind w:left="0" w:right="0" w:firstLine="420"/>
              <w:jc w:val="both"/>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420"/>
              <w:jc w:val="both"/>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420"/>
              <w:jc w:val="both"/>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1.096</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1.096</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锡及其化合物</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0.002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0.002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993"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废水</w:t>
            </w:r>
          </w:p>
        </w:tc>
        <w:tc>
          <w:tcPr>
            <w:tcW w:w="195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废水量</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240t/a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240t/a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COD</w:t>
            </w:r>
            <w:r>
              <w:rPr>
                <w:rFonts w:hint="default" w:ascii="Times New Roman" w:hAnsi="Times New Roman" w:cs="Times New Roman"/>
                <w:color w:val="auto"/>
                <w:sz w:val="21"/>
                <w:szCs w:val="21"/>
                <w:highlight w:val="none"/>
                <w:vertAlign w:val="subscript"/>
              </w:rPr>
              <w:t>cr</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color w:val="auto"/>
                <w:kern w:val="18"/>
                <w:sz w:val="21"/>
                <w:highlight w:val="none"/>
              </w:rPr>
              <w:t>0.0096</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color w:val="auto"/>
                <w:kern w:val="18"/>
                <w:sz w:val="21"/>
                <w:highlight w:val="none"/>
              </w:rPr>
              <w:t>0.0096</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widowControl/>
              <w:suppressLineNumbers w:val="0"/>
              <w:adjustRightInd w:val="0"/>
              <w:spacing w:before="68" w:beforeAutospacing="0" w:after="68" w:afterAutospacing="0" w:line="240" w:lineRule="auto"/>
              <w:ind w:left="0" w:right="0" w:firstLine="0" w:firstLineChars="0"/>
              <w:jc w:val="center"/>
              <w:rPr>
                <w:rFonts w:hint="default"/>
                <w:color w:val="auto"/>
                <w:sz w:val="21"/>
                <w:highlight w:val="none"/>
              </w:rPr>
            </w:pPr>
            <w:r>
              <w:rPr>
                <w:rFonts w:hint="default"/>
                <w:color w:val="auto"/>
                <w:sz w:val="21"/>
                <w:highlight w:val="none"/>
              </w:rPr>
              <w:t>氨氮</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0.0012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color w:val="auto"/>
                <w:sz w:val="21"/>
                <w:highlight w:val="none"/>
                <w:lang w:val="en-US" w:eastAsia="zh-CN"/>
              </w:rPr>
              <w:t>0.0012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99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一般工业固体废物</w:t>
            </w:r>
          </w:p>
        </w:tc>
        <w:tc>
          <w:tcPr>
            <w:tcW w:w="195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color w:val="auto"/>
                <w:sz w:val="21"/>
                <w:szCs w:val="21"/>
                <w:highlight w:val="none"/>
              </w:rPr>
            </w:pPr>
            <w:r>
              <w:rPr>
                <w:rFonts w:hint="default" w:ascii="Times New Roman" w:hAnsi="Times New Roman" w:cs="Times New Roman"/>
                <w:snapToGrid w:val="0"/>
                <w:color w:val="auto"/>
                <w:kern w:val="21"/>
                <w:sz w:val="21"/>
                <w:highlight w:val="none"/>
              </w:rPr>
              <w:t>/</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993" w:type="dxa"/>
            <w:vMerge w:val="restart"/>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危险废物</w:t>
            </w:r>
          </w:p>
        </w:tc>
        <w:tc>
          <w:tcPr>
            <w:tcW w:w="1950" w:type="dxa"/>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r>
              <w:rPr>
                <w:rFonts w:hint="eastAsia"/>
                <w:color w:val="auto"/>
                <w:sz w:val="21"/>
                <w:highlight w:val="none"/>
                <w:lang w:val="en-US" w:eastAsia="zh-CN"/>
              </w:rPr>
              <w:t>含油</w:t>
            </w:r>
            <w:r>
              <w:rPr>
                <w:rFonts w:hint="default"/>
                <w:color w:val="auto"/>
                <w:sz w:val="21"/>
                <w:highlight w:val="none"/>
              </w:rPr>
              <w:t>废铜线</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6</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c>
          <w:tcPr>
            <w:tcW w:w="1513"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eastAsia"/>
                <w:snapToGrid w:val="0"/>
                <w:color w:val="auto"/>
                <w:kern w:val="21"/>
                <w:sz w:val="21"/>
                <w:highlight w:val="none"/>
                <w:lang w:val="en-US" w:eastAsia="zh-CN"/>
              </w:rPr>
              <w:t>6</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color w:val="auto"/>
                <w:sz w:val="21"/>
                <w:highlight w:val="none"/>
                <w:lang w:bidi="ar"/>
              </w:rPr>
              <w:t>废润滑油</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bCs/>
                <w:color w:val="auto"/>
                <w:sz w:val="21"/>
                <w:highlight w:val="none"/>
              </w:rPr>
              <w:t>0.02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bCs/>
                <w:color w:val="auto"/>
                <w:sz w:val="21"/>
                <w:highlight w:val="none"/>
              </w:rPr>
              <w:t>0.02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lang w:bidi="ar"/>
              </w:rPr>
              <w:t>废润滑油包装桶</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color w:val="auto"/>
                <w:kern w:val="2"/>
                <w:sz w:val="21"/>
                <w:highlight w:val="none"/>
              </w:rPr>
              <w:t>0.02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color w:val="auto"/>
                <w:kern w:val="2"/>
                <w:sz w:val="21"/>
                <w:highlight w:val="none"/>
              </w:rPr>
              <w:t>0.02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lang w:bidi="ar"/>
              </w:rPr>
              <w:t>废拉丝油包装桶</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kern w:val="2"/>
                <w:sz w:val="21"/>
                <w:highlight w:val="none"/>
              </w:rPr>
              <w:t>0.152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color w:val="auto"/>
                <w:kern w:val="2"/>
                <w:sz w:val="21"/>
                <w:highlight w:val="none"/>
              </w:rPr>
              <w:t>0.152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color w:val="auto"/>
                <w:sz w:val="21"/>
                <w:highlight w:val="none"/>
                <w:lang w:bidi="ar"/>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废导轴油包装桶</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0.001</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0.001</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废导轴油</w:t>
            </w:r>
          </w:p>
        </w:tc>
        <w:tc>
          <w:tcPr>
            <w:tcW w:w="115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eastAsia="宋体"/>
                <w:color w:val="auto"/>
                <w:kern w:val="2"/>
                <w:sz w:val="21"/>
                <w:highlight w:val="none"/>
                <w:lang w:val="en-US" w:eastAsia="zh-CN"/>
              </w:rPr>
            </w:pPr>
            <w:r>
              <w:rPr>
                <w:rFonts w:hint="eastAsia"/>
                <w:color w:val="auto"/>
                <w:kern w:val="2"/>
                <w:sz w:val="21"/>
                <w:highlight w:val="none"/>
                <w:lang w:val="en-US" w:eastAsia="zh-CN"/>
              </w:rPr>
              <w:t>0.025</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eastAsia"/>
                <w:color w:val="auto"/>
                <w:kern w:val="2"/>
                <w:sz w:val="21"/>
                <w:highlight w:val="none"/>
                <w:lang w:val="en-US" w:eastAsia="zh-CN"/>
              </w:rPr>
              <w:t>0.025</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color w:val="auto"/>
                <w:kern w:val="2"/>
                <w:sz w:val="21"/>
                <w:highlight w:val="none"/>
              </w:rPr>
              <w:t>废抹布、废手套</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0.02</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kern w:val="2"/>
                <w:sz w:val="21"/>
                <w:highlight w:val="none"/>
              </w:rPr>
              <w:t>0.02</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kern w:val="2"/>
                <w:sz w:val="21"/>
                <w:highlight w:val="none"/>
                <w:lang w:eastAsia="zh-CN"/>
              </w:rPr>
            </w:pPr>
            <w:r>
              <w:rPr>
                <w:rFonts w:hint="eastAsia"/>
                <w:color w:val="auto"/>
                <w:kern w:val="2"/>
                <w:sz w:val="21"/>
                <w:highlight w:val="none"/>
                <w:lang w:eastAsia="zh-CN"/>
              </w:rPr>
              <w:t>含助焊剂废毛毡</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0.5t/a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kern w:val="2"/>
                <w:sz w:val="21"/>
                <w:highlight w:val="none"/>
              </w:rPr>
            </w:pPr>
            <w:r>
              <w:rPr>
                <w:rFonts w:hint="default"/>
                <w:snapToGrid w:val="0"/>
                <w:color w:val="auto"/>
                <w:kern w:val="21"/>
                <w:sz w:val="21"/>
                <w:highlight w:val="none"/>
              </w:rPr>
              <w:t>0.5t/a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拉丝油废液</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kern w:val="2"/>
                <w:sz w:val="21"/>
                <w:highlight w:val="none"/>
                <w:lang w:val="en-US" w:eastAsia="zh-CN"/>
              </w:rPr>
              <w:t>3.8</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color w:val="auto"/>
                <w:kern w:val="2"/>
                <w:sz w:val="21"/>
                <w:highlight w:val="none"/>
                <w:lang w:val="en-US" w:eastAsia="zh-CN"/>
              </w:rPr>
              <w:t>3.8</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993" w:type="dxa"/>
            <w:vMerge w:val="continue"/>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废助焊剂包装桶</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0.144</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0.144</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sz w:val="21"/>
                <w:highlight w:val="none"/>
              </w:rPr>
              <w:t>废抗氧化剂包装桶</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0.001</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kern w:val="2"/>
                <w:sz w:val="21"/>
                <w:highlight w:val="none"/>
              </w:rPr>
              <w:t>0.001</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default"/>
                <w:color w:val="auto"/>
                <w:sz w:val="21"/>
                <w:highlight w:val="none"/>
              </w:rPr>
              <w:t>喷淋塔更换废水</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snapToGrid w:val="0"/>
                <w:color w:val="auto"/>
                <w:sz w:val="21"/>
                <w:highlight w:val="none"/>
                <w:lang w:val="en-US" w:eastAsia="zh-CN"/>
              </w:rPr>
              <w:t>3</w:t>
            </w:r>
            <w:r>
              <w:rPr>
                <w:rFonts w:hint="default"/>
                <w:snapToGrid w:val="0"/>
                <w:color w:val="auto"/>
                <w:kern w:val="21"/>
                <w:sz w:val="21"/>
                <w:highlight w:val="none"/>
              </w:rPr>
              <w:t>t/a</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bCs/>
                <w:color w:val="auto"/>
                <w:sz w:val="21"/>
                <w:highlight w:val="none"/>
              </w:rPr>
            </w:pPr>
            <w:r>
              <w:rPr>
                <w:rFonts w:hint="eastAsia"/>
                <w:snapToGrid w:val="0"/>
                <w:color w:val="auto"/>
                <w:sz w:val="21"/>
                <w:highlight w:val="none"/>
                <w:lang w:val="en-US" w:eastAsia="zh-CN"/>
              </w:rPr>
              <w:t>3</w:t>
            </w:r>
            <w:r>
              <w:rPr>
                <w:rFonts w:hint="default"/>
                <w:snapToGrid w:val="0"/>
                <w:color w:val="auto"/>
                <w:kern w:val="21"/>
                <w:sz w:val="21"/>
                <w:highlight w:val="none"/>
              </w:rPr>
              <w:t>t/a</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bCs/>
                <w:color w:val="auto"/>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喷淋塔沉渣</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eastAsia"/>
                <w:snapToGrid w:val="0"/>
                <w:color w:val="auto"/>
                <w:sz w:val="21"/>
                <w:highlight w:val="none"/>
                <w:lang w:val="en-US" w:eastAsia="zh-CN"/>
              </w:rPr>
              <w:t>0.0029</w:t>
            </w:r>
            <w:r>
              <w:rPr>
                <w:rFonts w:hint="default"/>
                <w:snapToGrid w:val="0"/>
                <w:color w:val="auto"/>
                <w:sz w:val="21"/>
                <w:highlight w:val="none"/>
              </w:rPr>
              <w:t>t/d</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eastAsia"/>
                <w:snapToGrid w:val="0"/>
                <w:color w:val="auto"/>
                <w:sz w:val="21"/>
                <w:highlight w:val="none"/>
                <w:lang w:val="en-US" w:eastAsia="zh-CN"/>
              </w:rPr>
              <w:t>0.0029</w:t>
            </w:r>
            <w:r>
              <w:rPr>
                <w:rFonts w:hint="default"/>
                <w:snapToGrid w:val="0"/>
                <w:color w:val="auto"/>
                <w:sz w:val="21"/>
                <w:highlight w:val="none"/>
              </w:rPr>
              <w:t>t/d</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rPr>
            </w:pPr>
            <w:r>
              <w:rPr>
                <w:rFonts w:hint="default"/>
                <w:color w:val="auto"/>
                <w:sz w:val="21"/>
                <w:highlight w:val="none"/>
              </w:rPr>
              <w:t>废活性炭</w:t>
            </w:r>
          </w:p>
        </w:tc>
        <w:tc>
          <w:tcPr>
            <w:tcW w:w="1150"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eastAsia"/>
                <w:snapToGrid w:val="0"/>
                <w:color w:val="auto"/>
                <w:sz w:val="21"/>
                <w:highlight w:val="none"/>
                <w:lang w:eastAsia="zh-CN"/>
              </w:rPr>
              <w:t>10.285</w:t>
            </w:r>
            <w:r>
              <w:rPr>
                <w:rFonts w:hint="default"/>
                <w:snapToGrid w:val="0"/>
                <w:color w:val="auto"/>
                <w:sz w:val="21"/>
                <w:highlight w:val="none"/>
              </w:rPr>
              <w:t>t/d</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rPr>
            </w:pPr>
            <w:r>
              <w:rPr>
                <w:rFonts w:hint="eastAsia"/>
                <w:snapToGrid w:val="0"/>
                <w:color w:val="auto"/>
                <w:sz w:val="21"/>
                <w:highlight w:val="none"/>
                <w:lang w:eastAsia="zh-CN"/>
              </w:rPr>
              <w:t>10.285</w:t>
            </w:r>
            <w:r>
              <w:rPr>
                <w:rFonts w:hint="default"/>
                <w:snapToGrid w:val="0"/>
                <w:color w:val="auto"/>
                <w:sz w:val="21"/>
                <w:highlight w:val="none"/>
              </w:rPr>
              <w:t>t/d</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eastAsia="宋体"/>
                <w:color w:val="auto"/>
                <w:sz w:val="21"/>
                <w:highlight w:val="none"/>
                <w:lang w:val="en-US" w:eastAsia="zh-CN"/>
              </w:rPr>
            </w:pPr>
            <w:r>
              <w:rPr>
                <w:rFonts w:hint="eastAsia"/>
                <w:color w:val="auto"/>
                <w:sz w:val="21"/>
                <w:highlight w:val="none"/>
                <w:lang w:val="en-US" w:eastAsia="zh-CN"/>
              </w:rPr>
              <w:t>废污泥</w:t>
            </w:r>
          </w:p>
        </w:tc>
        <w:tc>
          <w:tcPr>
            <w:tcW w:w="115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snapToGrid w:val="0"/>
                <w:color w:val="auto"/>
                <w:sz w:val="21"/>
                <w:highlight w:val="none"/>
                <w:lang w:eastAsia="zh-CN"/>
              </w:rPr>
            </w:pPr>
            <w:r>
              <w:rPr>
                <w:rFonts w:hint="eastAsia"/>
                <w:snapToGrid w:val="0"/>
                <w:color w:val="auto"/>
                <w:sz w:val="21"/>
                <w:highlight w:val="none"/>
                <w:lang w:val="en-US" w:eastAsia="zh-CN"/>
              </w:rPr>
              <w:t>0.14</w:t>
            </w:r>
            <w:r>
              <w:rPr>
                <w:rFonts w:hint="default"/>
                <w:snapToGrid w:val="0"/>
                <w:color w:val="auto"/>
                <w:sz w:val="21"/>
                <w:highlight w:val="none"/>
              </w:rPr>
              <w:t>t/d</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snapToGrid w:val="0"/>
                <w:color w:val="auto"/>
                <w:sz w:val="21"/>
                <w:highlight w:val="none"/>
                <w:lang w:eastAsia="zh-CN"/>
              </w:rPr>
            </w:pPr>
            <w:r>
              <w:rPr>
                <w:rFonts w:hint="eastAsia"/>
                <w:snapToGrid w:val="0"/>
                <w:color w:val="auto"/>
                <w:sz w:val="21"/>
                <w:highlight w:val="none"/>
                <w:lang w:val="en-US" w:eastAsia="zh-CN"/>
              </w:rPr>
              <w:t>0.14</w:t>
            </w:r>
            <w:r>
              <w:rPr>
                <w:rFonts w:hint="default"/>
                <w:snapToGrid w:val="0"/>
                <w:color w:val="auto"/>
                <w:sz w:val="21"/>
                <w:highlight w:val="none"/>
              </w:rPr>
              <w:t>t/d</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default"/>
                <w:snapToGrid w:val="0"/>
                <w:color w:val="auto"/>
                <w:kern w:val="21"/>
                <w:sz w:val="21"/>
                <w:highlight w:val="none"/>
              </w:rPr>
            </w:pPr>
            <w:r>
              <w:rPr>
                <w:rFonts w:hint="default"/>
                <w:snapToGrid w:val="0"/>
                <w:color w:val="auto"/>
                <w:kern w:val="21"/>
                <w:sz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993" w:type="dxa"/>
            <w:vMerge w:val="continue"/>
            <w:vAlign w:val="center"/>
          </w:tcPr>
          <w:p>
            <w:pPr>
              <w:pStyle w:val="50"/>
              <w:keepNext w:val="0"/>
              <w:keepLines w:val="0"/>
              <w:suppressLineNumbers w:val="0"/>
              <w:spacing w:before="0" w:beforeAutospacing="0" w:after="0" w:afterAutospacing="0"/>
              <w:ind w:right="0"/>
              <w:rPr>
                <w:rFonts w:hint="default" w:ascii="Times New Roman" w:hAnsi="Times New Roman" w:cs="Times New Roman"/>
                <w:snapToGrid w:val="0"/>
                <w:color w:val="auto"/>
                <w:kern w:val="21"/>
                <w:sz w:val="21"/>
                <w:highlight w:val="none"/>
              </w:rPr>
            </w:pPr>
          </w:p>
        </w:tc>
        <w:tc>
          <w:tcPr>
            <w:tcW w:w="1950"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color w:val="auto"/>
                <w:sz w:val="21"/>
                <w:highlight w:val="none"/>
                <w:lang w:val="en-US" w:eastAsia="zh-CN"/>
              </w:rPr>
            </w:pPr>
            <w:r>
              <w:rPr>
                <w:rFonts w:hint="eastAsia"/>
                <w:color w:val="auto"/>
                <w:sz w:val="21"/>
                <w:highlight w:val="none"/>
                <w:lang w:val="en-US" w:eastAsia="zh-CN"/>
              </w:rPr>
              <w:t>废过滤纤维网</w:t>
            </w:r>
          </w:p>
        </w:tc>
        <w:tc>
          <w:tcPr>
            <w:tcW w:w="115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32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265"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snapToGrid w:val="0"/>
                <w:color w:val="auto"/>
                <w:kern w:val="21"/>
                <w:sz w:val="21"/>
                <w:highlight w:val="none"/>
              </w:rPr>
              <w:t>/</w:t>
            </w:r>
          </w:p>
        </w:tc>
        <w:tc>
          <w:tcPr>
            <w:tcW w:w="1559"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default"/>
                <w:snapToGrid w:val="0"/>
                <w:color w:val="auto"/>
                <w:sz w:val="21"/>
                <w:highlight w:val="none"/>
                <w:lang w:val="en-US" w:eastAsia="zh-CN"/>
              </w:rPr>
            </w:pPr>
            <w:r>
              <w:rPr>
                <w:rFonts w:hint="eastAsia"/>
                <w:snapToGrid w:val="0"/>
                <w:color w:val="auto"/>
                <w:sz w:val="21"/>
                <w:highlight w:val="none"/>
                <w:lang w:val="en-US" w:eastAsia="zh-CN"/>
              </w:rPr>
              <w:t>0.01</w:t>
            </w:r>
            <w:r>
              <w:rPr>
                <w:rFonts w:hint="default"/>
                <w:snapToGrid w:val="0"/>
                <w:color w:val="auto"/>
                <w:sz w:val="21"/>
                <w:highlight w:val="none"/>
              </w:rPr>
              <w:t>t/d</w:t>
            </w:r>
          </w:p>
        </w:tc>
        <w:tc>
          <w:tcPr>
            <w:tcW w:w="1372"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c>
          <w:tcPr>
            <w:tcW w:w="1513" w:type="dxa"/>
            <w:vAlign w:val="center"/>
          </w:tcPr>
          <w:p>
            <w:pPr>
              <w:keepNext w:val="0"/>
              <w:keepLines w:val="0"/>
              <w:suppressLineNumbers w:val="0"/>
              <w:autoSpaceDE w:val="0"/>
              <w:adjustRightInd w:val="0"/>
              <w:snapToGrid w:val="0"/>
              <w:spacing w:before="0" w:beforeAutospacing="0" w:after="0" w:afterAutospacing="0" w:line="240" w:lineRule="auto"/>
              <w:ind w:left="0" w:right="0" w:firstLine="0" w:firstLineChars="0"/>
              <w:jc w:val="center"/>
              <w:rPr>
                <w:rFonts w:hint="eastAsia"/>
                <w:snapToGrid w:val="0"/>
                <w:color w:val="auto"/>
                <w:sz w:val="21"/>
                <w:highlight w:val="none"/>
                <w:lang w:val="en-US" w:eastAsia="zh-CN"/>
              </w:rPr>
            </w:pPr>
            <w:r>
              <w:rPr>
                <w:rFonts w:hint="eastAsia"/>
                <w:snapToGrid w:val="0"/>
                <w:color w:val="auto"/>
                <w:sz w:val="21"/>
                <w:highlight w:val="none"/>
                <w:lang w:val="en-US" w:eastAsia="zh-CN"/>
              </w:rPr>
              <w:t>0.01</w:t>
            </w:r>
            <w:r>
              <w:rPr>
                <w:rFonts w:hint="default"/>
                <w:snapToGrid w:val="0"/>
                <w:color w:val="auto"/>
                <w:sz w:val="21"/>
                <w:highlight w:val="none"/>
              </w:rPr>
              <w:t>t/d</w:t>
            </w:r>
          </w:p>
        </w:tc>
        <w:tc>
          <w:tcPr>
            <w:tcW w:w="1661" w:type="dxa"/>
            <w:vAlign w:val="center"/>
          </w:tcPr>
          <w:p>
            <w:pPr>
              <w:keepNext w:val="0"/>
              <w:keepLines w:val="0"/>
              <w:suppressLineNumbers w:val="0"/>
              <w:spacing w:before="0" w:beforeAutospacing="0" w:after="0" w:afterAutospacing="0" w:line="240" w:lineRule="auto"/>
              <w:ind w:left="0" w:right="0" w:firstLine="0" w:firstLineChars="0"/>
              <w:jc w:val="center"/>
              <w:rPr>
                <w:rFonts w:hint="eastAsia" w:eastAsia="宋体"/>
                <w:snapToGrid w:val="0"/>
                <w:color w:val="auto"/>
                <w:kern w:val="21"/>
                <w:sz w:val="21"/>
                <w:highlight w:val="none"/>
                <w:lang w:val="en-US" w:eastAsia="zh-CN"/>
              </w:rPr>
            </w:pPr>
            <w:r>
              <w:rPr>
                <w:rFonts w:hint="eastAsia"/>
                <w:snapToGrid w:val="0"/>
                <w:color w:val="auto"/>
                <w:kern w:val="21"/>
                <w:sz w:val="21"/>
                <w:highlight w:val="none"/>
                <w:lang w:val="en-US" w:eastAsia="zh-CN"/>
              </w:rPr>
              <w:t>/</w:t>
            </w:r>
          </w:p>
        </w:tc>
      </w:tr>
    </w:tbl>
    <w:p>
      <w:pPr>
        <w:ind w:firstLine="0" w:firstLineChars="0"/>
        <w:rPr>
          <w:color w:val="auto"/>
          <w:sz w:val="21"/>
          <w:highlight w:val="none"/>
        </w:rPr>
        <w:sectPr>
          <w:footerReference r:id="rId15" w:type="default"/>
          <w:pgSz w:w="16838" w:h="11906" w:orient="landscape"/>
          <w:pgMar w:top="1417" w:right="1417" w:bottom="1417" w:left="1417" w:header="851" w:footer="851" w:gutter="0"/>
          <w:cols w:space="720" w:num="1"/>
          <w:docGrid w:linePitch="312" w:charSpace="0"/>
        </w:sectPr>
      </w:pPr>
      <w:r>
        <w:rPr>
          <w:color w:val="auto"/>
          <w:sz w:val="21"/>
          <w:highlight w:val="none"/>
        </w:rPr>
        <w:t>注：⑥=①+③+④-⑤；⑦=⑥-①</w:t>
      </w:r>
    </w:p>
    <w:p>
      <w:pPr>
        <w:pStyle w:val="2"/>
        <w:ind w:firstLine="482"/>
        <w:rPr>
          <w:rFonts w:hint="default" w:ascii="Times New Roman" w:cs="Times New Roman"/>
          <w:b/>
          <w:bCs/>
          <w:color w:val="auto"/>
          <w:szCs w:val="20"/>
          <w:highlight w:val="none"/>
        </w:rPr>
      </w:pPr>
    </w:p>
    <w:sectPr>
      <w:footerReference r:id="rId16" w:type="default"/>
      <w:pgSz w:w="11906" w:h="16838"/>
      <w:pgMar w:top="1701" w:right="1531" w:bottom="1701" w:left="1531" w:header="851" w:footer="992" w:gutter="0"/>
      <w:cols w:space="0" w:num="1"/>
      <w:docGrid w:type="lines" w:linePitch="38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qzJgtAgAAWQQAAA4AAABkcnMvZTJvRG9jLnhtbK1UzY7TMBC+I/EO&#10;lu80aVes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3qzJgtAgAAWQQAAA4AAAAAAAAAAQAgAAAAHwEAAGRycy9lMm9Eb2MueG1sUEsFBgAAAAAG&#10;AAYAWQEAAL4FA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1" w:rightChars="129" w:firstLine="360"/>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Q64M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Z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PQ64MtAgAAVwQAAA4AAAAAAAAAAQAgAAAAHwEAAGRycy9lMm9Eb2MueG1sUEsFBgAAAAAG&#10;AAYAWQEAAL4FA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1" w:rightChars="129" w:firstLine="360"/>
      <w:jc w:val="cente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1" w:rightChars="129" w:firstLine="360"/>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1" w:rightChars="129" w:firstLine="360"/>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V3vo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u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EdXe+iwCAABXBAAADgAAAAAAAAABACAAAAAfAQAAZHJzL2Uyb0RvYy54bWxQSwUGAAAAAAYA&#10;BgBZAQAAvQU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right="361" w:rightChars="129"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GCXg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FJJopVPz04/vp&#10;58Pp1zeCMwjUWj9D3L1FZOjemQ5tM5x7HEbeXeVU/IIRgR9Yx4u8oguEx0vTyXSaw8XhGzbAzx6v&#10;W+fDe2EUiUZBHeqXZGWHjQ996BASs2mzbqRMNZSatAW9ev0m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wYJeCwCAABXBAAADgAAAAAAAAABACAAAAAfAQAAZHJzL2Uyb0RvYy54bWxQSwUGAAAAAAYA&#10;BgBZAQAAvQU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ind w:firstLine="560"/>
      </w:pPr>
      <w:r>
        <w:separator/>
      </w:r>
    </w:p>
  </w:footnote>
  <w:footnote w:type="continuationSeparator" w:id="1">
    <w:p>
      <w:pPr>
        <w:spacing w:line="312"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5302C"/>
    <w:multiLevelType w:val="singleLevel"/>
    <w:tmpl w:val="B905302C"/>
    <w:lvl w:ilvl="0" w:tentative="0">
      <w:start w:val="5"/>
      <w:numFmt w:val="decimal"/>
      <w:suff w:val="nothing"/>
      <w:lvlText w:val="%1、"/>
      <w:lvlJc w:val="left"/>
    </w:lvl>
  </w:abstractNum>
  <w:abstractNum w:abstractNumId="1">
    <w:nsid w:val="E746F985"/>
    <w:multiLevelType w:val="singleLevel"/>
    <w:tmpl w:val="E746F985"/>
    <w:lvl w:ilvl="0" w:tentative="0">
      <w:start w:val="1"/>
      <w:numFmt w:val="bullet"/>
      <w:pStyle w:val="24"/>
      <w:lvlText w:val=""/>
      <w:lvlJc w:val="left"/>
      <w:pPr>
        <w:tabs>
          <w:tab w:val="left" w:pos="780"/>
        </w:tabs>
        <w:ind w:left="780" w:hanging="360"/>
      </w:pPr>
      <w:rPr>
        <w:rFonts w:hint="default" w:ascii="Wingdings" w:hAnsi="Wingdings"/>
      </w:rPr>
    </w:lvl>
  </w:abstractNum>
  <w:abstractNum w:abstractNumId="2">
    <w:nsid w:val="FD533B0E"/>
    <w:multiLevelType w:val="singleLevel"/>
    <w:tmpl w:val="FD533B0E"/>
    <w:lvl w:ilvl="0" w:tentative="0">
      <w:start w:val="1"/>
      <w:numFmt w:val="decimal"/>
      <w:suff w:val="nothing"/>
      <w:lvlText w:val="%1、"/>
      <w:lvlJc w:val="left"/>
    </w:lvl>
  </w:abstractNum>
  <w:abstractNum w:abstractNumId="3">
    <w:nsid w:val="0B2F54F5"/>
    <w:multiLevelType w:val="multilevel"/>
    <w:tmpl w:val="0B2F54F5"/>
    <w:lvl w:ilvl="0" w:tentative="0">
      <w:start w:val="1"/>
      <w:numFmt w:val="decimal"/>
      <w:pStyle w:val="106"/>
      <w:lvlText w:val="表%1  "/>
      <w:lvlJc w:val="center"/>
      <w:pPr>
        <w:ind w:left="0" w:firstLine="0"/>
      </w:pPr>
      <w:rPr>
        <w:rFonts w:hint="default" w:ascii="Times New Roman" w:hAnsi="Times New Roman" w:eastAsia="宋体" w:cs="宋体"/>
        <w:b/>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3275A4F"/>
    <w:multiLevelType w:val="multilevel"/>
    <w:tmpl w:val="23275A4F"/>
    <w:lvl w:ilvl="0" w:tentative="0">
      <w:start w:val="1"/>
      <w:numFmt w:val="chineseCountingThousand"/>
      <w:pStyle w:val="6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F247B0F"/>
    <w:multiLevelType w:val="multilevel"/>
    <w:tmpl w:val="3F247B0F"/>
    <w:lvl w:ilvl="0" w:tentative="0">
      <w:start w:val="1"/>
      <w:numFmt w:val="decimal"/>
      <w:pStyle w:val="9"/>
      <w:lvlText w:val="%1.1.1"/>
      <w:lvlJc w:val="left"/>
      <w:pPr>
        <w:ind w:left="420" w:hanging="420"/>
      </w:pPr>
      <w:rPr>
        <w:rFonts w:hint="eastAsia" w:cs="Times New Roman" w:asciiTheme="minorEastAsia" w:hAnsiTheme="minorEastAsia" w:eastAsiaTheme="minorEastAsia"/>
        <w:b/>
        <w:bCs w:val="0"/>
        <w:i w:val="0"/>
        <w:iCs w:val="0"/>
        <w:caps w:val="0"/>
        <w:smallCaps w:val="0"/>
        <w:strike w:val="0"/>
        <w:dstrike w:val="0"/>
        <w:vanish w:val="0"/>
        <w:color w:val="000000"/>
        <w:spacing w:val="0"/>
        <w:position w:val="0"/>
        <w:sz w:val="21"/>
        <w:szCs w:val="21"/>
        <w:u w:val="none"/>
        <w:vertAlign w:val="baseline"/>
      </w:rPr>
    </w:lvl>
    <w:lvl w:ilvl="1" w:tentative="0">
      <w:start w:val="1"/>
      <w:numFmt w:val="decimal"/>
      <w:lvlText w:val="(%2)"/>
      <w:lvlJc w:val="left"/>
      <w:pPr>
        <w:ind w:left="840" w:hanging="4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5E8288F"/>
    <w:multiLevelType w:val="multilevel"/>
    <w:tmpl w:val="45E8288F"/>
    <w:lvl w:ilvl="0" w:tentative="0">
      <w:start w:val="1"/>
      <w:numFmt w:val="decimal"/>
      <w:pStyle w:val="72"/>
      <w:lvlText w:val="%1"/>
      <w:lvlJc w:val="left"/>
      <w:pPr>
        <w:ind w:left="420" w:hanging="420"/>
      </w:pPr>
      <w:rPr>
        <w:rFonts w:hint="default"/>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DA3389C"/>
    <w:multiLevelType w:val="multilevel"/>
    <w:tmpl w:val="4DA3389C"/>
    <w:lvl w:ilvl="0" w:tentative="0">
      <w:start w:val="1"/>
      <w:numFmt w:val="decimal"/>
      <w:pStyle w:val="7"/>
      <w:lvlText w:val="%1"/>
      <w:lvlJc w:val="left"/>
      <w:pPr>
        <w:ind w:left="432" w:hanging="432"/>
      </w:pPr>
      <w:rPr>
        <w:rFonts w:ascii="Times New Roman" w:hAnsi="Times New Roman" w:cs="Times New Roman"/>
        <w:i w:val="0"/>
        <w:iCs w:val="0"/>
        <w:caps w:val="0"/>
        <w:smallCaps w:val="0"/>
        <w:strike w:val="0"/>
        <w:dstrike w:val="0"/>
        <w:vanish w:val="0"/>
        <w:color w:val="000000"/>
        <w:spacing w:val="0"/>
        <w:position w:val="0"/>
        <w:u w:val="none"/>
        <w:vertAlign w:val="baseline"/>
      </w:rPr>
    </w:lvl>
    <w:lvl w:ilvl="1" w:tentative="0">
      <w:start w:val="1"/>
      <w:numFmt w:val="decimal"/>
      <w:lvlText w:val="%1.%2"/>
      <w:lvlJc w:val="left"/>
      <w:pPr>
        <w:ind w:left="576" w:hanging="576"/>
      </w:pPr>
      <w:rPr>
        <w:rFonts w:ascii="Times New Roman" w:hAnsi="Times New Roman" w:cs="Times New Roman"/>
        <w:b/>
        <w:bCs w:val="0"/>
        <w:i w:val="0"/>
        <w:iCs w:val="0"/>
        <w:caps w:val="0"/>
        <w:smallCaps w:val="0"/>
        <w:strike w:val="0"/>
        <w:dstrike w:val="0"/>
        <w:vanish w:val="0"/>
        <w:color w:val="000000"/>
        <w:spacing w:val="0"/>
        <w:position w:val="0"/>
        <w:u w:val="none"/>
        <w:vertAlign w:val="baseline"/>
      </w:rPr>
    </w:lvl>
    <w:lvl w:ilvl="2" w:tentative="0">
      <w:start w:val="1"/>
      <w:numFmt w:val="decimal"/>
      <w:lvlText w:val="%1.%2.%3"/>
      <w:lvlJc w:val="left"/>
      <w:pPr>
        <w:ind w:left="720" w:hanging="7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3" w:tentative="0">
      <w:start w:val="1"/>
      <w:numFmt w:val="decimal"/>
      <w:lvlText w:val="%1.%2.%3.%4"/>
      <w:lvlJc w:val="left"/>
      <w:pPr>
        <w:ind w:left="864" w:hanging="864"/>
      </w:pPr>
      <w:rPr>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8">
    <w:nsid w:val="5D01C92C"/>
    <w:multiLevelType w:val="singleLevel"/>
    <w:tmpl w:val="5D01C92C"/>
    <w:lvl w:ilvl="0" w:tentative="0">
      <w:start w:val="1"/>
      <w:numFmt w:val="decimal"/>
      <w:suff w:val="nothing"/>
      <w:lvlText w:val="%1）"/>
      <w:lvlJc w:val="left"/>
    </w:lvl>
  </w:abstractNum>
  <w:abstractNum w:abstractNumId="9">
    <w:nsid w:val="7D0C01C4"/>
    <w:multiLevelType w:val="multilevel"/>
    <w:tmpl w:val="7D0C01C4"/>
    <w:lvl w:ilvl="0" w:tentative="0">
      <w:start w:val="1"/>
      <w:numFmt w:val="decimal"/>
      <w:lvlText w:val="(%1)"/>
      <w:lvlJc w:val="left"/>
      <w:pPr>
        <w:ind w:left="420" w:hanging="420"/>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rPr>
    </w:lvl>
    <w:lvl w:ilvl="1" w:tentative="0">
      <w:start w:val="1"/>
      <w:numFmt w:val="decimal"/>
      <w:pStyle w:val="71"/>
      <w:lvlText w:val="(%2)"/>
      <w:lvlJc w:val="left"/>
      <w:pPr>
        <w:ind w:left="840" w:hanging="420"/>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5"/>
  </w:num>
  <w:num w:numId="3">
    <w:abstractNumId w:val="1"/>
  </w:num>
  <w:num w:numId="4">
    <w:abstractNumId w:val="4"/>
  </w:num>
  <w:num w:numId="5">
    <w:abstractNumId w:val="9"/>
  </w:num>
  <w:num w:numId="6">
    <w:abstractNumId w:val="6"/>
  </w:num>
  <w:num w:numId="7">
    <w:abstractNumId w:val="3"/>
  </w:num>
  <w:num w:numId="8">
    <w:abstractNumId w:val="8"/>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doNotDisplayPageBoundaries w:val="1"/>
  <w:embedSystemFonts/>
  <w:bordersDoNotSurroundHeader w:val="0"/>
  <w:bordersDoNotSurroundFooter w:val="0"/>
  <w:hideSpellingErrors/>
  <w:documentProtection w:edit="forms" w:formatting="1" w:enforcement="0"/>
  <w:defaultTabStop w:val="420"/>
  <w:drawingGridHorizontalSpacing w:val="140"/>
  <w:drawingGridVerticalSpacing w:val="192"/>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2MDBjNjIxOTEyMjYyZTQ0ODVlODUwNjNlNmM0MzYifQ=="/>
  </w:docVars>
  <w:rsids>
    <w:rsidRoot w:val="00172A27"/>
    <w:rsid w:val="000008E1"/>
    <w:rsid w:val="00000A70"/>
    <w:rsid w:val="000065ED"/>
    <w:rsid w:val="00015244"/>
    <w:rsid w:val="0002117A"/>
    <w:rsid w:val="00023AA9"/>
    <w:rsid w:val="000330BD"/>
    <w:rsid w:val="00033A58"/>
    <w:rsid w:val="000434B1"/>
    <w:rsid w:val="0005170D"/>
    <w:rsid w:val="00055161"/>
    <w:rsid w:val="00061F95"/>
    <w:rsid w:val="00065212"/>
    <w:rsid w:val="000668BA"/>
    <w:rsid w:val="0007376C"/>
    <w:rsid w:val="00074792"/>
    <w:rsid w:val="00083E00"/>
    <w:rsid w:val="0008433A"/>
    <w:rsid w:val="000904BA"/>
    <w:rsid w:val="00097974"/>
    <w:rsid w:val="000A3B44"/>
    <w:rsid w:val="000A5282"/>
    <w:rsid w:val="000B0F29"/>
    <w:rsid w:val="000B408E"/>
    <w:rsid w:val="000B44D3"/>
    <w:rsid w:val="000C1375"/>
    <w:rsid w:val="000C45A4"/>
    <w:rsid w:val="000C54D5"/>
    <w:rsid w:val="000C7D48"/>
    <w:rsid w:val="000D3544"/>
    <w:rsid w:val="000E0D1E"/>
    <w:rsid w:val="000E5070"/>
    <w:rsid w:val="000E6730"/>
    <w:rsid w:val="000E6CD1"/>
    <w:rsid w:val="000E71F1"/>
    <w:rsid w:val="000E74B5"/>
    <w:rsid w:val="000F0A56"/>
    <w:rsid w:val="000F156A"/>
    <w:rsid w:val="000F302E"/>
    <w:rsid w:val="000F50C8"/>
    <w:rsid w:val="001067CC"/>
    <w:rsid w:val="00111B24"/>
    <w:rsid w:val="001139B1"/>
    <w:rsid w:val="00115A92"/>
    <w:rsid w:val="001203B7"/>
    <w:rsid w:val="0012055D"/>
    <w:rsid w:val="0012206E"/>
    <w:rsid w:val="001259CE"/>
    <w:rsid w:val="00130D49"/>
    <w:rsid w:val="00136BC1"/>
    <w:rsid w:val="00140CC3"/>
    <w:rsid w:val="00153712"/>
    <w:rsid w:val="0016039A"/>
    <w:rsid w:val="00161AB4"/>
    <w:rsid w:val="001628B7"/>
    <w:rsid w:val="00172A27"/>
    <w:rsid w:val="00173350"/>
    <w:rsid w:val="00181C3A"/>
    <w:rsid w:val="00182B0A"/>
    <w:rsid w:val="00185156"/>
    <w:rsid w:val="00193A99"/>
    <w:rsid w:val="001A0E79"/>
    <w:rsid w:val="001A581C"/>
    <w:rsid w:val="001B0537"/>
    <w:rsid w:val="001B24DF"/>
    <w:rsid w:val="001C21C3"/>
    <w:rsid w:val="001E151C"/>
    <w:rsid w:val="001E387C"/>
    <w:rsid w:val="001E5FB7"/>
    <w:rsid w:val="001F08BA"/>
    <w:rsid w:val="001F21DB"/>
    <w:rsid w:val="001F523E"/>
    <w:rsid w:val="001F7F09"/>
    <w:rsid w:val="0020397A"/>
    <w:rsid w:val="0021324E"/>
    <w:rsid w:val="0021597C"/>
    <w:rsid w:val="00216B5B"/>
    <w:rsid w:val="002204B8"/>
    <w:rsid w:val="00220F4D"/>
    <w:rsid w:val="00237D72"/>
    <w:rsid w:val="00245A11"/>
    <w:rsid w:val="00250FAF"/>
    <w:rsid w:val="00252622"/>
    <w:rsid w:val="00263B4B"/>
    <w:rsid w:val="00263D7D"/>
    <w:rsid w:val="00267D97"/>
    <w:rsid w:val="00270A6C"/>
    <w:rsid w:val="002739F7"/>
    <w:rsid w:val="00276DF5"/>
    <w:rsid w:val="00285C5C"/>
    <w:rsid w:val="00291195"/>
    <w:rsid w:val="00295E1F"/>
    <w:rsid w:val="002A7B0C"/>
    <w:rsid w:val="002B463B"/>
    <w:rsid w:val="002B489A"/>
    <w:rsid w:val="002C22FA"/>
    <w:rsid w:val="002C3EEF"/>
    <w:rsid w:val="002D70AD"/>
    <w:rsid w:val="002E69B2"/>
    <w:rsid w:val="002F3E4C"/>
    <w:rsid w:val="00302E01"/>
    <w:rsid w:val="00305CE7"/>
    <w:rsid w:val="0030715B"/>
    <w:rsid w:val="003240EF"/>
    <w:rsid w:val="00324DDB"/>
    <w:rsid w:val="003266D7"/>
    <w:rsid w:val="00327E5D"/>
    <w:rsid w:val="00330FB3"/>
    <w:rsid w:val="00331B2E"/>
    <w:rsid w:val="00336759"/>
    <w:rsid w:val="00343E27"/>
    <w:rsid w:val="0035231C"/>
    <w:rsid w:val="003557CD"/>
    <w:rsid w:val="003650E7"/>
    <w:rsid w:val="00381481"/>
    <w:rsid w:val="00391535"/>
    <w:rsid w:val="00393656"/>
    <w:rsid w:val="00396270"/>
    <w:rsid w:val="00396EE8"/>
    <w:rsid w:val="00397A49"/>
    <w:rsid w:val="003A6F34"/>
    <w:rsid w:val="003B674B"/>
    <w:rsid w:val="003B7146"/>
    <w:rsid w:val="003C0AB7"/>
    <w:rsid w:val="003C1241"/>
    <w:rsid w:val="003C2919"/>
    <w:rsid w:val="003C3507"/>
    <w:rsid w:val="003C4A45"/>
    <w:rsid w:val="003D1F7A"/>
    <w:rsid w:val="003E63B7"/>
    <w:rsid w:val="003E69D9"/>
    <w:rsid w:val="003F417C"/>
    <w:rsid w:val="004033D7"/>
    <w:rsid w:val="004162E8"/>
    <w:rsid w:val="00420CC9"/>
    <w:rsid w:val="0042274E"/>
    <w:rsid w:val="00423BC2"/>
    <w:rsid w:val="00425A1B"/>
    <w:rsid w:val="004324B5"/>
    <w:rsid w:val="00434E8C"/>
    <w:rsid w:val="004358EE"/>
    <w:rsid w:val="00435E10"/>
    <w:rsid w:val="00447063"/>
    <w:rsid w:val="00452F74"/>
    <w:rsid w:val="004545CF"/>
    <w:rsid w:val="00455508"/>
    <w:rsid w:val="00464B27"/>
    <w:rsid w:val="004652C4"/>
    <w:rsid w:val="00480FA6"/>
    <w:rsid w:val="00482912"/>
    <w:rsid w:val="00487A73"/>
    <w:rsid w:val="00492D1F"/>
    <w:rsid w:val="004968E4"/>
    <w:rsid w:val="004B003B"/>
    <w:rsid w:val="004B12DC"/>
    <w:rsid w:val="004B6BC1"/>
    <w:rsid w:val="004B7133"/>
    <w:rsid w:val="004C0B00"/>
    <w:rsid w:val="004C1D99"/>
    <w:rsid w:val="004C5663"/>
    <w:rsid w:val="004D285D"/>
    <w:rsid w:val="004D632D"/>
    <w:rsid w:val="004E1737"/>
    <w:rsid w:val="004E2066"/>
    <w:rsid w:val="004E4C63"/>
    <w:rsid w:val="004E610C"/>
    <w:rsid w:val="004F09BA"/>
    <w:rsid w:val="004F2398"/>
    <w:rsid w:val="004F6E93"/>
    <w:rsid w:val="004F78A0"/>
    <w:rsid w:val="005000E7"/>
    <w:rsid w:val="00507976"/>
    <w:rsid w:val="005321D3"/>
    <w:rsid w:val="00532A15"/>
    <w:rsid w:val="00536A55"/>
    <w:rsid w:val="005418CC"/>
    <w:rsid w:val="00542012"/>
    <w:rsid w:val="00543DBA"/>
    <w:rsid w:val="00544D16"/>
    <w:rsid w:val="00550852"/>
    <w:rsid w:val="00563D25"/>
    <w:rsid w:val="00565AC2"/>
    <w:rsid w:val="005702EC"/>
    <w:rsid w:val="00572B57"/>
    <w:rsid w:val="00576C34"/>
    <w:rsid w:val="005818DE"/>
    <w:rsid w:val="00581A7F"/>
    <w:rsid w:val="005833DA"/>
    <w:rsid w:val="00584F77"/>
    <w:rsid w:val="005875CE"/>
    <w:rsid w:val="005933F9"/>
    <w:rsid w:val="005959C4"/>
    <w:rsid w:val="005A30F8"/>
    <w:rsid w:val="005A3546"/>
    <w:rsid w:val="005A5080"/>
    <w:rsid w:val="005B1586"/>
    <w:rsid w:val="005C0AF7"/>
    <w:rsid w:val="005C3D2F"/>
    <w:rsid w:val="005C3F29"/>
    <w:rsid w:val="005C4627"/>
    <w:rsid w:val="005C5B83"/>
    <w:rsid w:val="005D1CDE"/>
    <w:rsid w:val="005D3FEB"/>
    <w:rsid w:val="005D48AC"/>
    <w:rsid w:val="005D5653"/>
    <w:rsid w:val="005E00AA"/>
    <w:rsid w:val="005F4836"/>
    <w:rsid w:val="005F4C05"/>
    <w:rsid w:val="00601983"/>
    <w:rsid w:val="006077DB"/>
    <w:rsid w:val="00612345"/>
    <w:rsid w:val="006146FF"/>
    <w:rsid w:val="0062237B"/>
    <w:rsid w:val="006225F5"/>
    <w:rsid w:val="00626666"/>
    <w:rsid w:val="00631265"/>
    <w:rsid w:val="006352C8"/>
    <w:rsid w:val="00642AF7"/>
    <w:rsid w:val="00644B78"/>
    <w:rsid w:val="00665745"/>
    <w:rsid w:val="006801CB"/>
    <w:rsid w:val="006843AE"/>
    <w:rsid w:val="0068455A"/>
    <w:rsid w:val="00694716"/>
    <w:rsid w:val="006A2135"/>
    <w:rsid w:val="006B27FE"/>
    <w:rsid w:val="006B303D"/>
    <w:rsid w:val="006B3725"/>
    <w:rsid w:val="006B4857"/>
    <w:rsid w:val="006B6E42"/>
    <w:rsid w:val="006B7908"/>
    <w:rsid w:val="006C2291"/>
    <w:rsid w:val="006E524C"/>
    <w:rsid w:val="006E6E40"/>
    <w:rsid w:val="006F3A61"/>
    <w:rsid w:val="0070172A"/>
    <w:rsid w:val="007034D5"/>
    <w:rsid w:val="00704294"/>
    <w:rsid w:val="00705987"/>
    <w:rsid w:val="00716C36"/>
    <w:rsid w:val="00725EBA"/>
    <w:rsid w:val="00732807"/>
    <w:rsid w:val="00737C7B"/>
    <w:rsid w:val="007417C3"/>
    <w:rsid w:val="00743456"/>
    <w:rsid w:val="007474D2"/>
    <w:rsid w:val="007523E4"/>
    <w:rsid w:val="00752EDE"/>
    <w:rsid w:val="007570BA"/>
    <w:rsid w:val="00766A78"/>
    <w:rsid w:val="0077229A"/>
    <w:rsid w:val="00775999"/>
    <w:rsid w:val="00775A33"/>
    <w:rsid w:val="00780C46"/>
    <w:rsid w:val="00784C9B"/>
    <w:rsid w:val="00790C19"/>
    <w:rsid w:val="00790CF5"/>
    <w:rsid w:val="00795A49"/>
    <w:rsid w:val="007A1658"/>
    <w:rsid w:val="007A4AE7"/>
    <w:rsid w:val="007B03B1"/>
    <w:rsid w:val="007B301A"/>
    <w:rsid w:val="007B68B1"/>
    <w:rsid w:val="007C0CC1"/>
    <w:rsid w:val="007C18B3"/>
    <w:rsid w:val="007C64F4"/>
    <w:rsid w:val="007D080D"/>
    <w:rsid w:val="007D1529"/>
    <w:rsid w:val="007E06F1"/>
    <w:rsid w:val="007E3D22"/>
    <w:rsid w:val="007F1A4A"/>
    <w:rsid w:val="007F2927"/>
    <w:rsid w:val="007F46BF"/>
    <w:rsid w:val="007F65D4"/>
    <w:rsid w:val="00803E26"/>
    <w:rsid w:val="008147CF"/>
    <w:rsid w:val="008162EC"/>
    <w:rsid w:val="0083524E"/>
    <w:rsid w:val="00852603"/>
    <w:rsid w:val="00856061"/>
    <w:rsid w:val="0086363B"/>
    <w:rsid w:val="00865FC8"/>
    <w:rsid w:val="00870EDF"/>
    <w:rsid w:val="00877818"/>
    <w:rsid w:val="00881BC6"/>
    <w:rsid w:val="00885C8B"/>
    <w:rsid w:val="00885FBE"/>
    <w:rsid w:val="008868B8"/>
    <w:rsid w:val="00895B75"/>
    <w:rsid w:val="008975FC"/>
    <w:rsid w:val="008B2847"/>
    <w:rsid w:val="008B3DDE"/>
    <w:rsid w:val="008B44BD"/>
    <w:rsid w:val="008B5CC9"/>
    <w:rsid w:val="008B652A"/>
    <w:rsid w:val="008D1801"/>
    <w:rsid w:val="008E59D4"/>
    <w:rsid w:val="008F2613"/>
    <w:rsid w:val="00900EFD"/>
    <w:rsid w:val="009239F8"/>
    <w:rsid w:val="00927553"/>
    <w:rsid w:val="00931732"/>
    <w:rsid w:val="00933648"/>
    <w:rsid w:val="00936E00"/>
    <w:rsid w:val="00941371"/>
    <w:rsid w:val="00944528"/>
    <w:rsid w:val="00950FFE"/>
    <w:rsid w:val="009618A2"/>
    <w:rsid w:val="00962230"/>
    <w:rsid w:val="0096610F"/>
    <w:rsid w:val="00971C89"/>
    <w:rsid w:val="0097571A"/>
    <w:rsid w:val="00976FB2"/>
    <w:rsid w:val="00981D41"/>
    <w:rsid w:val="00982060"/>
    <w:rsid w:val="009A1591"/>
    <w:rsid w:val="009B0895"/>
    <w:rsid w:val="009B2A95"/>
    <w:rsid w:val="009B6286"/>
    <w:rsid w:val="009B7DC6"/>
    <w:rsid w:val="009C427C"/>
    <w:rsid w:val="009E025A"/>
    <w:rsid w:val="009E2B48"/>
    <w:rsid w:val="009E3313"/>
    <w:rsid w:val="009E456B"/>
    <w:rsid w:val="009F0364"/>
    <w:rsid w:val="009F2CBF"/>
    <w:rsid w:val="009F46E8"/>
    <w:rsid w:val="009F4B0B"/>
    <w:rsid w:val="00A03336"/>
    <w:rsid w:val="00A04C68"/>
    <w:rsid w:val="00A07412"/>
    <w:rsid w:val="00A12FF2"/>
    <w:rsid w:val="00A136DD"/>
    <w:rsid w:val="00A1523F"/>
    <w:rsid w:val="00A23074"/>
    <w:rsid w:val="00A245C1"/>
    <w:rsid w:val="00A314EF"/>
    <w:rsid w:val="00A3524D"/>
    <w:rsid w:val="00A35997"/>
    <w:rsid w:val="00A3620E"/>
    <w:rsid w:val="00A40E5C"/>
    <w:rsid w:val="00A46A83"/>
    <w:rsid w:val="00A474D3"/>
    <w:rsid w:val="00A47CAC"/>
    <w:rsid w:val="00A548CB"/>
    <w:rsid w:val="00A55404"/>
    <w:rsid w:val="00A55CFD"/>
    <w:rsid w:val="00A658DF"/>
    <w:rsid w:val="00A74205"/>
    <w:rsid w:val="00A74BD0"/>
    <w:rsid w:val="00A80340"/>
    <w:rsid w:val="00AA1CF2"/>
    <w:rsid w:val="00AB532A"/>
    <w:rsid w:val="00AC43B1"/>
    <w:rsid w:val="00AC7FA2"/>
    <w:rsid w:val="00AD21B0"/>
    <w:rsid w:val="00AD496E"/>
    <w:rsid w:val="00AD7DFC"/>
    <w:rsid w:val="00AE0ECC"/>
    <w:rsid w:val="00AE4657"/>
    <w:rsid w:val="00AE5FA6"/>
    <w:rsid w:val="00AF2A02"/>
    <w:rsid w:val="00B148FB"/>
    <w:rsid w:val="00B165B2"/>
    <w:rsid w:val="00B17E08"/>
    <w:rsid w:val="00B215DC"/>
    <w:rsid w:val="00B2494E"/>
    <w:rsid w:val="00B30921"/>
    <w:rsid w:val="00B366AE"/>
    <w:rsid w:val="00B374F4"/>
    <w:rsid w:val="00B41AF3"/>
    <w:rsid w:val="00B462FB"/>
    <w:rsid w:val="00B549CC"/>
    <w:rsid w:val="00B552AE"/>
    <w:rsid w:val="00B744D2"/>
    <w:rsid w:val="00B75081"/>
    <w:rsid w:val="00B76F1A"/>
    <w:rsid w:val="00B914A1"/>
    <w:rsid w:val="00B92DFE"/>
    <w:rsid w:val="00B92F49"/>
    <w:rsid w:val="00B93440"/>
    <w:rsid w:val="00B94D7C"/>
    <w:rsid w:val="00B9750B"/>
    <w:rsid w:val="00BA162C"/>
    <w:rsid w:val="00BA23CF"/>
    <w:rsid w:val="00BA6705"/>
    <w:rsid w:val="00BB2A76"/>
    <w:rsid w:val="00BB6036"/>
    <w:rsid w:val="00BC12E2"/>
    <w:rsid w:val="00BC2780"/>
    <w:rsid w:val="00BC3524"/>
    <w:rsid w:val="00BC40CA"/>
    <w:rsid w:val="00BC543D"/>
    <w:rsid w:val="00BC69B5"/>
    <w:rsid w:val="00BD2CA8"/>
    <w:rsid w:val="00BE4628"/>
    <w:rsid w:val="00BE54B1"/>
    <w:rsid w:val="00BF01DE"/>
    <w:rsid w:val="00BF73DA"/>
    <w:rsid w:val="00BF7C54"/>
    <w:rsid w:val="00C02112"/>
    <w:rsid w:val="00C06DAE"/>
    <w:rsid w:val="00C12619"/>
    <w:rsid w:val="00C224FA"/>
    <w:rsid w:val="00C22F12"/>
    <w:rsid w:val="00C400B5"/>
    <w:rsid w:val="00C41765"/>
    <w:rsid w:val="00C463F0"/>
    <w:rsid w:val="00C511DF"/>
    <w:rsid w:val="00C522B0"/>
    <w:rsid w:val="00C53B91"/>
    <w:rsid w:val="00C54679"/>
    <w:rsid w:val="00C56B25"/>
    <w:rsid w:val="00C61878"/>
    <w:rsid w:val="00C75021"/>
    <w:rsid w:val="00C77393"/>
    <w:rsid w:val="00C778C3"/>
    <w:rsid w:val="00C8501A"/>
    <w:rsid w:val="00C92300"/>
    <w:rsid w:val="00C92E3C"/>
    <w:rsid w:val="00C94F77"/>
    <w:rsid w:val="00CA26D5"/>
    <w:rsid w:val="00CA506D"/>
    <w:rsid w:val="00CA5EA7"/>
    <w:rsid w:val="00CB3A0E"/>
    <w:rsid w:val="00CC0291"/>
    <w:rsid w:val="00CC2D26"/>
    <w:rsid w:val="00CC5BCF"/>
    <w:rsid w:val="00CE31BC"/>
    <w:rsid w:val="00CF072A"/>
    <w:rsid w:val="00CF6C9D"/>
    <w:rsid w:val="00CF71BC"/>
    <w:rsid w:val="00D02704"/>
    <w:rsid w:val="00D13867"/>
    <w:rsid w:val="00D16171"/>
    <w:rsid w:val="00D16550"/>
    <w:rsid w:val="00D21245"/>
    <w:rsid w:val="00D22B59"/>
    <w:rsid w:val="00D236C0"/>
    <w:rsid w:val="00D2745F"/>
    <w:rsid w:val="00D302D9"/>
    <w:rsid w:val="00D3343A"/>
    <w:rsid w:val="00D34AA0"/>
    <w:rsid w:val="00D36485"/>
    <w:rsid w:val="00D42FDD"/>
    <w:rsid w:val="00D51B55"/>
    <w:rsid w:val="00D574A0"/>
    <w:rsid w:val="00D57AA6"/>
    <w:rsid w:val="00D60110"/>
    <w:rsid w:val="00D62CBC"/>
    <w:rsid w:val="00D635D8"/>
    <w:rsid w:val="00D6517C"/>
    <w:rsid w:val="00D6667D"/>
    <w:rsid w:val="00D67936"/>
    <w:rsid w:val="00D71C26"/>
    <w:rsid w:val="00D750C9"/>
    <w:rsid w:val="00D75E1F"/>
    <w:rsid w:val="00D81457"/>
    <w:rsid w:val="00D81B7F"/>
    <w:rsid w:val="00D84908"/>
    <w:rsid w:val="00D849B3"/>
    <w:rsid w:val="00D869FC"/>
    <w:rsid w:val="00D92837"/>
    <w:rsid w:val="00D95EB6"/>
    <w:rsid w:val="00DA0E91"/>
    <w:rsid w:val="00DB392E"/>
    <w:rsid w:val="00DB3D38"/>
    <w:rsid w:val="00DB7F4C"/>
    <w:rsid w:val="00DC01A6"/>
    <w:rsid w:val="00DC19CB"/>
    <w:rsid w:val="00DC2E50"/>
    <w:rsid w:val="00DC3BBC"/>
    <w:rsid w:val="00DC499A"/>
    <w:rsid w:val="00DD3DCA"/>
    <w:rsid w:val="00DD4735"/>
    <w:rsid w:val="00DD73A0"/>
    <w:rsid w:val="00DF3D49"/>
    <w:rsid w:val="00E03C6F"/>
    <w:rsid w:val="00E045D6"/>
    <w:rsid w:val="00E04FAD"/>
    <w:rsid w:val="00E05FCE"/>
    <w:rsid w:val="00E0684C"/>
    <w:rsid w:val="00E11F85"/>
    <w:rsid w:val="00E13F8B"/>
    <w:rsid w:val="00E22918"/>
    <w:rsid w:val="00E267FD"/>
    <w:rsid w:val="00E3149A"/>
    <w:rsid w:val="00E327B5"/>
    <w:rsid w:val="00E33D36"/>
    <w:rsid w:val="00E35501"/>
    <w:rsid w:val="00E36542"/>
    <w:rsid w:val="00E369BA"/>
    <w:rsid w:val="00E41964"/>
    <w:rsid w:val="00E46C45"/>
    <w:rsid w:val="00E500E9"/>
    <w:rsid w:val="00E52B2F"/>
    <w:rsid w:val="00E5685A"/>
    <w:rsid w:val="00E634E6"/>
    <w:rsid w:val="00E668A3"/>
    <w:rsid w:val="00E733CF"/>
    <w:rsid w:val="00E746BE"/>
    <w:rsid w:val="00E74D82"/>
    <w:rsid w:val="00E74F9B"/>
    <w:rsid w:val="00E7598C"/>
    <w:rsid w:val="00E77AE8"/>
    <w:rsid w:val="00E82BDE"/>
    <w:rsid w:val="00E9268B"/>
    <w:rsid w:val="00E95A40"/>
    <w:rsid w:val="00EA0569"/>
    <w:rsid w:val="00EA3438"/>
    <w:rsid w:val="00EA5FB2"/>
    <w:rsid w:val="00EA7110"/>
    <w:rsid w:val="00EA7841"/>
    <w:rsid w:val="00EB4B12"/>
    <w:rsid w:val="00EC3CC9"/>
    <w:rsid w:val="00ED2E32"/>
    <w:rsid w:val="00ED7426"/>
    <w:rsid w:val="00EE42BB"/>
    <w:rsid w:val="00EE7BB2"/>
    <w:rsid w:val="00EE7C69"/>
    <w:rsid w:val="00EF43E8"/>
    <w:rsid w:val="00EF6053"/>
    <w:rsid w:val="00F01E5B"/>
    <w:rsid w:val="00F062F0"/>
    <w:rsid w:val="00F129DA"/>
    <w:rsid w:val="00F14CC6"/>
    <w:rsid w:val="00F2322B"/>
    <w:rsid w:val="00F265FF"/>
    <w:rsid w:val="00F271E9"/>
    <w:rsid w:val="00F2764A"/>
    <w:rsid w:val="00F27970"/>
    <w:rsid w:val="00F33D8C"/>
    <w:rsid w:val="00F36A8B"/>
    <w:rsid w:val="00F37358"/>
    <w:rsid w:val="00F42F70"/>
    <w:rsid w:val="00F53763"/>
    <w:rsid w:val="00F54792"/>
    <w:rsid w:val="00F607FD"/>
    <w:rsid w:val="00F6377B"/>
    <w:rsid w:val="00F71696"/>
    <w:rsid w:val="00F84B49"/>
    <w:rsid w:val="00F909FC"/>
    <w:rsid w:val="00F91F53"/>
    <w:rsid w:val="00F962B6"/>
    <w:rsid w:val="00FA74D1"/>
    <w:rsid w:val="00FB0204"/>
    <w:rsid w:val="00FB03DA"/>
    <w:rsid w:val="00FB278B"/>
    <w:rsid w:val="00FB6F2E"/>
    <w:rsid w:val="00FB7DFC"/>
    <w:rsid w:val="00FC466B"/>
    <w:rsid w:val="00FC6548"/>
    <w:rsid w:val="00FC6EC5"/>
    <w:rsid w:val="00FC7440"/>
    <w:rsid w:val="00FD0EE6"/>
    <w:rsid w:val="00FF7B41"/>
    <w:rsid w:val="01176EA7"/>
    <w:rsid w:val="011A24F4"/>
    <w:rsid w:val="013B0DE8"/>
    <w:rsid w:val="013B3C68"/>
    <w:rsid w:val="01514167"/>
    <w:rsid w:val="015754F6"/>
    <w:rsid w:val="015F7BCD"/>
    <w:rsid w:val="017C2792"/>
    <w:rsid w:val="01815D22"/>
    <w:rsid w:val="018F6A3E"/>
    <w:rsid w:val="019B3127"/>
    <w:rsid w:val="01A24BAA"/>
    <w:rsid w:val="01C0309B"/>
    <w:rsid w:val="01C34939"/>
    <w:rsid w:val="01D837DE"/>
    <w:rsid w:val="01EA40A8"/>
    <w:rsid w:val="01F645AE"/>
    <w:rsid w:val="01FD609D"/>
    <w:rsid w:val="02054F52"/>
    <w:rsid w:val="02201D8C"/>
    <w:rsid w:val="022413C1"/>
    <w:rsid w:val="022A49B8"/>
    <w:rsid w:val="022B0E5C"/>
    <w:rsid w:val="022D740A"/>
    <w:rsid w:val="023575E5"/>
    <w:rsid w:val="02493090"/>
    <w:rsid w:val="024B34C9"/>
    <w:rsid w:val="025D16C2"/>
    <w:rsid w:val="0261662C"/>
    <w:rsid w:val="026B1259"/>
    <w:rsid w:val="026B60F3"/>
    <w:rsid w:val="02704AC1"/>
    <w:rsid w:val="02781BC8"/>
    <w:rsid w:val="027B45ED"/>
    <w:rsid w:val="027B6E38"/>
    <w:rsid w:val="0284056C"/>
    <w:rsid w:val="02897931"/>
    <w:rsid w:val="02C43F5E"/>
    <w:rsid w:val="02C44E0D"/>
    <w:rsid w:val="02C778EC"/>
    <w:rsid w:val="02D409DC"/>
    <w:rsid w:val="02D4174A"/>
    <w:rsid w:val="02DD44DB"/>
    <w:rsid w:val="02E72E0B"/>
    <w:rsid w:val="02EE3048"/>
    <w:rsid w:val="030B6598"/>
    <w:rsid w:val="0314051C"/>
    <w:rsid w:val="03195159"/>
    <w:rsid w:val="031D2C8A"/>
    <w:rsid w:val="03247659"/>
    <w:rsid w:val="032747DF"/>
    <w:rsid w:val="032A4C70"/>
    <w:rsid w:val="03304250"/>
    <w:rsid w:val="03465822"/>
    <w:rsid w:val="034877EC"/>
    <w:rsid w:val="03541616"/>
    <w:rsid w:val="03555A65"/>
    <w:rsid w:val="035F78C8"/>
    <w:rsid w:val="03675EC4"/>
    <w:rsid w:val="03707B46"/>
    <w:rsid w:val="03716D43"/>
    <w:rsid w:val="037405E1"/>
    <w:rsid w:val="0381242D"/>
    <w:rsid w:val="038B1487"/>
    <w:rsid w:val="0394658D"/>
    <w:rsid w:val="03960557"/>
    <w:rsid w:val="03A76E10"/>
    <w:rsid w:val="03A908A9"/>
    <w:rsid w:val="03AE3AF3"/>
    <w:rsid w:val="03D2624F"/>
    <w:rsid w:val="03E6067B"/>
    <w:rsid w:val="03E7613A"/>
    <w:rsid w:val="03EA08A3"/>
    <w:rsid w:val="040841BD"/>
    <w:rsid w:val="04301D26"/>
    <w:rsid w:val="043861F7"/>
    <w:rsid w:val="04405DA6"/>
    <w:rsid w:val="044F768D"/>
    <w:rsid w:val="047C774D"/>
    <w:rsid w:val="04814D63"/>
    <w:rsid w:val="048A4CB9"/>
    <w:rsid w:val="04AF3B68"/>
    <w:rsid w:val="04D01477"/>
    <w:rsid w:val="04D23E0F"/>
    <w:rsid w:val="04D8694E"/>
    <w:rsid w:val="04DF5F2E"/>
    <w:rsid w:val="04E15802"/>
    <w:rsid w:val="04E452F2"/>
    <w:rsid w:val="04F90726"/>
    <w:rsid w:val="05096B07"/>
    <w:rsid w:val="05140ACC"/>
    <w:rsid w:val="051C2CDE"/>
    <w:rsid w:val="055669E8"/>
    <w:rsid w:val="056106F1"/>
    <w:rsid w:val="05616943"/>
    <w:rsid w:val="05726E26"/>
    <w:rsid w:val="05753B0A"/>
    <w:rsid w:val="05834B0B"/>
    <w:rsid w:val="0596483F"/>
    <w:rsid w:val="059C720B"/>
    <w:rsid w:val="05A30D0A"/>
    <w:rsid w:val="05A36F5B"/>
    <w:rsid w:val="05A86320"/>
    <w:rsid w:val="05B31E88"/>
    <w:rsid w:val="05B41169"/>
    <w:rsid w:val="05BD626F"/>
    <w:rsid w:val="05C869C2"/>
    <w:rsid w:val="05D72E80"/>
    <w:rsid w:val="05D747DF"/>
    <w:rsid w:val="05D84E57"/>
    <w:rsid w:val="05F538A6"/>
    <w:rsid w:val="06550AE2"/>
    <w:rsid w:val="0661350E"/>
    <w:rsid w:val="066E582D"/>
    <w:rsid w:val="067032E2"/>
    <w:rsid w:val="067B18A5"/>
    <w:rsid w:val="068C7011"/>
    <w:rsid w:val="069873E3"/>
    <w:rsid w:val="06B62CBE"/>
    <w:rsid w:val="06B91E21"/>
    <w:rsid w:val="06BC6527"/>
    <w:rsid w:val="06C278B5"/>
    <w:rsid w:val="06C31B0F"/>
    <w:rsid w:val="06CE54D7"/>
    <w:rsid w:val="06E411A0"/>
    <w:rsid w:val="06E77559"/>
    <w:rsid w:val="06E8731C"/>
    <w:rsid w:val="06EE06AA"/>
    <w:rsid w:val="07041C7C"/>
    <w:rsid w:val="070B4DB8"/>
    <w:rsid w:val="071441E0"/>
    <w:rsid w:val="07337DA8"/>
    <w:rsid w:val="07372051"/>
    <w:rsid w:val="074107DA"/>
    <w:rsid w:val="07465DF0"/>
    <w:rsid w:val="07486CD3"/>
    <w:rsid w:val="07571D9E"/>
    <w:rsid w:val="075C1E1F"/>
    <w:rsid w:val="075F5104"/>
    <w:rsid w:val="07723089"/>
    <w:rsid w:val="07754141"/>
    <w:rsid w:val="078F6F3B"/>
    <w:rsid w:val="079E5C2C"/>
    <w:rsid w:val="07AA45D1"/>
    <w:rsid w:val="07AE6410"/>
    <w:rsid w:val="07BC27F4"/>
    <w:rsid w:val="07C609BE"/>
    <w:rsid w:val="07CA07CF"/>
    <w:rsid w:val="07D23B28"/>
    <w:rsid w:val="07D6750B"/>
    <w:rsid w:val="07DB0C2F"/>
    <w:rsid w:val="07DE1CA3"/>
    <w:rsid w:val="07E37AE3"/>
    <w:rsid w:val="07EE01C0"/>
    <w:rsid w:val="07F02FA5"/>
    <w:rsid w:val="07F65A68"/>
    <w:rsid w:val="080261BB"/>
    <w:rsid w:val="08117FC1"/>
    <w:rsid w:val="081E6E89"/>
    <w:rsid w:val="08251EAA"/>
    <w:rsid w:val="0831534E"/>
    <w:rsid w:val="08334DB6"/>
    <w:rsid w:val="08352127"/>
    <w:rsid w:val="083D3697"/>
    <w:rsid w:val="086A1B4C"/>
    <w:rsid w:val="087F780C"/>
    <w:rsid w:val="08956E2B"/>
    <w:rsid w:val="08A07782"/>
    <w:rsid w:val="08A669D6"/>
    <w:rsid w:val="08A70B11"/>
    <w:rsid w:val="08B564C1"/>
    <w:rsid w:val="08BF3D9F"/>
    <w:rsid w:val="08CF1E89"/>
    <w:rsid w:val="08E642F3"/>
    <w:rsid w:val="08EC29C7"/>
    <w:rsid w:val="08FA17B0"/>
    <w:rsid w:val="08FD17C0"/>
    <w:rsid w:val="09032694"/>
    <w:rsid w:val="0911242E"/>
    <w:rsid w:val="09230059"/>
    <w:rsid w:val="09304FAA"/>
    <w:rsid w:val="093525C0"/>
    <w:rsid w:val="09537662"/>
    <w:rsid w:val="09622C8A"/>
    <w:rsid w:val="098A290C"/>
    <w:rsid w:val="098B6D8E"/>
    <w:rsid w:val="09AC4B48"/>
    <w:rsid w:val="09AC543E"/>
    <w:rsid w:val="09BC4A90"/>
    <w:rsid w:val="09CF031F"/>
    <w:rsid w:val="09E57B43"/>
    <w:rsid w:val="0A1526E3"/>
    <w:rsid w:val="0A2004D4"/>
    <w:rsid w:val="0A2F54FF"/>
    <w:rsid w:val="0A332ACA"/>
    <w:rsid w:val="0A4324DB"/>
    <w:rsid w:val="0A530F50"/>
    <w:rsid w:val="0A6567BF"/>
    <w:rsid w:val="0A6A15DF"/>
    <w:rsid w:val="0A720589"/>
    <w:rsid w:val="0A805ABD"/>
    <w:rsid w:val="0A9357F1"/>
    <w:rsid w:val="0AAC0904"/>
    <w:rsid w:val="0AAC240E"/>
    <w:rsid w:val="0AAE6186"/>
    <w:rsid w:val="0ABF0394"/>
    <w:rsid w:val="0ACF1F3C"/>
    <w:rsid w:val="0AEC3562"/>
    <w:rsid w:val="0AF3628F"/>
    <w:rsid w:val="0AF71F3F"/>
    <w:rsid w:val="0AFA761E"/>
    <w:rsid w:val="0B23068C"/>
    <w:rsid w:val="0B2A1BE8"/>
    <w:rsid w:val="0B495EAF"/>
    <w:rsid w:val="0B4A001E"/>
    <w:rsid w:val="0B4E34C6"/>
    <w:rsid w:val="0B597AF7"/>
    <w:rsid w:val="0B7078E0"/>
    <w:rsid w:val="0B786794"/>
    <w:rsid w:val="0B7A680B"/>
    <w:rsid w:val="0B7B2CB9"/>
    <w:rsid w:val="0B923CFA"/>
    <w:rsid w:val="0BC35C62"/>
    <w:rsid w:val="0BF14256"/>
    <w:rsid w:val="0C0149DC"/>
    <w:rsid w:val="0C187270"/>
    <w:rsid w:val="0C29501E"/>
    <w:rsid w:val="0C605989"/>
    <w:rsid w:val="0C7C4062"/>
    <w:rsid w:val="0C873133"/>
    <w:rsid w:val="0C9B6BDE"/>
    <w:rsid w:val="0CAA4ADF"/>
    <w:rsid w:val="0CAC4948"/>
    <w:rsid w:val="0CBD0903"/>
    <w:rsid w:val="0CBE28CD"/>
    <w:rsid w:val="0CC021A1"/>
    <w:rsid w:val="0CD16552"/>
    <w:rsid w:val="0CD21ED4"/>
    <w:rsid w:val="0CE25CC3"/>
    <w:rsid w:val="0CED63A8"/>
    <w:rsid w:val="0CEF0CD8"/>
    <w:rsid w:val="0CFA3905"/>
    <w:rsid w:val="0CFA47FB"/>
    <w:rsid w:val="0D0E5602"/>
    <w:rsid w:val="0D0E73B0"/>
    <w:rsid w:val="0D1C7AD7"/>
    <w:rsid w:val="0D2B61B4"/>
    <w:rsid w:val="0D3431BE"/>
    <w:rsid w:val="0D374B59"/>
    <w:rsid w:val="0D407D87"/>
    <w:rsid w:val="0D4E3C51"/>
    <w:rsid w:val="0D5D1755"/>
    <w:rsid w:val="0D627091"/>
    <w:rsid w:val="0D660F9A"/>
    <w:rsid w:val="0D6E42F3"/>
    <w:rsid w:val="0D7344C0"/>
    <w:rsid w:val="0D7816A8"/>
    <w:rsid w:val="0D827973"/>
    <w:rsid w:val="0D894C89"/>
    <w:rsid w:val="0D9B2962"/>
    <w:rsid w:val="0DAB6450"/>
    <w:rsid w:val="0DAD797F"/>
    <w:rsid w:val="0DAE5F03"/>
    <w:rsid w:val="0DB06CBA"/>
    <w:rsid w:val="0DB77A48"/>
    <w:rsid w:val="0DC7755F"/>
    <w:rsid w:val="0DC877D8"/>
    <w:rsid w:val="0DCD2DC7"/>
    <w:rsid w:val="0DDC300B"/>
    <w:rsid w:val="0DE8493F"/>
    <w:rsid w:val="0DF02010"/>
    <w:rsid w:val="0DF5392C"/>
    <w:rsid w:val="0DFA5B18"/>
    <w:rsid w:val="0E046E03"/>
    <w:rsid w:val="0E0A401C"/>
    <w:rsid w:val="0E0B7D94"/>
    <w:rsid w:val="0E1A3B33"/>
    <w:rsid w:val="0E1E1875"/>
    <w:rsid w:val="0E2C21E4"/>
    <w:rsid w:val="0E2F75DE"/>
    <w:rsid w:val="0E3270CE"/>
    <w:rsid w:val="0E35096D"/>
    <w:rsid w:val="0E3A394A"/>
    <w:rsid w:val="0E450FD8"/>
    <w:rsid w:val="0E487C71"/>
    <w:rsid w:val="0E4F5ED2"/>
    <w:rsid w:val="0E6B438E"/>
    <w:rsid w:val="0E6D5240"/>
    <w:rsid w:val="0E7E28AD"/>
    <w:rsid w:val="0E9658AF"/>
    <w:rsid w:val="0E990EFC"/>
    <w:rsid w:val="0EA24254"/>
    <w:rsid w:val="0EA63619"/>
    <w:rsid w:val="0EB21FBD"/>
    <w:rsid w:val="0EC55F26"/>
    <w:rsid w:val="0EDE1E49"/>
    <w:rsid w:val="0EE20AF5"/>
    <w:rsid w:val="0EE871CD"/>
    <w:rsid w:val="0EEB003C"/>
    <w:rsid w:val="0EFC034D"/>
    <w:rsid w:val="0F0D0547"/>
    <w:rsid w:val="0F0D6665"/>
    <w:rsid w:val="0F11437A"/>
    <w:rsid w:val="0F152C78"/>
    <w:rsid w:val="0F296723"/>
    <w:rsid w:val="0F307AB2"/>
    <w:rsid w:val="0F362BEE"/>
    <w:rsid w:val="0F36499C"/>
    <w:rsid w:val="0F4602E4"/>
    <w:rsid w:val="0F4946D0"/>
    <w:rsid w:val="0F621C35"/>
    <w:rsid w:val="0F64150A"/>
    <w:rsid w:val="0F6634D4"/>
    <w:rsid w:val="0F696B20"/>
    <w:rsid w:val="0F6C5FBE"/>
    <w:rsid w:val="0F730C5A"/>
    <w:rsid w:val="0F76584B"/>
    <w:rsid w:val="0F767B54"/>
    <w:rsid w:val="0F7E12F4"/>
    <w:rsid w:val="0F9022FF"/>
    <w:rsid w:val="0FA3019A"/>
    <w:rsid w:val="0FA7589A"/>
    <w:rsid w:val="0FCC5ED9"/>
    <w:rsid w:val="0FD22917"/>
    <w:rsid w:val="0FDF1CCE"/>
    <w:rsid w:val="0FE64614"/>
    <w:rsid w:val="0FFB656F"/>
    <w:rsid w:val="10152804"/>
    <w:rsid w:val="10190546"/>
    <w:rsid w:val="101E5B5C"/>
    <w:rsid w:val="10492805"/>
    <w:rsid w:val="106874A9"/>
    <w:rsid w:val="106B27A6"/>
    <w:rsid w:val="106B754A"/>
    <w:rsid w:val="107C0AD5"/>
    <w:rsid w:val="10806817"/>
    <w:rsid w:val="1092654A"/>
    <w:rsid w:val="10A2072B"/>
    <w:rsid w:val="10C20BDE"/>
    <w:rsid w:val="10D55075"/>
    <w:rsid w:val="10E92F41"/>
    <w:rsid w:val="10EA1EE2"/>
    <w:rsid w:val="10EC7A09"/>
    <w:rsid w:val="110A2505"/>
    <w:rsid w:val="111C4E64"/>
    <w:rsid w:val="111F604B"/>
    <w:rsid w:val="112A6783"/>
    <w:rsid w:val="113F222E"/>
    <w:rsid w:val="1142587A"/>
    <w:rsid w:val="115F5B97"/>
    <w:rsid w:val="11890DFD"/>
    <w:rsid w:val="1193537F"/>
    <w:rsid w:val="11967974"/>
    <w:rsid w:val="119C0518"/>
    <w:rsid w:val="11A42091"/>
    <w:rsid w:val="11C24C0D"/>
    <w:rsid w:val="11D54941"/>
    <w:rsid w:val="11E44B84"/>
    <w:rsid w:val="11E455CE"/>
    <w:rsid w:val="11FD31F5"/>
    <w:rsid w:val="12080872"/>
    <w:rsid w:val="12154D3D"/>
    <w:rsid w:val="12211934"/>
    <w:rsid w:val="1230107E"/>
    <w:rsid w:val="123553DF"/>
    <w:rsid w:val="124675EC"/>
    <w:rsid w:val="12550404"/>
    <w:rsid w:val="125F2657"/>
    <w:rsid w:val="12792B87"/>
    <w:rsid w:val="127952CC"/>
    <w:rsid w:val="128D0A61"/>
    <w:rsid w:val="12902616"/>
    <w:rsid w:val="1297302B"/>
    <w:rsid w:val="129E4D32"/>
    <w:rsid w:val="12A14823"/>
    <w:rsid w:val="12BE7183"/>
    <w:rsid w:val="12E806A4"/>
    <w:rsid w:val="12F62A8E"/>
    <w:rsid w:val="12FA25D2"/>
    <w:rsid w:val="12FE1C75"/>
    <w:rsid w:val="13015832"/>
    <w:rsid w:val="1303728B"/>
    <w:rsid w:val="130E61E4"/>
    <w:rsid w:val="13224861"/>
    <w:rsid w:val="13403B9E"/>
    <w:rsid w:val="134C51B6"/>
    <w:rsid w:val="1356385F"/>
    <w:rsid w:val="136646AF"/>
    <w:rsid w:val="13693592"/>
    <w:rsid w:val="138403CC"/>
    <w:rsid w:val="13854144"/>
    <w:rsid w:val="13957C5B"/>
    <w:rsid w:val="13960100"/>
    <w:rsid w:val="139F07F1"/>
    <w:rsid w:val="13A15D3A"/>
    <w:rsid w:val="13B87E72"/>
    <w:rsid w:val="13C24A51"/>
    <w:rsid w:val="13D135CD"/>
    <w:rsid w:val="13D17943"/>
    <w:rsid w:val="13E56991"/>
    <w:rsid w:val="13FC4407"/>
    <w:rsid w:val="14185BAF"/>
    <w:rsid w:val="141B69DF"/>
    <w:rsid w:val="142E0338"/>
    <w:rsid w:val="14321BD6"/>
    <w:rsid w:val="14333BA0"/>
    <w:rsid w:val="1433594E"/>
    <w:rsid w:val="14350E0D"/>
    <w:rsid w:val="144D2594"/>
    <w:rsid w:val="14506724"/>
    <w:rsid w:val="14536540"/>
    <w:rsid w:val="14537D9F"/>
    <w:rsid w:val="147014F3"/>
    <w:rsid w:val="14883EEC"/>
    <w:rsid w:val="14891A12"/>
    <w:rsid w:val="148A24DD"/>
    <w:rsid w:val="149914B5"/>
    <w:rsid w:val="149D786B"/>
    <w:rsid w:val="14A14F65"/>
    <w:rsid w:val="14A42434"/>
    <w:rsid w:val="14B27D42"/>
    <w:rsid w:val="14B7032D"/>
    <w:rsid w:val="14BA371D"/>
    <w:rsid w:val="14EB7FD7"/>
    <w:rsid w:val="14F0383F"/>
    <w:rsid w:val="1505553D"/>
    <w:rsid w:val="152139F9"/>
    <w:rsid w:val="152C609C"/>
    <w:rsid w:val="152D05F0"/>
    <w:rsid w:val="153E45AB"/>
    <w:rsid w:val="15406CD8"/>
    <w:rsid w:val="154222ED"/>
    <w:rsid w:val="15436065"/>
    <w:rsid w:val="155D60FE"/>
    <w:rsid w:val="1570419F"/>
    <w:rsid w:val="15962E58"/>
    <w:rsid w:val="15A07014"/>
    <w:rsid w:val="15AC7766"/>
    <w:rsid w:val="15B362EF"/>
    <w:rsid w:val="15B66837"/>
    <w:rsid w:val="16070E41"/>
    <w:rsid w:val="160E6673"/>
    <w:rsid w:val="1627221C"/>
    <w:rsid w:val="162C08A7"/>
    <w:rsid w:val="163C4F8E"/>
    <w:rsid w:val="164C46F4"/>
    <w:rsid w:val="164E4CC1"/>
    <w:rsid w:val="16666BBC"/>
    <w:rsid w:val="166B451F"/>
    <w:rsid w:val="167846F4"/>
    <w:rsid w:val="16893F4C"/>
    <w:rsid w:val="169B4A28"/>
    <w:rsid w:val="16C531D6"/>
    <w:rsid w:val="16CA259A"/>
    <w:rsid w:val="16D451C7"/>
    <w:rsid w:val="16E55353"/>
    <w:rsid w:val="17000546"/>
    <w:rsid w:val="17084E70"/>
    <w:rsid w:val="17141A67"/>
    <w:rsid w:val="171E4694"/>
    <w:rsid w:val="172779EC"/>
    <w:rsid w:val="172F68A1"/>
    <w:rsid w:val="17346F6A"/>
    <w:rsid w:val="1740460A"/>
    <w:rsid w:val="174560C4"/>
    <w:rsid w:val="175956CC"/>
    <w:rsid w:val="175D340E"/>
    <w:rsid w:val="176C53FF"/>
    <w:rsid w:val="177B3894"/>
    <w:rsid w:val="179E073E"/>
    <w:rsid w:val="17A04DC9"/>
    <w:rsid w:val="17BD6A9A"/>
    <w:rsid w:val="17CC0594"/>
    <w:rsid w:val="17CC665B"/>
    <w:rsid w:val="17D11369"/>
    <w:rsid w:val="17D11AD1"/>
    <w:rsid w:val="17D64F6F"/>
    <w:rsid w:val="17D7678C"/>
    <w:rsid w:val="17E70F2A"/>
    <w:rsid w:val="17E85C93"/>
    <w:rsid w:val="17FD00A3"/>
    <w:rsid w:val="18055854"/>
    <w:rsid w:val="182201B4"/>
    <w:rsid w:val="182376A8"/>
    <w:rsid w:val="182C643A"/>
    <w:rsid w:val="183D320B"/>
    <w:rsid w:val="184342DE"/>
    <w:rsid w:val="184B770B"/>
    <w:rsid w:val="18612A0F"/>
    <w:rsid w:val="186B4E03"/>
    <w:rsid w:val="187567E2"/>
    <w:rsid w:val="18780896"/>
    <w:rsid w:val="18783269"/>
    <w:rsid w:val="188449CB"/>
    <w:rsid w:val="18891D29"/>
    <w:rsid w:val="188B5D59"/>
    <w:rsid w:val="188D1AD1"/>
    <w:rsid w:val="18941EC8"/>
    <w:rsid w:val="18C179CD"/>
    <w:rsid w:val="18CB43A7"/>
    <w:rsid w:val="18D63C3C"/>
    <w:rsid w:val="18D96250"/>
    <w:rsid w:val="18DA0A8E"/>
    <w:rsid w:val="18DD791E"/>
    <w:rsid w:val="18F048C0"/>
    <w:rsid w:val="1900360A"/>
    <w:rsid w:val="19017DC9"/>
    <w:rsid w:val="190653E0"/>
    <w:rsid w:val="190A3122"/>
    <w:rsid w:val="191A2E94"/>
    <w:rsid w:val="191E4E1F"/>
    <w:rsid w:val="19235F91"/>
    <w:rsid w:val="195645B9"/>
    <w:rsid w:val="198A6011"/>
    <w:rsid w:val="19975A86"/>
    <w:rsid w:val="19AF7365"/>
    <w:rsid w:val="19B117EF"/>
    <w:rsid w:val="19B822D0"/>
    <w:rsid w:val="19BD0E78"/>
    <w:rsid w:val="19BE5CBA"/>
    <w:rsid w:val="19BF66B0"/>
    <w:rsid w:val="19C808E7"/>
    <w:rsid w:val="19F02EFF"/>
    <w:rsid w:val="1A02029D"/>
    <w:rsid w:val="1A0538E9"/>
    <w:rsid w:val="1A085187"/>
    <w:rsid w:val="1A0F4768"/>
    <w:rsid w:val="1A1324AA"/>
    <w:rsid w:val="1A361CF4"/>
    <w:rsid w:val="1A3764B6"/>
    <w:rsid w:val="1A435F8C"/>
    <w:rsid w:val="1A452726"/>
    <w:rsid w:val="1A477822"/>
    <w:rsid w:val="1A491A28"/>
    <w:rsid w:val="1A495ECC"/>
    <w:rsid w:val="1A5301B8"/>
    <w:rsid w:val="1A6409CC"/>
    <w:rsid w:val="1A6C5077"/>
    <w:rsid w:val="1A7171D0"/>
    <w:rsid w:val="1A803C78"/>
    <w:rsid w:val="1A807414"/>
    <w:rsid w:val="1A8674B8"/>
    <w:rsid w:val="1AA80E21"/>
    <w:rsid w:val="1AA80E44"/>
    <w:rsid w:val="1ACD58E4"/>
    <w:rsid w:val="1AE04754"/>
    <w:rsid w:val="1AE479A2"/>
    <w:rsid w:val="1AE91F28"/>
    <w:rsid w:val="1AF23E6D"/>
    <w:rsid w:val="1AFC6A9A"/>
    <w:rsid w:val="1AFD559E"/>
    <w:rsid w:val="1B06750C"/>
    <w:rsid w:val="1B1D16E2"/>
    <w:rsid w:val="1B240C79"/>
    <w:rsid w:val="1B2B5C68"/>
    <w:rsid w:val="1B2D1349"/>
    <w:rsid w:val="1B3426D8"/>
    <w:rsid w:val="1B626D7E"/>
    <w:rsid w:val="1B66485B"/>
    <w:rsid w:val="1B707488"/>
    <w:rsid w:val="1B7A609D"/>
    <w:rsid w:val="1B920742"/>
    <w:rsid w:val="1BCC3588"/>
    <w:rsid w:val="1BEF65FF"/>
    <w:rsid w:val="1BF11771"/>
    <w:rsid w:val="1C00080C"/>
    <w:rsid w:val="1C07780C"/>
    <w:rsid w:val="1C1D316C"/>
    <w:rsid w:val="1C205EA6"/>
    <w:rsid w:val="1C3217C2"/>
    <w:rsid w:val="1C3B7A96"/>
    <w:rsid w:val="1C4E77C9"/>
    <w:rsid w:val="1C5A099D"/>
    <w:rsid w:val="1C5D5171"/>
    <w:rsid w:val="1C6C53FE"/>
    <w:rsid w:val="1C6C773B"/>
    <w:rsid w:val="1C7A1738"/>
    <w:rsid w:val="1C7E6CD6"/>
    <w:rsid w:val="1C84042C"/>
    <w:rsid w:val="1C986C96"/>
    <w:rsid w:val="1CAE0268"/>
    <w:rsid w:val="1CB6536F"/>
    <w:rsid w:val="1CBF06C7"/>
    <w:rsid w:val="1CD13F56"/>
    <w:rsid w:val="1CD647D0"/>
    <w:rsid w:val="1CEC72FD"/>
    <w:rsid w:val="1CF163A7"/>
    <w:rsid w:val="1CFE11EF"/>
    <w:rsid w:val="1D022362"/>
    <w:rsid w:val="1D2C1C43"/>
    <w:rsid w:val="1D3A7D4E"/>
    <w:rsid w:val="1D3D6231"/>
    <w:rsid w:val="1D4604A0"/>
    <w:rsid w:val="1D5A2DB9"/>
    <w:rsid w:val="1D7E5E8C"/>
    <w:rsid w:val="1D8D4321"/>
    <w:rsid w:val="1D992CC6"/>
    <w:rsid w:val="1DCA7F6B"/>
    <w:rsid w:val="1DF4613B"/>
    <w:rsid w:val="1DF60118"/>
    <w:rsid w:val="1E0A7720"/>
    <w:rsid w:val="1E26477C"/>
    <w:rsid w:val="1E426EBA"/>
    <w:rsid w:val="1E5428D3"/>
    <w:rsid w:val="1E5F5CBE"/>
    <w:rsid w:val="1E72317F"/>
    <w:rsid w:val="1E82375A"/>
    <w:rsid w:val="1EA25A6C"/>
    <w:rsid w:val="1EA638ED"/>
    <w:rsid w:val="1EA65E71"/>
    <w:rsid w:val="1EA82D4A"/>
    <w:rsid w:val="1EAA1AE8"/>
    <w:rsid w:val="1EB85A19"/>
    <w:rsid w:val="1EBF10B8"/>
    <w:rsid w:val="1ECF0A05"/>
    <w:rsid w:val="1ED02718"/>
    <w:rsid w:val="1EDD4E34"/>
    <w:rsid w:val="1EF66218"/>
    <w:rsid w:val="1EF7349B"/>
    <w:rsid w:val="1EFF4DAB"/>
    <w:rsid w:val="1F066139"/>
    <w:rsid w:val="1F093E7B"/>
    <w:rsid w:val="1F1919BD"/>
    <w:rsid w:val="1F274302"/>
    <w:rsid w:val="1F4B7FF0"/>
    <w:rsid w:val="1F4F38FE"/>
    <w:rsid w:val="1F5E2E9E"/>
    <w:rsid w:val="1F616808"/>
    <w:rsid w:val="1F65734A"/>
    <w:rsid w:val="1F7D3F22"/>
    <w:rsid w:val="1F884DA0"/>
    <w:rsid w:val="1F9C791B"/>
    <w:rsid w:val="1F9D6372"/>
    <w:rsid w:val="1FAA3C51"/>
    <w:rsid w:val="1FD0417F"/>
    <w:rsid w:val="1FF544C2"/>
    <w:rsid w:val="200948BA"/>
    <w:rsid w:val="20101EA2"/>
    <w:rsid w:val="20124EEC"/>
    <w:rsid w:val="20166850"/>
    <w:rsid w:val="201C7BDE"/>
    <w:rsid w:val="201F345C"/>
    <w:rsid w:val="20436F19"/>
    <w:rsid w:val="204A5EFD"/>
    <w:rsid w:val="205C182E"/>
    <w:rsid w:val="20605D1D"/>
    <w:rsid w:val="2065036A"/>
    <w:rsid w:val="206550E2"/>
    <w:rsid w:val="206D21E8"/>
    <w:rsid w:val="208F6602"/>
    <w:rsid w:val="20906A31"/>
    <w:rsid w:val="209708FB"/>
    <w:rsid w:val="20A56FB4"/>
    <w:rsid w:val="20CA05B4"/>
    <w:rsid w:val="20E50978"/>
    <w:rsid w:val="20EC135F"/>
    <w:rsid w:val="20EE3329"/>
    <w:rsid w:val="210B3EDB"/>
    <w:rsid w:val="21260CBD"/>
    <w:rsid w:val="21266E88"/>
    <w:rsid w:val="2135095D"/>
    <w:rsid w:val="21374CD0"/>
    <w:rsid w:val="214B42D7"/>
    <w:rsid w:val="21627873"/>
    <w:rsid w:val="21724C72"/>
    <w:rsid w:val="21872D7C"/>
    <w:rsid w:val="219A7D29"/>
    <w:rsid w:val="21A4008E"/>
    <w:rsid w:val="21C80515"/>
    <w:rsid w:val="21D97B35"/>
    <w:rsid w:val="21E9560E"/>
    <w:rsid w:val="220254EF"/>
    <w:rsid w:val="220821C8"/>
    <w:rsid w:val="220B3301"/>
    <w:rsid w:val="2274785E"/>
    <w:rsid w:val="228F28EA"/>
    <w:rsid w:val="22A026F2"/>
    <w:rsid w:val="22B152FB"/>
    <w:rsid w:val="22B4720D"/>
    <w:rsid w:val="22BA5BB9"/>
    <w:rsid w:val="22C00CF5"/>
    <w:rsid w:val="22CE7B0E"/>
    <w:rsid w:val="22F23103"/>
    <w:rsid w:val="22F95D23"/>
    <w:rsid w:val="23197929"/>
    <w:rsid w:val="23243032"/>
    <w:rsid w:val="23277B39"/>
    <w:rsid w:val="23296024"/>
    <w:rsid w:val="233A0439"/>
    <w:rsid w:val="233F17B6"/>
    <w:rsid w:val="23575CDF"/>
    <w:rsid w:val="235948B6"/>
    <w:rsid w:val="235A6A54"/>
    <w:rsid w:val="235E45FE"/>
    <w:rsid w:val="23607DE2"/>
    <w:rsid w:val="236773C3"/>
    <w:rsid w:val="236944B9"/>
    <w:rsid w:val="237D2742"/>
    <w:rsid w:val="23867849"/>
    <w:rsid w:val="23A44173"/>
    <w:rsid w:val="23BC206F"/>
    <w:rsid w:val="23BE53E4"/>
    <w:rsid w:val="23C10881"/>
    <w:rsid w:val="23D22A8E"/>
    <w:rsid w:val="23DD412A"/>
    <w:rsid w:val="23E10F23"/>
    <w:rsid w:val="23E17175"/>
    <w:rsid w:val="23E44FD7"/>
    <w:rsid w:val="23F22762"/>
    <w:rsid w:val="241000C3"/>
    <w:rsid w:val="2415200F"/>
    <w:rsid w:val="241906BD"/>
    <w:rsid w:val="244553D1"/>
    <w:rsid w:val="245416F5"/>
    <w:rsid w:val="2457554D"/>
    <w:rsid w:val="246479B5"/>
    <w:rsid w:val="247022A7"/>
    <w:rsid w:val="24845B56"/>
    <w:rsid w:val="24912949"/>
    <w:rsid w:val="249C309C"/>
    <w:rsid w:val="24A87C93"/>
    <w:rsid w:val="24B94ECC"/>
    <w:rsid w:val="24D9609E"/>
    <w:rsid w:val="24EF58C0"/>
    <w:rsid w:val="24F75A07"/>
    <w:rsid w:val="24F7625E"/>
    <w:rsid w:val="25050C41"/>
    <w:rsid w:val="25053D66"/>
    <w:rsid w:val="251130A9"/>
    <w:rsid w:val="2527505B"/>
    <w:rsid w:val="252C08C4"/>
    <w:rsid w:val="25323D4B"/>
    <w:rsid w:val="25537BFE"/>
    <w:rsid w:val="2566092E"/>
    <w:rsid w:val="257E0399"/>
    <w:rsid w:val="25AC5561"/>
    <w:rsid w:val="25AD6CFA"/>
    <w:rsid w:val="25B2690D"/>
    <w:rsid w:val="25BD776E"/>
    <w:rsid w:val="25C1100C"/>
    <w:rsid w:val="25C51F49"/>
    <w:rsid w:val="25C530E8"/>
    <w:rsid w:val="25CB1E8B"/>
    <w:rsid w:val="25DD2DD7"/>
    <w:rsid w:val="25E64621"/>
    <w:rsid w:val="25E6782B"/>
    <w:rsid w:val="25F52A64"/>
    <w:rsid w:val="25F74A2E"/>
    <w:rsid w:val="260876E9"/>
    <w:rsid w:val="26127ABA"/>
    <w:rsid w:val="26176E7E"/>
    <w:rsid w:val="261B3618"/>
    <w:rsid w:val="261C1129"/>
    <w:rsid w:val="2632742E"/>
    <w:rsid w:val="264F486A"/>
    <w:rsid w:val="265A320F"/>
    <w:rsid w:val="267C4F33"/>
    <w:rsid w:val="269B185D"/>
    <w:rsid w:val="26A06F33"/>
    <w:rsid w:val="26AA7CF2"/>
    <w:rsid w:val="26D27249"/>
    <w:rsid w:val="26DE5BEE"/>
    <w:rsid w:val="26EA0F62"/>
    <w:rsid w:val="26F176CF"/>
    <w:rsid w:val="26F44292"/>
    <w:rsid w:val="27005B64"/>
    <w:rsid w:val="27057ED8"/>
    <w:rsid w:val="270F12E2"/>
    <w:rsid w:val="270F6A2B"/>
    <w:rsid w:val="2718034F"/>
    <w:rsid w:val="271963F6"/>
    <w:rsid w:val="27230146"/>
    <w:rsid w:val="27313BEE"/>
    <w:rsid w:val="275A7A66"/>
    <w:rsid w:val="27675BFE"/>
    <w:rsid w:val="27690F1C"/>
    <w:rsid w:val="27702CEA"/>
    <w:rsid w:val="27713B94"/>
    <w:rsid w:val="277B168E"/>
    <w:rsid w:val="278D6051"/>
    <w:rsid w:val="278F422D"/>
    <w:rsid w:val="2790513A"/>
    <w:rsid w:val="279369D8"/>
    <w:rsid w:val="279C782D"/>
    <w:rsid w:val="27A24E6D"/>
    <w:rsid w:val="27B5694E"/>
    <w:rsid w:val="27C242FD"/>
    <w:rsid w:val="27C269E6"/>
    <w:rsid w:val="27C46B92"/>
    <w:rsid w:val="27E64D5A"/>
    <w:rsid w:val="27F2110D"/>
    <w:rsid w:val="27F356C9"/>
    <w:rsid w:val="27FC632B"/>
    <w:rsid w:val="27FE014C"/>
    <w:rsid w:val="280671AA"/>
    <w:rsid w:val="2810627B"/>
    <w:rsid w:val="282615FA"/>
    <w:rsid w:val="28286D44"/>
    <w:rsid w:val="282F1FB4"/>
    <w:rsid w:val="2838132E"/>
    <w:rsid w:val="283B1F3C"/>
    <w:rsid w:val="284303FE"/>
    <w:rsid w:val="285A533D"/>
    <w:rsid w:val="285F7587"/>
    <w:rsid w:val="28603C1F"/>
    <w:rsid w:val="28624B48"/>
    <w:rsid w:val="286A598B"/>
    <w:rsid w:val="286D7229"/>
    <w:rsid w:val="28810F26"/>
    <w:rsid w:val="28902F18"/>
    <w:rsid w:val="28925A55"/>
    <w:rsid w:val="28C878C3"/>
    <w:rsid w:val="28D0147B"/>
    <w:rsid w:val="28D94BDF"/>
    <w:rsid w:val="28EF40E2"/>
    <w:rsid w:val="28FB4835"/>
    <w:rsid w:val="292D1AC1"/>
    <w:rsid w:val="296419B8"/>
    <w:rsid w:val="298E7457"/>
    <w:rsid w:val="29AC3D81"/>
    <w:rsid w:val="29B669AE"/>
    <w:rsid w:val="29B844D4"/>
    <w:rsid w:val="29B86668"/>
    <w:rsid w:val="29C9048F"/>
    <w:rsid w:val="29CA4207"/>
    <w:rsid w:val="29E11C7D"/>
    <w:rsid w:val="29FD45DD"/>
    <w:rsid w:val="2A1972CC"/>
    <w:rsid w:val="2A1F41BD"/>
    <w:rsid w:val="2A2B114A"/>
    <w:rsid w:val="2A2D4EC2"/>
    <w:rsid w:val="2A342359"/>
    <w:rsid w:val="2A3A138D"/>
    <w:rsid w:val="2A444B39"/>
    <w:rsid w:val="2A4D10C0"/>
    <w:rsid w:val="2A6242AD"/>
    <w:rsid w:val="2A65306B"/>
    <w:rsid w:val="2A6B1AB3"/>
    <w:rsid w:val="2A7D4E5C"/>
    <w:rsid w:val="2A982AB6"/>
    <w:rsid w:val="2A992557"/>
    <w:rsid w:val="2A9B640F"/>
    <w:rsid w:val="2AA10AC4"/>
    <w:rsid w:val="2AA548F1"/>
    <w:rsid w:val="2AE62D5F"/>
    <w:rsid w:val="2B1971F4"/>
    <w:rsid w:val="2B5A478A"/>
    <w:rsid w:val="2B5B15BB"/>
    <w:rsid w:val="2B5E0447"/>
    <w:rsid w:val="2B6D7540"/>
    <w:rsid w:val="2B7B2308"/>
    <w:rsid w:val="2B7D59D5"/>
    <w:rsid w:val="2B83289D"/>
    <w:rsid w:val="2B8E7BE2"/>
    <w:rsid w:val="2BBA0791"/>
    <w:rsid w:val="2BC74EA2"/>
    <w:rsid w:val="2BD33847"/>
    <w:rsid w:val="2BDA2E28"/>
    <w:rsid w:val="2BE21CDC"/>
    <w:rsid w:val="2BF11F1F"/>
    <w:rsid w:val="2C1856FE"/>
    <w:rsid w:val="2C1C3440"/>
    <w:rsid w:val="2C1C3529"/>
    <w:rsid w:val="2C1F147D"/>
    <w:rsid w:val="2C2C11A9"/>
    <w:rsid w:val="2C35005E"/>
    <w:rsid w:val="2C412EA7"/>
    <w:rsid w:val="2C416A03"/>
    <w:rsid w:val="2C576226"/>
    <w:rsid w:val="2C5B794A"/>
    <w:rsid w:val="2C69545A"/>
    <w:rsid w:val="2C7072E8"/>
    <w:rsid w:val="2C7B7010"/>
    <w:rsid w:val="2C864065"/>
    <w:rsid w:val="2C937FF0"/>
    <w:rsid w:val="2C954FA0"/>
    <w:rsid w:val="2CB12D13"/>
    <w:rsid w:val="2CBF612B"/>
    <w:rsid w:val="2CC413E2"/>
    <w:rsid w:val="2CC4177C"/>
    <w:rsid w:val="2CD44F11"/>
    <w:rsid w:val="2CDE24A4"/>
    <w:rsid w:val="2CDF446E"/>
    <w:rsid w:val="2CE22E69"/>
    <w:rsid w:val="2CEE2021"/>
    <w:rsid w:val="2CF45FD1"/>
    <w:rsid w:val="2D1C121E"/>
    <w:rsid w:val="2D1E4F96"/>
    <w:rsid w:val="2D2105E2"/>
    <w:rsid w:val="2D224731"/>
    <w:rsid w:val="2D3D2650"/>
    <w:rsid w:val="2D71156A"/>
    <w:rsid w:val="2D8737C0"/>
    <w:rsid w:val="2D8F19F0"/>
    <w:rsid w:val="2DA02484"/>
    <w:rsid w:val="2DA316C1"/>
    <w:rsid w:val="2DC259B9"/>
    <w:rsid w:val="2DCF003E"/>
    <w:rsid w:val="2DCF64C9"/>
    <w:rsid w:val="2DD44EFF"/>
    <w:rsid w:val="2DD60DAE"/>
    <w:rsid w:val="2DEF07E4"/>
    <w:rsid w:val="2E16360C"/>
    <w:rsid w:val="2E2657B9"/>
    <w:rsid w:val="2E3A60F1"/>
    <w:rsid w:val="2E6609A2"/>
    <w:rsid w:val="2E7330BF"/>
    <w:rsid w:val="2E772BB0"/>
    <w:rsid w:val="2E873906"/>
    <w:rsid w:val="2E983435"/>
    <w:rsid w:val="2EA0397F"/>
    <w:rsid w:val="2EA96AE1"/>
    <w:rsid w:val="2EAB071C"/>
    <w:rsid w:val="2EBF4557"/>
    <w:rsid w:val="2ECE6063"/>
    <w:rsid w:val="2EDD19F7"/>
    <w:rsid w:val="2EE07236"/>
    <w:rsid w:val="2EEE0998"/>
    <w:rsid w:val="2EF35FAE"/>
    <w:rsid w:val="2EFA10EB"/>
    <w:rsid w:val="2EFB4C0B"/>
    <w:rsid w:val="2EFD3AB2"/>
    <w:rsid w:val="2F1A4D81"/>
    <w:rsid w:val="2F2075F4"/>
    <w:rsid w:val="2F302D5E"/>
    <w:rsid w:val="2F337AD2"/>
    <w:rsid w:val="2F350375"/>
    <w:rsid w:val="2F491344"/>
    <w:rsid w:val="2F4B5DEA"/>
    <w:rsid w:val="2F542EF1"/>
    <w:rsid w:val="2F7E7F6E"/>
    <w:rsid w:val="2F875074"/>
    <w:rsid w:val="2F8C4439"/>
    <w:rsid w:val="2F927575"/>
    <w:rsid w:val="2FA07EE4"/>
    <w:rsid w:val="2FAB0637"/>
    <w:rsid w:val="2FAF0127"/>
    <w:rsid w:val="2FAF5ACD"/>
    <w:rsid w:val="2FB13E9F"/>
    <w:rsid w:val="2FB35E69"/>
    <w:rsid w:val="2FB55877"/>
    <w:rsid w:val="2FB83480"/>
    <w:rsid w:val="2FB92D54"/>
    <w:rsid w:val="2FC5794B"/>
    <w:rsid w:val="2FCF07C9"/>
    <w:rsid w:val="2FDB716E"/>
    <w:rsid w:val="2FEC3E9F"/>
    <w:rsid w:val="2FF7387C"/>
    <w:rsid w:val="30055F99"/>
    <w:rsid w:val="301F5934"/>
    <w:rsid w:val="3025663B"/>
    <w:rsid w:val="3034687E"/>
    <w:rsid w:val="303B5E5F"/>
    <w:rsid w:val="303B7C0D"/>
    <w:rsid w:val="3049057C"/>
    <w:rsid w:val="304B58D0"/>
    <w:rsid w:val="30556F21"/>
    <w:rsid w:val="3058256D"/>
    <w:rsid w:val="30705B08"/>
    <w:rsid w:val="30805B54"/>
    <w:rsid w:val="30896BCA"/>
    <w:rsid w:val="30A15F2E"/>
    <w:rsid w:val="30A752A2"/>
    <w:rsid w:val="30AB1174"/>
    <w:rsid w:val="30B12444"/>
    <w:rsid w:val="30B8300C"/>
    <w:rsid w:val="30BE0F9D"/>
    <w:rsid w:val="30C10112"/>
    <w:rsid w:val="30C27573"/>
    <w:rsid w:val="30D30262"/>
    <w:rsid w:val="30E1475F"/>
    <w:rsid w:val="30F304E8"/>
    <w:rsid w:val="30F77FD8"/>
    <w:rsid w:val="30F91841"/>
    <w:rsid w:val="30FE1366"/>
    <w:rsid w:val="31285141"/>
    <w:rsid w:val="31466869"/>
    <w:rsid w:val="314D6888"/>
    <w:rsid w:val="31543D7C"/>
    <w:rsid w:val="315513B9"/>
    <w:rsid w:val="315A2315"/>
    <w:rsid w:val="315C7E3B"/>
    <w:rsid w:val="31615451"/>
    <w:rsid w:val="3166138C"/>
    <w:rsid w:val="316A3D78"/>
    <w:rsid w:val="31813D45"/>
    <w:rsid w:val="3186310A"/>
    <w:rsid w:val="31921AAF"/>
    <w:rsid w:val="31943A79"/>
    <w:rsid w:val="319D69DF"/>
    <w:rsid w:val="31B463E7"/>
    <w:rsid w:val="31B96B24"/>
    <w:rsid w:val="31E072FE"/>
    <w:rsid w:val="31E87920"/>
    <w:rsid w:val="320007B8"/>
    <w:rsid w:val="320F6A40"/>
    <w:rsid w:val="32111B7C"/>
    <w:rsid w:val="32186458"/>
    <w:rsid w:val="321D29BF"/>
    <w:rsid w:val="3221139E"/>
    <w:rsid w:val="32236BAB"/>
    <w:rsid w:val="322829C1"/>
    <w:rsid w:val="323112C7"/>
    <w:rsid w:val="32326DEE"/>
    <w:rsid w:val="324A6920"/>
    <w:rsid w:val="324B6B6E"/>
    <w:rsid w:val="32797FE0"/>
    <w:rsid w:val="3289713A"/>
    <w:rsid w:val="32917FB8"/>
    <w:rsid w:val="32994BBF"/>
    <w:rsid w:val="329960B2"/>
    <w:rsid w:val="32A7158A"/>
    <w:rsid w:val="32C91500"/>
    <w:rsid w:val="32D70FC8"/>
    <w:rsid w:val="32E23024"/>
    <w:rsid w:val="32ED2DE0"/>
    <w:rsid w:val="32F65818"/>
    <w:rsid w:val="32F73A0B"/>
    <w:rsid w:val="3303033E"/>
    <w:rsid w:val="33072028"/>
    <w:rsid w:val="330A0CAF"/>
    <w:rsid w:val="330B7D6A"/>
    <w:rsid w:val="330C0CD2"/>
    <w:rsid w:val="331719A3"/>
    <w:rsid w:val="331A61FF"/>
    <w:rsid w:val="33342F54"/>
    <w:rsid w:val="333C6ECD"/>
    <w:rsid w:val="334A64E8"/>
    <w:rsid w:val="334D3EDF"/>
    <w:rsid w:val="33550FE6"/>
    <w:rsid w:val="33593E87"/>
    <w:rsid w:val="335C05C6"/>
    <w:rsid w:val="33694A91"/>
    <w:rsid w:val="337C76E9"/>
    <w:rsid w:val="337D4485"/>
    <w:rsid w:val="339064C2"/>
    <w:rsid w:val="339B230B"/>
    <w:rsid w:val="339E6DB3"/>
    <w:rsid w:val="33A1275E"/>
    <w:rsid w:val="33A35D36"/>
    <w:rsid w:val="33CF2B46"/>
    <w:rsid w:val="33D7453B"/>
    <w:rsid w:val="33DC1707"/>
    <w:rsid w:val="33DF31C6"/>
    <w:rsid w:val="33F95E15"/>
    <w:rsid w:val="33FB393B"/>
    <w:rsid w:val="33FC01F2"/>
    <w:rsid w:val="3409720C"/>
    <w:rsid w:val="340A0022"/>
    <w:rsid w:val="340A6274"/>
    <w:rsid w:val="340D08EA"/>
    <w:rsid w:val="340F73E6"/>
    <w:rsid w:val="3427629B"/>
    <w:rsid w:val="34313CA1"/>
    <w:rsid w:val="34495245"/>
    <w:rsid w:val="34592D57"/>
    <w:rsid w:val="347F404B"/>
    <w:rsid w:val="34873421"/>
    <w:rsid w:val="34991662"/>
    <w:rsid w:val="34993154"/>
    <w:rsid w:val="34DA1676"/>
    <w:rsid w:val="35026F4B"/>
    <w:rsid w:val="35064C8D"/>
    <w:rsid w:val="350D6582"/>
    <w:rsid w:val="352073D1"/>
    <w:rsid w:val="3526719D"/>
    <w:rsid w:val="35270076"/>
    <w:rsid w:val="35337105"/>
    <w:rsid w:val="3539297E"/>
    <w:rsid w:val="353F1F4D"/>
    <w:rsid w:val="354E6723"/>
    <w:rsid w:val="3555517F"/>
    <w:rsid w:val="35610116"/>
    <w:rsid w:val="3578720D"/>
    <w:rsid w:val="357B09DD"/>
    <w:rsid w:val="35883394"/>
    <w:rsid w:val="358B53E4"/>
    <w:rsid w:val="35A41DB0"/>
    <w:rsid w:val="35A85D44"/>
    <w:rsid w:val="35D54660"/>
    <w:rsid w:val="35D703D8"/>
    <w:rsid w:val="35D84B7A"/>
    <w:rsid w:val="35E65A59"/>
    <w:rsid w:val="35EA010B"/>
    <w:rsid w:val="35F04FF6"/>
    <w:rsid w:val="360B21AF"/>
    <w:rsid w:val="360B6FDE"/>
    <w:rsid w:val="36243C54"/>
    <w:rsid w:val="362F20F8"/>
    <w:rsid w:val="362F5B1E"/>
    <w:rsid w:val="36322B60"/>
    <w:rsid w:val="363725AD"/>
    <w:rsid w:val="363A2A56"/>
    <w:rsid w:val="3644526F"/>
    <w:rsid w:val="36490106"/>
    <w:rsid w:val="36491CC7"/>
    <w:rsid w:val="364F3BB1"/>
    <w:rsid w:val="365657A0"/>
    <w:rsid w:val="36605E45"/>
    <w:rsid w:val="36625EF3"/>
    <w:rsid w:val="36653C36"/>
    <w:rsid w:val="366A4DA8"/>
    <w:rsid w:val="36861FB0"/>
    <w:rsid w:val="368D36FF"/>
    <w:rsid w:val="369736C3"/>
    <w:rsid w:val="36A22794"/>
    <w:rsid w:val="36AD2EE7"/>
    <w:rsid w:val="36AF1FFE"/>
    <w:rsid w:val="36B52AA9"/>
    <w:rsid w:val="36C070BE"/>
    <w:rsid w:val="36C12356"/>
    <w:rsid w:val="36C56482"/>
    <w:rsid w:val="36C7044C"/>
    <w:rsid w:val="36CE3589"/>
    <w:rsid w:val="36CE5337"/>
    <w:rsid w:val="36D647E3"/>
    <w:rsid w:val="36DA0180"/>
    <w:rsid w:val="36DF1761"/>
    <w:rsid w:val="36E07F97"/>
    <w:rsid w:val="36F9612C"/>
    <w:rsid w:val="37377380"/>
    <w:rsid w:val="375A306E"/>
    <w:rsid w:val="375A68FB"/>
    <w:rsid w:val="376903F5"/>
    <w:rsid w:val="376A0CBC"/>
    <w:rsid w:val="3790663E"/>
    <w:rsid w:val="379522F8"/>
    <w:rsid w:val="37C3398D"/>
    <w:rsid w:val="37D53AAA"/>
    <w:rsid w:val="37DA7F89"/>
    <w:rsid w:val="37E11C1A"/>
    <w:rsid w:val="37ED2CBF"/>
    <w:rsid w:val="38016214"/>
    <w:rsid w:val="3824104E"/>
    <w:rsid w:val="38377A09"/>
    <w:rsid w:val="3842422E"/>
    <w:rsid w:val="38553A5C"/>
    <w:rsid w:val="38593326"/>
    <w:rsid w:val="386758E3"/>
    <w:rsid w:val="386F2B4A"/>
    <w:rsid w:val="38770B9A"/>
    <w:rsid w:val="387E2D8D"/>
    <w:rsid w:val="38836992"/>
    <w:rsid w:val="38A345A1"/>
    <w:rsid w:val="38BA0D54"/>
    <w:rsid w:val="38C20ECB"/>
    <w:rsid w:val="38C21855"/>
    <w:rsid w:val="38CA7D80"/>
    <w:rsid w:val="38EC0BE3"/>
    <w:rsid w:val="38F35529"/>
    <w:rsid w:val="39070FD4"/>
    <w:rsid w:val="390D2943"/>
    <w:rsid w:val="391159AF"/>
    <w:rsid w:val="39154C45"/>
    <w:rsid w:val="391B682D"/>
    <w:rsid w:val="39225E0E"/>
    <w:rsid w:val="392726B3"/>
    <w:rsid w:val="3955637C"/>
    <w:rsid w:val="39645383"/>
    <w:rsid w:val="3965441D"/>
    <w:rsid w:val="39657AA9"/>
    <w:rsid w:val="39677CC5"/>
    <w:rsid w:val="397321C6"/>
    <w:rsid w:val="3981096C"/>
    <w:rsid w:val="399F120C"/>
    <w:rsid w:val="39A40959"/>
    <w:rsid w:val="39AC6E33"/>
    <w:rsid w:val="3A065D24"/>
    <w:rsid w:val="3A0E1EEE"/>
    <w:rsid w:val="3A217E73"/>
    <w:rsid w:val="3A244857"/>
    <w:rsid w:val="3A395226"/>
    <w:rsid w:val="3A405DCF"/>
    <w:rsid w:val="3A444238"/>
    <w:rsid w:val="3A5B3385"/>
    <w:rsid w:val="3A602797"/>
    <w:rsid w:val="3A63223A"/>
    <w:rsid w:val="3A6A181A"/>
    <w:rsid w:val="3A830AF3"/>
    <w:rsid w:val="3A8C79E3"/>
    <w:rsid w:val="3A904200"/>
    <w:rsid w:val="3AA32E4C"/>
    <w:rsid w:val="3AAA32A9"/>
    <w:rsid w:val="3AAC4BE3"/>
    <w:rsid w:val="3AB64A60"/>
    <w:rsid w:val="3AB807D8"/>
    <w:rsid w:val="3ABB02C8"/>
    <w:rsid w:val="3AC30F2B"/>
    <w:rsid w:val="3AEB4AEC"/>
    <w:rsid w:val="3AF86E26"/>
    <w:rsid w:val="3B177728"/>
    <w:rsid w:val="3B183024"/>
    <w:rsid w:val="3B1D063B"/>
    <w:rsid w:val="3B311100"/>
    <w:rsid w:val="3B3D0CDD"/>
    <w:rsid w:val="3B424545"/>
    <w:rsid w:val="3B517C11"/>
    <w:rsid w:val="3B554279"/>
    <w:rsid w:val="3B556027"/>
    <w:rsid w:val="3B596DED"/>
    <w:rsid w:val="3B6B20A6"/>
    <w:rsid w:val="3B800BCA"/>
    <w:rsid w:val="3B8043F6"/>
    <w:rsid w:val="3B895CD0"/>
    <w:rsid w:val="3BA83F70"/>
    <w:rsid w:val="3BCE241F"/>
    <w:rsid w:val="3BDA477E"/>
    <w:rsid w:val="3BEE0229"/>
    <w:rsid w:val="3BF84C04"/>
    <w:rsid w:val="3BFB469A"/>
    <w:rsid w:val="3C023C89"/>
    <w:rsid w:val="3C030A2F"/>
    <w:rsid w:val="3C0A5BB0"/>
    <w:rsid w:val="3C1063F2"/>
    <w:rsid w:val="3C1F03E3"/>
    <w:rsid w:val="3C2E7DC6"/>
    <w:rsid w:val="3C2F799C"/>
    <w:rsid w:val="3C42150C"/>
    <w:rsid w:val="3C4D6CFE"/>
    <w:rsid w:val="3C5423B2"/>
    <w:rsid w:val="3C7A1ABD"/>
    <w:rsid w:val="3C7B7D0F"/>
    <w:rsid w:val="3C824973"/>
    <w:rsid w:val="3C8A7F52"/>
    <w:rsid w:val="3C8D17F0"/>
    <w:rsid w:val="3C9366B4"/>
    <w:rsid w:val="3C96118C"/>
    <w:rsid w:val="3CA1529C"/>
    <w:rsid w:val="3CA32DC2"/>
    <w:rsid w:val="3CAA05F4"/>
    <w:rsid w:val="3CC44440"/>
    <w:rsid w:val="3CC46A9D"/>
    <w:rsid w:val="3CDB07AE"/>
    <w:rsid w:val="3CF51EB0"/>
    <w:rsid w:val="3CFD3C67"/>
    <w:rsid w:val="3D0C6BB9"/>
    <w:rsid w:val="3D127F47"/>
    <w:rsid w:val="3D141F11"/>
    <w:rsid w:val="3D204412"/>
    <w:rsid w:val="3D69400B"/>
    <w:rsid w:val="3D715C27"/>
    <w:rsid w:val="3D7F1C76"/>
    <w:rsid w:val="3D8F1598"/>
    <w:rsid w:val="3DAA0180"/>
    <w:rsid w:val="3DC72BEA"/>
    <w:rsid w:val="3DF5589F"/>
    <w:rsid w:val="3DF61F0B"/>
    <w:rsid w:val="3DF8120D"/>
    <w:rsid w:val="3E06185A"/>
    <w:rsid w:val="3E077380"/>
    <w:rsid w:val="3E162C3E"/>
    <w:rsid w:val="3E1A70B4"/>
    <w:rsid w:val="3E2E2B5F"/>
    <w:rsid w:val="3E3B32FF"/>
    <w:rsid w:val="3E4623B5"/>
    <w:rsid w:val="3E524E74"/>
    <w:rsid w:val="3E5325C6"/>
    <w:rsid w:val="3E5F7300"/>
    <w:rsid w:val="3E63082E"/>
    <w:rsid w:val="3E6F5651"/>
    <w:rsid w:val="3E726EF0"/>
    <w:rsid w:val="3E73298E"/>
    <w:rsid w:val="3E8F0E13"/>
    <w:rsid w:val="3E907376"/>
    <w:rsid w:val="3E9E7CE5"/>
    <w:rsid w:val="3EAF3CA0"/>
    <w:rsid w:val="3EB5502E"/>
    <w:rsid w:val="3ECA2888"/>
    <w:rsid w:val="3ED05E9E"/>
    <w:rsid w:val="3ED90D1D"/>
    <w:rsid w:val="3EDE7D6C"/>
    <w:rsid w:val="3EE55913"/>
    <w:rsid w:val="3EED1082"/>
    <w:rsid w:val="3F073ADC"/>
    <w:rsid w:val="3F2226C4"/>
    <w:rsid w:val="3F2F6B8F"/>
    <w:rsid w:val="3F4C1E12"/>
    <w:rsid w:val="3F5B3839"/>
    <w:rsid w:val="3F5D194E"/>
    <w:rsid w:val="3F5F00F3"/>
    <w:rsid w:val="3F7F20E3"/>
    <w:rsid w:val="3F803045"/>
    <w:rsid w:val="3F8B6297"/>
    <w:rsid w:val="3F9115F7"/>
    <w:rsid w:val="3F93536F"/>
    <w:rsid w:val="3FA57D3D"/>
    <w:rsid w:val="3FB2098D"/>
    <w:rsid w:val="3FBE3287"/>
    <w:rsid w:val="3FCC50CF"/>
    <w:rsid w:val="3FFE1B99"/>
    <w:rsid w:val="40170AA9"/>
    <w:rsid w:val="401F17D8"/>
    <w:rsid w:val="40251D40"/>
    <w:rsid w:val="402B01E2"/>
    <w:rsid w:val="404228F2"/>
    <w:rsid w:val="404B5465"/>
    <w:rsid w:val="4053216B"/>
    <w:rsid w:val="4056454A"/>
    <w:rsid w:val="40580367"/>
    <w:rsid w:val="40786313"/>
    <w:rsid w:val="407E7DCE"/>
    <w:rsid w:val="40A2083A"/>
    <w:rsid w:val="40A67324"/>
    <w:rsid w:val="40B94B22"/>
    <w:rsid w:val="40D23C76"/>
    <w:rsid w:val="40DC4AF4"/>
    <w:rsid w:val="410C5AAF"/>
    <w:rsid w:val="411029F0"/>
    <w:rsid w:val="41104A3B"/>
    <w:rsid w:val="41120516"/>
    <w:rsid w:val="411446D5"/>
    <w:rsid w:val="41200E85"/>
    <w:rsid w:val="412372DB"/>
    <w:rsid w:val="412A1D04"/>
    <w:rsid w:val="412D6F82"/>
    <w:rsid w:val="413544F6"/>
    <w:rsid w:val="414F3518"/>
    <w:rsid w:val="416330C8"/>
    <w:rsid w:val="416F4CA3"/>
    <w:rsid w:val="417452D4"/>
    <w:rsid w:val="41760AA5"/>
    <w:rsid w:val="4185518C"/>
    <w:rsid w:val="41905E81"/>
    <w:rsid w:val="41914247"/>
    <w:rsid w:val="41A172A9"/>
    <w:rsid w:val="41A27AEC"/>
    <w:rsid w:val="41A618CC"/>
    <w:rsid w:val="41AC2719"/>
    <w:rsid w:val="41AE7D8C"/>
    <w:rsid w:val="41B63597"/>
    <w:rsid w:val="41BC77BF"/>
    <w:rsid w:val="41C1307B"/>
    <w:rsid w:val="41C55588"/>
    <w:rsid w:val="41D00FA3"/>
    <w:rsid w:val="41F12821"/>
    <w:rsid w:val="41F541C0"/>
    <w:rsid w:val="41FA16D6"/>
    <w:rsid w:val="42072EE9"/>
    <w:rsid w:val="421D53C4"/>
    <w:rsid w:val="422C6D5F"/>
    <w:rsid w:val="42366486"/>
    <w:rsid w:val="423C43A5"/>
    <w:rsid w:val="42642FF3"/>
    <w:rsid w:val="426923B8"/>
    <w:rsid w:val="42894808"/>
    <w:rsid w:val="429A07C3"/>
    <w:rsid w:val="42A05581"/>
    <w:rsid w:val="42AC37D2"/>
    <w:rsid w:val="42BA049D"/>
    <w:rsid w:val="42BC698B"/>
    <w:rsid w:val="42CD2946"/>
    <w:rsid w:val="42D31F27"/>
    <w:rsid w:val="42DB17B7"/>
    <w:rsid w:val="42E06992"/>
    <w:rsid w:val="42EB7271"/>
    <w:rsid w:val="43040332"/>
    <w:rsid w:val="43177918"/>
    <w:rsid w:val="43252782"/>
    <w:rsid w:val="43325257"/>
    <w:rsid w:val="434B25DE"/>
    <w:rsid w:val="43756CF5"/>
    <w:rsid w:val="438020AF"/>
    <w:rsid w:val="43923B90"/>
    <w:rsid w:val="439B2A45"/>
    <w:rsid w:val="43A60A7A"/>
    <w:rsid w:val="43AC1A55"/>
    <w:rsid w:val="43B34232"/>
    <w:rsid w:val="43C95804"/>
    <w:rsid w:val="43D13564"/>
    <w:rsid w:val="44041561"/>
    <w:rsid w:val="441110D3"/>
    <w:rsid w:val="441A605F"/>
    <w:rsid w:val="441E71D2"/>
    <w:rsid w:val="44226CC2"/>
    <w:rsid w:val="4456696C"/>
    <w:rsid w:val="445F273E"/>
    <w:rsid w:val="44653777"/>
    <w:rsid w:val="44654E01"/>
    <w:rsid w:val="446E1F07"/>
    <w:rsid w:val="447C0EEF"/>
    <w:rsid w:val="44805DDA"/>
    <w:rsid w:val="44902053"/>
    <w:rsid w:val="44913E48"/>
    <w:rsid w:val="44A41DCD"/>
    <w:rsid w:val="44A9467A"/>
    <w:rsid w:val="44B4587C"/>
    <w:rsid w:val="44C2466F"/>
    <w:rsid w:val="44D67EEB"/>
    <w:rsid w:val="44DF2E05"/>
    <w:rsid w:val="44E815B0"/>
    <w:rsid w:val="44E81CBA"/>
    <w:rsid w:val="44F20D8A"/>
    <w:rsid w:val="44FE2636"/>
    <w:rsid w:val="450936F1"/>
    <w:rsid w:val="452C5683"/>
    <w:rsid w:val="452D29E2"/>
    <w:rsid w:val="45360BA5"/>
    <w:rsid w:val="453749EF"/>
    <w:rsid w:val="45413D0D"/>
    <w:rsid w:val="454347BA"/>
    <w:rsid w:val="454B049A"/>
    <w:rsid w:val="45511241"/>
    <w:rsid w:val="455B3A2E"/>
    <w:rsid w:val="45622741"/>
    <w:rsid w:val="456706AB"/>
    <w:rsid w:val="45725A27"/>
    <w:rsid w:val="457356C1"/>
    <w:rsid w:val="4574375B"/>
    <w:rsid w:val="45744DF5"/>
    <w:rsid w:val="457B2B2E"/>
    <w:rsid w:val="4581096F"/>
    <w:rsid w:val="45863281"/>
    <w:rsid w:val="458C4D3B"/>
    <w:rsid w:val="4598479F"/>
    <w:rsid w:val="459A2FED"/>
    <w:rsid w:val="45B95404"/>
    <w:rsid w:val="45E43F84"/>
    <w:rsid w:val="45E701C3"/>
    <w:rsid w:val="45F8417E"/>
    <w:rsid w:val="46180125"/>
    <w:rsid w:val="46182475"/>
    <w:rsid w:val="461D218E"/>
    <w:rsid w:val="4620603A"/>
    <w:rsid w:val="46244F73"/>
    <w:rsid w:val="46312FCA"/>
    <w:rsid w:val="46364CA7"/>
    <w:rsid w:val="463743E6"/>
    <w:rsid w:val="46405B25"/>
    <w:rsid w:val="4642189D"/>
    <w:rsid w:val="464A59BB"/>
    <w:rsid w:val="46537607"/>
    <w:rsid w:val="4689127A"/>
    <w:rsid w:val="468974CC"/>
    <w:rsid w:val="468F7CD2"/>
    <w:rsid w:val="469B0FAE"/>
    <w:rsid w:val="46AE738E"/>
    <w:rsid w:val="46C742EF"/>
    <w:rsid w:val="46DB13AA"/>
    <w:rsid w:val="46DF70EC"/>
    <w:rsid w:val="46E571EB"/>
    <w:rsid w:val="46F26E20"/>
    <w:rsid w:val="46F34946"/>
    <w:rsid w:val="47134122"/>
    <w:rsid w:val="471843AC"/>
    <w:rsid w:val="471E4C0C"/>
    <w:rsid w:val="472B2331"/>
    <w:rsid w:val="475E6263"/>
    <w:rsid w:val="4760531E"/>
    <w:rsid w:val="47635578"/>
    <w:rsid w:val="476E0C2F"/>
    <w:rsid w:val="476E6BCC"/>
    <w:rsid w:val="47757790"/>
    <w:rsid w:val="477C2B8D"/>
    <w:rsid w:val="47881532"/>
    <w:rsid w:val="479C6D8B"/>
    <w:rsid w:val="47AC3472"/>
    <w:rsid w:val="47C167F2"/>
    <w:rsid w:val="47D0413A"/>
    <w:rsid w:val="47D31172"/>
    <w:rsid w:val="47D6448B"/>
    <w:rsid w:val="47DE73A4"/>
    <w:rsid w:val="47E10C42"/>
    <w:rsid w:val="47E55039"/>
    <w:rsid w:val="47E81FD1"/>
    <w:rsid w:val="47FB61A8"/>
    <w:rsid w:val="47FE7B21"/>
    <w:rsid w:val="48062E5F"/>
    <w:rsid w:val="481D7ECC"/>
    <w:rsid w:val="481E4FF0"/>
    <w:rsid w:val="483376F0"/>
    <w:rsid w:val="484A4A39"/>
    <w:rsid w:val="484A5846"/>
    <w:rsid w:val="48547666"/>
    <w:rsid w:val="487320CA"/>
    <w:rsid w:val="488825F5"/>
    <w:rsid w:val="48AA7D8C"/>
    <w:rsid w:val="48B66AFA"/>
    <w:rsid w:val="48E872EB"/>
    <w:rsid w:val="48F2097C"/>
    <w:rsid w:val="49056212"/>
    <w:rsid w:val="490B41C9"/>
    <w:rsid w:val="49137521"/>
    <w:rsid w:val="491812CB"/>
    <w:rsid w:val="49384831"/>
    <w:rsid w:val="493D634C"/>
    <w:rsid w:val="494D1478"/>
    <w:rsid w:val="4956205A"/>
    <w:rsid w:val="49574555"/>
    <w:rsid w:val="495913D8"/>
    <w:rsid w:val="495D254A"/>
    <w:rsid w:val="497C50C6"/>
    <w:rsid w:val="49852605"/>
    <w:rsid w:val="49971F00"/>
    <w:rsid w:val="49AF1FAB"/>
    <w:rsid w:val="49B20AE8"/>
    <w:rsid w:val="49B24FD9"/>
    <w:rsid w:val="49B92CE2"/>
    <w:rsid w:val="49DC5B65"/>
    <w:rsid w:val="49E06567"/>
    <w:rsid w:val="49E32837"/>
    <w:rsid w:val="49E55BB5"/>
    <w:rsid w:val="49E62540"/>
    <w:rsid w:val="49E669E4"/>
    <w:rsid w:val="49ED4347"/>
    <w:rsid w:val="49EE471E"/>
    <w:rsid w:val="49EF783F"/>
    <w:rsid w:val="49F12693"/>
    <w:rsid w:val="4A0B01F8"/>
    <w:rsid w:val="4A162E25"/>
    <w:rsid w:val="4A203CA4"/>
    <w:rsid w:val="4A25750C"/>
    <w:rsid w:val="4A3F5F14"/>
    <w:rsid w:val="4A4A3E60"/>
    <w:rsid w:val="4A4D25BF"/>
    <w:rsid w:val="4A4E6FC4"/>
    <w:rsid w:val="4A525E27"/>
    <w:rsid w:val="4A7144FF"/>
    <w:rsid w:val="4A740610"/>
    <w:rsid w:val="4A804742"/>
    <w:rsid w:val="4A833E2E"/>
    <w:rsid w:val="4A842484"/>
    <w:rsid w:val="4A9106FD"/>
    <w:rsid w:val="4AB8212E"/>
    <w:rsid w:val="4ADB7BCB"/>
    <w:rsid w:val="4ADD7DE7"/>
    <w:rsid w:val="4AEA1D1A"/>
    <w:rsid w:val="4AF15640"/>
    <w:rsid w:val="4AF15A7F"/>
    <w:rsid w:val="4B0E7FA0"/>
    <w:rsid w:val="4B187071"/>
    <w:rsid w:val="4B233EC5"/>
    <w:rsid w:val="4B324849"/>
    <w:rsid w:val="4B39338B"/>
    <w:rsid w:val="4B3F3764"/>
    <w:rsid w:val="4B504E8C"/>
    <w:rsid w:val="4B6127C6"/>
    <w:rsid w:val="4B6F19B6"/>
    <w:rsid w:val="4B8B7843"/>
    <w:rsid w:val="4B9009B5"/>
    <w:rsid w:val="4B942888"/>
    <w:rsid w:val="4B991F60"/>
    <w:rsid w:val="4B9D30D2"/>
    <w:rsid w:val="4BA12BC2"/>
    <w:rsid w:val="4BA505DB"/>
    <w:rsid w:val="4BAD4C79"/>
    <w:rsid w:val="4BB70638"/>
    <w:rsid w:val="4BC125FB"/>
    <w:rsid w:val="4BC863A1"/>
    <w:rsid w:val="4BDC1E4C"/>
    <w:rsid w:val="4BEC5769"/>
    <w:rsid w:val="4BEE392E"/>
    <w:rsid w:val="4BF57907"/>
    <w:rsid w:val="4BF947AC"/>
    <w:rsid w:val="4C0A69B9"/>
    <w:rsid w:val="4C0E2D3A"/>
    <w:rsid w:val="4C0E471E"/>
    <w:rsid w:val="4C1C493F"/>
    <w:rsid w:val="4C246299"/>
    <w:rsid w:val="4C431ECB"/>
    <w:rsid w:val="4C766A74"/>
    <w:rsid w:val="4C8F6EBF"/>
    <w:rsid w:val="4C995F8F"/>
    <w:rsid w:val="4CA50490"/>
    <w:rsid w:val="4CAA1F4A"/>
    <w:rsid w:val="4CC06412"/>
    <w:rsid w:val="4CC7089B"/>
    <w:rsid w:val="4CC90623"/>
    <w:rsid w:val="4CE466E7"/>
    <w:rsid w:val="4CF1216C"/>
    <w:rsid w:val="4D04165B"/>
    <w:rsid w:val="4D096C71"/>
    <w:rsid w:val="4D0F03A7"/>
    <w:rsid w:val="4D1B0752"/>
    <w:rsid w:val="4D1F0243"/>
    <w:rsid w:val="4D227E58"/>
    <w:rsid w:val="4D2616E6"/>
    <w:rsid w:val="4D422183"/>
    <w:rsid w:val="4D504E23"/>
    <w:rsid w:val="4D587BF8"/>
    <w:rsid w:val="4D60180E"/>
    <w:rsid w:val="4D720CBA"/>
    <w:rsid w:val="4D814A59"/>
    <w:rsid w:val="4D84279B"/>
    <w:rsid w:val="4D87403A"/>
    <w:rsid w:val="4D9C1893"/>
    <w:rsid w:val="4DA150FB"/>
    <w:rsid w:val="4DB6434A"/>
    <w:rsid w:val="4DB77815"/>
    <w:rsid w:val="4DBF1A26"/>
    <w:rsid w:val="4DDA460F"/>
    <w:rsid w:val="4DED20EF"/>
    <w:rsid w:val="4DFA6B5C"/>
    <w:rsid w:val="4DFE42FC"/>
    <w:rsid w:val="4E0154CE"/>
    <w:rsid w:val="4E0538DC"/>
    <w:rsid w:val="4E086F29"/>
    <w:rsid w:val="4E0D453F"/>
    <w:rsid w:val="4E0E0AC1"/>
    <w:rsid w:val="4E151645"/>
    <w:rsid w:val="4E191136"/>
    <w:rsid w:val="4E1B46BB"/>
    <w:rsid w:val="4E1C0C26"/>
    <w:rsid w:val="4E1E04FA"/>
    <w:rsid w:val="4E1F24C4"/>
    <w:rsid w:val="4E3B77BD"/>
    <w:rsid w:val="4E4D0DDF"/>
    <w:rsid w:val="4E4F2DA9"/>
    <w:rsid w:val="4E547EE6"/>
    <w:rsid w:val="4E5E3A63"/>
    <w:rsid w:val="4E5E4D9B"/>
    <w:rsid w:val="4E604533"/>
    <w:rsid w:val="4E677D3B"/>
    <w:rsid w:val="4E8B1908"/>
    <w:rsid w:val="4E8E65C1"/>
    <w:rsid w:val="4E916F1E"/>
    <w:rsid w:val="4E9407BC"/>
    <w:rsid w:val="4E982150"/>
    <w:rsid w:val="4E9A6559"/>
    <w:rsid w:val="4EA03605"/>
    <w:rsid w:val="4EA7443E"/>
    <w:rsid w:val="4EBB21ED"/>
    <w:rsid w:val="4EC372F3"/>
    <w:rsid w:val="4EDE412D"/>
    <w:rsid w:val="4EDE48AE"/>
    <w:rsid w:val="4EE85A2C"/>
    <w:rsid w:val="4F005D65"/>
    <w:rsid w:val="4F007B14"/>
    <w:rsid w:val="4F1A0DAF"/>
    <w:rsid w:val="4F2A7373"/>
    <w:rsid w:val="4F2F1EE4"/>
    <w:rsid w:val="4F356BCE"/>
    <w:rsid w:val="4F391364"/>
    <w:rsid w:val="4F4329AB"/>
    <w:rsid w:val="4F4F695B"/>
    <w:rsid w:val="4F64798E"/>
    <w:rsid w:val="4F7211F7"/>
    <w:rsid w:val="4F8F41F1"/>
    <w:rsid w:val="4FB15B09"/>
    <w:rsid w:val="4FB84E80"/>
    <w:rsid w:val="4FC652ED"/>
    <w:rsid w:val="4FD875DF"/>
    <w:rsid w:val="4FE10AE9"/>
    <w:rsid w:val="4FE15C83"/>
    <w:rsid w:val="4FE7796C"/>
    <w:rsid w:val="4FE94B38"/>
    <w:rsid w:val="4FEA274C"/>
    <w:rsid w:val="4FEE65F2"/>
    <w:rsid w:val="4FFA30B3"/>
    <w:rsid w:val="4FFB17F0"/>
    <w:rsid w:val="50016325"/>
    <w:rsid w:val="500876B4"/>
    <w:rsid w:val="50183980"/>
    <w:rsid w:val="50446660"/>
    <w:rsid w:val="5054478C"/>
    <w:rsid w:val="507316B8"/>
    <w:rsid w:val="508311B9"/>
    <w:rsid w:val="508605D9"/>
    <w:rsid w:val="508C6273"/>
    <w:rsid w:val="50B25872"/>
    <w:rsid w:val="50C20525"/>
    <w:rsid w:val="50C335DB"/>
    <w:rsid w:val="50C62F45"/>
    <w:rsid w:val="50C730CB"/>
    <w:rsid w:val="5109013C"/>
    <w:rsid w:val="510D4F35"/>
    <w:rsid w:val="511552D2"/>
    <w:rsid w:val="51173B5C"/>
    <w:rsid w:val="51187CB1"/>
    <w:rsid w:val="512E4EF8"/>
    <w:rsid w:val="5133132A"/>
    <w:rsid w:val="51470225"/>
    <w:rsid w:val="51477D68"/>
    <w:rsid w:val="51595CED"/>
    <w:rsid w:val="515E7018"/>
    <w:rsid w:val="516C3C72"/>
    <w:rsid w:val="517D1DE8"/>
    <w:rsid w:val="519D6480"/>
    <w:rsid w:val="51A21442"/>
    <w:rsid w:val="51B24B7B"/>
    <w:rsid w:val="51BF1AFF"/>
    <w:rsid w:val="51CE66DB"/>
    <w:rsid w:val="51D27F79"/>
    <w:rsid w:val="51D610EC"/>
    <w:rsid w:val="51DD406F"/>
    <w:rsid w:val="51E67CF8"/>
    <w:rsid w:val="51EF01D8"/>
    <w:rsid w:val="51F53C68"/>
    <w:rsid w:val="51F872B4"/>
    <w:rsid w:val="520E4D2A"/>
    <w:rsid w:val="52152DBD"/>
    <w:rsid w:val="522523C1"/>
    <w:rsid w:val="52290FB1"/>
    <w:rsid w:val="524F15CA"/>
    <w:rsid w:val="525013EC"/>
    <w:rsid w:val="525305F1"/>
    <w:rsid w:val="525E4206"/>
    <w:rsid w:val="52727066"/>
    <w:rsid w:val="52A82A88"/>
    <w:rsid w:val="52AD4542"/>
    <w:rsid w:val="52AF02BB"/>
    <w:rsid w:val="52C13B4A"/>
    <w:rsid w:val="52C26F9B"/>
    <w:rsid w:val="52CF54BD"/>
    <w:rsid w:val="52E37FAE"/>
    <w:rsid w:val="52E53CDC"/>
    <w:rsid w:val="52EB59D1"/>
    <w:rsid w:val="53045262"/>
    <w:rsid w:val="53051C89"/>
    <w:rsid w:val="531E721A"/>
    <w:rsid w:val="532145E9"/>
    <w:rsid w:val="53230361"/>
    <w:rsid w:val="532D46EB"/>
    <w:rsid w:val="53310CD0"/>
    <w:rsid w:val="533662E6"/>
    <w:rsid w:val="53470203"/>
    <w:rsid w:val="53574B3E"/>
    <w:rsid w:val="53685462"/>
    <w:rsid w:val="537B63EF"/>
    <w:rsid w:val="537F5E01"/>
    <w:rsid w:val="5384778D"/>
    <w:rsid w:val="539A56B2"/>
    <w:rsid w:val="539B3CFB"/>
    <w:rsid w:val="53A14E3E"/>
    <w:rsid w:val="53B06209"/>
    <w:rsid w:val="53D63625"/>
    <w:rsid w:val="53F6257A"/>
    <w:rsid w:val="53FF0DCE"/>
    <w:rsid w:val="54056409"/>
    <w:rsid w:val="54063F0A"/>
    <w:rsid w:val="542B571F"/>
    <w:rsid w:val="544F4D74"/>
    <w:rsid w:val="54502CCF"/>
    <w:rsid w:val="54537AAA"/>
    <w:rsid w:val="54622402"/>
    <w:rsid w:val="546B6463"/>
    <w:rsid w:val="546C180F"/>
    <w:rsid w:val="54703A7A"/>
    <w:rsid w:val="54B60A5E"/>
    <w:rsid w:val="54B716A8"/>
    <w:rsid w:val="54D21A4E"/>
    <w:rsid w:val="54EB1DCE"/>
    <w:rsid w:val="55160CDB"/>
    <w:rsid w:val="55173EF5"/>
    <w:rsid w:val="55216B22"/>
    <w:rsid w:val="552A00CC"/>
    <w:rsid w:val="552C79A0"/>
    <w:rsid w:val="55456CB4"/>
    <w:rsid w:val="5563538C"/>
    <w:rsid w:val="5567207A"/>
    <w:rsid w:val="556D0A3D"/>
    <w:rsid w:val="557122E0"/>
    <w:rsid w:val="558A2919"/>
    <w:rsid w:val="559D089E"/>
    <w:rsid w:val="55A1776B"/>
    <w:rsid w:val="55B9552A"/>
    <w:rsid w:val="55C0633B"/>
    <w:rsid w:val="55DB4F23"/>
    <w:rsid w:val="55DD0C9B"/>
    <w:rsid w:val="55E86A0B"/>
    <w:rsid w:val="560E52F8"/>
    <w:rsid w:val="56102E1E"/>
    <w:rsid w:val="56124994"/>
    <w:rsid w:val="561F3061"/>
    <w:rsid w:val="56241FF5"/>
    <w:rsid w:val="562B4F82"/>
    <w:rsid w:val="563F4088"/>
    <w:rsid w:val="56427161"/>
    <w:rsid w:val="564B20A8"/>
    <w:rsid w:val="565262BB"/>
    <w:rsid w:val="56554CD5"/>
    <w:rsid w:val="565C6063"/>
    <w:rsid w:val="56707D61"/>
    <w:rsid w:val="56717635"/>
    <w:rsid w:val="567F7FA4"/>
    <w:rsid w:val="568E4D77"/>
    <w:rsid w:val="569357FD"/>
    <w:rsid w:val="569F23F4"/>
    <w:rsid w:val="56AB2D7B"/>
    <w:rsid w:val="56B001FD"/>
    <w:rsid w:val="56B03E49"/>
    <w:rsid w:val="56B440F1"/>
    <w:rsid w:val="56C34335"/>
    <w:rsid w:val="56CA6409"/>
    <w:rsid w:val="56D265B2"/>
    <w:rsid w:val="56D71B8E"/>
    <w:rsid w:val="56DE116E"/>
    <w:rsid w:val="56DF0A43"/>
    <w:rsid w:val="570F1328"/>
    <w:rsid w:val="572172AD"/>
    <w:rsid w:val="57233025"/>
    <w:rsid w:val="572648C3"/>
    <w:rsid w:val="573023E8"/>
    <w:rsid w:val="57312F2E"/>
    <w:rsid w:val="573C40E7"/>
    <w:rsid w:val="574F1154"/>
    <w:rsid w:val="576158FB"/>
    <w:rsid w:val="57672F12"/>
    <w:rsid w:val="576E6E03"/>
    <w:rsid w:val="576F73E8"/>
    <w:rsid w:val="577305F7"/>
    <w:rsid w:val="5779178B"/>
    <w:rsid w:val="57917F8F"/>
    <w:rsid w:val="579464D8"/>
    <w:rsid w:val="579730CB"/>
    <w:rsid w:val="57AB1464"/>
    <w:rsid w:val="57AC6B77"/>
    <w:rsid w:val="57B37081"/>
    <w:rsid w:val="57C8510B"/>
    <w:rsid w:val="57CB5B25"/>
    <w:rsid w:val="57CC7219"/>
    <w:rsid w:val="57D936E4"/>
    <w:rsid w:val="57EA58F1"/>
    <w:rsid w:val="57F56770"/>
    <w:rsid w:val="57F974CE"/>
    <w:rsid w:val="57FD0C14"/>
    <w:rsid w:val="580746F5"/>
    <w:rsid w:val="580E5A83"/>
    <w:rsid w:val="5818245E"/>
    <w:rsid w:val="581E1776"/>
    <w:rsid w:val="58301BAD"/>
    <w:rsid w:val="58352CF2"/>
    <w:rsid w:val="584F6152"/>
    <w:rsid w:val="58587591"/>
    <w:rsid w:val="58674688"/>
    <w:rsid w:val="58676F42"/>
    <w:rsid w:val="587358E6"/>
    <w:rsid w:val="58775626"/>
    <w:rsid w:val="587F6039"/>
    <w:rsid w:val="5886561A"/>
    <w:rsid w:val="58963880"/>
    <w:rsid w:val="58AE4B70"/>
    <w:rsid w:val="58B13E3F"/>
    <w:rsid w:val="58B505BA"/>
    <w:rsid w:val="58BC728D"/>
    <w:rsid w:val="58C47D76"/>
    <w:rsid w:val="58D81935"/>
    <w:rsid w:val="58DC76C9"/>
    <w:rsid w:val="58DE1E20"/>
    <w:rsid w:val="58E40592"/>
    <w:rsid w:val="58F76517"/>
    <w:rsid w:val="58FF717A"/>
    <w:rsid w:val="590B5B1F"/>
    <w:rsid w:val="591075D9"/>
    <w:rsid w:val="59413C36"/>
    <w:rsid w:val="59441031"/>
    <w:rsid w:val="594A7766"/>
    <w:rsid w:val="59505C28"/>
    <w:rsid w:val="595B2A75"/>
    <w:rsid w:val="595E0345"/>
    <w:rsid w:val="596B7C80"/>
    <w:rsid w:val="59701E26"/>
    <w:rsid w:val="5978041C"/>
    <w:rsid w:val="598A113A"/>
    <w:rsid w:val="598F5BB5"/>
    <w:rsid w:val="59943D66"/>
    <w:rsid w:val="5994454C"/>
    <w:rsid w:val="59975605"/>
    <w:rsid w:val="599C0E6D"/>
    <w:rsid w:val="59C0349D"/>
    <w:rsid w:val="59D31F9D"/>
    <w:rsid w:val="59D40607"/>
    <w:rsid w:val="59D4360F"/>
    <w:rsid w:val="59D955BC"/>
    <w:rsid w:val="59DA189C"/>
    <w:rsid w:val="59E20F76"/>
    <w:rsid w:val="59ED3476"/>
    <w:rsid w:val="5A054C64"/>
    <w:rsid w:val="5A2703A8"/>
    <w:rsid w:val="5A274BDA"/>
    <w:rsid w:val="5A2E7D17"/>
    <w:rsid w:val="5A312D8C"/>
    <w:rsid w:val="5A3543D7"/>
    <w:rsid w:val="5A513A05"/>
    <w:rsid w:val="5A67147B"/>
    <w:rsid w:val="5A8C2C8F"/>
    <w:rsid w:val="5A8E07B6"/>
    <w:rsid w:val="5A963B0E"/>
    <w:rsid w:val="5A9D014F"/>
    <w:rsid w:val="5AB20948"/>
    <w:rsid w:val="5AD17E08"/>
    <w:rsid w:val="5AD62A7A"/>
    <w:rsid w:val="5AF22FE1"/>
    <w:rsid w:val="5AF85472"/>
    <w:rsid w:val="5AFB7E35"/>
    <w:rsid w:val="5B0D5B7E"/>
    <w:rsid w:val="5B13371D"/>
    <w:rsid w:val="5B182775"/>
    <w:rsid w:val="5B353327"/>
    <w:rsid w:val="5B3C481F"/>
    <w:rsid w:val="5B3D1C5E"/>
    <w:rsid w:val="5B436457"/>
    <w:rsid w:val="5B487F30"/>
    <w:rsid w:val="5B4F0BD3"/>
    <w:rsid w:val="5B6854AA"/>
    <w:rsid w:val="5B8C73EB"/>
    <w:rsid w:val="5B8D6265"/>
    <w:rsid w:val="5B8D6CBF"/>
    <w:rsid w:val="5BB0698A"/>
    <w:rsid w:val="5BBE606E"/>
    <w:rsid w:val="5BC06260"/>
    <w:rsid w:val="5BC84685"/>
    <w:rsid w:val="5BCD03E6"/>
    <w:rsid w:val="5BCF1C69"/>
    <w:rsid w:val="5BD82630"/>
    <w:rsid w:val="5BF03879"/>
    <w:rsid w:val="5BF60D08"/>
    <w:rsid w:val="5BF705DC"/>
    <w:rsid w:val="5C1D02BD"/>
    <w:rsid w:val="5C207B33"/>
    <w:rsid w:val="5C2A09B2"/>
    <w:rsid w:val="5C5D48E3"/>
    <w:rsid w:val="5C6F16EF"/>
    <w:rsid w:val="5C757E7F"/>
    <w:rsid w:val="5C785D9F"/>
    <w:rsid w:val="5C7A3771"/>
    <w:rsid w:val="5C86615C"/>
    <w:rsid w:val="5C871960"/>
    <w:rsid w:val="5C89392A"/>
    <w:rsid w:val="5C936557"/>
    <w:rsid w:val="5CB33DC8"/>
    <w:rsid w:val="5CC42BB4"/>
    <w:rsid w:val="5CD57956"/>
    <w:rsid w:val="5CF80AB0"/>
    <w:rsid w:val="5D0532CF"/>
    <w:rsid w:val="5D066D29"/>
    <w:rsid w:val="5D094A6B"/>
    <w:rsid w:val="5D0C00B7"/>
    <w:rsid w:val="5D1B63AE"/>
    <w:rsid w:val="5D216134"/>
    <w:rsid w:val="5D243653"/>
    <w:rsid w:val="5D2E002E"/>
    <w:rsid w:val="5D344EBB"/>
    <w:rsid w:val="5D3715F4"/>
    <w:rsid w:val="5D5F3AC9"/>
    <w:rsid w:val="5D6879E4"/>
    <w:rsid w:val="5D704AEA"/>
    <w:rsid w:val="5D740137"/>
    <w:rsid w:val="5D92680F"/>
    <w:rsid w:val="5D985B5D"/>
    <w:rsid w:val="5D99194B"/>
    <w:rsid w:val="5DA14CA4"/>
    <w:rsid w:val="5DA74BBA"/>
    <w:rsid w:val="5DA86032"/>
    <w:rsid w:val="5DAE555F"/>
    <w:rsid w:val="5DB93381"/>
    <w:rsid w:val="5DC170F4"/>
    <w:rsid w:val="5DDB6331"/>
    <w:rsid w:val="5DF70D68"/>
    <w:rsid w:val="5DFB3F71"/>
    <w:rsid w:val="5E026289"/>
    <w:rsid w:val="5E12285F"/>
    <w:rsid w:val="5E1B1152"/>
    <w:rsid w:val="5E1F706D"/>
    <w:rsid w:val="5E2362A6"/>
    <w:rsid w:val="5E2A5D10"/>
    <w:rsid w:val="5E2B0D74"/>
    <w:rsid w:val="5E3609EF"/>
    <w:rsid w:val="5E5166CA"/>
    <w:rsid w:val="5E520056"/>
    <w:rsid w:val="5E6F07FC"/>
    <w:rsid w:val="5E733CDC"/>
    <w:rsid w:val="5E8231EB"/>
    <w:rsid w:val="5E873E9A"/>
    <w:rsid w:val="5E8C325E"/>
    <w:rsid w:val="5E95147E"/>
    <w:rsid w:val="5E9A2814"/>
    <w:rsid w:val="5EA762B3"/>
    <w:rsid w:val="5EBF433C"/>
    <w:rsid w:val="5ED7107F"/>
    <w:rsid w:val="5ED75CC1"/>
    <w:rsid w:val="5EEF0C5F"/>
    <w:rsid w:val="5EF57055"/>
    <w:rsid w:val="5F032F60"/>
    <w:rsid w:val="5F050960"/>
    <w:rsid w:val="5F0A2DCC"/>
    <w:rsid w:val="5F0B4ACB"/>
    <w:rsid w:val="5F112D8A"/>
    <w:rsid w:val="5F206EA3"/>
    <w:rsid w:val="5F330F86"/>
    <w:rsid w:val="5F6141F5"/>
    <w:rsid w:val="5F736D0A"/>
    <w:rsid w:val="5F7738E2"/>
    <w:rsid w:val="5F7E063F"/>
    <w:rsid w:val="5F833753"/>
    <w:rsid w:val="5F8F62EA"/>
    <w:rsid w:val="5FA32F55"/>
    <w:rsid w:val="5FAF36A8"/>
    <w:rsid w:val="5FB707AE"/>
    <w:rsid w:val="5FE01AB3"/>
    <w:rsid w:val="5FEB3E7E"/>
    <w:rsid w:val="5FF74F7E"/>
    <w:rsid w:val="600357A2"/>
    <w:rsid w:val="60151A0B"/>
    <w:rsid w:val="602A71D2"/>
    <w:rsid w:val="602F2A3B"/>
    <w:rsid w:val="60455DBA"/>
    <w:rsid w:val="604D4C6F"/>
    <w:rsid w:val="60563B24"/>
    <w:rsid w:val="60583D40"/>
    <w:rsid w:val="6081537E"/>
    <w:rsid w:val="60997EB4"/>
    <w:rsid w:val="609B3C2C"/>
    <w:rsid w:val="60B30F76"/>
    <w:rsid w:val="60B43395"/>
    <w:rsid w:val="60EE0200"/>
    <w:rsid w:val="60F35816"/>
    <w:rsid w:val="60F76D74"/>
    <w:rsid w:val="61112110"/>
    <w:rsid w:val="611E662C"/>
    <w:rsid w:val="61214578"/>
    <w:rsid w:val="61260204"/>
    <w:rsid w:val="612E6465"/>
    <w:rsid w:val="614219BF"/>
    <w:rsid w:val="61532759"/>
    <w:rsid w:val="616B7AA3"/>
    <w:rsid w:val="61823DC3"/>
    <w:rsid w:val="619A3EE4"/>
    <w:rsid w:val="61A0627C"/>
    <w:rsid w:val="61BF394A"/>
    <w:rsid w:val="61CB32AE"/>
    <w:rsid w:val="61DE0274"/>
    <w:rsid w:val="61EF2482"/>
    <w:rsid w:val="620169FF"/>
    <w:rsid w:val="62175534"/>
    <w:rsid w:val="622044B5"/>
    <w:rsid w:val="623936FD"/>
    <w:rsid w:val="624D71A8"/>
    <w:rsid w:val="625422E5"/>
    <w:rsid w:val="625A4E82"/>
    <w:rsid w:val="625B7B17"/>
    <w:rsid w:val="625F6AA9"/>
    <w:rsid w:val="627E3D45"/>
    <w:rsid w:val="62830E1C"/>
    <w:rsid w:val="629848C7"/>
    <w:rsid w:val="62A5101B"/>
    <w:rsid w:val="62AF7C6B"/>
    <w:rsid w:val="62B2525D"/>
    <w:rsid w:val="62C51434"/>
    <w:rsid w:val="62C70D09"/>
    <w:rsid w:val="62CC4571"/>
    <w:rsid w:val="62DE16D1"/>
    <w:rsid w:val="62E25DCB"/>
    <w:rsid w:val="62ED5E67"/>
    <w:rsid w:val="62F85849"/>
    <w:rsid w:val="62FF6047"/>
    <w:rsid w:val="630261E5"/>
    <w:rsid w:val="63181793"/>
    <w:rsid w:val="633839B4"/>
    <w:rsid w:val="6367429A"/>
    <w:rsid w:val="63690012"/>
    <w:rsid w:val="63824033"/>
    <w:rsid w:val="63966A02"/>
    <w:rsid w:val="63AC7EFE"/>
    <w:rsid w:val="63B11073"/>
    <w:rsid w:val="63B854D2"/>
    <w:rsid w:val="63BD014A"/>
    <w:rsid w:val="63D62198"/>
    <w:rsid w:val="63E77443"/>
    <w:rsid w:val="63FA6EBC"/>
    <w:rsid w:val="64042737"/>
    <w:rsid w:val="64110D2B"/>
    <w:rsid w:val="64202DC6"/>
    <w:rsid w:val="642A77A1"/>
    <w:rsid w:val="64366AF1"/>
    <w:rsid w:val="643C40F0"/>
    <w:rsid w:val="64630F05"/>
    <w:rsid w:val="646B1B68"/>
    <w:rsid w:val="647105EB"/>
    <w:rsid w:val="64717235"/>
    <w:rsid w:val="64750806"/>
    <w:rsid w:val="647C3D75"/>
    <w:rsid w:val="64A16C78"/>
    <w:rsid w:val="64AA2690"/>
    <w:rsid w:val="64B00BE5"/>
    <w:rsid w:val="64E57A26"/>
    <w:rsid w:val="65041B65"/>
    <w:rsid w:val="651B358E"/>
    <w:rsid w:val="65264206"/>
    <w:rsid w:val="653925C1"/>
    <w:rsid w:val="65393A14"/>
    <w:rsid w:val="65460159"/>
    <w:rsid w:val="65532D27"/>
    <w:rsid w:val="655645C6"/>
    <w:rsid w:val="65644F35"/>
    <w:rsid w:val="657476EF"/>
    <w:rsid w:val="657D21DE"/>
    <w:rsid w:val="65913C8E"/>
    <w:rsid w:val="659B161D"/>
    <w:rsid w:val="659E4079"/>
    <w:rsid w:val="659F7D1B"/>
    <w:rsid w:val="65AD1A15"/>
    <w:rsid w:val="65B2572C"/>
    <w:rsid w:val="65B311DE"/>
    <w:rsid w:val="65CC6EE2"/>
    <w:rsid w:val="65CE0600"/>
    <w:rsid w:val="65E25DFF"/>
    <w:rsid w:val="65E51988"/>
    <w:rsid w:val="65EB2F60"/>
    <w:rsid w:val="66010FDE"/>
    <w:rsid w:val="66106E6A"/>
    <w:rsid w:val="661673E0"/>
    <w:rsid w:val="661C136B"/>
    <w:rsid w:val="66293498"/>
    <w:rsid w:val="662B0232"/>
    <w:rsid w:val="66300BF5"/>
    <w:rsid w:val="663416E6"/>
    <w:rsid w:val="66342B59"/>
    <w:rsid w:val="66391F1D"/>
    <w:rsid w:val="665A00E6"/>
    <w:rsid w:val="66851BD0"/>
    <w:rsid w:val="669B517D"/>
    <w:rsid w:val="669C2723"/>
    <w:rsid w:val="669F7B52"/>
    <w:rsid w:val="66B23A7E"/>
    <w:rsid w:val="66BF7C35"/>
    <w:rsid w:val="66C14B18"/>
    <w:rsid w:val="66C20165"/>
    <w:rsid w:val="66C33EDD"/>
    <w:rsid w:val="66C739CD"/>
    <w:rsid w:val="67035B62"/>
    <w:rsid w:val="67191920"/>
    <w:rsid w:val="672E75A8"/>
    <w:rsid w:val="6733061A"/>
    <w:rsid w:val="67475B0D"/>
    <w:rsid w:val="67564D51"/>
    <w:rsid w:val="675F5711"/>
    <w:rsid w:val="67697A98"/>
    <w:rsid w:val="676A25AA"/>
    <w:rsid w:val="67892A30"/>
    <w:rsid w:val="679413D5"/>
    <w:rsid w:val="67AC2BC3"/>
    <w:rsid w:val="67C70731"/>
    <w:rsid w:val="67D619EE"/>
    <w:rsid w:val="67E265E5"/>
    <w:rsid w:val="67F04F8A"/>
    <w:rsid w:val="67F11A94"/>
    <w:rsid w:val="68232E85"/>
    <w:rsid w:val="682D5AB2"/>
    <w:rsid w:val="68486D7D"/>
    <w:rsid w:val="68524510"/>
    <w:rsid w:val="68572B2F"/>
    <w:rsid w:val="685E5C6B"/>
    <w:rsid w:val="686474E1"/>
    <w:rsid w:val="686D784C"/>
    <w:rsid w:val="68787BB6"/>
    <w:rsid w:val="6886170F"/>
    <w:rsid w:val="688A6B4B"/>
    <w:rsid w:val="688B27D8"/>
    <w:rsid w:val="6893483C"/>
    <w:rsid w:val="68943D79"/>
    <w:rsid w:val="689E250C"/>
    <w:rsid w:val="68AF5E2F"/>
    <w:rsid w:val="68B944DF"/>
    <w:rsid w:val="68C44649"/>
    <w:rsid w:val="68C57B74"/>
    <w:rsid w:val="68C63810"/>
    <w:rsid w:val="68C76CFF"/>
    <w:rsid w:val="68EE46E4"/>
    <w:rsid w:val="68F93BE6"/>
    <w:rsid w:val="68FE744E"/>
    <w:rsid w:val="6917406C"/>
    <w:rsid w:val="692A3D9F"/>
    <w:rsid w:val="6931512E"/>
    <w:rsid w:val="69450BD9"/>
    <w:rsid w:val="69456E2B"/>
    <w:rsid w:val="69474951"/>
    <w:rsid w:val="69516D7E"/>
    <w:rsid w:val="696B0B87"/>
    <w:rsid w:val="69766FE4"/>
    <w:rsid w:val="698C6808"/>
    <w:rsid w:val="69902B03"/>
    <w:rsid w:val="69B53FB1"/>
    <w:rsid w:val="69B63885"/>
    <w:rsid w:val="69C77840"/>
    <w:rsid w:val="69F06649"/>
    <w:rsid w:val="69FB06D2"/>
    <w:rsid w:val="69FF642C"/>
    <w:rsid w:val="6A072DAF"/>
    <w:rsid w:val="6A0B1E23"/>
    <w:rsid w:val="6A0E4E32"/>
    <w:rsid w:val="6A1B6BE8"/>
    <w:rsid w:val="6A1D3904"/>
    <w:rsid w:val="6A266C5C"/>
    <w:rsid w:val="6A2922A9"/>
    <w:rsid w:val="6A30466B"/>
    <w:rsid w:val="6A573B74"/>
    <w:rsid w:val="6A5A4B58"/>
    <w:rsid w:val="6A5D1F52"/>
    <w:rsid w:val="6A773014"/>
    <w:rsid w:val="6A88590C"/>
    <w:rsid w:val="6A8A5623"/>
    <w:rsid w:val="6A8C1031"/>
    <w:rsid w:val="6A95793E"/>
    <w:rsid w:val="6AB26742"/>
    <w:rsid w:val="6ABC4ECB"/>
    <w:rsid w:val="6AD11ABE"/>
    <w:rsid w:val="6AEA0B3C"/>
    <w:rsid w:val="6AF1726A"/>
    <w:rsid w:val="6AF6662F"/>
    <w:rsid w:val="6B032AFA"/>
    <w:rsid w:val="6B0D2453"/>
    <w:rsid w:val="6B2018FE"/>
    <w:rsid w:val="6B447FEA"/>
    <w:rsid w:val="6B594E10"/>
    <w:rsid w:val="6B631E94"/>
    <w:rsid w:val="6B6B7779"/>
    <w:rsid w:val="6B764293"/>
    <w:rsid w:val="6B80239C"/>
    <w:rsid w:val="6B9F5320"/>
    <w:rsid w:val="6BA20565"/>
    <w:rsid w:val="6BA30D82"/>
    <w:rsid w:val="6BB362CE"/>
    <w:rsid w:val="6BB86E3D"/>
    <w:rsid w:val="6BCA58C6"/>
    <w:rsid w:val="6BD139EC"/>
    <w:rsid w:val="6BE04757"/>
    <w:rsid w:val="6BF608B1"/>
    <w:rsid w:val="6BF71220"/>
    <w:rsid w:val="6C165CE4"/>
    <w:rsid w:val="6C1B03AA"/>
    <w:rsid w:val="6C4101F3"/>
    <w:rsid w:val="6C465394"/>
    <w:rsid w:val="6C7407D5"/>
    <w:rsid w:val="6C774F51"/>
    <w:rsid w:val="6C90660F"/>
    <w:rsid w:val="6CCD2AB1"/>
    <w:rsid w:val="6CDD30A2"/>
    <w:rsid w:val="6CE6789B"/>
    <w:rsid w:val="6D08089B"/>
    <w:rsid w:val="6D10777A"/>
    <w:rsid w:val="6D11054A"/>
    <w:rsid w:val="6D1C7EA3"/>
    <w:rsid w:val="6D2B17BC"/>
    <w:rsid w:val="6D351D7E"/>
    <w:rsid w:val="6D36716F"/>
    <w:rsid w:val="6D4D4500"/>
    <w:rsid w:val="6D4E288C"/>
    <w:rsid w:val="6D853C9A"/>
    <w:rsid w:val="6D8A7502"/>
    <w:rsid w:val="6D934609"/>
    <w:rsid w:val="6D9E55C4"/>
    <w:rsid w:val="6DA31688"/>
    <w:rsid w:val="6DB972D2"/>
    <w:rsid w:val="6DC9002B"/>
    <w:rsid w:val="6DCD73EF"/>
    <w:rsid w:val="6DDA6F27"/>
    <w:rsid w:val="6DEA60FC"/>
    <w:rsid w:val="6DFD7CD4"/>
    <w:rsid w:val="6E092E8C"/>
    <w:rsid w:val="6E1241EE"/>
    <w:rsid w:val="6E1C6FD4"/>
    <w:rsid w:val="6E22546F"/>
    <w:rsid w:val="6E284701"/>
    <w:rsid w:val="6E2B2B48"/>
    <w:rsid w:val="6E3F4508"/>
    <w:rsid w:val="6E45744C"/>
    <w:rsid w:val="6E5518BE"/>
    <w:rsid w:val="6E5A7F72"/>
    <w:rsid w:val="6E5F680C"/>
    <w:rsid w:val="6E677844"/>
    <w:rsid w:val="6E761835"/>
    <w:rsid w:val="6E8A56BC"/>
    <w:rsid w:val="6E8E3022"/>
    <w:rsid w:val="6EAC4893"/>
    <w:rsid w:val="6ECB5A32"/>
    <w:rsid w:val="6EDC5B3C"/>
    <w:rsid w:val="6EEB76D5"/>
    <w:rsid w:val="6EF72E76"/>
    <w:rsid w:val="6F2332AE"/>
    <w:rsid w:val="6F294F5B"/>
    <w:rsid w:val="6F392F8E"/>
    <w:rsid w:val="6F6F075E"/>
    <w:rsid w:val="6F750C91"/>
    <w:rsid w:val="6F7C731F"/>
    <w:rsid w:val="6F800E7A"/>
    <w:rsid w:val="6F9C52CB"/>
    <w:rsid w:val="6F9F6319"/>
    <w:rsid w:val="6FA523D2"/>
    <w:rsid w:val="6FB277B8"/>
    <w:rsid w:val="6FB35D39"/>
    <w:rsid w:val="6FB72105"/>
    <w:rsid w:val="6FC91072"/>
    <w:rsid w:val="6FCA1E38"/>
    <w:rsid w:val="6FE00586"/>
    <w:rsid w:val="6FE27182"/>
    <w:rsid w:val="70082960"/>
    <w:rsid w:val="701D4B10"/>
    <w:rsid w:val="702373FC"/>
    <w:rsid w:val="70294DB1"/>
    <w:rsid w:val="702A6EB6"/>
    <w:rsid w:val="702C2AF3"/>
    <w:rsid w:val="702E17B1"/>
    <w:rsid w:val="70307ADD"/>
    <w:rsid w:val="703C4EDE"/>
    <w:rsid w:val="703F26FF"/>
    <w:rsid w:val="70510AE4"/>
    <w:rsid w:val="7053007F"/>
    <w:rsid w:val="70637FF3"/>
    <w:rsid w:val="70647589"/>
    <w:rsid w:val="70963288"/>
    <w:rsid w:val="70A66401"/>
    <w:rsid w:val="70B054D2"/>
    <w:rsid w:val="70C500E8"/>
    <w:rsid w:val="70C64CF5"/>
    <w:rsid w:val="70DC7ADE"/>
    <w:rsid w:val="70ED2282"/>
    <w:rsid w:val="70F20DCB"/>
    <w:rsid w:val="70F31E1B"/>
    <w:rsid w:val="71153587"/>
    <w:rsid w:val="71210D22"/>
    <w:rsid w:val="712E3353"/>
    <w:rsid w:val="712F3F35"/>
    <w:rsid w:val="71467BE4"/>
    <w:rsid w:val="714E1AB7"/>
    <w:rsid w:val="7150069A"/>
    <w:rsid w:val="71557E27"/>
    <w:rsid w:val="71820586"/>
    <w:rsid w:val="71922E29"/>
    <w:rsid w:val="719552C0"/>
    <w:rsid w:val="71956476"/>
    <w:rsid w:val="71A010A2"/>
    <w:rsid w:val="71A36DE5"/>
    <w:rsid w:val="71B26480"/>
    <w:rsid w:val="71B478E3"/>
    <w:rsid w:val="71B927E7"/>
    <w:rsid w:val="71E82A49"/>
    <w:rsid w:val="71F4461D"/>
    <w:rsid w:val="7229064F"/>
    <w:rsid w:val="72440F99"/>
    <w:rsid w:val="724A141A"/>
    <w:rsid w:val="724C550F"/>
    <w:rsid w:val="724F5C10"/>
    <w:rsid w:val="726761B2"/>
    <w:rsid w:val="726C367A"/>
    <w:rsid w:val="726C5429"/>
    <w:rsid w:val="726F4F19"/>
    <w:rsid w:val="7278201F"/>
    <w:rsid w:val="72822E9E"/>
    <w:rsid w:val="728442F2"/>
    <w:rsid w:val="72B125C6"/>
    <w:rsid w:val="72B666A4"/>
    <w:rsid w:val="72C2329A"/>
    <w:rsid w:val="72C62282"/>
    <w:rsid w:val="72E743E6"/>
    <w:rsid w:val="72F71196"/>
    <w:rsid w:val="72FC49FE"/>
    <w:rsid w:val="73075151"/>
    <w:rsid w:val="730E0629"/>
    <w:rsid w:val="730F318E"/>
    <w:rsid w:val="73165394"/>
    <w:rsid w:val="731700C4"/>
    <w:rsid w:val="73320420"/>
    <w:rsid w:val="73351CBE"/>
    <w:rsid w:val="734D751F"/>
    <w:rsid w:val="735C724B"/>
    <w:rsid w:val="73625F7E"/>
    <w:rsid w:val="73682094"/>
    <w:rsid w:val="736D76AA"/>
    <w:rsid w:val="73902946"/>
    <w:rsid w:val="739A2746"/>
    <w:rsid w:val="73D43285"/>
    <w:rsid w:val="73DB2866"/>
    <w:rsid w:val="73E275F3"/>
    <w:rsid w:val="7409714C"/>
    <w:rsid w:val="740F0761"/>
    <w:rsid w:val="74145D78"/>
    <w:rsid w:val="741471FB"/>
    <w:rsid w:val="7415676E"/>
    <w:rsid w:val="74185868"/>
    <w:rsid w:val="741D4693"/>
    <w:rsid w:val="743261FE"/>
    <w:rsid w:val="74363153"/>
    <w:rsid w:val="743957DE"/>
    <w:rsid w:val="7446499E"/>
    <w:rsid w:val="744C1E93"/>
    <w:rsid w:val="746960C4"/>
    <w:rsid w:val="746C7962"/>
    <w:rsid w:val="748D1686"/>
    <w:rsid w:val="748F1AFC"/>
    <w:rsid w:val="74956EB9"/>
    <w:rsid w:val="74A33B22"/>
    <w:rsid w:val="74A52E74"/>
    <w:rsid w:val="74A95A78"/>
    <w:rsid w:val="74B530B7"/>
    <w:rsid w:val="74B5411B"/>
    <w:rsid w:val="74B65927"/>
    <w:rsid w:val="74BE3837"/>
    <w:rsid w:val="74E4399C"/>
    <w:rsid w:val="74E61E1D"/>
    <w:rsid w:val="74EB4D2A"/>
    <w:rsid w:val="74FA31C0"/>
    <w:rsid w:val="752D5343"/>
    <w:rsid w:val="753C107B"/>
    <w:rsid w:val="757A01BA"/>
    <w:rsid w:val="757E5B9F"/>
    <w:rsid w:val="75986535"/>
    <w:rsid w:val="759E0D5A"/>
    <w:rsid w:val="75A671A7"/>
    <w:rsid w:val="75AB3CEC"/>
    <w:rsid w:val="75B55338"/>
    <w:rsid w:val="75B807F8"/>
    <w:rsid w:val="75BB0867"/>
    <w:rsid w:val="75C95BD4"/>
    <w:rsid w:val="75F06371"/>
    <w:rsid w:val="75FC2BB5"/>
    <w:rsid w:val="75FE0A8D"/>
    <w:rsid w:val="761107C1"/>
    <w:rsid w:val="76137964"/>
    <w:rsid w:val="76277FE4"/>
    <w:rsid w:val="763F1D8A"/>
    <w:rsid w:val="76436EA8"/>
    <w:rsid w:val="764528DA"/>
    <w:rsid w:val="764566BC"/>
    <w:rsid w:val="764741E2"/>
    <w:rsid w:val="766703E1"/>
    <w:rsid w:val="76742AFE"/>
    <w:rsid w:val="76890AFE"/>
    <w:rsid w:val="768A40CF"/>
    <w:rsid w:val="769211D6"/>
    <w:rsid w:val="76995363"/>
    <w:rsid w:val="769D2054"/>
    <w:rsid w:val="76A50F09"/>
    <w:rsid w:val="76A97373"/>
    <w:rsid w:val="76B45B46"/>
    <w:rsid w:val="76C84BF7"/>
    <w:rsid w:val="76E41A31"/>
    <w:rsid w:val="76EE465E"/>
    <w:rsid w:val="77043B25"/>
    <w:rsid w:val="770E2F52"/>
    <w:rsid w:val="770E4D00"/>
    <w:rsid w:val="771420BB"/>
    <w:rsid w:val="77204A34"/>
    <w:rsid w:val="77304C77"/>
    <w:rsid w:val="7739537F"/>
    <w:rsid w:val="773A6661"/>
    <w:rsid w:val="7748073D"/>
    <w:rsid w:val="77495B3A"/>
    <w:rsid w:val="77577ED2"/>
    <w:rsid w:val="775E5C88"/>
    <w:rsid w:val="77642B72"/>
    <w:rsid w:val="777A4144"/>
    <w:rsid w:val="779276DF"/>
    <w:rsid w:val="779B625D"/>
    <w:rsid w:val="77A47413"/>
    <w:rsid w:val="77A827FD"/>
    <w:rsid w:val="77CE1628"/>
    <w:rsid w:val="77EB272E"/>
    <w:rsid w:val="77F04406"/>
    <w:rsid w:val="77FA05DF"/>
    <w:rsid w:val="78063844"/>
    <w:rsid w:val="7808174F"/>
    <w:rsid w:val="78156AB8"/>
    <w:rsid w:val="781E0F73"/>
    <w:rsid w:val="78292812"/>
    <w:rsid w:val="783F027B"/>
    <w:rsid w:val="7847671C"/>
    <w:rsid w:val="784D469C"/>
    <w:rsid w:val="7858665A"/>
    <w:rsid w:val="78607CCC"/>
    <w:rsid w:val="786A43AD"/>
    <w:rsid w:val="787B63C5"/>
    <w:rsid w:val="78805CCD"/>
    <w:rsid w:val="7883527A"/>
    <w:rsid w:val="788D434B"/>
    <w:rsid w:val="78922BE6"/>
    <w:rsid w:val="78924B85"/>
    <w:rsid w:val="789E0306"/>
    <w:rsid w:val="78A23952"/>
    <w:rsid w:val="78B90C9C"/>
    <w:rsid w:val="78C26675"/>
    <w:rsid w:val="78C442AE"/>
    <w:rsid w:val="78D001C4"/>
    <w:rsid w:val="78F9553C"/>
    <w:rsid w:val="7906764B"/>
    <w:rsid w:val="791A6BC3"/>
    <w:rsid w:val="791B3704"/>
    <w:rsid w:val="79222CE5"/>
    <w:rsid w:val="793547C6"/>
    <w:rsid w:val="79444A09"/>
    <w:rsid w:val="79587ECC"/>
    <w:rsid w:val="796230E1"/>
    <w:rsid w:val="796B01E8"/>
    <w:rsid w:val="797F60F9"/>
    <w:rsid w:val="79907C4E"/>
    <w:rsid w:val="79921C19"/>
    <w:rsid w:val="799D0C21"/>
    <w:rsid w:val="79AB6836"/>
    <w:rsid w:val="79B653FD"/>
    <w:rsid w:val="79CE69C9"/>
    <w:rsid w:val="79D264B9"/>
    <w:rsid w:val="79E955B1"/>
    <w:rsid w:val="79F14A29"/>
    <w:rsid w:val="79FE72AE"/>
    <w:rsid w:val="7A04443B"/>
    <w:rsid w:val="7A1E50DA"/>
    <w:rsid w:val="7A240412"/>
    <w:rsid w:val="7A255941"/>
    <w:rsid w:val="7A304655"/>
    <w:rsid w:val="7A326F58"/>
    <w:rsid w:val="7A4B0019"/>
    <w:rsid w:val="7A551D86"/>
    <w:rsid w:val="7A74131E"/>
    <w:rsid w:val="7A895A3B"/>
    <w:rsid w:val="7A947A86"/>
    <w:rsid w:val="7ACC3ED7"/>
    <w:rsid w:val="7ADD76F1"/>
    <w:rsid w:val="7AF4420D"/>
    <w:rsid w:val="7B010617"/>
    <w:rsid w:val="7B1448AF"/>
    <w:rsid w:val="7B265B11"/>
    <w:rsid w:val="7B292961"/>
    <w:rsid w:val="7B3D051E"/>
    <w:rsid w:val="7B474C85"/>
    <w:rsid w:val="7B617A97"/>
    <w:rsid w:val="7B6E62BE"/>
    <w:rsid w:val="7B713AB0"/>
    <w:rsid w:val="7B7E54D5"/>
    <w:rsid w:val="7B865AE6"/>
    <w:rsid w:val="7B9D0B57"/>
    <w:rsid w:val="7BB45E6B"/>
    <w:rsid w:val="7BC41E31"/>
    <w:rsid w:val="7BFC3D3F"/>
    <w:rsid w:val="7BFF730D"/>
    <w:rsid w:val="7C0D2359"/>
    <w:rsid w:val="7C1F25D6"/>
    <w:rsid w:val="7C2E19A1"/>
    <w:rsid w:val="7C4F34A0"/>
    <w:rsid w:val="7C516BDF"/>
    <w:rsid w:val="7C601C75"/>
    <w:rsid w:val="7C661603"/>
    <w:rsid w:val="7C6F4493"/>
    <w:rsid w:val="7C766086"/>
    <w:rsid w:val="7C832BD1"/>
    <w:rsid w:val="7C877B21"/>
    <w:rsid w:val="7C8E2DAB"/>
    <w:rsid w:val="7CA35EEB"/>
    <w:rsid w:val="7CA96DE2"/>
    <w:rsid w:val="7CB400F8"/>
    <w:rsid w:val="7CBE73D4"/>
    <w:rsid w:val="7CCD2F68"/>
    <w:rsid w:val="7CE54755"/>
    <w:rsid w:val="7CF44998"/>
    <w:rsid w:val="7CFE75C5"/>
    <w:rsid w:val="7D025671"/>
    <w:rsid w:val="7D08084D"/>
    <w:rsid w:val="7D0D2DF4"/>
    <w:rsid w:val="7D20753B"/>
    <w:rsid w:val="7D423956"/>
    <w:rsid w:val="7D464E8F"/>
    <w:rsid w:val="7D731D61"/>
    <w:rsid w:val="7D7B0A09"/>
    <w:rsid w:val="7D8206C6"/>
    <w:rsid w:val="7D983576"/>
    <w:rsid w:val="7D9B64B9"/>
    <w:rsid w:val="7DA63EE4"/>
    <w:rsid w:val="7DA83D87"/>
    <w:rsid w:val="7DD50CA1"/>
    <w:rsid w:val="7DED1B13"/>
    <w:rsid w:val="7DF74740"/>
    <w:rsid w:val="7E105802"/>
    <w:rsid w:val="7E1150D6"/>
    <w:rsid w:val="7E1C5F55"/>
    <w:rsid w:val="7E1D3F0F"/>
    <w:rsid w:val="7E281378"/>
    <w:rsid w:val="7E3F120C"/>
    <w:rsid w:val="7E595AB3"/>
    <w:rsid w:val="7E5D1EBE"/>
    <w:rsid w:val="7E6B2A38"/>
    <w:rsid w:val="7E865AC4"/>
    <w:rsid w:val="7EA06B86"/>
    <w:rsid w:val="7EA85A3A"/>
    <w:rsid w:val="7EA96C28"/>
    <w:rsid w:val="7EAA17B2"/>
    <w:rsid w:val="7EAC1ADC"/>
    <w:rsid w:val="7EB22415"/>
    <w:rsid w:val="7EB73ECF"/>
    <w:rsid w:val="7EBB576E"/>
    <w:rsid w:val="7EBB6578"/>
    <w:rsid w:val="7ED76320"/>
    <w:rsid w:val="7EEB5927"/>
    <w:rsid w:val="7EEC1DCB"/>
    <w:rsid w:val="7EFA628B"/>
    <w:rsid w:val="7F012EA5"/>
    <w:rsid w:val="7F166E48"/>
    <w:rsid w:val="7F182BC0"/>
    <w:rsid w:val="7F3048EE"/>
    <w:rsid w:val="7F315A30"/>
    <w:rsid w:val="7F3E014D"/>
    <w:rsid w:val="7F5820FB"/>
    <w:rsid w:val="7F5F1A12"/>
    <w:rsid w:val="7F686625"/>
    <w:rsid w:val="7F714D78"/>
    <w:rsid w:val="7F8F09A8"/>
    <w:rsid w:val="7FAA75D0"/>
    <w:rsid w:val="7FAD2991"/>
    <w:rsid w:val="7FE02FB2"/>
    <w:rsid w:val="7FED2F0C"/>
    <w:rsid w:val="7FF40E74"/>
    <w:rsid w:val="7FF54CAF"/>
    <w:rsid w:val="7FF5666C"/>
    <w:rsid w:val="7FF8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qFormat="1" w:uiPriority="99"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ind w:firstLine="560" w:firstLineChars="200"/>
    </w:pPr>
    <w:rPr>
      <w:rFonts w:ascii="Times New Roman" w:hAnsi="Times New Roman" w:eastAsia="宋体" w:cs="Times New Roman"/>
      <w:sz w:val="28"/>
      <w:szCs w:val="21"/>
      <w:lang w:val="en-US" w:eastAsia="zh-CN" w:bidi="ar-SA"/>
    </w:rPr>
  </w:style>
  <w:style w:type="paragraph" w:styleId="7">
    <w:name w:val="heading 1"/>
    <w:basedOn w:val="1"/>
    <w:next w:val="1"/>
    <w:link w:val="54"/>
    <w:qFormat/>
    <w:uiPriority w:val="9"/>
    <w:pPr>
      <w:numPr>
        <w:ilvl w:val="0"/>
        <w:numId w:val="1"/>
      </w:numPr>
      <w:spacing w:afterLines="50" w:line="240" w:lineRule="auto"/>
      <w:ind w:firstLine="0" w:firstLineChars="0"/>
      <w:outlineLvl w:val="0"/>
    </w:pPr>
    <w:rPr>
      <w:b/>
      <w:bCs/>
      <w:kern w:val="44"/>
      <w:sz w:val="24"/>
      <w:szCs w:val="16"/>
    </w:rPr>
  </w:style>
  <w:style w:type="paragraph" w:styleId="8">
    <w:name w:val="heading 2"/>
    <w:basedOn w:val="1"/>
    <w:next w:val="1"/>
    <w:link w:val="55"/>
    <w:qFormat/>
    <w:uiPriority w:val="0"/>
    <w:pPr>
      <w:spacing w:afterLines="50" w:line="240" w:lineRule="auto"/>
      <w:ind w:firstLine="0" w:firstLineChars="0"/>
      <w:outlineLvl w:val="1"/>
    </w:pPr>
    <w:rPr>
      <w:rFonts w:ascii="宋体" w:hAnsi="宋体"/>
      <w:b/>
      <w:sz w:val="24"/>
      <w:szCs w:val="24"/>
    </w:rPr>
  </w:style>
  <w:style w:type="paragraph" w:styleId="9">
    <w:name w:val="heading 3"/>
    <w:basedOn w:val="1"/>
    <w:next w:val="1"/>
    <w:link w:val="45"/>
    <w:qFormat/>
    <w:uiPriority w:val="0"/>
    <w:pPr>
      <w:numPr>
        <w:ilvl w:val="0"/>
        <w:numId w:val="2"/>
      </w:numPr>
      <w:ind w:firstLine="0" w:firstLineChars="0"/>
      <w:outlineLvl w:val="2"/>
    </w:pPr>
    <w:rPr>
      <w:b/>
      <w:sz w:val="21"/>
    </w:rPr>
  </w:style>
  <w:style w:type="paragraph" w:styleId="10">
    <w:name w:val="heading 4"/>
    <w:basedOn w:val="1"/>
    <w:next w:val="1"/>
    <w:link w:val="56"/>
    <w:qFormat/>
    <w:uiPriority w:val="0"/>
    <w:pPr>
      <w:spacing w:afterLines="50" w:line="240" w:lineRule="auto"/>
      <w:ind w:firstLine="0" w:firstLineChars="0"/>
      <w:outlineLvl w:val="3"/>
    </w:pPr>
    <w:rPr>
      <w:rFonts w:ascii="宋体" w:hAnsi="宋体"/>
      <w:b/>
      <w:sz w:val="21"/>
    </w:rPr>
  </w:style>
  <w:style w:type="paragraph" w:styleId="11">
    <w:name w:val="heading 5"/>
    <w:basedOn w:val="1"/>
    <w:next w:val="1"/>
    <w:link w:val="57"/>
    <w:qFormat/>
    <w:uiPriority w:val="9"/>
    <w:pPr>
      <w:spacing w:afterLines="50" w:line="240" w:lineRule="auto"/>
      <w:ind w:firstLine="0" w:firstLineChars="0"/>
      <w:outlineLvl w:val="4"/>
    </w:pPr>
    <w:rPr>
      <w:b/>
      <w:bCs/>
      <w:sz w:val="21"/>
    </w:rPr>
  </w:style>
  <w:style w:type="paragraph" w:styleId="12">
    <w:name w:val="heading 6"/>
    <w:basedOn w:val="1"/>
    <w:next w:val="1"/>
    <w:link w:val="58"/>
    <w:qFormat/>
    <w:uiPriority w:val="9"/>
    <w:pPr>
      <w:keepNext/>
      <w:keepLines/>
      <w:spacing w:before="240" w:after="64" w:line="320" w:lineRule="auto"/>
      <w:ind w:firstLine="0" w:firstLineChars="0"/>
      <w:outlineLvl w:val="5"/>
    </w:pPr>
    <w:rPr>
      <w:rFonts w:ascii="Cambria" w:hAnsi="Cambria"/>
      <w:b/>
      <w:bCs/>
      <w:sz w:val="24"/>
      <w:szCs w:val="24"/>
    </w:rPr>
  </w:style>
  <w:style w:type="paragraph" w:styleId="13">
    <w:name w:val="heading 7"/>
    <w:basedOn w:val="1"/>
    <w:next w:val="1"/>
    <w:link w:val="59"/>
    <w:qFormat/>
    <w:uiPriority w:val="9"/>
    <w:pPr>
      <w:keepNext/>
      <w:keepLines/>
      <w:spacing w:before="240" w:after="64" w:line="320" w:lineRule="auto"/>
      <w:ind w:firstLine="0" w:firstLineChars="0"/>
      <w:outlineLvl w:val="6"/>
    </w:pPr>
    <w:rPr>
      <w:b/>
      <w:bCs/>
      <w:sz w:val="24"/>
      <w:szCs w:val="24"/>
    </w:rPr>
  </w:style>
  <w:style w:type="paragraph" w:styleId="14">
    <w:name w:val="heading 8"/>
    <w:basedOn w:val="1"/>
    <w:next w:val="1"/>
    <w:link w:val="60"/>
    <w:qFormat/>
    <w:uiPriority w:val="9"/>
    <w:pPr>
      <w:keepNext/>
      <w:keepLines/>
      <w:spacing w:before="240" w:after="64" w:line="320" w:lineRule="auto"/>
      <w:ind w:firstLine="0" w:firstLineChars="0"/>
      <w:outlineLvl w:val="7"/>
    </w:pPr>
    <w:rPr>
      <w:rFonts w:ascii="Cambria" w:hAnsi="Cambria"/>
      <w:sz w:val="24"/>
      <w:szCs w:val="24"/>
    </w:rPr>
  </w:style>
  <w:style w:type="paragraph" w:styleId="15">
    <w:name w:val="heading 9"/>
    <w:basedOn w:val="1"/>
    <w:next w:val="1"/>
    <w:link w:val="61"/>
    <w:qFormat/>
    <w:uiPriority w:val="9"/>
    <w:pPr>
      <w:keepNext/>
      <w:keepLines/>
      <w:spacing w:before="240" w:after="64" w:line="320" w:lineRule="auto"/>
      <w:ind w:firstLine="0" w:firstLineChars="0"/>
      <w:outlineLvl w:val="8"/>
    </w:pPr>
    <w:rPr>
      <w:rFonts w:ascii="Cambria" w:hAnsi="Cambria"/>
      <w:szCs w:val="24"/>
    </w:rPr>
  </w:style>
  <w:style w:type="character" w:default="1" w:styleId="38">
    <w:name w:val="Default Paragraph Font"/>
    <w:semiHidden/>
    <w:unhideWhenUsed/>
    <w:qFormat/>
    <w:uiPriority w:val="1"/>
  </w:style>
  <w:style w:type="table" w:default="1" w:styleId="3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basedOn w:val="3"/>
    <w:next w:val="6"/>
    <w:qFormat/>
    <w:uiPriority w:val="0"/>
    <w:pPr>
      <w:autoSpaceDE w:val="0"/>
      <w:autoSpaceDN w:val="0"/>
      <w:adjustRightInd w:val="0"/>
    </w:pPr>
    <w:rPr>
      <w:rFonts w:hAnsi="Times New Roman" w:cs="宋体"/>
      <w:color w:val="000000"/>
      <w:sz w:val="24"/>
      <w:szCs w:val="24"/>
    </w:rPr>
  </w:style>
  <w:style w:type="paragraph" w:customStyle="1" w:styleId="3">
    <w:name w:val="纯文本1"/>
    <w:basedOn w:val="1"/>
    <w:next w:val="4"/>
    <w:qFormat/>
    <w:uiPriority w:val="0"/>
    <w:rPr>
      <w:rFonts w:hint="eastAsia" w:ascii="宋体" w:hAnsi="Courier New"/>
      <w:szCs w:val="22"/>
    </w:rPr>
  </w:style>
  <w:style w:type="paragraph" w:styleId="4">
    <w:name w:val="Plain Text"/>
    <w:basedOn w:val="1"/>
    <w:next w:val="5"/>
    <w:qFormat/>
    <w:uiPriority w:val="0"/>
    <w:rPr>
      <w:rFonts w:ascii="宋体" w:hAnsi="Courier New" w:cs="Courier New"/>
    </w:rPr>
  </w:style>
  <w:style w:type="paragraph" w:styleId="5">
    <w:name w:val="toc 1"/>
    <w:basedOn w:val="1"/>
    <w:next w:val="1"/>
    <w:qFormat/>
    <w:uiPriority w:val="39"/>
    <w:pPr>
      <w:spacing w:line="360" w:lineRule="auto"/>
    </w:pPr>
    <w:rPr>
      <w:rFonts w:ascii="Calibri" w:hAnsi="Calibri"/>
      <w:b/>
      <w:kern w:val="2"/>
      <w:szCs w:val="22"/>
    </w:rPr>
  </w:style>
  <w:style w:type="paragraph" w:styleId="6">
    <w:name w:val="List 3"/>
    <w:basedOn w:val="1"/>
    <w:next w:val="1"/>
    <w:qFormat/>
    <w:uiPriority w:val="0"/>
    <w:pPr>
      <w:spacing w:line="360" w:lineRule="auto"/>
      <w:ind w:left="100" w:leftChars="400" w:hanging="200" w:hangingChars="200"/>
    </w:pPr>
    <w:rPr>
      <w:kern w:val="2"/>
    </w:rPr>
  </w:style>
  <w:style w:type="paragraph" w:styleId="16">
    <w:name w:val="Normal Indent"/>
    <w:basedOn w:val="1"/>
    <w:next w:val="1"/>
    <w:unhideWhenUsed/>
    <w:qFormat/>
    <w:uiPriority w:val="99"/>
    <w:pPr>
      <w:ind w:firstLine="420"/>
    </w:pPr>
  </w:style>
  <w:style w:type="paragraph" w:styleId="17">
    <w:name w:val="caption"/>
    <w:basedOn w:val="1"/>
    <w:next w:val="1"/>
    <w:unhideWhenUsed/>
    <w:qFormat/>
    <w:uiPriority w:val="35"/>
    <w:rPr>
      <w:rFonts w:eastAsia="黑体" w:asciiTheme="majorHAnsi" w:hAnsiTheme="majorHAnsi" w:cstheme="majorBidi"/>
      <w:sz w:val="20"/>
      <w:szCs w:val="20"/>
    </w:rPr>
  </w:style>
  <w:style w:type="paragraph" w:styleId="18">
    <w:name w:val="Document Map"/>
    <w:basedOn w:val="1"/>
    <w:link w:val="90"/>
    <w:semiHidden/>
    <w:unhideWhenUsed/>
    <w:qFormat/>
    <w:uiPriority w:val="99"/>
    <w:rPr>
      <w:rFonts w:ascii="宋体"/>
      <w:sz w:val="18"/>
      <w:szCs w:val="18"/>
    </w:rPr>
  </w:style>
  <w:style w:type="paragraph" w:styleId="19">
    <w:name w:val="annotation text"/>
    <w:basedOn w:val="1"/>
    <w:next w:val="20"/>
    <w:link w:val="62"/>
    <w:unhideWhenUsed/>
    <w:qFormat/>
    <w:uiPriority w:val="0"/>
    <w:pPr>
      <w:adjustRightInd w:val="0"/>
      <w:snapToGrid w:val="0"/>
      <w:spacing w:line="240" w:lineRule="auto"/>
    </w:pPr>
  </w:style>
  <w:style w:type="paragraph" w:styleId="20">
    <w:name w:val="toc 5"/>
    <w:basedOn w:val="1"/>
    <w:next w:val="1"/>
    <w:unhideWhenUsed/>
    <w:qFormat/>
    <w:uiPriority w:val="39"/>
    <w:pPr>
      <w:ind w:left="960"/>
    </w:pPr>
    <w:rPr>
      <w:rFonts w:ascii="Calibri" w:eastAsia="Calibri"/>
      <w:sz w:val="18"/>
      <w:szCs w:val="18"/>
    </w:rPr>
  </w:style>
  <w:style w:type="paragraph" w:styleId="21">
    <w:name w:val="Body Text"/>
    <w:basedOn w:val="1"/>
    <w:next w:val="22"/>
    <w:qFormat/>
    <w:uiPriority w:val="1"/>
    <w:pPr>
      <w:ind w:left="218"/>
    </w:pPr>
    <w:rPr>
      <w:rFonts w:ascii="宋体" w:hAnsi="宋体" w:cs="宋体"/>
      <w:sz w:val="24"/>
      <w:szCs w:val="24"/>
      <w:lang w:val="zh-CN" w:bidi="zh-CN"/>
    </w:rPr>
  </w:style>
  <w:style w:type="paragraph" w:styleId="22">
    <w:name w:val="Body Text First Indent 2"/>
    <w:basedOn w:val="23"/>
    <w:next w:val="1"/>
    <w:unhideWhenUsed/>
    <w:qFormat/>
    <w:uiPriority w:val="99"/>
    <w:pPr>
      <w:spacing w:line="240" w:lineRule="auto"/>
      <w:ind w:firstLine="210"/>
    </w:pPr>
  </w:style>
  <w:style w:type="paragraph" w:styleId="23">
    <w:name w:val="Body Text Indent"/>
    <w:basedOn w:val="1"/>
    <w:qFormat/>
    <w:uiPriority w:val="0"/>
    <w:pPr>
      <w:spacing w:after="120"/>
      <w:ind w:left="420" w:leftChars="200"/>
    </w:pPr>
    <w:rPr>
      <w:sz w:val="24"/>
      <w:szCs w:val="20"/>
    </w:rPr>
  </w:style>
  <w:style w:type="paragraph" w:styleId="24">
    <w:name w:val="List Bullet 2"/>
    <w:basedOn w:val="1"/>
    <w:next w:val="25"/>
    <w:unhideWhenUsed/>
    <w:qFormat/>
    <w:uiPriority w:val="99"/>
    <w:pPr>
      <w:numPr>
        <w:ilvl w:val="0"/>
        <w:numId w:val="3"/>
      </w:numPr>
    </w:pPr>
  </w:style>
  <w:style w:type="paragraph" w:customStyle="1" w:styleId="25">
    <w:name w:val="xl70"/>
    <w:basedOn w:val="1"/>
    <w:next w:val="26"/>
    <w:qFormat/>
    <w:uiPriority w:val="0"/>
    <w:pPr>
      <w:widowControl/>
      <w:pBdr>
        <w:top w:val="single" w:color="auto" w:sz="4" w:space="0"/>
        <w:left w:val="single" w:color="auto" w:sz="4" w:space="0"/>
        <w:right w:val="single" w:color="auto" w:sz="4" w:space="0"/>
      </w:pBdr>
      <w:spacing w:before="100" w:beforeAutospacing="1" w:after="100" w:afterAutospacing="1"/>
    </w:pPr>
    <w:rPr>
      <w:rFonts w:hint="eastAsia" w:ascii="宋体" w:hAnsi="宋体"/>
      <w:sz w:val="24"/>
    </w:rPr>
  </w:style>
  <w:style w:type="paragraph" w:customStyle="1" w:styleId="26">
    <w:name w:val="正文缩进1"/>
    <w:basedOn w:val="1"/>
    <w:next w:val="27"/>
    <w:qFormat/>
    <w:uiPriority w:val="0"/>
    <w:pPr>
      <w:spacing w:line="240" w:lineRule="auto"/>
      <w:ind w:firstLine="420" w:firstLineChars="0"/>
    </w:pPr>
    <w:rPr>
      <w:sz w:val="21"/>
      <w:szCs w:val="20"/>
    </w:rPr>
  </w:style>
  <w:style w:type="paragraph" w:customStyle="1" w:styleId="27">
    <w:name w:val="td1"/>
    <w:basedOn w:val="1"/>
    <w:next w:val="1"/>
    <w:qFormat/>
    <w:uiPriority w:val="0"/>
    <w:pPr>
      <w:widowControl/>
      <w:spacing w:before="280" w:after="280" w:line="300" w:lineRule="atLeast"/>
      <w:ind w:firstLine="200"/>
    </w:pPr>
    <w:rPr>
      <w:color w:val="000000"/>
      <w:sz w:val="18"/>
    </w:rPr>
  </w:style>
  <w:style w:type="paragraph" w:styleId="28">
    <w:name w:val="Balloon Text"/>
    <w:basedOn w:val="1"/>
    <w:link w:val="63"/>
    <w:unhideWhenUsed/>
    <w:qFormat/>
    <w:uiPriority w:val="99"/>
    <w:pPr>
      <w:spacing w:line="240" w:lineRule="auto"/>
    </w:pPr>
    <w:rPr>
      <w:sz w:val="18"/>
      <w:szCs w:val="18"/>
    </w:rPr>
  </w:style>
  <w:style w:type="paragraph" w:styleId="29">
    <w:name w:val="footer"/>
    <w:basedOn w:val="1"/>
    <w:link w:val="64"/>
    <w:unhideWhenUsed/>
    <w:qFormat/>
    <w:uiPriority w:val="99"/>
    <w:pPr>
      <w:tabs>
        <w:tab w:val="center" w:pos="4153"/>
        <w:tab w:val="right" w:pos="8306"/>
      </w:tabs>
      <w:snapToGrid w:val="0"/>
      <w:spacing w:line="240" w:lineRule="auto"/>
    </w:pPr>
    <w:rPr>
      <w:sz w:val="18"/>
      <w:szCs w:val="18"/>
    </w:rPr>
  </w:style>
  <w:style w:type="paragraph" w:styleId="30">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31">
    <w:name w:val="List"/>
    <w:basedOn w:val="1"/>
    <w:next w:val="1"/>
    <w:qFormat/>
    <w:uiPriority w:val="0"/>
    <w:pPr>
      <w:ind w:left="200" w:hanging="200" w:hangingChars="200"/>
    </w:pPr>
  </w:style>
  <w:style w:type="paragraph" w:styleId="32">
    <w:name w:val="toc 2"/>
    <w:basedOn w:val="1"/>
    <w:next w:val="1"/>
    <w:qFormat/>
    <w:uiPriority w:val="39"/>
    <w:pPr>
      <w:adjustRightInd w:val="0"/>
      <w:spacing w:line="312" w:lineRule="atLeast"/>
      <w:ind w:left="420" w:leftChars="200"/>
      <w:textAlignment w:val="baseline"/>
    </w:pPr>
    <w:rPr>
      <w:szCs w:val="20"/>
    </w:rPr>
  </w:style>
  <w:style w:type="paragraph" w:styleId="33">
    <w:name w:val="Normal (Web)"/>
    <w:basedOn w:val="1"/>
    <w:unhideWhenUsed/>
    <w:qFormat/>
    <w:uiPriority w:val="99"/>
    <w:pPr>
      <w:widowControl/>
      <w:spacing w:before="100" w:beforeAutospacing="1" w:after="100" w:afterAutospacing="1" w:line="240" w:lineRule="auto"/>
      <w:ind w:firstLine="0" w:firstLineChars="0"/>
    </w:pPr>
    <w:rPr>
      <w:rFonts w:ascii="宋体" w:hAnsi="宋体" w:cs="宋体"/>
      <w:sz w:val="24"/>
      <w:szCs w:val="24"/>
    </w:rPr>
  </w:style>
  <w:style w:type="paragraph" w:styleId="34">
    <w:name w:val="annotation subject"/>
    <w:basedOn w:val="19"/>
    <w:next w:val="19"/>
    <w:link w:val="65"/>
    <w:unhideWhenUsed/>
    <w:qFormat/>
    <w:uiPriority w:val="99"/>
    <w:rPr>
      <w:b/>
      <w:bCs/>
    </w:rPr>
  </w:style>
  <w:style w:type="table" w:styleId="36">
    <w:name w:val="Table Grid"/>
    <w:basedOn w:val="3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7">
    <w:name w:val="Medium List 2 Accent 1"/>
    <w:basedOn w:val="35"/>
    <w:qFormat/>
    <w:uiPriority w:val="66"/>
    <w:rPr>
      <w:rFonts w:ascii="Cambria" w:hAnsi="Cambria"/>
      <w:color w:val="000000"/>
      <w:sz w:val="22"/>
      <w:szCs w:val="22"/>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l2br w:val="nil"/>
          <w:tr2bl w:val="nil"/>
        </w:tcBorders>
        <w:shd w:val="clear" w:color="auto" w:fill="FFFFFF"/>
      </w:tcPr>
    </w:tblStylePr>
    <w:tblStylePr w:type="lastRow">
      <w:tblPr/>
      <w:tcPr>
        <w:tcBorders>
          <w:top w:val="single" w:color="4F81BD" w:sz="8" w:space="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color="4F81BD" w:sz="8" w:space="0"/>
          <w:insideH w:val="nil"/>
          <w:insideV w:val="nil"/>
          <w:tl2br w:val="nil"/>
          <w:tr2bl w:val="nil"/>
        </w:tcBorders>
        <w:shd w:val="clear" w:color="auto" w:fill="FFFFFF"/>
      </w:tcPr>
    </w:tblStylePr>
    <w:tblStylePr w:type="lastCol">
      <w:tblPr/>
      <w:tcPr>
        <w:tcBorders>
          <w:top w:val="nil"/>
          <w:left w:val="nil"/>
          <w:bottom w:val="single" w:color="4F81BD" w:sz="8" w:space="0"/>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character" w:styleId="39">
    <w:name w:val="Strong"/>
    <w:qFormat/>
    <w:uiPriority w:val="22"/>
    <w:rPr>
      <w:b/>
      <w:bCs/>
    </w:rPr>
  </w:style>
  <w:style w:type="character" w:styleId="40">
    <w:name w:val="page number"/>
    <w:basedOn w:val="38"/>
    <w:qFormat/>
    <w:uiPriority w:val="0"/>
  </w:style>
  <w:style w:type="character" w:styleId="41">
    <w:name w:val="Emphasis"/>
    <w:basedOn w:val="38"/>
    <w:qFormat/>
    <w:uiPriority w:val="20"/>
    <w:rPr>
      <w:i/>
    </w:rPr>
  </w:style>
  <w:style w:type="character" w:styleId="42">
    <w:name w:val="Hyperlink"/>
    <w:unhideWhenUsed/>
    <w:qFormat/>
    <w:uiPriority w:val="99"/>
    <w:rPr>
      <w:color w:val="0000FF"/>
      <w:u w:val="single"/>
    </w:rPr>
  </w:style>
  <w:style w:type="character" w:styleId="43">
    <w:name w:val="annotation reference"/>
    <w:basedOn w:val="38"/>
    <w:unhideWhenUsed/>
    <w:qFormat/>
    <w:uiPriority w:val="0"/>
    <w:rPr>
      <w:sz w:val="21"/>
      <w:szCs w:val="21"/>
    </w:rPr>
  </w:style>
  <w:style w:type="paragraph" w:customStyle="1" w:styleId="44">
    <w:name w:val="样式 正文文本缩进 + 行距: 1.5 倍行距"/>
    <w:basedOn w:val="1"/>
    <w:qFormat/>
    <w:uiPriority w:val="0"/>
    <w:pPr>
      <w:spacing w:after="120" w:line="360" w:lineRule="auto"/>
      <w:ind w:left="90" w:leftChars="32"/>
    </w:pPr>
    <w:rPr>
      <w:rFonts w:cs="宋体"/>
    </w:rPr>
  </w:style>
  <w:style w:type="character" w:customStyle="1" w:styleId="45">
    <w:name w:val="标题 3 字符"/>
    <w:link w:val="9"/>
    <w:qFormat/>
    <w:uiPriority w:val="0"/>
    <w:rPr>
      <w:b/>
      <w:sz w:val="21"/>
      <w:szCs w:val="21"/>
    </w:rPr>
  </w:style>
  <w:style w:type="paragraph" w:customStyle="1" w:styleId="46">
    <w:name w:val="表 内容"/>
    <w:basedOn w:val="1"/>
    <w:qFormat/>
    <w:uiPriority w:val="0"/>
    <w:pPr>
      <w:jc w:val="center"/>
    </w:pPr>
  </w:style>
  <w:style w:type="paragraph" w:customStyle="1" w:styleId="47">
    <w:name w:val="样式35"/>
    <w:basedOn w:val="46"/>
    <w:next w:val="48"/>
    <w:qFormat/>
    <w:uiPriority w:val="0"/>
    <w:pPr>
      <w:ind w:firstLine="567"/>
    </w:pPr>
    <w:rPr>
      <w:rFonts w:ascii="宋体"/>
    </w:rPr>
  </w:style>
  <w:style w:type="paragraph" w:customStyle="1" w:styleId="48">
    <w:name w:val="font6"/>
    <w:basedOn w:val="1"/>
    <w:next w:val="32"/>
    <w:qFormat/>
    <w:uiPriority w:val="0"/>
    <w:pPr>
      <w:widowControl/>
      <w:spacing w:before="280" w:after="280" w:line="240" w:lineRule="auto"/>
      <w:ind w:firstLine="0"/>
    </w:pPr>
    <w:rPr>
      <w:sz w:val="21"/>
    </w:rPr>
  </w:style>
  <w:style w:type="paragraph" w:customStyle="1" w:styleId="49">
    <w:name w:val="表格正文"/>
    <w:basedOn w:val="50"/>
    <w:link w:val="51"/>
    <w:qFormat/>
    <w:uiPriority w:val="0"/>
    <w:pPr>
      <w:spacing w:line="312" w:lineRule="auto"/>
      <w:ind w:firstLine="420" w:firstLineChars="200"/>
      <w:jc w:val="left"/>
    </w:pPr>
    <w:rPr>
      <w:sz w:val="21"/>
      <w:szCs w:val="21"/>
    </w:rPr>
  </w:style>
  <w:style w:type="paragraph" w:customStyle="1" w:styleId="50">
    <w:name w:val="表格"/>
    <w:basedOn w:val="31"/>
    <w:next w:val="1"/>
    <w:link w:val="52"/>
    <w:qFormat/>
    <w:uiPriority w:val="0"/>
    <w:pPr>
      <w:adjustRightInd w:val="0"/>
      <w:snapToGrid w:val="0"/>
      <w:spacing w:line="240" w:lineRule="auto"/>
      <w:ind w:left="0" w:firstLine="0" w:firstLineChars="0"/>
      <w:jc w:val="center"/>
    </w:pPr>
    <w:rPr>
      <w:rFonts w:ascii="宋体" w:hAnsi="宋体" w:cs="宋体"/>
      <w:color w:val="000000"/>
      <w:sz w:val="18"/>
      <w:szCs w:val="18"/>
    </w:rPr>
  </w:style>
  <w:style w:type="character" w:customStyle="1" w:styleId="51">
    <w:name w:val="表格正文 Char"/>
    <w:link w:val="49"/>
    <w:qFormat/>
    <w:uiPriority w:val="0"/>
    <w:rPr>
      <w:rFonts w:ascii="宋体" w:hAnsi="宋体" w:eastAsia="宋体"/>
      <w:sz w:val="21"/>
      <w:szCs w:val="21"/>
    </w:rPr>
  </w:style>
  <w:style w:type="character" w:customStyle="1" w:styleId="52">
    <w:name w:val="表格 Char1"/>
    <w:link w:val="50"/>
    <w:qFormat/>
    <w:uiPriority w:val="0"/>
    <w:rPr>
      <w:rFonts w:ascii="宋体" w:hAnsi="宋体" w:eastAsia="宋体" w:cs="宋体"/>
      <w:color w:val="000000"/>
      <w:kern w:val="0"/>
      <w:sz w:val="18"/>
      <w:szCs w:val="18"/>
    </w:rPr>
  </w:style>
  <w:style w:type="table" w:customStyle="1" w:styleId="53">
    <w:name w:val="浅色列表1"/>
    <w:basedOn w:val="35"/>
    <w:qFormat/>
    <w:uiPriority w:val="61"/>
    <w:rPr>
      <w:sz w:val="22"/>
      <w:szCs w:val="22"/>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character" w:customStyle="1" w:styleId="54">
    <w:name w:val="标题 1 字符"/>
    <w:link w:val="7"/>
    <w:qFormat/>
    <w:uiPriority w:val="9"/>
    <w:rPr>
      <w:b/>
      <w:bCs/>
      <w:kern w:val="44"/>
      <w:sz w:val="24"/>
      <w:szCs w:val="16"/>
    </w:rPr>
  </w:style>
  <w:style w:type="character" w:customStyle="1" w:styleId="55">
    <w:name w:val="标题 2 字符"/>
    <w:link w:val="8"/>
    <w:qFormat/>
    <w:uiPriority w:val="0"/>
    <w:rPr>
      <w:rFonts w:ascii="宋体" w:hAnsi="宋体"/>
      <w:b/>
      <w:sz w:val="24"/>
      <w:szCs w:val="24"/>
    </w:rPr>
  </w:style>
  <w:style w:type="character" w:customStyle="1" w:styleId="56">
    <w:name w:val="标题 4 字符"/>
    <w:link w:val="10"/>
    <w:qFormat/>
    <w:uiPriority w:val="0"/>
    <w:rPr>
      <w:rFonts w:ascii="宋体" w:hAnsi="宋体"/>
      <w:b/>
      <w:sz w:val="21"/>
      <w:szCs w:val="21"/>
    </w:rPr>
  </w:style>
  <w:style w:type="character" w:customStyle="1" w:styleId="57">
    <w:name w:val="标题 5 字符"/>
    <w:link w:val="11"/>
    <w:qFormat/>
    <w:uiPriority w:val="9"/>
    <w:rPr>
      <w:rFonts w:ascii="Times New Roman" w:hAnsi="Times New Roman" w:cs="Times New Roman"/>
      <w:b/>
      <w:bCs/>
      <w:kern w:val="0"/>
    </w:rPr>
  </w:style>
  <w:style w:type="character" w:customStyle="1" w:styleId="58">
    <w:name w:val="标题 6 字符"/>
    <w:link w:val="12"/>
    <w:semiHidden/>
    <w:qFormat/>
    <w:uiPriority w:val="9"/>
    <w:rPr>
      <w:rFonts w:ascii="Cambria" w:hAnsi="Cambria" w:eastAsia="宋体" w:cs="Times New Roman"/>
      <w:b/>
      <w:bCs/>
      <w:sz w:val="24"/>
      <w:szCs w:val="24"/>
    </w:rPr>
  </w:style>
  <w:style w:type="character" w:customStyle="1" w:styleId="59">
    <w:name w:val="标题 7 字符"/>
    <w:link w:val="13"/>
    <w:semiHidden/>
    <w:qFormat/>
    <w:uiPriority w:val="9"/>
    <w:rPr>
      <w:rFonts w:ascii="Times New Roman" w:hAnsi="Times New Roman" w:cs="Times New Roman"/>
      <w:b/>
      <w:bCs/>
      <w:sz w:val="24"/>
      <w:szCs w:val="24"/>
    </w:rPr>
  </w:style>
  <w:style w:type="character" w:customStyle="1" w:styleId="60">
    <w:name w:val="标题 8 字符"/>
    <w:link w:val="14"/>
    <w:semiHidden/>
    <w:qFormat/>
    <w:uiPriority w:val="9"/>
    <w:rPr>
      <w:rFonts w:ascii="Cambria" w:hAnsi="Cambria" w:eastAsia="宋体" w:cs="Times New Roman"/>
      <w:sz w:val="24"/>
      <w:szCs w:val="24"/>
    </w:rPr>
  </w:style>
  <w:style w:type="character" w:customStyle="1" w:styleId="61">
    <w:name w:val="标题 9 字符"/>
    <w:link w:val="15"/>
    <w:semiHidden/>
    <w:qFormat/>
    <w:uiPriority w:val="9"/>
    <w:rPr>
      <w:rFonts w:ascii="Cambria" w:hAnsi="Cambria" w:eastAsia="宋体" w:cs="Times New Roman"/>
      <w:szCs w:val="24"/>
    </w:rPr>
  </w:style>
  <w:style w:type="character" w:customStyle="1" w:styleId="62">
    <w:name w:val="批注文字 字符"/>
    <w:link w:val="19"/>
    <w:qFormat/>
    <w:uiPriority w:val="0"/>
    <w:rPr>
      <w:rFonts w:ascii="Times New Roman" w:hAnsi="Times New Roman" w:cs="Times New Roman"/>
      <w:kern w:val="0"/>
      <w:sz w:val="28"/>
    </w:rPr>
  </w:style>
  <w:style w:type="character" w:customStyle="1" w:styleId="63">
    <w:name w:val="批注框文本 字符"/>
    <w:link w:val="28"/>
    <w:semiHidden/>
    <w:qFormat/>
    <w:uiPriority w:val="99"/>
    <w:rPr>
      <w:rFonts w:ascii="Times New Roman" w:hAnsi="Times New Roman" w:cs="Times New Roman"/>
      <w:kern w:val="0"/>
      <w:sz w:val="18"/>
      <w:szCs w:val="18"/>
    </w:rPr>
  </w:style>
  <w:style w:type="character" w:customStyle="1" w:styleId="64">
    <w:name w:val="页脚 字符"/>
    <w:link w:val="29"/>
    <w:qFormat/>
    <w:uiPriority w:val="99"/>
    <w:rPr>
      <w:rFonts w:ascii="Times New Roman" w:hAnsi="Times New Roman" w:cs="Times New Roman"/>
      <w:kern w:val="0"/>
      <w:sz w:val="18"/>
      <w:szCs w:val="18"/>
    </w:rPr>
  </w:style>
  <w:style w:type="character" w:customStyle="1" w:styleId="65">
    <w:name w:val="批注主题 字符"/>
    <w:link w:val="34"/>
    <w:semiHidden/>
    <w:qFormat/>
    <w:uiPriority w:val="99"/>
    <w:rPr>
      <w:rFonts w:ascii="Times New Roman" w:hAnsi="Times New Roman" w:cs="Times New Roman"/>
      <w:b/>
      <w:bCs/>
      <w:kern w:val="0"/>
      <w:sz w:val="28"/>
    </w:rPr>
  </w:style>
  <w:style w:type="paragraph" w:customStyle="1" w:styleId="66">
    <w:name w:val="无定型"/>
    <w:basedOn w:val="1"/>
    <w:qFormat/>
    <w:uiPriority w:val="0"/>
    <w:pPr>
      <w:widowControl/>
      <w:spacing w:line="240" w:lineRule="auto"/>
      <w:ind w:firstLine="0" w:firstLineChars="0"/>
      <w:jc w:val="center"/>
    </w:pPr>
    <w:rPr>
      <w:sz w:val="24"/>
    </w:rPr>
  </w:style>
  <w:style w:type="paragraph" w:customStyle="1" w:styleId="67">
    <w:name w:val="标题一"/>
    <w:basedOn w:val="1"/>
    <w:next w:val="1"/>
    <w:qFormat/>
    <w:uiPriority w:val="0"/>
    <w:pPr>
      <w:numPr>
        <w:ilvl w:val="0"/>
        <w:numId w:val="4"/>
      </w:numPr>
      <w:spacing w:line="240" w:lineRule="auto"/>
      <w:ind w:left="0" w:firstLine="0" w:firstLineChars="0"/>
      <w:jc w:val="center"/>
    </w:pPr>
    <w:rPr>
      <w:rFonts w:ascii="黑体" w:hAnsi="黑体" w:eastAsia="黑体"/>
      <w:sz w:val="30"/>
      <w:szCs w:val="30"/>
    </w:rPr>
  </w:style>
  <w:style w:type="character" w:customStyle="1" w:styleId="68">
    <w:name w:val="题注 表 Char"/>
    <w:link w:val="69"/>
    <w:qFormat/>
    <w:uiPriority w:val="0"/>
    <w:rPr>
      <w:rFonts w:eastAsia="黑体"/>
      <w:sz w:val="24"/>
      <w:szCs w:val="21"/>
    </w:rPr>
  </w:style>
  <w:style w:type="paragraph" w:customStyle="1" w:styleId="69">
    <w:name w:val="题注 表"/>
    <w:basedOn w:val="1"/>
    <w:link w:val="68"/>
    <w:qFormat/>
    <w:uiPriority w:val="0"/>
    <w:pPr>
      <w:keepNext/>
      <w:snapToGrid w:val="0"/>
      <w:ind w:firstLine="0" w:firstLineChars="0"/>
      <w:jc w:val="center"/>
    </w:pPr>
    <w:rPr>
      <w:rFonts w:eastAsia="黑体"/>
      <w:sz w:val="24"/>
    </w:rPr>
  </w:style>
  <w:style w:type="character" w:customStyle="1" w:styleId="70">
    <w:name w:val="条文 Char"/>
    <w:link w:val="71"/>
    <w:qFormat/>
    <w:uiPriority w:val="0"/>
    <w:rPr>
      <w:rFonts w:ascii="Times New Roman" w:hAnsi="Times New Roman" w:eastAsia="宋体" w:cs="Times New Roman"/>
      <w:snapToGrid w:val="0"/>
      <w:color w:val="000000"/>
      <w:w w:val="0"/>
      <w:kern w:val="0"/>
      <w:sz w:val="28"/>
      <w:szCs w:val="28"/>
    </w:rPr>
  </w:style>
  <w:style w:type="paragraph" w:customStyle="1" w:styleId="71">
    <w:name w:val="条文"/>
    <w:basedOn w:val="16"/>
    <w:link w:val="70"/>
    <w:qFormat/>
    <w:uiPriority w:val="0"/>
    <w:pPr>
      <w:numPr>
        <w:ilvl w:val="1"/>
        <w:numId w:val="5"/>
      </w:numPr>
      <w:spacing w:beforeLines="50"/>
      <w:ind w:left="426" w:hanging="426" w:firstLineChars="0"/>
    </w:pPr>
    <w:rPr>
      <w:snapToGrid w:val="0"/>
      <w:color w:val="000000"/>
      <w:w w:val="0"/>
      <w:szCs w:val="28"/>
    </w:rPr>
  </w:style>
  <w:style w:type="paragraph" w:customStyle="1" w:styleId="72">
    <w:name w:val="表格序号"/>
    <w:basedOn w:val="50"/>
    <w:qFormat/>
    <w:uiPriority w:val="0"/>
    <w:pPr>
      <w:numPr>
        <w:ilvl w:val="0"/>
        <w:numId w:val="6"/>
      </w:numPr>
      <w:jc w:val="left"/>
    </w:pPr>
  </w:style>
  <w:style w:type="paragraph" w:customStyle="1" w:styleId="73">
    <w:name w:val="题注 图"/>
    <w:basedOn w:val="1"/>
    <w:next w:val="1"/>
    <w:qFormat/>
    <w:uiPriority w:val="0"/>
    <w:pPr>
      <w:snapToGrid w:val="0"/>
      <w:spacing w:beforeLines="50"/>
      <w:ind w:firstLine="0" w:firstLineChars="0"/>
      <w:jc w:val="center"/>
    </w:pPr>
    <w:rPr>
      <w:rFonts w:ascii="Arial" w:hAnsi="Arial" w:eastAsia="黑体" w:cs="Arial"/>
      <w:sz w:val="24"/>
      <w:szCs w:val="24"/>
    </w:rPr>
  </w:style>
  <w:style w:type="paragraph" w:customStyle="1" w:styleId="74">
    <w:name w:val="图形"/>
    <w:basedOn w:val="50"/>
    <w:next w:val="1"/>
    <w:qFormat/>
    <w:uiPriority w:val="0"/>
    <w:rPr>
      <w:sz w:val="21"/>
    </w:rPr>
  </w:style>
  <w:style w:type="character" w:styleId="75">
    <w:name w:val="Placeholder Text"/>
    <w:semiHidden/>
    <w:qFormat/>
    <w:uiPriority w:val="99"/>
    <w:rPr>
      <w:color w:val="808080"/>
    </w:rPr>
  </w:style>
  <w:style w:type="character" w:customStyle="1" w:styleId="76">
    <w:name w:val="批注文字 字符1"/>
    <w:semiHidden/>
    <w:qFormat/>
    <w:uiPriority w:val="0"/>
    <w:rPr>
      <w:rFonts w:ascii="Times New Roman" w:hAnsi="Times New Roman" w:eastAsia="宋体"/>
      <w:sz w:val="24"/>
    </w:rPr>
  </w:style>
  <w:style w:type="paragraph" w:customStyle="1" w:styleId="77">
    <w:name w:val="修订1"/>
    <w:semiHidden/>
    <w:qFormat/>
    <w:uiPriority w:val="99"/>
    <w:rPr>
      <w:rFonts w:ascii="Times New Roman" w:hAnsi="Times New Roman" w:eastAsia="宋体" w:cs="Times New Roman"/>
      <w:sz w:val="28"/>
      <w:szCs w:val="21"/>
      <w:lang w:val="en-US" w:eastAsia="zh-CN" w:bidi="ar-SA"/>
    </w:rPr>
  </w:style>
  <w:style w:type="paragraph" w:customStyle="1" w:styleId="78">
    <w:name w:val="表格靠左"/>
    <w:basedOn w:val="50"/>
    <w:qFormat/>
    <w:uiPriority w:val="0"/>
    <w:pPr>
      <w:jc w:val="left"/>
    </w:pPr>
  </w:style>
  <w:style w:type="paragraph" w:customStyle="1" w:styleId="79">
    <w:name w:val="Table Paragraph"/>
    <w:basedOn w:val="1"/>
    <w:qFormat/>
    <w:uiPriority w:val="1"/>
    <w:rPr>
      <w:rFonts w:ascii="宋体" w:hAnsi="宋体" w:cs="宋体"/>
      <w:lang w:val="zh-CN" w:bidi="zh-CN"/>
    </w:rPr>
  </w:style>
  <w:style w:type="paragraph" w:customStyle="1" w:styleId="80">
    <w:name w:val="BG文字"/>
    <w:basedOn w:val="1"/>
    <w:qFormat/>
    <w:uiPriority w:val="0"/>
    <w:pPr>
      <w:jc w:val="center"/>
    </w:pPr>
  </w:style>
  <w:style w:type="paragraph" w:customStyle="1" w:styleId="81">
    <w:name w:val="简单回函地址"/>
    <w:basedOn w:val="1"/>
    <w:qFormat/>
    <w:uiPriority w:val="0"/>
    <w:rPr>
      <w:sz w:val="24"/>
    </w:rPr>
  </w:style>
  <w:style w:type="paragraph" w:customStyle="1" w:styleId="82">
    <w:name w:val="无间隔1"/>
    <w:qFormat/>
    <w:uiPriority w:val="0"/>
    <w:pPr>
      <w:widowControl w:val="0"/>
      <w:jc w:val="center"/>
    </w:pPr>
    <w:rPr>
      <w:rFonts w:ascii="Times New Roman" w:hAnsi="Times New Roman" w:eastAsia="黑体" w:cs="Times New Roman"/>
      <w:kern w:val="2"/>
      <w:sz w:val="21"/>
      <w:szCs w:val="22"/>
      <w:lang w:val="en-US" w:eastAsia="zh-CN" w:bidi="ar-SA"/>
    </w:rPr>
  </w:style>
  <w:style w:type="paragraph" w:customStyle="1" w:styleId="83">
    <w:name w:val="Lux 正文"/>
    <w:basedOn w:val="1"/>
    <w:qFormat/>
    <w:uiPriority w:val="0"/>
    <w:pPr>
      <w:spacing w:before="80" w:after="80" w:line="360" w:lineRule="auto"/>
      <w:ind w:firstLine="200"/>
    </w:pPr>
    <w:rPr>
      <w:sz w:val="24"/>
      <w:szCs w:val="20"/>
    </w:rPr>
  </w:style>
  <w:style w:type="paragraph" w:customStyle="1" w:styleId="84">
    <w:name w:val="[正文格式]"/>
    <w:basedOn w:val="1"/>
    <w:qFormat/>
    <w:uiPriority w:val="0"/>
    <w:pPr>
      <w:spacing w:line="440" w:lineRule="exact"/>
      <w:ind w:firstLine="500"/>
      <w:jc w:val="both"/>
    </w:pPr>
    <w:rPr>
      <w:kern w:val="2"/>
      <w:sz w:val="25"/>
    </w:rPr>
  </w:style>
  <w:style w:type="character" w:customStyle="1" w:styleId="85">
    <w:name w:val="fontstyle01"/>
    <w:qFormat/>
    <w:uiPriority w:val="0"/>
    <w:rPr>
      <w:rFonts w:ascii="宋体" w:hAnsi="宋体" w:eastAsia="宋体" w:cs="宋体"/>
      <w:bCs/>
      <w:color w:val="000000"/>
      <w:kern w:val="2"/>
      <w:sz w:val="24"/>
      <w:szCs w:val="24"/>
      <w:lang w:val="en-US" w:eastAsia="zh-CN" w:bidi="ar-SA"/>
    </w:rPr>
  </w:style>
  <w:style w:type="paragraph" w:customStyle="1" w:styleId="86">
    <w:name w:val="表格内容-中间对齐"/>
    <w:basedOn w:val="1"/>
    <w:qFormat/>
    <w:uiPriority w:val="0"/>
    <w:pPr>
      <w:spacing w:line="240" w:lineRule="auto"/>
      <w:jc w:val="center"/>
    </w:pPr>
    <w:rPr>
      <w:rFonts w:ascii="等线" w:hAnsi="等线" w:eastAsia="等线" w:cs="宋体"/>
      <w:sz w:val="21"/>
    </w:rPr>
  </w:style>
  <w:style w:type="paragraph" w:styleId="87">
    <w:name w:val="List Paragraph"/>
    <w:basedOn w:val="1"/>
    <w:qFormat/>
    <w:uiPriority w:val="34"/>
    <w:pPr>
      <w:ind w:firstLine="420"/>
    </w:pPr>
  </w:style>
  <w:style w:type="character" w:customStyle="1" w:styleId="88">
    <w:name w:val="NormalCharacter"/>
    <w:semiHidden/>
    <w:qFormat/>
    <w:uiPriority w:val="0"/>
    <w:rPr>
      <w:rFonts w:ascii="Times New Roman" w:hAnsi="Times New Roman" w:eastAsia="宋体" w:cs="Times New Roman"/>
      <w:sz w:val="28"/>
      <w:szCs w:val="21"/>
      <w:lang w:val="en-US" w:eastAsia="zh-CN" w:bidi="ar-SA"/>
    </w:rPr>
  </w:style>
  <w:style w:type="paragraph" w:customStyle="1" w:styleId="89">
    <w:name w:val="正文1"/>
    <w:qFormat/>
    <w:uiPriority w:val="0"/>
    <w:pPr>
      <w:jc w:val="both"/>
    </w:pPr>
    <w:rPr>
      <w:rFonts w:ascii="Calibri" w:hAnsi="Calibri" w:eastAsia="宋体" w:cs="宋体"/>
      <w:kern w:val="2"/>
      <w:sz w:val="21"/>
      <w:szCs w:val="21"/>
      <w:lang w:val="en-US" w:eastAsia="zh-CN" w:bidi="ar-SA"/>
    </w:rPr>
  </w:style>
  <w:style w:type="character" w:customStyle="1" w:styleId="90">
    <w:name w:val="文档结构图 字符"/>
    <w:basedOn w:val="38"/>
    <w:link w:val="18"/>
    <w:semiHidden/>
    <w:qFormat/>
    <w:uiPriority w:val="99"/>
    <w:rPr>
      <w:rFonts w:ascii="宋体"/>
      <w:sz w:val="18"/>
      <w:szCs w:val="18"/>
    </w:rPr>
  </w:style>
  <w:style w:type="paragraph" w:customStyle="1" w:styleId="91">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92">
    <w:name w:val="15"/>
    <w:basedOn w:val="38"/>
    <w:qFormat/>
    <w:uiPriority w:val="0"/>
    <w:rPr>
      <w:rFonts w:hint="default" w:ascii="Times New Roman" w:hAnsi="Times New Roman" w:cs="Times New Roman"/>
      <w:color w:val="808080"/>
    </w:rPr>
  </w:style>
  <w:style w:type="paragraph" w:customStyle="1" w:styleId="93">
    <w:name w:val="LUX 报告表"/>
    <w:basedOn w:val="1"/>
    <w:qFormat/>
    <w:uiPriority w:val="0"/>
    <w:pPr>
      <w:widowControl/>
      <w:adjustRightInd w:val="0"/>
      <w:snapToGrid w:val="0"/>
      <w:spacing w:line="500" w:lineRule="exact"/>
      <w:ind w:firstLine="480"/>
    </w:pPr>
    <w:rPr>
      <w:rFonts w:ascii="宋体" w:hAnsi="宋体"/>
    </w:rPr>
  </w:style>
  <w:style w:type="character" w:customStyle="1" w:styleId="94">
    <w:name w:val="font21"/>
    <w:basedOn w:val="38"/>
    <w:qFormat/>
    <w:uiPriority w:val="0"/>
    <w:rPr>
      <w:rFonts w:hint="eastAsia" w:ascii="宋体" w:hAnsi="宋体" w:eastAsia="宋体" w:cs="宋体"/>
      <w:color w:val="000000"/>
      <w:sz w:val="21"/>
      <w:szCs w:val="21"/>
      <w:u w:val="none"/>
    </w:rPr>
  </w:style>
  <w:style w:type="character" w:customStyle="1" w:styleId="95">
    <w:name w:val="font51"/>
    <w:basedOn w:val="38"/>
    <w:qFormat/>
    <w:uiPriority w:val="0"/>
    <w:rPr>
      <w:rFonts w:hint="eastAsia" w:ascii="宋体" w:hAnsi="宋体" w:eastAsia="宋体" w:cs="宋体"/>
      <w:color w:val="000000"/>
      <w:sz w:val="21"/>
      <w:szCs w:val="21"/>
      <w:u w:val="none"/>
    </w:rPr>
  </w:style>
  <w:style w:type="character" w:customStyle="1" w:styleId="96">
    <w:name w:val="font01"/>
    <w:basedOn w:val="38"/>
    <w:qFormat/>
    <w:uiPriority w:val="0"/>
    <w:rPr>
      <w:rFonts w:hint="eastAsia" w:ascii="宋体" w:hAnsi="宋体" w:eastAsia="宋体" w:cs="宋体"/>
      <w:color w:val="000000"/>
      <w:sz w:val="21"/>
      <w:szCs w:val="21"/>
      <w:u w:val="single"/>
    </w:rPr>
  </w:style>
  <w:style w:type="character" w:customStyle="1" w:styleId="97">
    <w:name w:val="font31"/>
    <w:basedOn w:val="38"/>
    <w:qFormat/>
    <w:uiPriority w:val="0"/>
    <w:rPr>
      <w:rFonts w:hint="default" w:ascii="Times New Roman" w:hAnsi="Times New Roman" w:cs="Times New Roman"/>
      <w:color w:val="000000"/>
      <w:sz w:val="21"/>
      <w:szCs w:val="21"/>
      <w:u w:val="single"/>
    </w:rPr>
  </w:style>
  <w:style w:type="character" w:customStyle="1" w:styleId="98">
    <w:name w:val="font41"/>
    <w:basedOn w:val="38"/>
    <w:qFormat/>
    <w:uiPriority w:val="0"/>
    <w:rPr>
      <w:rFonts w:hint="default" w:ascii="Times New Roman" w:hAnsi="Times New Roman" w:cs="Times New Roman"/>
      <w:color w:val="000000"/>
      <w:sz w:val="21"/>
      <w:szCs w:val="21"/>
      <w:u w:val="none"/>
    </w:rPr>
  </w:style>
  <w:style w:type="character" w:customStyle="1" w:styleId="99">
    <w:name w:val="font61"/>
    <w:basedOn w:val="38"/>
    <w:qFormat/>
    <w:uiPriority w:val="0"/>
    <w:rPr>
      <w:rFonts w:hint="default" w:ascii="Times New Roman" w:hAnsi="Times New Roman" w:cs="Times New Roman"/>
      <w:color w:val="000000"/>
      <w:sz w:val="21"/>
      <w:szCs w:val="21"/>
      <w:u w:val="none"/>
      <w:vertAlign w:val="superscript"/>
    </w:rPr>
  </w:style>
  <w:style w:type="character" w:customStyle="1" w:styleId="100">
    <w:name w:val="font11"/>
    <w:basedOn w:val="38"/>
    <w:qFormat/>
    <w:uiPriority w:val="0"/>
    <w:rPr>
      <w:rFonts w:hint="eastAsia" w:ascii="宋体" w:hAnsi="宋体" w:eastAsia="宋体" w:cs="宋体"/>
      <w:b/>
      <w:bCs/>
      <w:color w:val="000000"/>
      <w:sz w:val="18"/>
      <w:szCs w:val="18"/>
      <w:u w:val="none"/>
    </w:rPr>
  </w:style>
  <w:style w:type="paragraph" w:customStyle="1" w:styleId="101">
    <w:name w:val="表格内容"/>
    <w:basedOn w:val="1"/>
    <w:next w:val="1"/>
    <w:qFormat/>
    <w:uiPriority w:val="0"/>
    <w:pPr>
      <w:tabs>
        <w:tab w:val="left" w:pos="1755"/>
      </w:tabs>
      <w:adjustRightInd w:val="0"/>
      <w:snapToGrid w:val="0"/>
      <w:jc w:val="center"/>
      <w:textAlignment w:val="baseline"/>
    </w:pPr>
    <w:rPr>
      <w:sz w:val="21"/>
      <w:szCs w:val="24"/>
    </w:rPr>
  </w:style>
  <w:style w:type="paragraph" w:customStyle="1" w:styleId="102">
    <w:name w:val="Other|1"/>
    <w:basedOn w:val="1"/>
    <w:qFormat/>
    <w:uiPriority w:val="0"/>
    <w:pPr>
      <w:spacing w:line="310" w:lineRule="exact"/>
    </w:pPr>
    <w:rPr>
      <w:rFonts w:ascii="宋体" w:hAnsi="宋体" w:cs="宋体"/>
      <w:sz w:val="20"/>
      <w:szCs w:val="20"/>
      <w:lang w:val="zh-TW" w:eastAsia="zh-TW" w:bidi="zh-TW"/>
    </w:rPr>
  </w:style>
  <w:style w:type="paragraph" w:customStyle="1" w:styleId="103">
    <w:name w:val="C正文"/>
    <w:basedOn w:val="1"/>
    <w:qFormat/>
    <w:uiPriority w:val="0"/>
    <w:pPr>
      <w:spacing w:line="520" w:lineRule="exact"/>
      <w:ind w:firstLine="480"/>
    </w:pPr>
    <w:rPr>
      <w:sz w:val="24"/>
    </w:rPr>
  </w:style>
  <w:style w:type="paragraph" w:customStyle="1" w:styleId="104">
    <w:name w:val="环评正文文字"/>
    <w:basedOn w:val="1"/>
    <w:qFormat/>
    <w:uiPriority w:val="0"/>
    <w:pPr>
      <w:adjustRightInd w:val="0"/>
      <w:ind w:firstLine="200"/>
      <w:textAlignment w:val="baseline"/>
    </w:pPr>
    <w:rPr>
      <w:szCs w:val="20"/>
    </w:rPr>
  </w:style>
  <w:style w:type="paragraph" w:customStyle="1" w:styleId="105">
    <w:name w:val="表格 32"/>
    <w:basedOn w:val="1"/>
    <w:qFormat/>
    <w:uiPriority w:val="0"/>
    <w:pPr>
      <w:autoSpaceDE w:val="0"/>
      <w:autoSpaceDN w:val="0"/>
      <w:adjustRightInd w:val="0"/>
      <w:jc w:val="center"/>
      <w:textAlignment w:val="baseline"/>
    </w:pPr>
    <w:rPr>
      <w:rFonts w:ascii="宋体" w:hAnsi="Impact"/>
      <w:kern w:val="24"/>
      <w:sz w:val="24"/>
      <w:szCs w:val="20"/>
    </w:rPr>
  </w:style>
  <w:style w:type="paragraph" w:customStyle="1" w:styleId="106">
    <w:name w:val="0-表格文字"/>
    <w:basedOn w:val="1"/>
    <w:qFormat/>
    <w:uiPriority w:val="0"/>
    <w:pPr>
      <w:widowControl/>
      <w:numPr>
        <w:ilvl w:val="0"/>
        <w:numId w:val="7"/>
      </w:numPr>
      <w:wordWrap w:val="0"/>
      <w:overflowPunct w:val="0"/>
      <w:topLinePunct/>
      <w:adjustRightInd w:val="0"/>
      <w:snapToGrid w:val="0"/>
      <w:jc w:val="center"/>
    </w:pPr>
    <w:rPr>
      <w:b/>
      <w:snapToGrid w:val="0"/>
      <w:color w:val="000000"/>
      <w:sz w:val="24"/>
      <w:szCs w:val="22"/>
    </w:rPr>
  </w:style>
  <w:style w:type="paragraph" w:customStyle="1" w:styleId="107">
    <w:name w:val="0 表内 文字"/>
    <w:basedOn w:val="1"/>
    <w:qFormat/>
    <w:uiPriority w:val="0"/>
    <w:pPr>
      <w:jc w:val="center"/>
    </w:pPr>
    <w:rPr>
      <w:rFonts w:cs="仿宋_GB2312"/>
      <w:color w:val="000000"/>
    </w:rPr>
  </w:style>
  <w:style w:type="paragraph" w:customStyle="1" w:styleId="108">
    <w:name w:val="S-正文"/>
    <w:qFormat/>
    <w:uiPriority w:val="0"/>
    <w:pPr>
      <w:widowControl w:val="0"/>
      <w:spacing w:line="360" w:lineRule="auto"/>
      <w:ind w:firstLine="200" w:firstLineChars="200"/>
    </w:pPr>
    <w:rPr>
      <w:rFonts w:ascii="仿宋_GB2312" w:hAnsi="Calibri" w:eastAsia="仿宋_GB2312" w:cs="仿宋_GB2312"/>
      <w:kern w:val="2"/>
      <w:sz w:val="28"/>
      <w:szCs w:val="24"/>
      <w:lang w:val="en-US" w:eastAsia="zh-CN" w:bidi="ar-SA"/>
    </w:rPr>
  </w:style>
  <w:style w:type="paragraph" w:customStyle="1" w:styleId="109">
    <w:name w:val="表标题"/>
    <w:basedOn w:val="110"/>
    <w:next w:val="110"/>
    <w:qFormat/>
    <w:uiPriority w:val="0"/>
    <w:pPr>
      <w:spacing w:line="520" w:lineRule="exact"/>
      <w:jc w:val="center"/>
      <w:textAlignment w:val="baseline"/>
    </w:pPr>
    <w:rPr>
      <w:rFonts w:eastAsia="等线"/>
      <w:b/>
      <w:sz w:val="21"/>
      <w:szCs w:val="20"/>
    </w:rPr>
  </w:style>
  <w:style w:type="paragraph" w:customStyle="1" w:styleId="110">
    <w:name w:val="正文内容"/>
    <w:qFormat/>
    <w:uiPriority w:val="0"/>
    <w:pPr>
      <w:widowControl w:val="0"/>
      <w:spacing w:line="312"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111">
    <w:name w:val="样式37"/>
    <w:qFormat/>
    <w:uiPriority w:val="0"/>
    <w:pPr>
      <w:widowControl w:val="0"/>
      <w:spacing w:line="360" w:lineRule="auto"/>
      <w:ind w:firstLine="415" w:firstLineChars="173"/>
      <w:jc w:val="both"/>
    </w:pPr>
    <w:rPr>
      <w:rFonts w:hint="eastAsia" w:ascii="Calibri" w:hAnsi="Calibri" w:eastAsia="宋体" w:cs="Times New Roman"/>
      <w:kern w:val="2"/>
      <w:sz w:val="24"/>
      <w:szCs w:val="24"/>
      <w:lang w:val="en-US" w:eastAsia="zh-CN" w:bidi="ar-SA"/>
    </w:rPr>
  </w:style>
  <w:style w:type="paragraph" w:customStyle="1" w:styleId="112">
    <w:name w:val="正文文字 6"/>
    <w:next w:val="1"/>
    <w:qFormat/>
    <w:uiPriority w:val="0"/>
    <w:pPr>
      <w:widowControl w:val="0"/>
      <w:ind w:left="240"/>
      <w:jc w:val="both"/>
    </w:pPr>
    <w:rPr>
      <w:rFonts w:ascii="宋体" w:hAnsi="Times New Roman" w:eastAsia="等线" w:cs="Times New Roman"/>
      <w:b/>
      <w:bCs/>
      <w:kern w:val="2"/>
      <w:sz w:val="32"/>
      <w:szCs w:val="32"/>
      <w:lang w:val="en-US" w:eastAsia="zh-CN" w:bidi="ar-SA"/>
    </w:rPr>
  </w:style>
  <w:style w:type="paragraph" w:customStyle="1" w:styleId="113">
    <w:name w:val="小四 间距1.5 缩进2"/>
    <w:qFormat/>
    <w:uiPriority w:val="0"/>
    <w:pPr>
      <w:widowControl w:val="0"/>
      <w:spacing w:line="360" w:lineRule="auto"/>
      <w:ind w:firstLine="415" w:firstLineChars="173"/>
      <w:jc w:val="both"/>
    </w:pPr>
    <w:rPr>
      <w:rFonts w:ascii="Calibri" w:hAnsi="Calibri" w:eastAsia="宋体" w:cs="Times New Roman"/>
      <w:kern w:val="2"/>
      <w:sz w:val="21"/>
      <w:szCs w:val="24"/>
      <w:lang w:val="en-US" w:eastAsia="zh-CN" w:bidi="ar-SA"/>
    </w:rPr>
  </w:style>
  <w:style w:type="paragraph" w:customStyle="1" w:styleId="114">
    <w:name w:val="表头"/>
    <w:next w:val="1"/>
    <w:qFormat/>
    <w:uiPriority w:val="0"/>
    <w:pPr>
      <w:keepNext/>
      <w:widowControl w:val="0"/>
      <w:spacing w:before="100" w:beforeAutospacing="1" w:after="100" w:afterAutospacing="1" w:line="360" w:lineRule="auto"/>
      <w:ind w:left="880" w:hanging="880" w:hangingChars="200"/>
      <w:jc w:val="center"/>
      <w:textAlignment w:val="baseline"/>
    </w:pPr>
    <w:rPr>
      <w:rFonts w:ascii="Times New Roman" w:hAnsi="Times New Roman" w:eastAsia="宋体" w:cs="Times New Roman"/>
      <w:b/>
      <w:bCs/>
      <w:spacing w:val="4"/>
      <w:sz w:val="24"/>
      <w:szCs w:val="24"/>
      <w:lang w:val="en-US" w:eastAsia="zh-CN" w:bidi="ar-SA"/>
    </w:rPr>
  </w:style>
  <w:style w:type="paragraph" w:customStyle="1" w:styleId="115">
    <w:name w:val="表格1"/>
    <w:basedOn w:val="1"/>
    <w:next w:val="1"/>
    <w:qFormat/>
    <w:uiPriority w:val="0"/>
    <w:pPr>
      <w:widowControl/>
      <w:adjustRightInd w:val="0"/>
      <w:spacing w:after="200" w:line="20" w:lineRule="atLeast"/>
      <w:jc w:val="center"/>
      <w:textAlignment w:val="center"/>
    </w:pPr>
    <w:rPr>
      <w:rFonts w:ascii="宋体" w:hAnsi="Calibri"/>
      <w:sz w:val="22"/>
      <w:lang w:eastAsia="en-US" w:bidi="en-US"/>
    </w:rPr>
  </w:style>
  <w:style w:type="paragraph" w:customStyle="1" w:styleId="116">
    <w:name w:val="正文 首行缩进:  2 字符"/>
    <w:basedOn w:val="1"/>
    <w:qFormat/>
    <w:uiPriority w:val="0"/>
    <w:pPr>
      <w:suppressAutoHyphens/>
      <w:ind w:firstLine="579"/>
    </w:pPr>
    <w:rPr>
      <w:rFonts w:cs="宋体"/>
      <w:kern w:val="1"/>
      <w:lang w:eastAsia="ar-SA"/>
    </w:rPr>
  </w:style>
  <w:style w:type="paragraph" w:customStyle="1" w:styleId="117">
    <w:name w:val="列出段落1"/>
    <w:basedOn w:val="1"/>
    <w:qFormat/>
    <w:uiPriority w:val="0"/>
    <w:pPr>
      <w:spacing w:line="360" w:lineRule="auto"/>
      <w:ind w:firstLine="420"/>
    </w:pPr>
    <w:rPr>
      <w:kern w:val="2"/>
      <w:sz w:val="24"/>
      <w:szCs w:val="24"/>
    </w:rPr>
  </w:style>
  <w:style w:type="character" w:customStyle="1" w:styleId="118">
    <w:name w:val="font71"/>
    <w:basedOn w:val="38"/>
    <w:qFormat/>
    <w:uiPriority w:val="0"/>
    <w:rPr>
      <w:rFonts w:ascii="宋体" w:hAnsi="宋体" w:eastAsia="宋体" w:cs="宋体"/>
      <w:color w:val="100075"/>
      <w:sz w:val="14"/>
      <w:szCs w:val="14"/>
      <w:u w:val="none"/>
    </w:rPr>
  </w:style>
  <w:style w:type="character" w:customStyle="1" w:styleId="119">
    <w:name w:val="font81"/>
    <w:basedOn w:val="38"/>
    <w:qFormat/>
    <w:uiPriority w:val="0"/>
    <w:rPr>
      <w:rFonts w:ascii="宋体" w:hAnsi="宋体" w:eastAsia="宋体" w:cs="宋体"/>
      <w:color w:val="00258C"/>
      <w:sz w:val="14"/>
      <w:szCs w:val="14"/>
      <w:u w:val="none"/>
    </w:rPr>
  </w:style>
  <w:style w:type="character" w:customStyle="1" w:styleId="120">
    <w:name w:val="font91"/>
    <w:basedOn w:val="38"/>
    <w:qFormat/>
    <w:uiPriority w:val="0"/>
    <w:rPr>
      <w:rFonts w:ascii="宋体" w:hAnsi="宋体" w:eastAsia="宋体" w:cs="宋体"/>
      <w:color w:val="040086"/>
      <w:sz w:val="14"/>
      <w:szCs w:val="14"/>
      <w:u w:val="none"/>
    </w:rPr>
  </w:style>
  <w:style w:type="paragraph" w:customStyle="1" w:styleId="121">
    <w:name w:val="Huo 表 五号居中"/>
    <w:basedOn w:val="1"/>
    <w:qFormat/>
    <w:uiPriority w:val="0"/>
    <w:pPr>
      <w:spacing w:line="360" w:lineRule="exact"/>
      <w:jc w:val="center"/>
    </w:pPr>
    <w:rPr>
      <w:rFonts w:cs="仿宋_GB2312"/>
      <w:kern w:val="2"/>
      <w:sz w:val="21"/>
    </w:rPr>
  </w:style>
  <w:style w:type="paragraph" w:customStyle="1" w:styleId="122">
    <w:name w:val="廖表格内容"/>
    <w:basedOn w:val="1"/>
    <w:qFormat/>
    <w:uiPriority w:val="0"/>
    <w:pPr>
      <w:jc w:val="center"/>
    </w:pPr>
  </w:style>
  <w:style w:type="paragraph" w:customStyle="1" w:styleId="123">
    <w:name w:val="缩进"/>
    <w:basedOn w:val="1"/>
    <w:qFormat/>
    <w:uiPriority w:val="0"/>
    <w:pPr>
      <w:autoSpaceDE w:val="0"/>
      <w:autoSpaceDN w:val="0"/>
      <w:spacing w:line="400" w:lineRule="atLeast"/>
      <w:ind w:firstLine="480"/>
    </w:pPr>
  </w:style>
  <w:style w:type="paragraph" w:customStyle="1" w:styleId="124">
    <w:name w:val="p0"/>
    <w:basedOn w:val="1"/>
    <w:qFormat/>
    <w:uiPriority w:val="0"/>
    <w:pPr>
      <w:widowControl/>
    </w:pPr>
  </w:style>
  <w:style w:type="paragraph" w:customStyle="1" w:styleId="125">
    <w:name w:val="Table Text"/>
    <w:basedOn w:val="1"/>
    <w:semiHidden/>
    <w:qFormat/>
    <w:uiPriority w:val="0"/>
    <w:rPr>
      <w:rFonts w:ascii="宋体" w:hAnsi="宋体" w:eastAsia="宋体" w:cs="宋体"/>
      <w:sz w:val="24"/>
      <w:szCs w:val="24"/>
      <w:lang w:val="en-US" w:eastAsia="en-US" w:bidi="ar-SA"/>
    </w:rPr>
  </w:style>
  <w:style w:type="table" w:customStyle="1" w:styleId="12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3" Type="http://schemas.openxmlformats.org/officeDocument/2006/relationships/fontTable" Target="fontTable.xml"/><Relationship Id="rId42" Type="http://schemas.openxmlformats.org/officeDocument/2006/relationships/customXml" Target="../customXml/item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endnotes" Target="endnotes.xml"/><Relationship Id="rId39" Type="http://schemas.openxmlformats.org/officeDocument/2006/relationships/image" Target="media/image16.wmf"/><Relationship Id="rId38" Type="http://schemas.openxmlformats.org/officeDocument/2006/relationships/oleObject" Target="embeddings/oleObject5.bin"/><Relationship Id="rId37" Type="http://schemas.openxmlformats.org/officeDocument/2006/relationships/image" Target="media/image15.wmf"/><Relationship Id="rId36" Type="http://schemas.openxmlformats.org/officeDocument/2006/relationships/oleObject" Target="embeddings/oleObject4.bin"/><Relationship Id="rId35" Type="http://schemas.openxmlformats.org/officeDocument/2006/relationships/image" Target="media/image14.png"/><Relationship Id="rId34" Type="http://schemas.openxmlformats.org/officeDocument/2006/relationships/image" Target="media/image13.emf"/><Relationship Id="rId33" Type="http://schemas.openxmlformats.org/officeDocument/2006/relationships/package" Target="embeddings/Microsoft_Visio___1.vsdx"/><Relationship Id="rId32" Type="http://schemas.openxmlformats.org/officeDocument/2006/relationships/image" Target="media/image12.png"/><Relationship Id="rId31" Type="http://schemas.openxmlformats.org/officeDocument/2006/relationships/image" Target="media/image11.wmf"/><Relationship Id="rId30" Type="http://schemas.openxmlformats.org/officeDocument/2006/relationships/image" Target="media/image10.png"/><Relationship Id="rId3" Type="http://schemas.openxmlformats.org/officeDocument/2006/relationships/footnotes" Target="footnotes.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image" Target="media/image6.emf"/><Relationship Id="rId25" Type="http://schemas.openxmlformats.org/officeDocument/2006/relationships/oleObject" Target="embeddings/oleObject3.bin"/><Relationship Id="rId24" Type="http://schemas.openxmlformats.org/officeDocument/2006/relationships/image" Target="media/image5.emf"/><Relationship Id="rId23" Type="http://schemas.openxmlformats.org/officeDocument/2006/relationships/oleObject" Target="embeddings/oleObject2.bin"/><Relationship Id="rId22" Type="http://schemas.openxmlformats.org/officeDocument/2006/relationships/image" Target="media/image4.emf"/><Relationship Id="rId21" Type="http://schemas.openxmlformats.org/officeDocument/2006/relationships/oleObject" Target="embeddings/oleObject1.bin"/><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951113-06F0-4FAD-8EBF-CFC75F38077D}">
  <ds:schemaRefs/>
</ds:datastoreItem>
</file>

<file path=docProps/app.xml><?xml version="1.0" encoding="utf-8"?>
<Properties xmlns="http://schemas.openxmlformats.org/officeDocument/2006/extended-properties" xmlns:vt="http://schemas.openxmlformats.org/officeDocument/2006/docPropsVTypes">
  <Template>Normal.dotm</Template>
  <Company>惠之蓝</Company>
  <Pages>151</Pages>
  <Words>45491</Words>
  <Characters>52923</Characters>
  <Lines>360</Lines>
  <Paragraphs>101</Paragraphs>
  <TotalTime>1</TotalTime>
  <ScaleCrop>false</ScaleCrop>
  <LinksUpToDate>false</LinksUpToDate>
  <CharactersWithSpaces>53246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2021-08-10T00:38:00Z</dcterms:created>
  <dc:creator>周勇</dc:creator>
  <cp:lastModifiedBy>木木禾火彡苹</cp:lastModifiedBy>
  <dcterms:modified xsi:type="dcterms:W3CDTF">2023-11-27T02:20:37Z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8A0F748E22A44F18868D4F60AEB495F4_13</vt:lpwstr>
  </property>
</Properties>
</file>