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仿宋_GB2312"/>
          <w:color w:val="000000" w:themeColor="text1"/>
          <w:sz w:val="36"/>
          <w:szCs w:val="36"/>
          <w14:textFill>
            <w14:solidFill>
              <w14:schemeClr w14:val="tx1"/>
            </w14:solidFill>
          </w14:textFill>
        </w:rPr>
        <w:sectPr>
          <w:pgSz w:w="12240" w:h="15840"/>
          <w:pgMar w:top="720" w:right="720" w:bottom="720" w:left="720" w:header="720" w:footer="720" w:gutter="0"/>
          <w:cols w:space="720" w:num="1"/>
          <w:docGrid w:linePitch="286" w:charSpace="0"/>
        </w:sectPr>
      </w:pPr>
      <w:r>
        <w:rPr>
          <w:rFonts w:eastAsia="仿宋_GB2312"/>
          <w:color w:val="000000" w:themeColor="text1"/>
          <w:sz w:val="36"/>
          <w:szCs w:val="36"/>
          <w14:textFill>
            <w14:solidFill>
              <w14:schemeClr w14:val="tx1"/>
            </w14:solidFill>
          </w14:textFill>
        </w:rPr>
        <w:drawing>
          <wp:inline distT="0" distB="0" distL="114300" distR="114300">
            <wp:extent cx="6682740" cy="9123045"/>
            <wp:effectExtent l="0" t="0" r="3810" b="1905"/>
            <wp:docPr id="1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
                    <pic:cNvPicPr>
                      <a:picLocks noChangeAspect="1"/>
                    </pic:cNvPicPr>
                  </pic:nvPicPr>
                  <pic:blipFill>
                    <a:blip r:embed="rId6"/>
                    <a:stretch>
                      <a:fillRect/>
                    </a:stretch>
                  </pic:blipFill>
                  <pic:spPr>
                    <a:xfrm>
                      <a:off x="0" y="0"/>
                      <a:ext cx="6682740" cy="9123045"/>
                    </a:xfrm>
                    <a:prstGeom prst="rect">
                      <a:avLst/>
                    </a:prstGeom>
                    <a:noFill/>
                    <a:ln>
                      <a:noFill/>
                    </a:ln>
                  </pic:spPr>
                </pic:pic>
              </a:graphicData>
            </a:graphic>
          </wp:inline>
        </w:drawing>
      </w:r>
    </w:p>
    <w:p>
      <w:pPr>
        <w:jc w:val="center"/>
        <w:outlineLvl w:val="0"/>
        <w:rPr>
          <w:rFonts w:eastAsia="黑体"/>
          <w:snapToGrid w:val="0"/>
          <w:color w:val="000000" w:themeColor="text1"/>
          <w:sz w:val="30"/>
          <w:szCs w:val="30"/>
          <w14:textFill>
            <w14:solidFill>
              <w14:schemeClr w14:val="tx1"/>
            </w14:solidFill>
          </w14:textFill>
        </w:rPr>
      </w:pPr>
      <w:r>
        <w:rPr>
          <w:rFonts w:eastAsia="黑体"/>
          <w:snapToGrid w:val="0"/>
          <w:color w:val="000000" w:themeColor="text1"/>
          <w:sz w:val="30"/>
          <w:szCs w:val="30"/>
          <w14:textFill>
            <w14:solidFill>
              <w14:schemeClr w14:val="tx1"/>
            </w14:solidFill>
          </w14:textFill>
        </w:rPr>
        <w:t>一、建设项目基本情况</w:t>
      </w:r>
    </w:p>
    <w:tbl>
      <w:tblPr>
        <w:tblStyle w:val="30"/>
        <w:tblW w:w="10490" w:type="dxa"/>
        <w:tblInd w:w="13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52"/>
        <w:gridCol w:w="1600"/>
        <w:gridCol w:w="2523"/>
        <w:gridCol w:w="1906"/>
        <w:gridCol w:w="39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建设项目名称</w:t>
            </w:r>
          </w:p>
        </w:tc>
        <w:tc>
          <w:tcPr>
            <w:tcW w:w="8338" w:type="dxa"/>
            <w:gridSpan w:val="3"/>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田村电子（惠州）有限公司大型变压器分公司建设项目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项目代码</w:t>
            </w:r>
          </w:p>
        </w:tc>
        <w:tc>
          <w:tcPr>
            <w:tcW w:w="8338" w:type="dxa"/>
            <w:gridSpan w:val="3"/>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2303-441322-04-01-682571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建设单位联系人</w:t>
            </w:r>
          </w:p>
        </w:tc>
        <w:tc>
          <w:tcPr>
            <w:tcW w:w="2523" w:type="dxa"/>
            <w:vAlign w:val="center"/>
          </w:tcPr>
          <w:p>
            <w:pPr>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p>
        </w:tc>
        <w:tc>
          <w:tcPr>
            <w:tcW w:w="1906"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联系方式</w:t>
            </w:r>
          </w:p>
        </w:tc>
        <w:tc>
          <w:tcPr>
            <w:tcW w:w="3909" w:type="dxa"/>
            <w:vAlign w:val="center"/>
          </w:tcPr>
          <w:p>
            <w:pPr>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建设地点</w:t>
            </w:r>
          </w:p>
        </w:tc>
        <w:tc>
          <w:tcPr>
            <w:tcW w:w="8338" w:type="dxa"/>
            <w:gridSpan w:val="3"/>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惠州市博罗县罗阳街道虾塱村委会洲际工业园梅园3路22号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地理坐标</w:t>
            </w:r>
          </w:p>
        </w:tc>
        <w:tc>
          <w:tcPr>
            <w:tcW w:w="8338" w:type="dxa"/>
            <w:gridSpan w:val="3"/>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（北纬</w:t>
            </w:r>
            <w:r>
              <w:rPr>
                <w:color w:val="000000" w:themeColor="text1"/>
                <w:u w:val="single"/>
                <w14:textFill>
                  <w14:solidFill>
                    <w14:schemeClr w14:val="tx1"/>
                  </w14:solidFill>
                </w14:textFill>
              </w:rPr>
              <w:t xml:space="preserve"> 23 </w:t>
            </w:r>
            <w:r>
              <w:rPr>
                <w:color w:val="000000" w:themeColor="text1"/>
                <w14:textFill>
                  <w14:solidFill>
                    <w14:schemeClr w14:val="tx1"/>
                  </w14:solidFill>
                </w14:textFill>
              </w:rPr>
              <w:t>度</w:t>
            </w:r>
            <w:r>
              <w:rPr>
                <w:color w:val="000000" w:themeColor="text1"/>
                <w:u w:val="single"/>
                <w14:textFill>
                  <w14:solidFill>
                    <w14:schemeClr w14:val="tx1"/>
                  </w14:solidFill>
                </w14:textFill>
              </w:rPr>
              <w:t xml:space="preserve"> 11 </w:t>
            </w:r>
            <w:r>
              <w:rPr>
                <w:color w:val="000000" w:themeColor="text1"/>
                <w14:textFill>
                  <w14:solidFill>
                    <w14:schemeClr w14:val="tx1"/>
                  </w14:solidFill>
                </w14:textFill>
              </w:rPr>
              <w:t>分</w:t>
            </w:r>
            <w:r>
              <w:rPr>
                <w:color w:val="000000" w:themeColor="text1"/>
                <w:u w:val="single"/>
                <w14:textFill>
                  <w14:solidFill>
                    <w14:schemeClr w14:val="tx1"/>
                  </w14:solidFill>
                </w14:textFill>
              </w:rPr>
              <w:t xml:space="preserve"> 12.232 </w:t>
            </w:r>
            <w:r>
              <w:rPr>
                <w:color w:val="000000" w:themeColor="text1"/>
                <w14:textFill>
                  <w14:solidFill>
                    <w14:schemeClr w14:val="tx1"/>
                  </w14:solidFill>
                </w14:textFill>
              </w:rPr>
              <w:t>秒，东经</w:t>
            </w:r>
            <w:r>
              <w:rPr>
                <w:color w:val="000000" w:themeColor="text1"/>
                <w:u w:val="single"/>
                <w14:textFill>
                  <w14:solidFill>
                    <w14:schemeClr w14:val="tx1"/>
                  </w14:solidFill>
                </w14:textFill>
              </w:rPr>
              <w:t xml:space="preserve"> 114 </w:t>
            </w:r>
            <w:r>
              <w:rPr>
                <w:color w:val="000000" w:themeColor="text1"/>
                <w14:textFill>
                  <w14:solidFill>
                    <w14:schemeClr w14:val="tx1"/>
                  </w14:solidFill>
                </w14:textFill>
              </w:rPr>
              <w:t>度</w:t>
            </w:r>
            <w:r>
              <w:rPr>
                <w:color w:val="000000" w:themeColor="text1"/>
                <w:u w:val="single"/>
                <w14:textFill>
                  <w14:solidFill>
                    <w14:schemeClr w14:val="tx1"/>
                  </w14:solidFill>
                </w14:textFill>
              </w:rPr>
              <w:t xml:space="preserve"> 15 </w:t>
            </w:r>
            <w:r>
              <w:rPr>
                <w:color w:val="000000" w:themeColor="text1"/>
                <w14:textFill>
                  <w14:solidFill>
                    <w14:schemeClr w14:val="tx1"/>
                  </w14:solidFill>
                </w14:textFill>
              </w:rPr>
              <w:t>分</w:t>
            </w:r>
            <w:r>
              <w:rPr>
                <w:color w:val="000000" w:themeColor="text1"/>
                <w:u w:val="single"/>
                <w14:textFill>
                  <w14:solidFill>
                    <w14:schemeClr w14:val="tx1"/>
                  </w14:solidFill>
                </w14:textFill>
              </w:rPr>
              <w:t xml:space="preserve"> 57.208 </w:t>
            </w:r>
            <w:r>
              <w:rPr>
                <w:color w:val="000000" w:themeColor="text1"/>
                <w14:textFill>
                  <w14:solidFill>
                    <w14:schemeClr w14:val="tx1"/>
                  </w14:solidFill>
                </w14:textFill>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国民经济</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行业类别</w:t>
            </w:r>
          </w:p>
        </w:tc>
        <w:tc>
          <w:tcPr>
            <w:tcW w:w="2523" w:type="dxa"/>
            <w:vAlign w:val="center"/>
          </w:tcPr>
          <w:p>
            <w:pPr>
              <w:rPr>
                <w:color w:val="000000" w:themeColor="text1"/>
                <w14:textFill>
                  <w14:solidFill>
                    <w14:schemeClr w14:val="tx1"/>
                  </w14:solidFill>
                </w14:textFill>
              </w:rPr>
            </w:pPr>
            <w:r>
              <w:rPr>
                <w:color w:val="000000" w:themeColor="text1"/>
                <w:kern w:val="21"/>
                <w14:textFill>
                  <w14:solidFill>
                    <w14:schemeClr w14:val="tx1"/>
                  </w14:solidFill>
                </w14:textFill>
              </w:rPr>
              <w:t>C3821变压器、整流器和电感器制造</w:t>
            </w:r>
          </w:p>
        </w:tc>
        <w:tc>
          <w:tcPr>
            <w:tcW w:w="1906" w:type="dxa"/>
            <w:vAlign w:val="center"/>
          </w:tcPr>
          <w:p>
            <w:pPr>
              <w:adjustRightInd w:val="0"/>
              <w:snapToGrid w:val="0"/>
              <w:jc w:val="center"/>
              <w:rPr>
                <w:color w:val="000000" w:themeColor="text1"/>
                <w14:textFill>
                  <w14:solidFill>
                    <w14:schemeClr w14:val="tx1"/>
                  </w14:solidFill>
                </w14:textFill>
              </w:rPr>
            </w:pPr>
            <w:bookmarkStart w:id="0" w:name="_Hlk49843745"/>
            <w:r>
              <w:rPr>
                <w:color w:val="000000" w:themeColor="text1"/>
                <w14:textFill>
                  <w14:solidFill>
                    <w14:schemeClr w14:val="tx1"/>
                  </w14:solidFill>
                </w14:textFill>
              </w:rPr>
              <w:t>建设项目</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行业类别</w:t>
            </w:r>
            <w:bookmarkEnd w:id="0"/>
          </w:p>
        </w:tc>
        <w:tc>
          <w:tcPr>
            <w:tcW w:w="3909" w:type="dxa"/>
            <w:vAlign w:val="center"/>
          </w:tcPr>
          <w:p>
            <w:pPr>
              <w:rPr>
                <w:color w:val="000000" w:themeColor="text1"/>
                <w14:textFill>
                  <w14:solidFill>
                    <w14:schemeClr w14:val="tx1"/>
                  </w14:solidFill>
                </w14:textFill>
              </w:rPr>
            </w:pPr>
            <w:r>
              <w:rPr>
                <w:color w:val="000000" w:themeColor="text1"/>
                <w:kern w:val="21"/>
                <w14:textFill>
                  <w14:solidFill>
                    <w14:schemeClr w14:val="tx1"/>
                  </w14:solidFill>
                </w14:textFill>
              </w:rPr>
              <w:t>三十五、电气机械和器材制造业38-77、输配电及控制设备制造382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5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建设性质</w:t>
            </w:r>
          </w:p>
        </w:tc>
        <w:tc>
          <w:tcPr>
            <w:tcW w:w="2523"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52"/>
            </w:r>
            <w:r>
              <w:rPr>
                <w:color w:val="000000" w:themeColor="text1"/>
                <w14:textFill>
                  <w14:solidFill>
                    <w14:schemeClr w14:val="tx1"/>
                  </w14:solidFill>
                </w14:textFill>
              </w:rPr>
              <w:t>新建（迁建）</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改建</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扩建</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技术改造</w:t>
            </w:r>
          </w:p>
        </w:tc>
        <w:tc>
          <w:tcPr>
            <w:tcW w:w="1906"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建设项目</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申报情形</w:t>
            </w:r>
          </w:p>
        </w:tc>
        <w:tc>
          <w:tcPr>
            <w:tcW w:w="3909"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52"/>
            </w:r>
            <w:r>
              <w:rPr>
                <w:color w:val="000000" w:themeColor="text1"/>
                <w14:textFill>
                  <w14:solidFill>
                    <w14:schemeClr w14:val="tx1"/>
                  </w14:solidFill>
                </w14:textFill>
              </w:rPr>
              <w:t xml:space="preserve">首次申报项目             </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不予批准后再次申报项目</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 xml:space="preserve">超五年重新审核项目     </w:t>
            </w:r>
          </w:p>
          <w:p>
            <w:pPr>
              <w:jc w:val="left"/>
              <w:rPr>
                <w:color w:val="000000" w:themeColor="text1"/>
                <w14:textFill>
                  <w14:solidFill>
                    <w14:schemeClr w14:val="tx1"/>
                  </w14:solidFill>
                </w14:textFill>
              </w:rPr>
            </w:pPr>
            <w:r>
              <w:rPr>
                <w:color w:val="000000" w:themeColor="text1"/>
                <w14:textFill>
                  <w14:solidFill>
                    <w14:schemeClr w14:val="tx1"/>
                  </w14:solidFill>
                </w14:textFill>
              </w:rPr>
              <w:sym w:font="Wingdings 2" w:char="F0A3"/>
            </w:r>
            <w:r>
              <w:rPr>
                <w:color w:val="000000" w:themeColor="text1"/>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3"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项目审批（核准/</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备案）部门（选填）</w:t>
            </w:r>
          </w:p>
        </w:tc>
        <w:tc>
          <w:tcPr>
            <w:tcW w:w="252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906"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项目审批（核准/</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备案）文号（选填）</w:t>
            </w:r>
          </w:p>
        </w:tc>
        <w:tc>
          <w:tcPr>
            <w:tcW w:w="390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总投资（万元）</w:t>
            </w:r>
          </w:p>
        </w:tc>
        <w:tc>
          <w:tcPr>
            <w:tcW w:w="252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500</w:t>
            </w:r>
          </w:p>
        </w:tc>
        <w:tc>
          <w:tcPr>
            <w:tcW w:w="1906" w:type="dxa"/>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环保投资（万元）</w:t>
            </w:r>
          </w:p>
        </w:tc>
        <w:tc>
          <w:tcPr>
            <w:tcW w:w="390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环保投资占比（%）</w:t>
            </w:r>
          </w:p>
        </w:tc>
        <w:tc>
          <w:tcPr>
            <w:tcW w:w="252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17.0</w:t>
            </w:r>
          </w:p>
        </w:tc>
        <w:tc>
          <w:tcPr>
            <w:tcW w:w="1906" w:type="dxa"/>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施工工期</w:t>
            </w:r>
          </w:p>
        </w:tc>
        <w:tc>
          <w:tcPr>
            <w:tcW w:w="390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2152" w:type="dxa"/>
            <w:gridSpan w:val="2"/>
            <w:tcMar>
              <w:top w:w="16" w:type="dxa"/>
              <w:left w:w="16" w:type="dxa"/>
              <w:right w:w="16"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是否开工建设</w:t>
            </w:r>
          </w:p>
        </w:tc>
        <w:tc>
          <w:tcPr>
            <w:tcW w:w="2523"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sym w:font="Wingdings 2" w:char="0052"/>
            </w:r>
            <w:r>
              <w:rPr>
                <w:color w:val="000000" w:themeColor="text1"/>
                <w14:textFill>
                  <w14:solidFill>
                    <w14:schemeClr w14:val="tx1"/>
                  </w14:solidFill>
                </w14:textFill>
              </w:rPr>
              <w:t>否：</w:t>
            </w:r>
            <w:r>
              <w:rPr>
                <w:color w:val="000000" w:themeColor="text1"/>
                <w:u w:val="single"/>
                <w14:textFill>
                  <w14:solidFill>
                    <w14:schemeClr w14:val="tx1"/>
                  </w14:solidFill>
                </w14:textFill>
              </w:rPr>
              <w:t xml:space="preserve">              </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sym w:font="Wingdings 2" w:char="00A3"/>
            </w:r>
            <w:r>
              <w:rPr>
                <w:color w:val="000000" w:themeColor="text1"/>
                <w14:textFill>
                  <w14:solidFill>
                    <w14:schemeClr w14:val="tx1"/>
                  </w14:solidFill>
                </w14:textFill>
              </w:rPr>
              <w:t>是：</w:t>
            </w:r>
            <w:r>
              <w:rPr>
                <w:color w:val="000000" w:themeColor="text1"/>
                <w:u w:val="single"/>
                <w14:textFill>
                  <w14:solidFill>
                    <w14:schemeClr w14:val="tx1"/>
                  </w14:solidFill>
                </w14:textFill>
              </w:rPr>
              <w:t xml:space="preserve">             </w:t>
            </w:r>
          </w:p>
        </w:tc>
        <w:tc>
          <w:tcPr>
            <w:tcW w:w="1906" w:type="dxa"/>
            <w:tcMar>
              <w:top w:w="16" w:type="dxa"/>
              <w:left w:w="16" w:type="dxa"/>
              <w:right w:w="16" w:type="dxa"/>
            </w:tcMar>
            <w:vAlign w:val="center"/>
          </w:tcPr>
          <w:p>
            <w:pPr>
              <w:adjustRightInd w:val="0"/>
              <w:snapToGrid w:val="0"/>
              <w:jc w:val="center"/>
              <w:rPr>
                <w:color w:val="000000" w:themeColor="text1"/>
                <w:spacing w:val="-6"/>
                <w14:textFill>
                  <w14:solidFill>
                    <w14:schemeClr w14:val="tx1"/>
                  </w14:solidFill>
                </w14:textFill>
              </w:rPr>
            </w:pPr>
            <w:r>
              <w:rPr>
                <w:color w:val="000000" w:themeColor="text1"/>
                <w:spacing w:val="-6"/>
                <w14:textFill>
                  <w14:solidFill>
                    <w14:schemeClr w14:val="tx1"/>
                  </w14:solidFill>
                </w14:textFill>
              </w:rPr>
              <w:t>用地（用海）</w:t>
            </w:r>
          </w:p>
          <w:p>
            <w:pPr>
              <w:adjustRightInd w:val="0"/>
              <w:snapToGrid w:val="0"/>
              <w:jc w:val="center"/>
              <w:rPr>
                <w:color w:val="000000" w:themeColor="text1"/>
                <w14:textFill>
                  <w14:solidFill>
                    <w14:schemeClr w14:val="tx1"/>
                  </w14:solidFill>
                </w14:textFill>
              </w:rPr>
            </w:pPr>
            <w:r>
              <w:rPr>
                <w:color w:val="000000" w:themeColor="text1"/>
                <w:spacing w:val="-6"/>
                <w14:textFill>
                  <w14:solidFill>
                    <w14:schemeClr w14:val="tx1"/>
                  </w14:solidFill>
                </w14:textFill>
              </w:rPr>
              <w:t>面积（m</w:t>
            </w:r>
            <w:r>
              <w:rPr>
                <w:color w:val="000000" w:themeColor="text1"/>
                <w:spacing w:val="-6"/>
                <w:vertAlign w:val="superscript"/>
                <w14:textFill>
                  <w14:solidFill>
                    <w14:schemeClr w14:val="tx1"/>
                  </w14:solidFill>
                </w14:textFill>
              </w:rPr>
              <w:t>2</w:t>
            </w:r>
            <w:r>
              <w:rPr>
                <w:color w:val="000000" w:themeColor="text1"/>
                <w:spacing w:val="-6"/>
                <w14:textFill>
                  <w14:solidFill>
                    <w14:schemeClr w14:val="tx1"/>
                  </w14:solidFill>
                </w14:textFill>
              </w:rPr>
              <w:t>）</w:t>
            </w:r>
          </w:p>
        </w:tc>
        <w:tc>
          <w:tcPr>
            <w:tcW w:w="390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8000.0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152" w:type="dxa"/>
            <w:gridSpan w:val="2"/>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专项评价设置情况</w:t>
            </w:r>
          </w:p>
        </w:tc>
        <w:tc>
          <w:tcPr>
            <w:tcW w:w="8338" w:type="dxa"/>
            <w:gridSpan w:val="3"/>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 xml:space="preserve">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152" w:type="dxa"/>
            <w:gridSpan w:val="2"/>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14:textFill>
                  <w14:solidFill>
                    <w14:schemeClr w14:val="tx1"/>
                  </w14:solidFill>
                </w14:textFill>
              </w:rPr>
              <w:t>规划情况</w:t>
            </w:r>
          </w:p>
        </w:tc>
        <w:tc>
          <w:tcPr>
            <w:tcW w:w="8338" w:type="dxa"/>
            <w:gridSpan w:val="3"/>
            <w:vAlign w:val="center"/>
          </w:tcPr>
          <w:p>
            <w:pPr>
              <w:spacing w:line="360" w:lineRule="auto"/>
              <w:ind w:firstLine="420" w:firstLineChars="20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52" w:type="dxa"/>
            <w:gridSpan w:val="2"/>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规划环境影响</w:t>
            </w:r>
          </w:p>
          <w:p>
            <w:pPr>
              <w:adjustRightInd w:val="0"/>
              <w:snapToGrid w:val="0"/>
              <w:jc w:val="center"/>
              <w:rPr>
                <w:color w:val="000000" w:themeColor="text1"/>
                <w:kern w:val="0"/>
                <w14:textFill>
                  <w14:solidFill>
                    <w14:schemeClr w14:val="tx1"/>
                  </w14:solidFill>
                </w14:textFill>
              </w:rPr>
            </w:pPr>
            <w:r>
              <w:rPr>
                <w:color w:val="000000" w:themeColor="text1"/>
                <w14:textFill>
                  <w14:solidFill>
                    <w14:schemeClr w14:val="tx1"/>
                  </w14:solidFill>
                </w14:textFill>
              </w:rPr>
              <w:t>评价情况</w:t>
            </w:r>
          </w:p>
        </w:tc>
        <w:tc>
          <w:tcPr>
            <w:tcW w:w="8338" w:type="dxa"/>
            <w:gridSpan w:val="3"/>
            <w:vAlign w:val="center"/>
          </w:tcPr>
          <w:p>
            <w:pPr>
              <w:autoSpaceDE w:val="0"/>
              <w:autoSpaceDN w:val="0"/>
              <w:adjustRightInd w:val="0"/>
              <w:snapToGrid w:val="0"/>
              <w:spacing w:line="360" w:lineRule="auto"/>
              <w:ind w:firstLine="420" w:firstLineChars="20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52" w:type="dxa"/>
            <w:gridSpan w:val="2"/>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规划及规划环境</w:t>
            </w:r>
          </w:p>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影响评价符合性分析</w:t>
            </w:r>
          </w:p>
        </w:tc>
        <w:tc>
          <w:tcPr>
            <w:tcW w:w="8338" w:type="dxa"/>
            <w:gridSpan w:val="3"/>
            <w:vAlign w:val="center"/>
          </w:tcPr>
          <w:p>
            <w:pPr>
              <w:pStyle w:val="37"/>
              <w:ind w:firstLine="420"/>
              <w:rPr>
                <w:rFonts w:hAnsi="Times New Roman"/>
                <w:color w:val="000000" w:themeColor="text1"/>
                <w:kern w:val="0"/>
                <w14:textFill>
                  <w14:solidFill>
                    <w14:schemeClr w14:val="tx1"/>
                  </w14:solidFill>
                </w14:textFill>
              </w:rPr>
            </w:pPr>
            <w:r>
              <w:rPr>
                <w:rFonts w:hAnsi="Times New Roman"/>
                <w:color w:val="000000" w:themeColor="text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52" w:type="dxa"/>
            <w:vAlign w:val="center"/>
          </w:tcPr>
          <w:p>
            <w:pPr>
              <w:autoSpaceDE w:val="0"/>
              <w:autoSpaceDN w:val="0"/>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其他符合性分析</w:t>
            </w:r>
          </w:p>
        </w:tc>
        <w:tc>
          <w:tcPr>
            <w:tcW w:w="9938" w:type="dxa"/>
            <w:gridSpan w:val="4"/>
            <w:vAlign w:val="center"/>
          </w:tcPr>
          <w:p>
            <w:pPr>
              <w:pStyle w:val="18"/>
              <w:spacing w:line="360" w:lineRule="auto"/>
              <w:rPr>
                <w:rFonts w:ascii="Times New Roman" w:hAnsi="Times New Roman" w:cs="Times New Roman"/>
                <w:b/>
                <w:bCs w:val="0"/>
                <w:color w:val="000000" w:themeColor="text1"/>
                <w:kern w:val="0"/>
                <w14:textFill>
                  <w14:solidFill>
                    <w14:schemeClr w14:val="tx1"/>
                  </w14:solidFill>
                </w14:textFill>
              </w:rPr>
            </w:pPr>
            <w:r>
              <w:rPr>
                <w:rFonts w:ascii="Times New Roman" w:hAnsi="Times New Roman" w:cs="Times New Roman"/>
                <w:b/>
                <w:bCs w:val="0"/>
                <w:color w:val="000000" w:themeColor="text1"/>
                <w:kern w:val="0"/>
                <w14:textFill>
                  <w14:solidFill>
                    <w14:schemeClr w14:val="tx1"/>
                  </w14:solidFill>
                </w14:textFill>
              </w:rPr>
              <w:t>一、选址合理合法性分析</w:t>
            </w:r>
          </w:p>
          <w:p>
            <w:pPr>
              <w:spacing w:line="360" w:lineRule="auto"/>
              <w:ind w:firstLine="420" w:firstLineChars="200"/>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项目位于</w:t>
            </w:r>
            <w:r>
              <w:rPr>
                <w:color w:val="000000" w:themeColor="text1"/>
                <w14:textFill>
                  <w14:solidFill>
                    <w14:schemeClr w14:val="tx1"/>
                  </w14:solidFill>
                </w14:textFill>
              </w:rPr>
              <w:t>惠州市博罗县罗阳街道虾塱村委会洲际工业园梅园3路22号</w:t>
            </w:r>
            <w:r>
              <w:rPr>
                <w:bCs w:val="0"/>
                <w:color w:val="000000" w:themeColor="text1"/>
                <w:kern w:val="0"/>
                <w14:textFill>
                  <w14:solidFill>
                    <w14:schemeClr w14:val="tx1"/>
                  </w14:solidFill>
                </w14:textFill>
              </w:rPr>
              <w:t>，根据建设单位提供的不动产权证（粤[2020]博罗县不动产权第0073840号，详见</w:t>
            </w:r>
            <w:r>
              <w:rPr>
                <w:b/>
                <w:bCs w:val="0"/>
                <w:color w:val="000000" w:themeColor="text1"/>
                <w:kern w:val="0"/>
                <w14:textFill>
                  <w14:solidFill>
                    <w14:schemeClr w14:val="tx1"/>
                  </w14:solidFill>
                </w14:textFill>
              </w:rPr>
              <w:t>附件3</w:t>
            </w:r>
            <w:r>
              <w:rPr>
                <w:bCs w:val="0"/>
                <w:color w:val="000000" w:themeColor="text1"/>
                <w:kern w:val="0"/>
                <w14:textFill>
                  <w14:solidFill>
                    <w14:schemeClr w14:val="tx1"/>
                  </w14:solidFill>
                </w14:textFill>
              </w:rPr>
              <w:t>），可知项目租用厂房所在区域原国土证号为：博府国用[2000]第012031号，项目用地性质为工业用地。且查阅《博罗县罗阳街道调出地块土地利用规划图（调整后）（TC01-TC02）》（见</w:t>
            </w:r>
            <w:r>
              <w:rPr>
                <w:b/>
                <w:color w:val="000000" w:themeColor="text1"/>
                <w:kern w:val="0"/>
                <w14:textFill>
                  <w14:solidFill>
                    <w14:schemeClr w14:val="tx1"/>
                  </w14:solidFill>
                </w14:textFill>
              </w:rPr>
              <w:t>附图14</w:t>
            </w:r>
            <w:r>
              <w:rPr>
                <w:bCs w:val="0"/>
                <w:color w:val="000000" w:themeColor="text1"/>
                <w:kern w:val="0"/>
                <w14:textFill>
                  <w14:solidFill>
                    <w14:schemeClr w14:val="tx1"/>
                  </w14:solidFill>
                </w14:textFill>
              </w:rPr>
              <w:t>），本项目所属地块的规划用途为允许建设区，符合用地性质。本项目所在区域不属于饮用水源保护区范围，项目范围没有风景名胜区、自然保护区、生态脆弱带等。综合分析，本项目的选址可行。</w:t>
            </w:r>
          </w:p>
          <w:p>
            <w:pPr>
              <w:pStyle w:val="18"/>
              <w:spacing w:line="360" w:lineRule="auto"/>
              <w:rPr>
                <w:rFonts w:ascii="Times New Roman" w:hAnsi="Times New Roman" w:cs="Times New Roman"/>
                <w:b/>
                <w:bCs w:val="0"/>
                <w:color w:val="000000" w:themeColor="text1"/>
                <w14:textFill>
                  <w14:solidFill>
                    <w14:schemeClr w14:val="tx1"/>
                  </w14:solidFill>
                </w14:textFill>
              </w:rPr>
            </w:pPr>
            <w:r>
              <w:rPr>
                <w:rFonts w:ascii="Times New Roman" w:hAnsi="Times New Roman" w:cs="Times New Roman"/>
                <w:b/>
                <w:bCs w:val="0"/>
                <w:color w:val="000000" w:themeColor="text1"/>
                <w14:textFill>
                  <w14:solidFill>
                    <w14:schemeClr w14:val="tx1"/>
                  </w14:solidFill>
                </w14:textFill>
              </w:rPr>
              <w:t>二、环境功能区划符合性分析</w:t>
            </w:r>
          </w:p>
          <w:p>
            <w:pPr>
              <w:spacing w:line="360" w:lineRule="auto"/>
              <w:ind w:firstLine="420" w:firstLineChars="200"/>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根据粤府函[2014]188号文《广东省人民政府关于调整惠州市饮用水源保护区的批复》和粤府函[2019]270号文《广东省人民政府关于调整惠州市部分饮用水水源保护区的批复》，以及</w:t>
            </w:r>
            <w:r>
              <w:rPr>
                <w:color w:val="000000" w:themeColor="text1"/>
                <w14:textFill>
                  <w14:solidFill>
                    <w14:schemeClr w14:val="tx1"/>
                  </w14:solidFill>
                </w14:textFill>
              </w:rPr>
              <w:t>惠州市人民政府关于《惠州市乡镇级及以下集中式饮用水水源保护区划定（调整）方案》的批复（惠府函〔2020〕317号）</w:t>
            </w:r>
            <w:r>
              <w:rPr>
                <w:bCs w:val="0"/>
                <w:color w:val="000000" w:themeColor="text1"/>
                <w:kern w:val="0"/>
                <w14:textFill>
                  <w14:solidFill>
                    <w14:schemeClr w14:val="tx1"/>
                  </w14:solidFill>
                </w14:textFill>
              </w:rPr>
              <w:t>本项目所在区域不属于水源保护区。</w:t>
            </w:r>
          </w:p>
          <w:p>
            <w:pPr>
              <w:pStyle w:val="37"/>
              <w:ind w:firstLine="420"/>
              <w:jc w:val="left"/>
              <w:rPr>
                <w:rFonts w:hAnsi="Times New Roman"/>
                <w:bCs w:val="0"/>
                <w:color w:val="000000" w:themeColor="text1"/>
                <w:kern w:val="0"/>
                <w14:textFill>
                  <w14:solidFill>
                    <w14:schemeClr w14:val="tx1"/>
                  </w14:solidFill>
                </w14:textFill>
              </w:rPr>
            </w:pPr>
            <w:r>
              <w:rPr>
                <w:rFonts w:hAnsi="Times New Roman"/>
                <w:bCs w:val="0"/>
                <w:color w:val="000000" w:themeColor="text1"/>
                <w:kern w:val="0"/>
                <w14:textFill>
                  <w14:solidFill>
                    <w14:schemeClr w14:val="tx1"/>
                  </w14:solidFill>
                </w14:textFill>
              </w:rPr>
              <w:t>项目外排废水主要为员工生活污水，纳污水体新角排渠控制目标为Ⅴ类；区域空气环境功能区划为二类区，环境空气达标；声环境功能区划为2类区，声环境达标。厂址周围无国家、省、市、区重点保护的文物、古迹、名胜风景区、自然保护区等，选址符合环境功能区划的要求。该项目废（污）水、废气、噪声和固体废物通过采取评价中提出的治理措施进行有效治理后，不会改变区域环境功能。则该项目的运营与环境功能区划相符合。</w:t>
            </w:r>
          </w:p>
          <w:p>
            <w:pPr>
              <w:pStyle w:val="18"/>
              <w:spacing w:line="360" w:lineRule="auto"/>
              <w:rPr>
                <w:rFonts w:ascii="Times New Roman" w:hAnsi="Times New Roman" w:cs="Times New Roman"/>
                <w:b/>
                <w:bCs w:val="0"/>
                <w:color w:val="000000" w:themeColor="text1"/>
                <w:kern w:val="0"/>
                <w14:textFill>
                  <w14:solidFill>
                    <w14:schemeClr w14:val="tx1"/>
                  </w14:solidFill>
                </w14:textFill>
              </w:rPr>
            </w:pPr>
            <w:r>
              <w:rPr>
                <w:rFonts w:ascii="Times New Roman" w:hAnsi="Times New Roman" w:cs="Times New Roman"/>
                <w:b/>
                <w:bCs w:val="0"/>
                <w:color w:val="000000" w:themeColor="text1"/>
                <w:kern w:val="0"/>
                <w14:textFill>
                  <w14:solidFill>
                    <w14:schemeClr w14:val="tx1"/>
                  </w14:solidFill>
                </w14:textFill>
              </w:rPr>
              <w:t>三、产业政策符合性分析</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本项目属于《国民经济行业分类》（GB/T4754-2017）及第1号修改单中“</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”，项目不属于《产业结构调整指导目录（2019年本）》以及《国家发展改革委关于修改&lt;产业结构调整指导目录（2019年本）&gt;有关条款的决定》中限制类、淘汰类项目，因此属于允许类项目。</w:t>
            </w:r>
          </w:p>
          <w:p>
            <w:pPr>
              <w:adjustRightInd w:val="0"/>
              <w:spacing w:line="360" w:lineRule="auto"/>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四、市场准入负面清单相符性分析</w:t>
            </w:r>
          </w:p>
          <w:p>
            <w:pPr>
              <w:adjustRightInd w:val="0"/>
              <w:spacing w:line="360" w:lineRule="auto"/>
              <w:ind w:firstLine="420" w:firstLineChars="200"/>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根据《市场准入负面清单》（2022年版）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pPr>
              <w:adjustRightInd w:val="0"/>
              <w:spacing w:line="360" w:lineRule="auto"/>
              <w:ind w:firstLine="420" w:firstLineChars="200"/>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项目主要从事变压器的生产，属于《国民经济行业分类》(GB/T4754-2017）（按第1号修改单修订）中的</w:t>
            </w:r>
            <w:r>
              <w:rPr>
                <w:color w:val="000000" w:themeColor="text1"/>
                <w:kern w:val="0"/>
                <w14:textFill>
                  <w14:solidFill>
                    <w14:schemeClr w14:val="tx1"/>
                  </w14:solidFill>
                </w14:textFill>
              </w:rPr>
              <w:t>“</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w:t>
            </w:r>
            <w:r>
              <w:rPr>
                <w:bCs w:val="0"/>
                <w:color w:val="000000" w:themeColor="text1"/>
                <w:kern w:val="0"/>
                <w14:textFill>
                  <w14:solidFill>
                    <w14:schemeClr w14:val="tx1"/>
                  </w14:solidFill>
                </w14:textFill>
              </w:rPr>
              <w:t>。不属于《市场准入负面清单》（2022年版）禁止或需要许可的类别，项目建设符合《市场准入负面清单（2022年版）》。</w:t>
            </w:r>
          </w:p>
          <w:p>
            <w:pPr>
              <w:adjustRightInd w:val="0"/>
              <w:spacing w:line="360" w:lineRule="auto"/>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五、与《博罗县分类环境管控单元及环境准入负面清单》相符性分析</w:t>
            </w:r>
          </w:p>
          <w:p>
            <w:pPr>
              <w:adjustRightInd w:val="0"/>
              <w:spacing w:line="360" w:lineRule="auto"/>
              <w:ind w:firstLine="422" w:firstLineChars="200"/>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1、与生态保护红线和一般生态空间相符性分析</w:t>
            </w:r>
          </w:p>
          <w:p>
            <w:pPr>
              <w:spacing w:line="360" w:lineRule="auto"/>
              <w:ind w:firstLine="420" w:firstLineChars="200"/>
              <w:rPr>
                <w:color w:val="000000" w:themeColor="text1"/>
                <w14:textFill>
                  <w14:solidFill>
                    <w14:schemeClr w14:val="tx1"/>
                  </w14:solidFill>
                </w14:textFill>
              </w:rPr>
            </w:pPr>
            <w:r>
              <w:rPr>
                <w:color w:val="000000" w:themeColor="text1"/>
                <w:kern w:val="0"/>
                <w14:textFill>
                  <w14:solidFill>
                    <w14:schemeClr w14:val="tx1"/>
                  </w14:solidFill>
                </w14:textFill>
              </w:rPr>
              <w:t>根据《博罗县分类环境管控单元及环境准入负面清单》，属于《博罗县分类环境管控单元及环境准入负面清单》中</w:t>
            </w:r>
            <w:r>
              <w:rPr>
                <w:b/>
                <w:bCs w:val="0"/>
                <w:color w:val="000000" w:themeColor="text1"/>
                <w14:textFill>
                  <w14:solidFill>
                    <w14:schemeClr w14:val="tx1"/>
                  </w14:solidFill>
                </w14:textFill>
              </w:rPr>
              <w:t>“</w:t>
            </w:r>
            <w:r>
              <w:rPr>
                <w:b/>
                <w:bCs w:val="0"/>
                <w:color w:val="000000" w:themeColor="text1"/>
                <w:kern w:val="0"/>
                <w14:textFill>
                  <w14:solidFill>
                    <w14:schemeClr w14:val="tx1"/>
                  </w14:solidFill>
                </w14:textFill>
              </w:rPr>
              <w:t>博罗东江干流重点管控单元</w:t>
            </w:r>
            <w:r>
              <w:rPr>
                <w:b/>
                <w:bCs w:val="0"/>
                <w:color w:val="000000" w:themeColor="text1"/>
                <w14:textFill>
                  <w14:solidFill>
                    <w14:schemeClr w14:val="tx1"/>
                  </w14:solidFill>
                </w14:textFill>
              </w:rPr>
              <w:t>”</w:t>
            </w:r>
            <w:r>
              <w:rPr>
                <w:color w:val="000000" w:themeColor="text1"/>
                <w14:textFill>
                  <w14:solidFill>
                    <w14:schemeClr w14:val="tx1"/>
                  </w14:solidFill>
                </w14:textFill>
              </w:rPr>
              <w:t>，</w:t>
            </w:r>
            <w:r>
              <w:rPr>
                <w:bCs w:val="0"/>
                <w:iCs/>
                <w:color w:val="000000" w:themeColor="text1"/>
                <w14:textFill>
                  <w14:solidFill>
                    <w14:schemeClr w14:val="tx1"/>
                  </w14:solidFill>
                </w14:textFill>
              </w:rPr>
              <w:t>环境管控单元编码为</w:t>
            </w:r>
            <w:r>
              <w:rPr>
                <w:b/>
                <w:color w:val="000000" w:themeColor="text1"/>
                <w14:textFill>
                  <w14:solidFill>
                    <w14:schemeClr w14:val="tx1"/>
                  </w14:solidFill>
                </w14:textFill>
              </w:rPr>
              <w:t>ZH44132220002</w:t>
            </w:r>
            <w:r>
              <w:rPr>
                <w:color w:val="000000" w:themeColor="text1"/>
                <w:kern w:val="0"/>
                <w14:textFill>
                  <w14:solidFill>
                    <w14:schemeClr w14:val="tx1"/>
                  </w14:solidFill>
                </w14:textFill>
              </w:rPr>
              <w:t>。本项目不在生态保护红线和一般生态空间范围内，属于生态空间一般管控区，满足重点管控单元管控措施及环境保护要求。</w:t>
            </w:r>
          </w:p>
          <w:p>
            <w:pPr>
              <w:adjustRightInd w:val="0"/>
              <w:spacing w:line="360" w:lineRule="auto"/>
              <w:ind w:firstLine="422" w:firstLineChars="200"/>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2、与环境质量底线相符性分析</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环境质量公报和监测数据可知，项目所在区域大气、声等环境质量能够满足相应功能区划要求。本项目属于“水环境生活污染重点管控区”，项目主要从事变压器的生产，不属于国家禁止、限制类对水体污染严重的项目，主要外排废水为员工生活污水，生活污水经“三级化粪池”预处理后通过市政管网进入博罗县城生活污水处理厂处理达标后排放；本项目属于“大气环境一般管控区”，项目不涉及高挥发性原辅料的使用，且生产过程中产生的VOCs经收集后通过“水喷淋塔+干式过滤器+二级活性炭吸附装置”处理后经15m高排气筒（DA001）达标排放；本项目属于“博罗县土壤环境一般管控区_不含农用地”，该项目不涉及重金属的排放且不属于环境污染重点行业企业。</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综上，本项目无生产废水产生及排放，生活污水纳入博罗县城生活污水处理厂，生产过程中产生的VOCs经收集处理通过排气筒（DA001）高空达标排放，在严格落实各项污染防治措施的前提下，本项目的建设对周边环境影响较小，建成后不会突破当地环境质量底线。</w:t>
            </w:r>
          </w:p>
          <w:p>
            <w:pPr>
              <w:adjustRightInd w:val="0"/>
              <w:spacing w:line="360" w:lineRule="auto"/>
              <w:ind w:firstLine="422" w:firstLineChars="200"/>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3、与资源利用上线相符性分析</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本项目不在“土地资源优先保护区”、和“博罗县矿产资源开采敏感区”内，但位于“博罗县高污染燃料禁燃区”内。项目生产过程中所用的资源主要为水、电资源，不属于高水耗、高能耗的产业。项目建成后通过内部管理、设备选择、原辅材料的选用和管理、废物回收利用、污染治理等方面采取合理可行的防治措施，以“节能、降耗、减污”为目标，有效控制污染。项目的水、电等资源利用不会突破区域的资源利用上线。</w:t>
            </w:r>
          </w:p>
          <w:p>
            <w:pPr>
              <w:adjustRightInd w:val="0"/>
              <w:spacing w:line="360" w:lineRule="auto"/>
              <w:ind w:firstLine="422" w:firstLineChars="200"/>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4、与环境准入清单相符性分析</w:t>
            </w:r>
          </w:p>
          <w:p>
            <w:pPr>
              <w:widowControl/>
              <w:adjustRightInd w:val="0"/>
              <w:snapToGrid w:val="0"/>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项目属于《国民经济行业分类》（GB/T4754-2017）及第1号修改单中</w:t>
            </w:r>
            <w:r>
              <w:rPr>
                <w:color w:val="000000" w:themeColor="text1"/>
                <w:kern w:val="0"/>
                <w14:textFill>
                  <w14:solidFill>
                    <w14:schemeClr w14:val="tx1"/>
                  </w14:solidFill>
                </w14:textFill>
              </w:rPr>
              <w:t>“</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w:t>
            </w:r>
            <w:r>
              <w:rPr>
                <w:color w:val="000000" w:themeColor="text1"/>
                <w14:textFill>
                  <w14:solidFill>
                    <w14:schemeClr w14:val="tx1"/>
                  </w14:solidFill>
                </w14:textFill>
              </w:rPr>
              <w:t>。查阅《市场准入负面清单（2022年版）》，本项目不在负面清单中禁止和许可两类事项目录中，根据清单要求，可依法平等进入，因此与《市场准入负面清单（2022年版）》不冲突。项目不属于《产业结构调整指导目录（2019年版）》中鼓励类、限制类、淘汰类，属于允许类项目，因此与《产业结构调整指导目录（2019年版）》不冲突。</w:t>
            </w:r>
          </w:p>
          <w:p>
            <w:pPr>
              <w:spacing w:line="360" w:lineRule="auto"/>
              <w:ind w:firstLine="420" w:firstLineChars="200"/>
              <w:rPr>
                <w:bCs w:val="0"/>
                <w:iCs/>
                <w:color w:val="000000" w:themeColor="text1"/>
                <w14:textFill>
                  <w14:solidFill>
                    <w14:schemeClr w14:val="tx1"/>
                  </w14:solidFill>
                </w14:textFill>
              </w:rPr>
            </w:pPr>
            <w:r>
              <w:rPr>
                <w:color w:val="000000" w:themeColor="text1"/>
                <w14:textFill>
                  <w14:solidFill>
                    <w14:schemeClr w14:val="tx1"/>
                  </w14:solidFill>
                </w14:textFill>
              </w:rPr>
              <w:t>本项目位于惠州市博罗县罗阳街道虾塱村委会洲际工业园梅园3路22号</w:t>
            </w:r>
            <w:r>
              <w:rPr>
                <w:bCs w:val="0"/>
                <w:color w:val="000000" w:themeColor="text1"/>
                <w:kern w:val="0"/>
                <w14:textFill>
                  <w14:solidFill>
                    <w14:schemeClr w14:val="tx1"/>
                  </w14:solidFill>
                </w14:textFill>
              </w:rPr>
              <w:t>，经查询广东省“三线一单”数据管理及应用平台</w:t>
            </w:r>
            <w:r>
              <w:rPr>
                <w:color w:val="000000" w:themeColor="text1"/>
                <w14:textFill>
                  <w14:solidFill>
                    <w14:schemeClr w14:val="tx1"/>
                  </w14:solidFill>
                </w14:textFill>
              </w:rPr>
              <w:t>，属于</w:t>
            </w:r>
            <w:r>
              <w:rPr>
                <w:color w:val="000000" w:themeColor="text1"/>
                <w:kern w:val="0"/>
                <w14:textFill>
                  <w14:solidFill>
                    <w14:schemeClr w14:val="tx1"/>
                  </w14:solidFill>
                </w14:textFill>
              </w:rPr>
              <w:t>《博罗县分类环境管控单元及环境准入负面清单》中</w:t>
            </w:r>
            <w:r>
              <w:rPr>
                <w:b/>
                <w:bCs w:val="0"/>
                <w:color w:val="000000" w:themeColor="text1"/>
                <w14:textFill>
                  <w14:solidFill>
                    <w14:schemeClr w14:val="tx1"/>
                  </w14:solidFill>
                </w14:textFill>
              </w:rPr>
              <w:t>“博罗东江干流</w:t>
            </w:r>
            <w:r>
              <w:rPr>
                <w:b/>
                <w:bCs w:val="0"/>
                <w:color w:val="000000" w:themeColor="text1"/>
                <w:kern w:val="0"/>
                <w14:textFill>
                  <w14:solidFill>
                    <w14:schemeClr w14:val="tx1"/>
                  </w14:solidFill>
                </w14:textFill>
              </w:rPr>
              <w:t>重点管控单元</w:t>
            </w:r>
            <w:r>
              <w:rPr>
                <w:b/>
                <w:bCs w:val="0"/>
                <w:color w:val="000000" w:themeColor="text1"/>
                <w14:textFill>
                  <w14:solidFill>
                    <w14:schemeClr w14:val="tx1"/>
                  </w14:solidFill>
                </w14:textFill>
              </w:rPr>
              <w:t>”</w:t>
            </w:r>
            <w:r>
              <w:rPr>
                <w:color w:val="000000" w:themeColor="text1"/>
                <w14:textFill>
                  <w14:solidFill>
                    <w14:schemeClr w14:val="tx1"/>
                  </w14:solidFill>
                </w14:textFill>
              </w:rPr>
              <w:t>（详见</w:t>
            </w:r>
            <w:r>
              <w:rPr>
                <w:b/>
                <w:color w:val="000000" w:themeColor="text1"/>
                <w14:textFill>
                  <w14:solidFill>
                    <w14:schemeClr w14:val="tx1"/>
                  </w14:solidFill>
                </w14:textFill>
              </w:rPr>
              <w:t>附图13</w:t>
            </w:r>
            <w:r>
              <w:rPr>
                <w:color w:val="000000" w:themeColor="text1"/>
                <w14:textFill>
                  <w14:solidFill>
                    <w14:schemeClr w14:val="tx1"/>
                  </w14:solidFill>
                </w14:textFill>
              </w:rPr>
              <w:t>），</w:t>
            </w:r>
            <w:r>
              <w:rPr>
                <w:bCs w:val="0"/>
                <w:iCs/>
                <w:color w:val="000000" w:themeColor="text1"/>
                <w14:textFill>
                  <w14:solidFill>
                    <w14:schemeClr w14:val="tx1"/>
                  </w14:solidFill>
                </w14:textFill>
              </w:rPr>
              <w:t>环境管控单元编码为</w:t>
            </w:r>
            <w:r>
              <w:rPr>
                <w:b/>
                <w:color w:val="000000" w:themeColor="text1"/>
                <w14:textFill>
                  <w14:solidFill>
                    <w14:schemeClr w14:val="tx1"/>
                  </w14:solidFill>
                </w14:textFill>
              </w:rPr>
              <w:t>ZH44132220002</w:t>
            </w:r>
            <w:r>
              <w:rPr>
                <w:bCs w:val="0"/>
                <w:iCs/>
                <w:color w:val="000000" w:themeColor="text1"/>
                <w14:textFill>
                  <w14:solidFill>
                    <w14:schemeClr w14:val="tx1"/>
                  </w14:solidFill>
                </w14:textFill>
              </w:rPr>
              <w:t>，相符性分析见下表：</w:t>
            </w:r>
          </w:p>
          <w:p>
            <w:pPr>
              <w:spacing w:line="360" w:lineRule="auto"/>
              <w:ind w:firstLine="420" w:firstLineChars="200"/>
              <w:rPr>
                <w:bCs w:val="0"/>
                <w:iCs/>
                <w:color w:val="000000" w:themeColor="text1"/>
                <w14:textFill>
                  <w14:solidFill>
                    <w14:schemeClr w14:val="tx1"/>
                  </w14:solidFill>
                </w14:textFill>
              </w:rPr>
            </w:pPr>
          </w:p>
        </w:tc>
      </w:tr>
    </w:tbl>
    <w:p>
      <w:pPr>
        <w:spacing w:line="360" w:lineRule="auto"/>
        <w:outlineLvl w:val="0"/>
        <w:rPr>
          <w:color w:val="000000" w:themeColor="text1"/>
          <w14:textFill>
            <w14:solidFill>
              <w14:schemeClr w14:val="tx1"/>
            </w14:solidFill>
          </w14:textFill>
        </w:rPr>
        <w:sectPr>
          <w:footerReference r:id="rId3" w:type="default"/>
          <w:pgSz w:w="11906" w:h="16838"/>
          <w:pgMar w:top="720" w:right="720" w:bottom="720" w:left="720" w:header="851" w:footer="1077" w:gutter="0"/>
          <w:cols w:space="720" w:num="1"/>
          <w:docGrid w:linePitch="312" w:charSpace="0"/>
        </w:sectPr>
      </w:pPr>
    </w:p>
    <w:tbl>
      <w:tblPr>
        <w:tblStyle w:val="30"/>
        <w:tblW w:w="15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pPr>
              <w:spacing w:line="360" w:lineRule="auto"/>
              <w:jc w:val="center"/>
              <w:rPr>
                <w:color w:val="000000" w:themeColor="text1"/>
                <w14:textFill>
                  <w14:solidFill>
                    <w14:schemeClr w14:val="tx1"/>
                  </w14:solidFill>
                </w14:textFill>
              </w:rPr>
            </w:pPr>
            <w:r>
              <w:rPr>
                <w:color w:val="000000" w:themeColor="text1"/>
                <w:kern w:val="0"/>
                <w14:textFill>
                  <w14:solidFill>
                    <w14:schemeClr w14:val="tx1"/>
                  </w14:solidFill>
                </w14:textFill>
              </w:rPr>
              <w:t>其他符合性分析</w:t>
            </w:r>
          </w:p>
        </w:tc>
        <w:tc>
          <w:tcPr>
            <w:tcW w:w="14600" w:type="dxa"/>
          </w:tcPr>
          <w:p>
            <w:pPr>
              <w:spacing w:line="360" w:lineRule="auto"/>
              <w:ind w:firstLine="422" w:firstLineChars="200"/>
              <w:jc w:val="center"/>
              <w:rPr>
                <w:b/>
                <w:color w:val="000000" w:themeColor="text1"/>
                <w14:textFill>
                  <w14:solidFill>
                    <w14:schemeClr w14:val="tx1"/>
                  </w14:solidFill>
                </w14:textFill>
              </w:rPr>
            </w:pPr>
            <w:r>
              <w:rPr>
                <w:b/>
                <w:iCs/>
                <w:color w:val="000000" w:themeColor="text1"/>
                <w14:textFill>
                  <w14:solidFill>
                    <w14:schemeClr w14:val="tx1"/>
                  </w14:solidFill>
                </w14:textFill>
              </w:rPr>
              <w:t>表1-1  本项目与《博罗县分类环境管控单元及环境准入负面清单》相符性分析</w:t>
            </w:r>
          </w:p>
          <w:tbl>
            <w:tblPr>
              <w:tblStyle w:val="30"/>
              <w:tblW w:w="14374"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8098"/>
              <w:gridCol w:w="4390"/>
              <w:gridCol w:w="102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55" w:type="dxa"/>
                  <w:gridSpan w:val="2"/>
                  <w:vAlign w:val="center"/>
                </w:tcPr>
                <w:p>
                  <w:pPr>
                    <w:jc w:val="center"/>
                    <w:textAlignment w:val="baseline"/>
                    <w:rPr>
                      <w:b/>
                      <w:color w:val="000000" w:themeColor="text1"/>
                      <w:kern w:val="0"/>
                      <w14:textFill>
                        <w14:solidFill>
                          <w14:schemeClr w14:val="tx1"/>
                        </w14:solidFill>
                      </w14:textFill>
                    </w:rPr>
                  </w:pPr>
                  <w:r>
                    <w:rPr>
                      <w:b/>
                      <w:color w:val="000000" w:themeColor="text1"/>
                      <w:kern w:val="0"/>
                      <w14:textFill>
                        <w14:solidFill>
                          <w14:schemeClr w14:val="tx1"/>
                        </w14:solidFill>
                      </w14:textFill>
                    </w:rPr>
                    <w:t>管控要求</w:t>
                  </w:r>
                </w:p>
              </w:tc>
              <w:tc>
                <w:tcPr>
                  <w:tcW w:w="4390" w:type="dxa"/>
                  <w:vAlign w:val="center"/>
                </w:tcPr>
                <w:p>
                  <w:pPr>
                    <w:jc w:val="center"/>
                    <w:textAlignment w:val="baseline"/>
                    <w:rPr>
                      <w:b/>
                      <w:color w:val="000000" w:themeColor="text1"/>
                      <w:kern w:val="0"/>
                      <w14:textFill>
                        <w14:solidFill>
                          <w14:schemeClr w14:val="tx1"/>
                        </w14:solidFill>
                      </w14:textFill>
                    </w:rPr>
                  </w:pPr>
                  <w:r>
                    <w:rPr>
                      <w:b/>
                      <w:color w:val="000000" w:themeColor="text1"/>
                      <w:kern w:val="0"/>
                      <w14:textFill>
                        <w14:solidFill>
                          <w14:schemeClr w14:val="tx1"/>
                        </w14:solidFill>
                      </w14:textFill>
                    </w:rPr>
                    <w:t>本项目情况</w:t>
                  </w:r>
                </w:p>
              </w:tc>
              <w:tc>
                <w:tcPr>
                  <w:tcW w:w="1029" w:type="dxa"/>
                  <w:vAlign w:val="center"/>
                </w:tcPr>
                <w:p>
                  <w:pPr>
                    <w:jc w:val="center"/>
                    <w:textAlignment w:val="baseline"/>
                    <w:rPr>
                      <w:b/>
                      <w:color w:val="000000" w:themeColor="text1"/>
                      <w:kern w:val="0"/>
                      <w14:textFill>
                        <w14:solidFill>
                          <w14:schemeClr w14:val="tx1"/>
                        </w14:solidFill>
                      </w14:textFill>
                    </w:rPr>
                  </w:pPr>
                  <w:r>
                    <w:rPr>
                      <w:b/>
                      <w:color w:val="000000" w:themeColor="text1"/>
                      <w:kern w:val="0"/>
                      <w14:textFill>
                        <w14:solidFill>
                          <w14:schemeClr w14:val="tx1"/>
                        </w14:solidFill>
                      </w14:textFill>
                    </w:rPr>
                    <w:t>结论性分析</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7"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区域布局管控</w:t>
                  </w:r>
                </w:p>
              </w:tc>
              <w:tc>
                <w:tcPr>
                  <w:tcW w:w="8098" w:type="dxa"/>
                  <w:vAlign w:val="center"/>
                </w:tcPr>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1-1.【产业/鼓励引导类】饮用水水源保护区外的区域，重点发展先进制造业、高新技术产业、生态旅游等产业。</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1-3.【产业/限制类】严格限制化工、包装印刷、工业涂装等高VOCs排放建设项目。</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-5.【生态/限制类】一般生态空间内可开展生态保护红线内允许的活动，在不影响主导生态功能的前提下，还可开展国家和省规定不纳入环评管理的项目建设，以及生态旅游、基础设施建设、村庄建设等人为活动。</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-6.【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1-7.【水/禁止类】禁止在东江干流两岸最高水位线外延五百米范围内新建废弃物堆放场和处理场。已有的堆放场和处理场需采取有效的防治污染措施，危及水体水质安全的，由县级以上人民政府责令限期搬迁。</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1-8.【水/禁止类】畜禽禁养区内不得从事畜禽养殖业。</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1-10.【大气/鼓励引导类】大气环境高排放重点管控区内，强化达标监管，引导工业项目落地集聚发展，有序推进区域内行业企业提标改造。</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1-11.【土壤/禁止类】禁止在重金属重点防控区域内新建、改建、扩建增加重金属污染物排放总量的建设项目。</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-12.【土壤/限制类】重金属污染防控非重点区新建、改扩建重金属排放项目，应落实重金属总量替代与削减要求，严格控制重点行业发展规模。强化涉重金属污染行业建设项目环评审批管理，严格执行环保“三同时”制度。</w:t>
                  </w:r>
                </w:p>
                <w:p>
                  <w:pPr>
                    <w:rPr>
                      <w:color w:val="000000" w:themeColor="text1"/>
                      <w:kern w:val="0"/>
                      <w14:textFill>
                        <w14:solidFill>
                          <w14:schemeClr w14:val="tx1"/>
                        </w14:solidFill>
                      </w14:textFill>
                    </w:rPr>
                  </w:pPr>
                  <w:r>
                    <w:rPr>
                      <w:color w:val="000000" w:themeColor="text1"/>
                      <w:kern w:val="0"/>
                      <w14:textFill>
                        <w14:solidFill>
                          <w14:schemeClr w14:val="tx1"/>
                        </w14:solidFill>
                      </w14:textFill>
                    </w:rPr>
                    <w:t>1-13.【岸线/综合类】严格水域岸线用途管制，土地开发利用应按照有关法律法规和技术标准要求，留足河道和湖库地带的管理和保护范围，非法挤占的应限期退出。</w:t>
                  </w:r>
                </w:p>
              </w:tc>
              <w:tc>
                <w:tcPr>
                  <w:tcW w:w="4390" w:type="dxa"/>
                  <w:vAlign w:val="center"/>
                </w:tcPr>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1-1、1.2.本项目主要从事变压器的生产，属于《国民经济行业分类》(GB/T4754-2017）（按第1号修改单修订）中的“</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”，不属于产业鼓励引导和禁止类项目，且项目所在地不在饮用水水源保护区内。</w:t>
                  </w:r>
                </w:p>
                <w:p>
                  <w:pPr>
                    <w:textAlignment w:val="baseline"/>
                    <w:rPr>
                      <w:color w:val="000000" w:themeColor="text1"/>
                      <w14:textFill>
                        <w14:solidFill>
                          <w14:schemeClr w14:val="tx1"/>
                        </w14:solidFill>
                      </w14:textFill>
                    </w:rPr>
                  </w:pPr>
                  <w:r>
                    <w:rPr>
                      <w:color w:val="000000" w:themeColor="text1"/>
                      <w:kern w:val="0"/>
                      <w14:textFill>
                        <w14:solidFill>
                          <w14:schemeClr w14:val="tx1"/>
                        </w14:solidFill>
                      </w14:textFill>
                    </w:rPr>
                    <w:t>1-3.</w:t>
                  </w:r>
                  <w:r>
                    <w:rPr>
                      <w:color w:val="000000" w:themeColor="text1"/>
                      <w14:textFill>
                        <w14:solidFill>
                          <w14:schemeClr w14:val="tx1"/>
                        </w14:solidFill>
                      </w14:textFill>
                    </w:rPr>
                    <w:t>本项目不属于高VOCs排放项目。</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1-4.本项目占地不在生态保护红线范围内。</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1-5.本项目不在生态保护红线范围内。</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1-6.本项目不在饮用水源保护区内。</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1-7.本项目不属于新建废弃物堆放场和处理场项目。</w:t>
                  </w:r>
                </w:p>
                <w:p>
                  <w:pPr>
                    <w:rPr>
                      <w:color w:val="000000" w:themeColor="text1"/>
                      <w14:textFill>
                        <w14:solidFill>
                          <w14:schemeClr w14:val="tx1"/>
                        </w14:solidFill>
                      </w14:textFill>
                    </w:rPr>
                  </w:pPr>
                  <w:r>
                    <w:rPr>
                      <w:color w:val="000000" w:themeColor="text1"/>
                      <w:kern w:val="0"/>
                      <w14:textFill>
                        <w14:solidFill>
                          <w14:schemeClr w14:val="tx1"/>
                        </w14:solidFill>
                      </w14:textFill>
                    </w:rPr>
                    <w:t>1.8.本项目属于</w:t>
                  </w:r>
                  <w:r>
                    <w:rPr>
                      <w:color w:val="000000" w:themeColor="text1"/>
                      <w:kern w:val="21"/>
                      <w14:textFill>
                        <w14:solidFill>
                          <w14:schemeClr w14:val="tx1"/>
                        </w14:solidFill>
                      </w14:textFill>
                    </w:rPr>
                    <w:t>电气机械和器材制造业</w:t>
                  </w:r>
                  <w:r>
                    <w:rPr>
                      <w:color w:val="000000" w:themeColor="text1"/>
                      <w:kern w:val="0"/>
                      <w14:textFill>
                        <w14:solidFill>
                          <w14:schemeClr w14:val="tx1"/>
                        </w14:solidFill>
                      </w14:textFill>
                    </w:rPr>
                    <w:t>，不属于畜禽养殖业。</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1-9.本项目属于</w:t>
                  </w:r>
                  <w:r>
                    <w:rPr>
                      <w:color w:val="000000" w:themeColor="text1"/>
                      <w:kern w:val="21"/>
                      <w14:textFill>
                        <w14:solidFill>
                          <w14:schemeClr w14:val="tx1"/>
                        </w14:solidFill>
                      </w14:textFill>
                    </w:rPr>
                    <w:t>电气机械和器材制造业</w:t>
                  </w:r>
                  <w:r>
                    <w:rPr>
                      <w:color w:val="000000" w:themeColor="text1"/>
                      <w:kern w:val="0"/>
                      <w14:textFill>
                        <w14:solidFill>
                          <w14:schemeClr w14:val="tx1"/>
                        </w14:solidFill>
                      </w14:textFill>
                    </w:rPr>
                    <w:t>，不属于储油库项目、产生和排放有毒有害大气污染物的建设项目。项目使用的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，符合《胶粘剂挥发性有机化合物限量》（GB33372-2020）中表3本体型胶粘剂VOC含量限值中其他-环氧树脂类（≤50g/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项目使用的绝缘漆VOC含量为27g/L（详见附件6-2），符合《工业防护涂料中有害物质限量》（GB30981-2020）中表3无溶剂型涂料VOC含量限值（≤100g/L）要求，且符合《低挥发性有机化合物含量涂料产品技术要求》（GB/T38597-2020）中表3无溶剂型涂料（≤60g/L）要求</w:t>
                  </w:r>
                  <w:r>
                    <w:rPr>
                      <w:color w:val="000000" w:themeColor="text1"/>
                      <w:lang w:bidi="ar"/>
                      <w14:textFill>
                        <w14:solidFill>
                          <w14:schemeClr w14:val="tx1"/>
                        </w14:solidFill>
                      </w14:textFill>
                    </w:rPr>
                    <w:t>，因此本项目也</w:t>
                  </w:r>
                  <w:r>
                    <w:rPr>
                      <w:color w:val="000000" w:themeColor="text1"/>
                      <w:kern w:val="0"/>
                      <w14:textFill>
                        <w14:solidFill>
                          <w14:schemeClr w14:val="tx1"/>
                        </w14:solidFill>
                      </w14:textFill>
                    </w:rPr>
                    <w:t>不属于使用高挥发性有机物原辅材料项目。</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1-10.本项目生产过程中产生的</w:t>
                  </w:r>
                  <w:r>
                    <w:rPr>
                      <w:color w:val="000000" w:themeColor="text1"/>
                      <w14:textFill>
                        <w14:solidFill>
                          <w14:schemeClr w14:val="tx1"/>
                        </w14:solidFill>
                      </w14:textFill>
                    </w:rPr>
                    <w:t>VOCs</w:t>
                  </w:r>
                  <w:r>
                    <w:rPr>
                      <w:color w:val="000000" w:themeColor="text1"/>
                      <w:kern w:val="0"/>
                      <w14:textFill>
                        <w14:solidFill>
                          <w14:schemeClr w14:val="tx1"/>
                        </w14:solidFill>
                      </w14:textFill>
                    </w:rPr>
                    <w:t>有组织排放参照执行广东省《固定污染源挥发性有机物综合排放标准》（DB44/2367-2022）表1限值要求，无组织排放执行</w:t>
                  </w:r>
                  <w:r>
                    <w:rPr>
                      <w:bCs w:val="0"/>
                      <w:color w:val="000000" w:themeColor="text1"/>
                      <w14:textFill>
                        <w14:solidFill>
                          <w14:schemeClr w14:val="tx1"/>
                        </w14:solidFill>
                      </w14:textFill>
                    </w:rPr>
                    <w:t>《家具制造行业挥发性有机化合物排放标准》（DB44/814-2010）表2无组织排放监控点浓度限值</w:t>
                  </w:r>
                  <w:r>
                    <w:rPr>
                      <w:color w:val="000000" w:themeColor="text1"/>
                      <w:kern w:val="0"/>
                      <w14:textFill>
                        <w14:solidFill>
                          <w14:schemeClr w14:val="tx1"/>
                        </w14:solidFill>
                      </w14:textFill>
                    </w:rPr>
                    <w:t>要求；厂区内VOCs无组织排放满足广东省地方标准《固定污染源挥发性有机物综合排放标准》（DB44/2367-2022）表3限值；本项目配组工序中焊接过程会产生颗粒物，颗粒物经移动式除尘器收集处理，少部分未被收集的颗粒物以无组织形式排放，其无组织排放执行广东省《大气污染排放限值》（DB44/27-2001）第二时段无组织排放监控浓度限值；本项目产生的臭气浓度执行《恶臭污染物排放标准》（GB14554-93）表1二级（新扩改建）标准和表2恶臭污染物排放标准值。</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1-11</w:t>
                  </w:r>
                  <w:r>
                    <w:rPr>
                      <w:color w:val="000000" w:themeColor="text1"/>
                      <w14:textFill>
                        <w14:solidFill>
                          <w14:schemeClr w14:val="tx1"/>
                        </w14:solidFill>
                      </w14:textFill>
                    </w:rPr>
                    <w:t>、</w:t>
                  </w:r>
                  <w:r>
                    <w:rPr>
                      <w:color w:val="000000" w:themeColor="text1"/>
                      <w:kern w:val="0"/>
                      <w14:textFill>
                        <w14:solidFill>
                          <w14:schemeClr w14:val="tx1"/>
                        </w14:solidFill>
                      </w14:textFill>
                    </w:rPr>
                    <w:t>1-12.本项目不属于重金属排放项目。</w:t>
                  </w:r>
                </w:p>
                <w:p>
                  <w:pP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1-13.本项目生产场所为</w:t>
                  </w:r>
                  <w:r>
                    <w:rPr>
                      <w:color w:val="000000" w:themeColor="text1"/>
                      <w14:textFill>
                        <w14:solidFill>
                          <w14:schemeClr w14:val="tx1"/>
                        </w14:solidFill>
                      </w14:textFill>
                    </w:rPr>
                    <w:t>惠州市博罗县罗阳街道虾塱村委会洲际工业园梅园3路22号</w:t>
                  </w:r>
                  <w:r>
                    <w:rPr>
                      <w:color w:val="000000" w:themeColor="text1"/>
                      <w:kern w:val="0"/>
                      <w14:textFill>
                        <w14:solidFill>
                          <w14:schemeClr w14:val="tx1"/>
                        </w14:solidFill>
                      </w14:textFill>
                    </w:rPr>
                    <w:t>，用地性质为工业用地，不涉及河道和湖库地带的管理和保护范围。</w:t>
                  </w:r>
                </w:p>
              </w:tc>
              <w:tc>
                <w:tcPr>
                  <w:tcW w:w="1029"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7"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能源资源利用</w:t>
                  </w:r>
                </w:p>
              </w:tc>
              <w:tc>
                <w:tcPr>
                  <w:tcW w:w="8098" w:type="dxa"/>
                  <w:vAlign w:val="center"/>
                </w:tcPr>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2-1.【能源/鼓励引导类】鼓励降低煤炭消耗、能源消耗，引导光伏等多种形式的新能源利用。</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2-2.【能源/综合类】根据本地区大气环境质量改善要求逐步扩大高污染燃料禁燃区范围。</w:t>
                  </w:r>
                </w:p>
              </w:tc>
              <w:tc>
                <w:tcPr>
                  <w:tcW w:w="4390" w:type="dxa"/>
                  <w:vAlign w:val="center"/>
                </w:tcPr>
                <w:p>
                  <w:pPr>
                    <w:jc w:val="left"/>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2-1、2-2.本项目所用资源主要为电能，无煤炭燃烧。</w:t>
                  </w:r>
                </w:p>
              </w:tc>
              <w:tc>
                <w:tcPr>
                  <w:tcW w:w="1029"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7"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污染物排放管控</w:t>
                  </w:r>
                </w:p>
              </w:tc>
              <w:tc>
                <w:tcPr>
                  <w:tcW w:w="8098" w:type="dxa"/>
                  <w:vAlign w:val="center"/>
                </w:tcPr>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3-1.【水/限制类】严格控制稿树下水、马嘶河（龙溪水）、江东、榕溪沥（罗阳）、廖洞等直排东江的排水渠流域内增加水污染物排放或对东江水质、水环境安全构成影响的项目。</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3-2.【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3-3.【水/限制类】加强流域内涉重金属废水排放企业的管理，减少含重金属废水放。</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3-4.【水/综合类】强化农业面源污染治理，控制农药化肥使用量。</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3-5.【大气/限制类】重点行业新建涉VOCs排放的工业企业原则上应入园进区。新建项目VOCs实施倍量替代。</w:t>
                  </w:r>
                </w:p>
                <w:p>
                  <w:pPr>
                    <w:jc w:val="left"/>
                    <w:rPr>
                      <w:color w:val="000000" w:themeColor="text1"/>
                      <w14:textFill>
                        <w14:solidFill>
                          <w14:schemeClr w14:val="tx1"/>
                        </w14:solidFill>
                      </w14:textFill>
                    </w:rPr>
                  </w:pPr>
                  <w:r>
                    <w:rPr>
                      <w:color w:val="000000" w:themeColor="text1"/>
                      <w:kern w:val="0"/>
                      <w14:textFill>
                        <w14:solidFill>
                          <w14:schemeClr w14:val="tx1"/>
                        </w14:solidFill>
                      </w14:textFill>
                    </w:rPr>
                    <w:t>3-6.【土壤/禁止类】禁止向农用地排放重金属或者其他有毒有害物质含量超标的污水、污泥，以及可能造成土壤污染的清淤底泥、尾矿、矿渣等。</w:t>
                  </w:r>
                </w:p>
              </w:tc>
              <w:tc>
                <w:tcPr>
                  <w:tcW w:w="4390"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3-1、3-2.本项目属于</w:t>
                  </w:r>
                  <w:r>
                    <w:rPr>
                      <w:color w:val="000000" w:themeColor="text1"/>
                      <w:kern w:val="21"/>
                      <w14:textFill>
                        <w14:solidFill>
                          <w14:schemeClr w14:val="tx1"/>
                        </w14:solidFill>
                      </w14:textFill>
                    </w:rPr>
                    <w:t>电气机械和器材制造业</w:t>
                  </w:r>
                  <w:r>
                    <w:rPr>
                      <w:color w:val="000000" w:themeColor="text1"/>
                      <w14:textFill>
                        <w14:solidFill>
                          <w14:schemeClr w14:val="tx1"/>
                        </w14:solidFill>
                      </w14:textFill>
                    </w:rPr>
                    <w:t>，项目无生产废水产生及排放，项目生活污水经“三级化粪池”预处理后达广东省地方标准《水污染物排放限值》（DB44/26-2001）第二时段三级标准后，通过市政污水管网进入博罗县城生活污水处理厂处理，处理后的尾水达到《城镇污水处理厂污染物排放标准》（GB18918-2002）一级A标准及《广东省水污染物排放限值》（DB44/26-2001）第二时段一级标准中的较严者（其中氨氮、总磷指标执行《地表水环境质量标准》（GB3838-2002）V类标准），排入新角排渠后汇入东江，对东江水质、水环境安全的影响较小。</w:t>
                  </w:r>
                </w:p>
                <w:p>
                  <w:pPr>
                    <w:jc w:val="left"/>
                    <w:rPr>
                      <w:color w:val="000000" w:themeColor="text1"/>
                      <w14:textFill>
                        <w14:solidFill>
                          <w14:schemeClr w14:val="tx1"/>
                        </w14:solidFill>
                      </w14:textFill>
                    </w:rPr>
                  </w:pPr>
                  <w:r>
                    <w:rPr>
                      <w:color w:val="000000" w:themeColor="text1"/>
                      <w14:textFill>
                        <w14:solidFill>
                          <w14:schemeClr w14:val="tx1"/>
                        </w14:solidFill>
                      </w14:textFill>
                    </w:rPr>
                    <w:t>3-3.本项目不涉及重金属废水产生及排放。</w:t>
                  </w:r>
                </w:p>
                <w:p>
                  <w:pPr>
                    <w:jc w:val="left"/>
                    <w:rPr>
                      <w:color w:val="000000" w:themeColor="text1"/>
                      <w14:textFill>
                        <w14:solidFill>
                          <w14:schemeClr w14:val="tx1"/>
                        </w14:solidFill>
                      </w14:textFill>
                    </w:rPr>
                  </w:pPr>
                  <w:r>
                    <w:rPr>
                      <w:color w:val="000000" w:themeColor="text1"/>
                      <w14:textFill>
                        <w14:solidFill>
                          <w14:schemeClr w14:val="tx1"/>
                        </w14:solidFill>
                      </w14:textFill>
                    </w:rPr>
                    <w:t>3-4.本项目不涉及农业面源污染。</w:t>
                  </w:r>
                </w:p>
                <w:p>
                  <w:pPr>
                    <w:jc w:val="left"/>
                    <w:rPr>
                      <w:color w:val="000000" w:themeColor="text1"/>
                      <w14:textFill>
                        <w14:solidFill>
                          <w14:schemeClr w14:val="tx1"/>
                        </w14:solidFill>
                      </w14:textFill>
                    </w:rPr>
                  </w:pPr>
                  <w:r>
                    <w:rPr>
                      <w:color w:val="000000" w:themeColor="text1"/>
                      <w14:textFill>
                        <w14:solidFill>
                          <w14:schemeClr w14:val="tx1"/>
                        </w14:solidFill>
                      </w14:textFill>
                    </w:rPr>
                    <w:t>3-5.本项目涉及VOCs排放，且为新建项目，项目VOCs实施倍量替代。</w:t>
                  </w:r>
                </w:p>
                <w:p>
                  <w:pPr>
                    <w:jc w:val="left"/>
                    <w:rPr>
                      <w:color w:val="000000" w:themeColor="text1"/>
                      <w14:textFill>
                        <w14:solidFill>
                          <w14:schemeClr w14:val="tx1"/>
                        </w14:solidFill>
                      </w14:textFill>
                    </w:rPr>
                  </w:pPr>
                  <w:r>
                    <w:rPr>
                      <w:color w:val="000000" w:themeColor="text1"/>
                      <w14:textFill>
                        <w14:solidFill>
                          <w14:schemeClr w14:val="tx1"/>
                        </w14:solidFill>
                      </w14:textFill>
                    </w:rPr>
                    <w:t>3-6.本项目不产生含重金属或者其他有毒有害物质含量超标的污水、污泥。</w:t>
                  </w:r>
                </w:p>
              </w:tc>
              <w:tc>
                <w:tcPr>
                  <w:tcW w:w="1029"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7"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环境风险防控</w:t>
                  </w:r>
                </w:p>
              </w:tc>
              <w:tc>
                <w:tcPr>
                  <w:tcW w:w="8098" w:type="dxa"/>
                  <w:vAlign w:val="center"/>
                </w:tcPr>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4-1.【水/综合类】城镇污水处理厂应采取有效措施，防止事故废水直接排入水体。</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4-2.【水/综合类】加强饮用水水源保护区内环境风险排查，开展风险评估、水环境预警监测以及水环境应急演练。</w:t>
                  </w:r>
                </w:p>
                <w:p>
                  <w:pPr>
                    <w:jc w:val="left"/>
                    <w:rPr>
                      <w:color w:val="000000" w:themeColor="text1"/>
                      <w:kern w:val="0"/>
                      <w14:textFill>
                        <w14:solidFill>
                          <w14:schemeClr w14:val="tx1"/>
                        </w14:solidFill>
                      </w14:textFill>
                    </w:rPr>
                  </w:pPr>
                  <w:r>
                    <w:rPr>
                      <w:color w:val="000000" w:themeColor="text1"/>
                      <w:kern w:val="0"/>
                      <w14:textFill>
                        <w14:solidFill>
                          <w14:schemeClr w14:val="tx1"/>
                        </w14:solidFill>
                      </w14:textFill>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4390" w:type="dxa"/>
                  <w:vAlign w:val="center"/>
                </w:tcPr>
                <w:p>
                  <w:pPr>
                    <w:jc w:val="left"/>
                    <w:rPr>
                      <w:color w:val="000000" w:themeColor="text1"/>
                      <w14:textFill>
                        <w14:solidFill>
                          <w14:schemeClr w14:val="tx1"/>
                        </w14:solidFill>
                      </w14:textFill>
                    </w:rPr>
                  </w:pPr>
                  <w:r>
                    <w:rPr>
                      <w:color w:val="000000" w:themeColor="text1"/>
                      <w14:textFill>
                        <w14:solidFill>
                          <w14:schemeClr w14:val="tx1"/>
                        </w14:solidFill>
                      </w14:textFill>
                    </w:rPr>
                    <w:t>4-1.本项目属于</w:t>
                  </w:r>
                  <w:r>
                    <w:rPr>
                      <w:color w:val="000000" w:themeColor="text1"/>
                      <w:kern w:val="21"/>
                      <w14:textFill>
                        <w14:solidFill>
                          <w14:schemeClr w14:val="tx1"/>
                        </w14:solidFill>
                      </w14:textFill>
                    </w:rPr>
                    <w:t>电气机械和器材制造业</w:t>
                  </w:r>
                  <w:r>
                    <w:rPr>
                      <w:color w:val="000000" w:themeColor="text1"/>
                      <w14:textFill>
                        <w14:solidFill>
                          <w14:schemeClr w14:val="tx1"/>
                        </w14:solidFill>
                      </w14:textFill>
                    </w:rPr>
                    <w:t>，不属于城镇污水处理厂项目。</w:t>
                  </w:r>
                </w:p>
                <w:p>
                  <w:pPr>
                    <w:jc w:val="left"/>
                    <w:rPr>
                      <w:color w:val="000000" w:themeColor="text1"/>
                      <w14:textFill>
                        <w14:solidFill>
                          <w14:schemeClr w14:val="tx1"/>
                        </w14:solidFill>
                      </w14:textFill>
                    </w:rPr>
                  </w:pPr>
                  <w:r>
                    <w:rPr>
                      <w:color w:val="000000" w:themeColor="text1"/>
                      <w14:textFill>
                        <w14:solidFill>
                          <w14:schemeClr w14:val="tx1"/>
                        </w14:solidFill>
                      </w14:textFill>
                    </w:rPr>
                    <w:t>4-2.本项目占地不在饮用水水源保护区内。</w:t>
                  </w:r>
                </w:p>
                <w:p>
                  <w:pPr>
                    <w:jc w:val="left"/>
                    <w:rPr>
                      <w:color w:val="000000" w:themeColor="text1"/>
                      <w14:textFill>
                        <w14:solidFill>
                          <w14:schemeClr w14:val="tx1"/>
                        </w14:solidFill>
                      </w14:textFill>
                    </w:rPr>
                  </w:pPr>
                  <w:r>
                    <w:rPr>
                      <w:color w:val="000000" w:themeColor="text1"/>
                      <w14:textFill>
                        <w14:solidFill>
                          <w14:schemeClr w14:val="tx1"/>
                        </w14:solidFill>
                      </w14:textFill>
                    </w:rPr>
                    <w:t>4-3.本项目不涉及有毒有害气体，将按照要求建立环境监测预警制度。</w:t>
                  </w:r>
                </w:p>
              </w:tc>
              <w:tc>
                <w:tcPr>
                  <w:tcW w:w="1029" w:type="dxa"/>
                  <w:vAlign w:val="center"/>
                </w:tcPr>
                <w:p>
                  <w:pPr>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符合</w:t>
                  </w:r>
                </w:p>
              </w:tc>
            </w:tr>
          </w:tbl>
          <w:p>
            <w:pPr>
              <w:pStyle w:val="39"/>
              <w:ind w:firstLine="420" w:firstLineChars="200"/>
              <w:rPr>
                <w:color w:val="000000" w:themeColor="text1"/>
                <w14:textFill>
                  <w14:solidFill>
                    <w14:schemeClr w14:val="tx1"/>
                  </w14:solidFill>
                </w14:textFill>
              </w:rPr>
            </w:pPr>
            <w:r>
              <w:rPr>
                <w:bCs w:val="0"/>
                <w:iCs/>
                <w:color w:val="000000" w:themeColor="text1"/>
                <w14:textFill>
                  <w14:solidFill>
                    <w14:schemeClr w14:val="tx1"/>
                  </w14:solidFill>
                </w14:textFill>
              </w:rPr>
              <w:t>因此，本项目建设与</w:t>
            </w:r>
            <w:r>
              <w:rPr>
                <w:color w:val="000000" w:themeColor="text1"/>
                <w14:textFill>
                  <w14:solidFill>
                    <w14:schemeClr w14:val="tx1"/>
                  </w14:solidFill>
                </w14:textFill>
              </w:rPr>
              <w:t>《博罗县分类环境管控单元及环境准入负面清单》</w:t>
            </w:r>
            <w:r>
              <w:rPr>
                <w:bCs w:val="0"/>
                <w:iCs/>
                <w:color w:val="000000" w:themeColor="text1"/>
                <w14:textFill>
                  <w14:solidFill>
                    <w14:schemeClr w14:val="tx1"/>
                  </w14:solidFill>
                </w14:textFill>
              </w:rPr>
              <w:t>不冲突。</w:t>
            </w:r>
          </w:p>
        </w:tc>
      </w:tr>
    </w:tbl>
    <w:p>
      <w:pPr>
        <w:spacing w:line="360" w:lineRule="auto"/>
        <w:ind w:firstLine="420" w:firstLineChars="200"/>
        <w:rPr>
          <w:color w:val="000000" w:themeColor="text1"/>
          <w14:textFill>
            <w14:solidFill>
              <w14:schemeClr w14:val="tx1"/>
            </w14:solidFill>
          </w14:textFill>
        </w:rPr>
        <w:sectPr>
          <w:pgSz w:w="16838" w:h="11906" w:orient="landscape"/>
          <w:pgMar w:top="720" w:right="720" w:bottom="720" w:left="720" w:header="851" w:footer="851" w:gutter="0"/>
          <w:cols w:space="720" w:num="1"/>
          <w:docGrid w:linePitch="312" w:charSpace="0"/>
        </w:sectPr>
      </w:pPr>
    </w:p>
    <w:tbl>
      <w:tblPr>
        <w:tblStyle w:val="30"/>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0" w:hRule="atLeast"/>
        </w:trPr>
        <w:tc>
          <w:tcPr>
            <w:tcW w:w="426" w:type="dxa"/>
            <w:vAlign w:val="center"/>
          </w:tcPr>
          <w:p>
            <w:pPr>
              <w:spacing w:line="360" w:lineRule="auto"/>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其他符合性分析</w:t>
            </w:r>
          </w:p>
        </w:tc>
        <w:tc>
          <w:tcPr>
            <w:tcW w:w="9922" w:type="dxa"/>
          </w:tcPr>
          <w:p>
            <w:pPr>
              <w:autoSpaceDE w:val="0"/>
              <w:autoSpaceDN w:val="0"/>
              <w:adjustRightInd w:val="0"/>
              <w:spacing w:line="360" w:lineRule="auto"/>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六、其他相关环保政策相符性分析：</w:t>
            </w:r>
          </w:p>
          <w:p>
            <w:pPr>
              <w:autoSpaceDE w:val="0"/>
              <w:autoSpaceDN w:val="0"/>
              <w:adjustRightInd w:val="0"/>
              <w:spacing w:line="360" w:lineRule="auto"/>
              <w:ind w:firstLine="422" w:firstLineChars="200"/>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1、水方面：</w:t>
            </w:r>
          </w:p>
          <w:p>
            <w:pPr>
              <w:autoSpaceDE w:val="0"/>
              <w:autoSpaceDN w:val="0"/>
              <w:adjustRightInd w:val="0"/>
              <w:spacing w:line="360" w:lineRule="auto"/>
              <w:ind w:firstLine="422" w:firstLineChars="200"/>
              <w:jc w:val="left"/>
              <w:rPr>
                <w:b/>
                <w:iCs/>
                <w:color w:val="000000" w:themeColor="text1"/>
                <w14:textFill>
                  <w14:solidFill>
                    <w14:schemeClr w14:val="tx1"/>
                  </w14:solidFill>
                </w14:textFill>
              </w:rPr>
            </w:pPr>
            <w:r>
              <w:rPr>
                <w:b/>
                <w:color w:val="000000" w:themeColor="text1"/>
                <w14:textFill>
                  <w14:solidFill>
                    <w14:schemeClr w14:val="tx1"/>
                  </w14:solidFill>
                </w14:textFill>
              </w:rPr>
              <w:t>（1）与《广东省水污染防治条例》（广东省第十三届人民代表大会常务委员会公告（第73号））相符性分析</w:t>
            </w:r>
          </w:p>
          <w:p>
            <w:pPr>
              <w:adjustRightIn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根据《广东省水污染防治条例》：</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第二十一条 地表水Ⅰ、Ⅱ类水域，以及Ⅲ类水域中的保护区、游泳区，禁止新建排污口，已建成的排污口应当实行污染物总量控制且不得增加污染物排放量；饮用水水源保护区内已建的排污口应当依法拆除。</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第二十八条 向工业集聚区污水集中处理设施或者城镇污水集中处理设施排放工业废水的，应当按照有关规定进行预处理，达到集中处理设施处理工艺要求后方可以排放。</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第四十四条 禁止在饮用水水源一级保护区内新建、改建、扩建与供水设施和保护水源无关的建设项目；已建成的与供水设施和保护水源无关的建设项目由县级以上人民政府责令拆除或者关闭。</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第五十条 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adjustRightInd w:val="0"/>
              <w:spacing w:line="360" w:lineRule="auto"/>
              <w:ind w:firstLine="422" w:firstLineChars="200"/>
              <w:rPr>
                <w:color w:val="000000" w:themeColor="text1"/>
                <w14:textFill>
                  <w14:solidFill>
                    <w14:schemeClr w14:val="tx1"/>
                  </w14:solidFill>
                </w14:textFill>
              </w:rPr>
            </w:pPr>
            <w:r>
              <w:rPr>
                <w:b/>
                <w:bCs w:val="0"/>
                <w:color w:val="000000" w:themeColor="text1"/>
                <w14:textFill>
                  <w14:solidFill>
                    <w14:schemeClr w14:val="tx1"/>
                  </w14:solidFill>
                </w14:textFill>
              </w:rPr>
              <w:t>相符性分析：</w:t>
            </w:r>
            <w:r>
              <w:rPr>
                <w:color w:val="000000" w:themeColor="text1"/>
                <w14:textFill>
                  <w14:solidFill>
                    <w14:schemeClr w14:val="tx1"/>
                  </w14:solidFill>
                </w14:textFill>
              </w:rPr>
              <w:t>本项目选址位于惠州市博罗县罗阳街道虾塱村委会洲际工业园梅园3路22号，属于东江流域范围。项目从事变压器的生产，无生产废水产生及排放，项目所在区域已完成雨污分流，项目生活污水经“三级化粪池”预处理达到广东省地方标准《水污染物排放限值》（DB44/26-2001）第二时段三级标准后通过市政纳污管网排入博罗县城生活污水处理厂处理，尾水排入新角排渠后汇入东江。不属于实行水污染物排污许可管理的企业。</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不属于《产业结构调整指导目录（2019年本）》（中华人民共和国国家发展和改革委员会令第29号）中鼓励类、限制类、淘汰类项目，属于允许类项目；不属于《市场准入负面清单（2022年版）》禁止准入类，也不属于禁止新建、严格控制项目类别；不属于新建农药、铬盐、钛白粉生产项目，也不属于新建稀土分离、炼砒、炼铍、纸浆制造、氰化法提炼产品、开采和冶炼放射性矿产及其他严重污染水环境的项目，也不属于新建造纸、制革、味精、电镀、漂染、印染、炼油、发酵酿造、非放射性矿产冶炼以及使用含汞、砷、镉、铬、铅为原料的项目，也不属于拆船项目。</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因此，本项目与《广东省水污染防治条例》的要求不冲突。</w:t>
            </w:r>
          </w:p>
          <w:p>
            <w:pPr>
              <w:pStyle w:val="27"/>
              <w:shd w:val="clear" w:color="auto" w:fill="FFFFFF"/>
              <w:spacing w:before="0" w:beforeAutospacing="0" w:after="0" w:afterAutospacing="0" w:line="360" w:lineRule="auto"/>
              <w:ind w:firstLine="422" w:firstLineChars="200"/>
              <w:jc w:val="both"/>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14:textFill>
                  <w14:solidFill>
                    <w14:schemeClr w14:val="tx1"/>
                  </w14:solidFill>
                </w14:textFill>
              </w:rPr>
              <w:t>（2）</w:t>
            </w:r>
            <w:r>
              <w:rPr>
                <w:rFonts w:ascii="Times New Roman" w:hAnsi="Times New Roman"/>
                <w:b/>
                <w:color w:val="000000" w:themeColor="text1"/>
                <w:sz w:val="21"/>
                <w:szCs w:val="21"/>
                <w14:textFill>
                  <w14:solidFill>
                    <w14:schemeClr w14:val="tx1"/>
                  </w14:solidFill>
                </w14:textFill>
              </w:rPr>
              <w:t>与《广东省生态环境厅关于印发&lt;广东省水生态环境保护“十四五”规划&gt;的通知粤环函〔2021〕652号》相符性分析</w:t>
            </w:r>
          </w:p>
          <w:p>
            <w:pPr>
              <w:pStyle w:val="27"/>
              <w:shd w:val="clear" w:color="auto" w:fill="FFFFFF"/>
              <w:spacing w:before="0" w:beforeAutospacing="0" w:after="0" w:afterAutospacing="0" w:line="360" w:lineRule="auto"/>
              <w:ind w:firstLine="420" w:firstLineChars="200"/>
              <w:jc w:val="both"/>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根据《广东省生态环境厅关于印发&lt;广东省水生态环境保护“十四五”规划&gt;的通知粤环函〔2021〕652号》第三节 持续推进工业污染防治：</w:t>
            </w:r>
          </w:p>
          <w:p>
            <w:pPr>
              <w:pStyle w:val="27"/>
              <w:shd w:val="clear" w:color="auto" w:fill="FFFFFF"/>
              <w:spacing w:before="0" w:beforeAutospacing="0" w:after="0" w:afterAutospacing="0" w:line="360" w:lineRule="auto"/>
              <w:ind w:firstLine="422" w:firstLineChars="200"/>
              <w:jc w:val="both"/>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一、优化产业空间布局</w:t>
            </w:r>
          </w:p>
          <w:p>
            <w:pPr>
              <w:pStyle w:val="27"/>
              <w:shd w:val="clear" w:color="auto" w:fill="FFFFFF"/>
              <w:spacing w:before="0" w:beforeAutospacing="0" w:after="0" w:afterAutospacing="0" w:line="360" w:lineRule="auto"/>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严格落实广东省“三线一单”生态环境分区管控要求，珠三角核心区禁止新建、扩建水泥、平板玻璃、化学制浆、生皮制革以及国家规划外的钢铁、原油加工等项目；东西两翼沿海经济带推动涉及化学制浆、电镀、印染、鞣革等项目的园区在具备排海条件的区域布局；北部生态发展区严格控制涉重金属及有毒有害污染物排放的项目建设，新建、改建、扩建涉重金属重点行业的项目应明确重金属污染物总量来源，北江流域严格实行重点重金属污染物减量替代。大力推动全省工业项目入园集聚发展，引导重大产业向沿海等环境容量充足地区布局，新建化学制浆、电镀、印染、鞣革等项目原则上入园集中管理。</w:t>
            </w:r>
          </w:p>
          <w:p>
            <w:pPr>
              <w:pStyle w:val="27"/>
              <w:shd w:val="clear" w:color="auto" w:fill="FFFFFF"/>
              <w:spacing w:before="0" w:beforeAutospacing="0" w:after="0" w:afterAutospacing="0" w:line="360" w:lineRule="auto"/>
              <w:ind w:firstLine="422" w:firstLineChars="200"/>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三、优化工业废水排放管理</w:t>
            </w:r>
          </w:p>
          <w:p>
            <w:pPr>
              <w:pStyle w:val="27"/>
              <w:shd w:val="clear" w:color="auto" w:fill="FFFFFF"/>
              <w:spacing w:before="0" w:beforeAutospacing="0" w:after="0" w:afterAutospacing="0" w:line="360" w:lineRule="auto"/>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规范工业企业排水。</w:t>
            </w:r>
            <w:r>
              <w:rPr>
                <w:rFonts w:ascii="Times New Roman" w:hAnsi="Times New Roman"/>
                <w:color w:val="000000" w:themeColor="text1"/>
                <w:sz w:val="21"/>
                <w:szCs w:val="21"/>
                <w14:textFill>
                  <w14:solidFill>
                    <w14:schemeClr w14:val="tx1"/>
                  </w14:solidFill>
                </w14:textFill>
              </w:rPr>
              <w:t>加强涉水工业企业废水排放和处理设施运行情况的监管，严格实施工业污染源排污许可制管理和全面达标排放制度。对不能稳定达标的工业废水处理设施开展提标改造，优化工业废水处理工艺，提高处理出水水质。鼓励有条件的企业，实行工业和生活等不同领域、造纸、印染、化工和电镀等不同行业废水分质分类处理。向工业集聚区污水集中处理设施或者城镇污水集中处理设施排放工业废水的，严格按照有关规定进行预处理，所排工业废水必须达到集中处理设施处理工艺要求。</w:t>
            </w:r>
          </w:p>
          <w:p>
            <w:pPr>
              <w:pStyle w:val="27"/>
              <w:shd w:val="clear" w:color="auto" w:fill="FFFFFF"/>
              <w:spacing w:before="0" w:beforeAutospacing="0" w:after="0" w:afterAutospacing="0" w:line="360" w:lineRule="auto"/>
              <w:ind w:firstLine="422"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符合性分析：</w:t>
            </w:r>
            <w:r>
              <w:rPr>
                <w:rFonts w:ascii="Times New Roman" w:hAnsi="Times New Roman"/>
                <w:color w:val="000000" w:themeColor="text1"/>
                <w:sz w:val="21"/>
                <w:szCs w:val="21"/>
                <w14:textFill>
                  <w14:solidFill>
                    <w14:schemeClr w14:val="tx1"/>
                  </w14:solidFill>
                </w14:textFill>
              </w:rPr>
              <w:t>项目从事变压器的生产，不属于以上禁止、限制类项目，且不属于重金属排放的项目。项目生产过程中无生产废水产生及排放，</w:t>
            </w:r>
            <w:r>
              <w:rPr>
                <w:rFonts w:ascii="Times New Roman" w:hAnsi="Times New Roman"/>
                <w:color w:val="000000" w:themeColor="text1"/>
                <w:sz w:val="21"/>
                <w14:textFill>
                  <w14:solidFill>
                    <w14:schemeClr w14:val="tx1"/>
                  </w14:solidFill>
                </w14:textFill>
              </w:rPr>
              <w:t>项目所在区域已完成雨污分流，项目生活污水经“三级化粪池”预处理达到广东省地方标准《水污染物排放限值》（DB44/26-2001）第二时段三级标准后通过市政纳污管网排入博罗县城生活污水处理厂处理，尾水排入新角排渠后汇入东江。</w:t>
            </w:r>
          </w:p>
          <w:p>
            <w:pPr>
              <w:pStyle w:val="27"/>
              <w:shd w:val="clear" w:color="auto" w:fill="FFFFFF"/>
              <w:spacing w:before="0" w:beforeAutospacing="0" w:after="0" w:afterAutospacing="0" w:line="360" w:lineRule="auto"/>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综上所述，本项目符合</w:t>
            </w:r>
            <w:r>
              <w:rPr>
                <w:rFonts w:ascii="Times New Roman" w:hAnsi="Times New Roman"/>
                <w:color w:val="000000" w:themeColor="text1"/>
                <w:sz w:val="21"/>
                <w:szCs w:val="21"/>
                <w14:textFill>
                  <w14:solidFill>
                    <w14:schemeClr w14:val="tx1"/>
                  </w14:solidFill>
                </w14:textFill>
              </w:rPr>
              <w:t>“三线一单”生态环境分区管控要求。因此，本项目与《广东省生态环境厅关于印发&lt;广东省水生态环境保护“十四五”规划&gt;的通知粤环函〔2021〕652号》要求相符。</w:t>
            </w:r>
          </w:p>
          <w:p>
            <w:pPr>
              <w:adjustRightIn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（3）与《关于印发&lt;惠州市2023年水污染防治攻坚工作方案&gt;的通知》（惠市环〔2023〕17号）的相符性分析</w:t>
            </w:r>
          </w:p>
          <w:p>
            <w:pPr>
              <w:pStyle w:val="27"/>
              <w:shd w:val="clear" w:color="auto" w:fill="FFFFFF"/>
              <w:spacing w:before="0" w:beforeAutospacing="0" w:after="0" w:afterAutospacing="0" w:line="360" w:lineRule="auto"/>
              <w:ind w:firstLine="420" w:firstLineChars="200"/>
              <w:jc w:val="both"/>
              <w:rPr>
                <w:rFonts w:ascii="Times New Roman" w:hAnsi="Times New Roman"/>
                <w:bCs w:val="0"/>
                <w:color w:val="000000" w:themeColor="text1"/>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为全面贯彻落实《中共中央国务院关于深入打好污染防治攻坚战的意见》、《广东省水生态环境保护“十四五”规划》、《广东省碧水保卫战五年行动计划》和《惠州市水生态环境保护“十四五”规划》，高质量完成《广东省2022年水污染防治攻坚工作方案》目标任务，围绕水生态环境质量持续改善的核心目标，坚持系统谋划，精准施策，明确年度目标任务，制定本工作方案。</w:t>
            </w:r>
          </w:p>
          <w:p>
            <w:pPr>
              <w:pStyle w:val="27"/>
              <w:shd w:val="clear" w:color="auto" w:fill="FFFFFF"/>
              <w:spacing w:before="0" w:beforeAutospacing="0" w:after="0" w:afterAutospacing="0" w:line="360" w:lineRule="auto"/>
              <w:ind w:firstLine="420" w:firstLineChars="200"/>
              <w:jc w:val="both"/>
              <w:rPr>
                <w:rFonts w:ascii="Times New Roman" w:hAnsi="Times New Roman"/>
                <w:bCs w:val="0"/>
                <w:color w:val="000000" w:themeColor="text1"/>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博罗县：东江干流博罗城下（新角）、东岸、石龙北河断面水质保持Ⅱ类，黄大仙断面提升Ⅱ类水质，沙河河口、公庄泰美断面水质达Ⅲ类以上，显岗水库水质稳定达到Ⅱ类，辖区内东江、沙河、公庄河主要支流水质全面达标、稳步提升。</w:t>
            </w:r>
          </w:p>
          <w:p>
            <w:pPr>
              <w:pStyle w:val="27"/>
              <w:shd w:val="clear" w:color="auto" w:fill="FFFFFF"/>
              <w:spacing w:before="0" w:beforeAutospacing="0" w:after="0" w:afterAutospacing="0" w:line="360" w:lineRule="auto"/>
              <w:ind w:firstLine="422" w:firstLineChars="200"/>
              <w:jc w:val="both"/>
              <w:rPr>
                <w:rFonts w:ascii="Times New Roman" w:hAnsi="Times New Roman"/>
                <w:bCs w:val="0"/>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相符性分析：</w:t>
            </w:r>
            <w:r>
              <w:rPr>
                <w:rFonts w:ascii="Times New Roman" w:hAnsi="Times New Roman"/>
                <w:bCs w:val="0"/>
                <w:color w:val="000000" w:themeColor="text1"/>
                <w:sz w:val="21"/>
                <w:szCs w:val="21"/>
                <w14:textFill>
                  <w14:solidFill>
                    <w14:schemeClr w14:val="tx1"/>
                  </w14:solidFill>
                </w14:textFill>
              </w:rPr>
              <w:t>本</w:t>
            </w:r>
            <w:r>
              <w:rPr>
                <w:rFonts w:ascii="Times New Roman" w:hAnsi="Times New Roman"/>
                <w:color w:val="000000" w:themeColor="text1"/>
                <w:sz w:val="21"/>
                <w:szCs w:val="21"/>
                <w14:textFill>
                  <w14:solidFill>
                    <w14:schemeClr w14:val="tx1"/>
                  </w14:solidFill>
                </w14:textFill>
              </w:rPr>
              <w:t>项目生产过程中无生产废水产生及排放，</w:t>
            </w:r>
            <w:r>
              <w:rPr>
                <w:rFonts w:ascii="Times New Roman" w:hAnsi="Times New Roman"/>
                <w:color w:val="000000" w:themeColor="text1"/>
                <w:sz w:val="21"/>
                <w14:textFill>
                  <w14:solidFill>
                    <w14:schemeClr w14:val="tx1"/>
                  </w14:solidFill>
                </w14:textFill>
              </w:rPr>
              <w:t>项目生活污水经“三级化粪池”预处理达到广东省地方标准《水污染物排放限值》（DB44/26-2001）第二时段三级标准后通过市政纳污管网排入博罗县城生活污水处理厂处理，尾水排入新角排渠</w:t>
            </w:r>
            <w:r>
              <w:rPr>
                <w:rFonts w:ascii="Times New Roman" w:hAnsi="Times New Roman"/>
                <w:bCs w:val="0"/>
                <w:color w:val="000000" w:themeColor="text1"/>
                <w:sz w:val="21"/>
                <w:szCs w:val="21"/>
                <w14:textFill>
                  <w14:solidFill>
                    <w14:schemeClr w14:val="tx1"/>
                  </w14:solidFill>
                </w14:textFill>
              </w:rPr>
              <w:t>。</w:t>
            </w:r>
          </w:p>
          <w:p>
            <w:pPr>
              <w:pStyle w:val="27"/>
              <w:shd w:val="clear" w:color="auto" w:fill="FFFFFF"/>
              <w:spacing w:before="0" w:beforeAutospacing="0" w:after="0" w:afterAutospacing="0" w:line="360" w:lineRule="auto"/>
              <w:ind w:firstLine="420" w:firstLineChars="200"/>
              <w:jc w:val="both"/>
              <w:rPr>
                <w:rFonts w:ascii="Times New Roman" w:hAnsi="Times New Roman"/>
                <w:bCs w:val="0"/>
                <w:color w:val="000000" w:themeColor="text1"/>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因此，本项目符合《关于印发&lt;惠州市2023年水污染防治攻坚工作方案&gt;的通知》（惠市环〔2023〕17号）相关要求。</w:t>
            </w:r>
          </w:p>
          <w:p>
            <w:pPr>
              <w:adjustRightIn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2、大气方面：</w:t>
            </w:r>
          </w:p>
          <w:p>
            <w:pPr>
              <w:pStyle w:val="72"/>
              <w:adjustRightInd w:val="0"/>
              <w:snapToGrid w:val="0"/>
              <w:spacing w:line="360" w:lineRule="auto"/>
              <w:ind w:firstLine="422" w:firstLineChars="200"/>
              <w:rPr>
                <w:rFonts w:ascii="Times New Roman" w:hAnsi="Times New Roman" w:eastAsia="宋体" w:cs="Times New Roman"/>
                <w:b/>
                <w:color w:val="000000" w:themeColor="text1"/>
                <w:sz w:val="21"/>
                <w:szCs w:val="21"/>
                <w14:textFill>
                  <w14:solidFill>
                    <w14:schemeClr w14:val="tx1"/>
                  </w14:solidFill>
                </w14:textFill>
              </w:rPr>
            </w:pPr>
            <w:r>
              <w:rPr>
                <w:rFonts w:ascii="Times New Roman" w:hAnsi="Times New Roman" w:eastAsia="宋体" w:cs="Times New Roman"/>
                <w:b/>
                <w:color w:val="000000" w:themeColor="text1"/>
                <w:sz w:val="21"/>
                <w:szCs w:val="21"/>
                <w14:textFill>
                  <w14:solidFill>
                    <w14:schemeClr w14:val="tx1"/>
                  </w14:solidFill>
                </w14:textFill>
              </w:rPr>
              <w:t>（1）与《关于印发&lt;重点行业挥发性有机物综合治理方案&gt;的通知》（环大气〔2019〕53号）的相符性分析</w:t>
            </w:r>
          </w:p>
          <w:p>
            <w:pPr>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一）大力推进源头替代。通过使用水性、粉末、高固体分、无溶剂、辐射固化等低总VOCs含量的涂料，水性、辐射固化、植物基等低总VOCs含量的油墨，水基、热熔、无溶剂、辐射固化、改性、生物降解等低总VOCs含量的胶粘剂，以及低总VOCs含量、低反应活性的清洗剂等，替代溶剂型涂料、油墨、胶粘剂、清洗剂等，从源头减少总VOCs产生。工业涂装、包装印刷等行业要加大源头替代力度；化工行业要推广使用低（无）总VOCs含量、低反应活性的原辅材料，加快对芳香烃、含卤素有机化合物的绿色替代。企业应大力推广使用低总VOCs含量木器涂料、车辆涂料、机械设备涂料、集装箱涂料以及建筑物和构筑物防护涂料等，在技术成熟的行业，推广使用低总VOCs含量油墨和胶粘剂，重点区域到2020年年底前基本完成。鼓励加快低总VOCs含量涂料、油墨、胶粘剂等研发和生产。</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三）推进建设适宜高效的治污设施。企业新建治污设施或对现有治污设施实施改造，应依据排放废气的浓度、组分、风量，温度、湿度、压力，以及生产工况等，合理选择治理技术。鼓励企业采用多种技术的组合工艺，提高总VOCs治理效率。低浓度、大风量废气，宜采用沸石转轮吸附、活性炭吸附、减风增浓等浓缩技术，提高总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总VOCs废气治理和恶臭异味治理。非水溶性的总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总VOCs治理效率。</w:t>
            </w:r>
          </w:p>
          <w:p>
            <w:pPr>
              <w:adjustRightInd w:val="0"/>
              <w:spacing w:line="360" w:lineRule="auto"/>
              <w:ind w:firstLine="422" w:firstLineChars="200"/>
              <w:rPr>
                <w:color w:val="000000" w:themeColor="text1"/>
                <w:kern w:val="0"/>
                <w:lang w:bidi="ar"/>
                <w14:textFill>
                  <w14:solidFill>
                    <w14:schemeClr w14:val="tx1"/>
                  </w14:solidFill>
                </w14:textFill>
              </w:rPr>
            </w:pPr>
            <w:r>
              <w:rPr>
                <w:b/>
                <w:bCs w:val="0"/>
                <w:color w:val="000000" w:themeColor="text1"/>
                <w14:textFill>
                  <w14:solidFill>
                    <w14:schemeClr w14:val="tx1"/>
                  </w14:solidFill>
                </w14:textFill>
              </w:rPr>
              <w:t>相符性分析：</w:t>
            </w:r>
            <w:r>
              <w:rPr>
                <w:color w:val="000000" w:themeColor="text1"/>
                <w14:textFill>
                  <w14:solidFill>
                    <w14:schemeClr w14:val="tx1"/>
                  </w14:solidFill>
                </w14:textFill>
              </w:rPr>
              <w:t>本项目为《国民经济行业分类》（GB/T 4754-2017）及第1号修改单中“</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w:t>
            </w:r>
            <w:r>
              <w:rPr>
                <w:color w:val="000000" w:themeColor="text1"/>
                <w14:textFill>
                  <w14:solidFill>
                    <w14:schemeClr w14:val="tx1"/>
                  </w14:solidFill>
                </w14:textFill>
              </w:rPr>
              <w:t>，主要从事变压器的生产，项目不使用高总VOCs的溶剂型涂料、油墨、胶粘剂、清洗剂等</w:t>
            </w:r>
            <w:r>
              <w:rPr>
                <w:color w:val="000000" w:themeColor="text1"/>
                <w:kern w:val="0"/>
                <w14:textFill>
                  <w14:solidFill>
                    <w14:schemeClr w14:val="tx1"/>
                  </w14:solidFill>
                </w14:textFill>
              </w:rPr>
              <w:t>，项目使用的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，符合《胶粘剂挥发性有机化合物限量》（GB33372-2020）中表3本体型胶粘剂VOC含量限值中其他-环氧树脂类（≤50g/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项目使用的绝缘漆VOC含量为27g/L（详见附件6-2），符合《工业防护涂料中有害物质限量》（GB30981-2020）中表3无溶剂型涂料VOC含量限值（≤100g/L）要求，且符合《低挥发性有机化合物含量涂料产品技术要求》（GB/T38597-2020）中表3无溶剂型涂料（≤60g/L）要求</w:t>
            </w:r>
            <w:r>
              <w:rPr>
                <w:color w:val="000000" w:themeColor="text1"/>
                <w:kern w:val="0"/>
                <w14:textFill>
                  <w14:solidFill>
                    <w14:schemeClr w14:val="tx1"/>
                  </w14:solidFill>
                </w14:textFill>
              </w:rPr>
              <w:t>。</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项目生产过程中产生的VOCs经收集后抽至“水喷淋塔+干式过滤器+二级活性炭吸附装置”处理后通过15m高排气筒（DA001）达标排放，符合文件要求。</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因此，本项目与</w:t>
            </w:r>
            <w:r>
              <w:rPr>
                <w:bCs w:val="0"/>
                <w:color w:val="000000" w:themeColor="text1"/>
                <w14:textFill>
                  <w14:solidFill>
                    <w14:schemeClr w14:val="tx1"/>
                  </w14:solidFill>
                </w14:textFill>
              </w:rPr>
              <w:t>&lt;关于印发《重点行业挥发性有机物综合治理方案》的通知&gt;（环大气〔2019〕53号）的相关</w:t>
            </w:r>
            <w:r>
              <w:rPr>
                <w:color w:val="000000" w:themeColor="text1"/>
                <w14:textFill>
                  <w14:solidFill>
                    <w14:schemeClr w14:val="tx1"/>
                  </w14:solidFill>
                </w14:textFill>
              </w:rPr>
              <w:t>要求不冲突。</w:t>
            </w:r>
          </w:p>
          <w:p>
            <w:pPr>
              <w:adjustRightIn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（2）与《广东省大气污染防治条例》（广东省第十三届人民代表大会常务委员会公告（第20号））相符性分析</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第十三条 新建、改建、扩建新增排放重点大气污染物的建设项目，建设单位应当在报批环境影响评价文件前按照规定向生态环境主管部门申请取得重点大气污染物排放总量控制指标。</w:t>
            </w:r>
          </w:p>
          <w:p>
            <w:pPr>
              <w:adjustRightIn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第二十六条 新建、改建、扩建排放挥发性有机物的建设项目，应当使用污染防治先进可行技术。</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 xml:space="preserve">   </w:t>
            </w:r>
            <w:r>
              <w:rPr>
                <w:rFonts w:ascii="Times New Roman" w:hAnsi="Times New Roman"/>
                <w:color w:val="000000" w:themeColor="text1"/>
                <w:kern w:val="2"/>
                <w:sz w:val="21"/>
                <w:szCs w:val="21"/>
                <w14:textFill>
                  <w14:solidFill>
                    <w14:schemeClr w14:val="tx1"/>
                  </w14:solidFill>
                </w14:textFill>
              </w:rPr>
              <w:t xml:space="preserve"> (一)石油、化工、煤炭加工与转化等含挥发性有机物原料的生产；</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xml:space="preserve">    (二)燃油、溶剂的储存、运输和销售；</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xml:space="preserve">    (三)涂料、油墨、胶粘剂、农药等以挥发性有机物为原料的生产；</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xml:space="preserve">    (四)涂装、印刷、粘合、工业清洗等使用含挥发性有机物产品的生产活动；</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xml:space="preserve">    (五)其他产生挥发性有机物的生产和服务活动。</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xml:space="preserve">    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pStyle w:val="27"/>
              <w:shd w:val="clear" w:color="auto" w:fill="FFFFFF"/>
              <w:adjustRightInd w:val="0"/>
              <w:spacing w:before="0" w:beforeAutospacing="0" w:after="0" w:afterAutospacing="0" w:line="360" w:lineRule="auto"/>
              <w:ind w:firstLine="420" w:firstLineChars="200"/>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其他产生挥发性有机物的工业企业应当按照国家和省的有关规定，建立台账并向县级以上人民政府生态环境主管部门如实申报原辅材料使用等情况。台账保存期限不少于三年。</w:t>
            </w:r>
          </w:p>
          <w:p>
            <w:pPr>
              <w:adjustRightInd w:val="0"/>
              <w:spacing w:line="360" w:lineRule="auto"/>
              <w:ind w:firstLine="422" w:firstLineChars="200"/>
              <w:rPr>
                <w:color w:val="000000" w:themeColor="text1"/>
                <w:kern w:val="0"/>
                <w14:textFill>
                  <w14:solidFill>
                    <w14:schemeClr w14:val="tx1"/>
                  </w14:solidFill>
                </w14:textFill>
              </w:rPr>
            </w:pPr>
            <w:r>
              <w:rPr>
                <w:b/>
                <w:color w:val="000000" w:themeColor="text1"/>
                <w14:textFill>
                  <w14:solidFill>
                    <w14:schemeClr w14:val="tx1"/>
                  </w14:solidFill>
                </w14:textFill>
              </w:rPr>
              <w:t>符合性分析：</w:t>
            </w:r>
            <w:r>
              <w:rPr>
                <w:color w:val="000000" w:themeColor="text1"/>
                <w14:textFill>
                  <w14:solidFill>
                    <w14:schemeClr w14:val="tx1"/>
                  </w14:solidFill>
                </w14:textFill>
              </w:rPr>
              <w:t>本项目位于惠州市博罗县罗阳街道虾塱村委会洲际工业园梅园3路22号，项目从事变压器的生产，属于文件上述的其他产生挥发性有机物的生产和服务活动。</w:t>
            </w:r>
            <w:r>
              <w:rPr>
                <w:rFonts w:hint="eastAsia"/>
                <w:color w:val="000000" w:themeColor="text1"/>
                <w:lang w:val="en-US" w:eastAsia="zh-CN"/>
                <w14:textFill>
                  <w14:solidFill>
                    <w14:schemeClr w14:val="tx1"/>
                  </w14:solidFill>
                </w14:textFill>
              </w:rPr>
              <w:t>组立工序VOCs顶吸集气罩收集，</w:t>
            </w:r>
            <w:r>
              <w:rPr>
                <w:color w:val="000000" w:themeColor="text1"/>
                <w14:textFill>
                  <w14:solidFill>
                    <w14:schemeClr w14:val="tx1"/>
                  </w14:solidFill>
                </w14:textFill>
              </w:rPr>
              <w:t>真空含浸、</w:t>
            </w:r>
            <w:r>
              <w:rPr>
                <w:color w:val="000000" w:themeColor="text1"/>
                <w:kern w:val="0"/>
                <w14:textFill>
                  <w14:solidFill>
                    <w14:schemeClr w14:val="tx1"/>
                  </w14:solidFill>
                </w14:textFill>
              </w:rPr>
              <w:t>烘干工序</w:t>
            </w:r>
            <w:r>
              <w:rPr>
                <w:color w:val="000000" w:themeColor="text1"/>
                <w14:textFill>
                  <w14:solidFill>
                    <w14:schemeClr w14:val="tx1"/>
                  </w14:solidFill>
                </w14:textFill>
              </w:rPr>
              <w:t>VOCs密闭负压</w:t>
            </w:r>
            <w:r>
              <w:rPr>
                <w:color w:val="000000" w:themeColor="text1"/>
                <w:kern w:val="0"/>
                <w14:textFill>
                  <w14:solidFill>
                    <w14:schemeClr w14:val="tx1"/>
                  </w14:solidFill>
                </w14:textFill>
              </w:rPr>
              <w:t>收集，汇集至“</w:t>
            </w:r>
            <w:r>
              <w:rPr>
                <w:color w:val="000000" w:themeColor="text1"/>
                <w14:textFill>
                  <w14:solidFill>
                    <w14:schemeClr w14:val="tx1"/>
                  </w14:solidFill>
                </w14:textFill>
              </w:rPr>
              <w:t>水喷淋塔+干式过滤器+二级活性炭吸附装置</w:t>
            </w:r>
            <w:r>
              <w:rPr>
                <w:color w:val="000000" w:themeColor="text1"/>
                <w:kern w:val="0"/>
                <w14:textFill>
                  <w14:solidFill>
                    <w14:schemeClr w14:val="tx1"/>
                  </w14:solidFill>
                </w14:textFill>
              </w:rPr>
              <w:t>”处理后通过15m高排气筒（DA001）达标排放</w:t>
            </w:r>
            <w:r>
              <w:rPr>
                <w:color w:val="000000" w:themeColor="text1"/>
                <w14:textFill>
                  <w14:solidFill>
                    <w14:schemeClr w14:val="tx1"/>
                  </w14:solidFill>
                </w14:textFill>
              </w:rPr>
              <w:t>；建设单位建成后将按照国家和省的有关规定，建立台账并向县级以上人民政府生态环境主管部门如实申报原辅材料使用等情况，并保存台账5年；本项目总量控制指标来自惠州市生态环境局博罗分局分配，项目建设符合文件的要求。</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综上，本项目建设与</w:t>
            </w:r>
            <w:r>
              <w:rPr>
                <w:bCs w:val="0"/>
                <w:color w:val="000000" w:themeColor="text1"/>
                <w14:textFill>
                  <w14:solidFill>
                    <w14:schemeClr w14:val="tx1"/>
                  </w14:solidFill>
                </w14:textFill>
              </w:rPr>
              <w:t>《广东省大气污染防治条例》（广东省第十三届人民代表大会常务委员会公告（第20号））</w:t>
            </w:r>
            <w:r>
              <w:rPr>
                <w:color w:val="000000" w:themeColor="text1"/>
                <w14:textFill>
                  <w14:solidFill>
                    <w14:schemeClr w14:val="tx1"/>
                  </w14:solidFill>
                </w14:textFill>
              </w:rPr>
              <w:t>相符。</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（3）与《关于印发&lt;博罗县2021年大气污染防治工作方案&gt;的通知》的相符性分析</w:t>
            </w:r>
          </w:p>
          <w:p>
            <w:pPr>
              <w:pStyle w:val="13"/>
              <w:spacing w:line="360" w:lineRule="auto"/>
              <w:ind w:firstLineChars="0"/>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表1-2  与《博罗县2021年大气污染防治方案》的相符性分析</w:t>
            </w:r>
          </w:p>
          <w:tbl>
            <w:tblPr>
              <w:tblStyle w:val="30"/>
              <w:tblW w:w="9696"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162"/>
              <w:gridCol w:w="3078"/>
              <w:gridCol w:w="3159"/>
              <w:gridCol w:w="98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Align w:val="center"/>
                </w:tcPr>
                <w:p>
                  <w:pPr>
                    <w:pStyle w:val="37"/>
                    <w:snapToGrid w:val="0"/>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重点任务</w:t>
                  </w:r>
                </w:p>
              </w:tc>
              <w:tc>
                <w:tcPr>
                  <w:tcW w:w="1162" w:type="dxa"/>
                  <w:vAlign w:val="center"/>
                </w:tcPr>
                <w:p>
                  <w:pPr>
                    <w:pStyle w:val="37"/>
                    <w:snapToGrid w:val="0"/>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工作要求</w:t>
                  </w:r>
                </w:p>
              </w:tc>
              <w:tc>
                <w:tcPr>
                  <w:tcW w:w="3078" w:type="dxa"/>
                  <w:vAlign w:val="center"/>
                </w:tcPr>
                <w:p>
                  <w:pPr>
                    <w:pStyle w:val="37"/>
                    <w:snapToGrid w:val="0"/>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工作内容</w:t>
                  </w:r>
                </w:p>
              </w:tc>
              <w:tc>
                <w:tcPr>
                  <w:tcW w:w="3159" w:type="dxa"/>
                  <w:vAlign w:val="center"/>
                </w:tcPr>
                <w:p>
                  <w:pPr>
                    <w:pStyle w:val="37"/>
                    <w:snapToGrid w:val="0"/>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相符性分析</w:t>
                  </w:r>
                </w:p>
              </w:tc>
              <w:tc>
                <w:tcPr>
                  <w:tcW w:w="989" w:type="dxa"/>
                  <w:vAlign w:val="center"/>
                </w:tcPr>
                <w:p>
                  <w:pPr>
                    <w:pStyle w:val="37"/>
                    <w:snapToGrid w:val="0"/>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符合性结论</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Merge w:val="restart"/>
                  <w:vAlign w:val="center"/>
                </w:tcPr>
                <w:p>
                  <w:pPr>
                    <w:pStyle w:val="37"/>
                    <w:snapToGrid w:val="0"/>
                    <w:spacing w:line="240" w:lineRule="auto"/>
                    <w:ind w:firstLine="0"/>
                    <w:rPr>
                      <w:rFonts w:hAnsi="Times New Roman"/>
                      <w:bCs w:val="0"/>
                      <w:color w:val="000000" w:themeColor="text1"/>
                      <w14:textFill>
                        <w14:solidFill>
                          <w14:schemeClr w14:val="tx1"/>
                        </w14:solidFill>
                      </w14:textFill>
                    </w:rPr>
                  </w:pPr>
                  <w:r>
                    <w:rPr>
                      <w:rFonts w:hAnsi="Times New Roman"/>
                      <w:color w:val="000000" w:themeColor="text1"/>
                      <w14:textFill>
                        <w14:solidFill>
                          <w14:schemeClr w14:val="tx1"/>
                        </w14:solidFill>
                      </w14:textFill>
                    </w:rPr>
                    <w:t>持续推进挥发性有机物（VOCs）综合治理</w:t>
                  </w:r>
                </w:p>
              </w:tc>
              <w:tc>
                <w:tcPr>
                  <w:tcW w:w="1162"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实施低VOCs含量产品源头替代工程</w:t>
                  </w:r>
                </w:p>
              </w:tc>
              <w:tc>
                <w:tcPr>
                  <w:tcW w:w="3078" w:type="dxa"/>
                  <w:vAlign w:val="center"/>
                </w:tcPr>
                <w:p>
                  <w:pPr>
                    <w:pStyle w:val="37"/>
                    <w:snapToGrid w:val="0"/>
                    <w:spacing w:line="240" w:lineRule="auto"/>
                    <w:ind w:firstLine="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严格落实国家产品VOCs含量限值标准要求，除现阶段确无法实施替代的工序外，禁止新建生产和使用高VOCs原辅材料的项目。鼓励在生产和流通环节推广使用低VOCs含量原辅材料。落实国家、省低VOCs含量原辅材料企业相关的正面清单和政府绿色采购清单。</w:t>
                  </w:r>
                </w:p>
              </w:tc>
              <w:tc>
                <w:tcPr>
                  <w:tcW w:w="3159" w:type="dxa"/>
                  <w:vAlign w:val="center"/>
                </w:tcPr>
                <w:p>
                  <w:pPr>
                    <w:widowControl/>
                    <w:rPr>
                      <w:bCs w:val="0"/>
                      <w:color w:val="000000" w:themeColor="text1"/>
                      <w14:textFill>
                        <w14:solidFill>
                          <w14:schemeClr w14:val="tx1"/>
                        </w14:solidFill>
                      </w14:textFill>
                    </w:rPr>
                  </w:pPr>
                  <w:r>
                    <w:rPr>
                      <w:color w:val="000000" w:themeColor="text1"/>
                      <w:kern w:val="0"/>
                      <w14:textFill>
                        <w14:solidFill>
                          <w14:schemeClr w14:val="tx1"/>
                        </w14:solidFill>
                      </w14:textFill>
                    </w:rPr>
                    <w:t>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，符合《胶粘剂挥发性有机化合物限量》（GB33372-2020）中表3本体型胶粘剂VOC含量限值中其他-环氧树脂类（≤50g/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项目使用的绝缘漆VOC含量为27g/L（详见附件6-2），符合《工业防护涂料中有害物质限量》（GB30981-2020）中表3无溶剂型涂料VOC含量限值（≤100g/L）要求，且符合《低挥发性有机化合物含量涂料产品技术要求》（GB/T38597-2020）中表3无溶剂型涂料（≤60g/L）要求</w:t>
                  </w:r>
                  <w:r>
                    <w:rPr>
                      <w:color w:val="000000" w:themeColor="text1"/>
                      <w:lang w:bidi="ar"/>
                      <w14:textFill>
                        <w14:solidFill>
                          <w14:schemeClr w14:val="tx1"/>
                        </w14:solidFill>
                      </w14:textFill>
                    </w:rPr>
                    <w:t>。</w:t>
                  </w:r>
                  <w:r>
                    <w:rPr>
                      <w:color w:val="000000" w:themeColor="text1"/>
                      <w14:textFill>
                        <w14:solidFill>
                          <w14:schemeClr w14:val="tx1"/>
                        </w14:solidFill>
                      </w14:textFill>
                    </w:rPr>
                    <w:t>本项目使用的原辅材料均不属于高挥发性涂料。</w:t>
                  </w:r>
                </w:p>
              </w:tc>
              <w:tc>
                <w:tcPr>
                  <w:tcW w:w="989"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Merge w:val="continue"/>
                  <w:vAlign w:val="center"/>
                </w:tcPr>
                <w:p>
                  <w:pPr>
                    <w:widowControl/>
                    <w:jc w:val="left"/>
                    <w:rPr>
                      <w:color w:val="000000" w:themeColor="text1"/>
                      <w14:textFill>
                        <w14:solidFill>
                          <w14:schemeClr w14:val="tx1"/>
                        </w14:solidFill>
                      </w14:textFill>
                    </w:rPr>
                  </w:pPr>
                </w:p>
              </w:tc>
              <w:tc>
                <w:tcPr>
                  <w:tcW w:w="1162" w:type="dxa"/>
                  <w:vMerge w:val="restart"/>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全面深化涉VOCs排放企业深度治理</w:t>
                  </w:r>
                </w:p>
              </w:tc>
              <w:tc>
                <w:tcPr>
                  <w:tcW w:w="3078" w:type="dxa"/>
                  <w:vAlign w:val="center"/>
                </w:tcPr>
                <w:p>
                  <w:pPr>
                    <w:pStyle w:val="37"/>
                    <w:snapToGrid w:val="0"/>
                    <w:spacing w:line="240" w:lineRule="auto"/>
                    <w:ind w:firstLine="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督促企业开展含VOCs物料（包括含VOCs原辅材料、含VOCs产品、含VOCs废料以及有机聚合物材料等）储存、转移和输送、设备与管线组件泄漏、敞开液面逸散以及工艺过程等无组织排放环节排查。</w:t>
                  </w:r>
                </w:p>
              </w:tc>
              <w:tc>
                <w:tcPr>
                  <w:tcW w:w="3159" w:type="dxa"/>
                  <w:vAlign w:val="center"/>
                </w:tcPr>
                <w:p>
                  <w:pPr>
                    <w:pStyle w:val="37"/>
                    <w:snapToGrid w:val="0"/>
                    <w:spacing w:line="240" w:lineRule="auto"/>
                    <w:ind w:firstLine="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w:t>
                  </w:r>
                  <w:r>
                    <w:rPr>
                      <w:rFonts w:hint="eastAsia"/>
                      <w:color w:val="000000" w:themeColor="text1"/>
                      <w:kern w:val="0"/>
                      <w14:textFill>
                        <w14:solidFill>
                          <w14:schemeClr w14:val="tx1"/>
                        </w14:solidFill>
                      </w14:textFill>
                    </w:rPr>
                    <w:t>环氧树脂</w:t>
                  </w:r>
                  <w:r>
                    <w:rPr>
                      <w:rFonts w:hAnsi="Times New Roman"/>
                      <w:color w:val="000000" w:themeColor="text1"/>
                      <w:kern w:val="0"/>
                      <w14:textFill>
                        <w14:solidFill>
                          <w14:schemeClr w14:val="tx1"/>
                        </w14:solidFill>
                      </w14:textFill>
                    </w:rPr>
                    <w:t>胶水</w:t>
                  </w:r>
                  <w:r>
                    <w:rPr>
                      <w:rFonts w:hAnsi="Times New Roman"/>
                      <w:color w:val="000000" w:themeColor="text1"/>
                      <w14:textFill>
                        <w14:solidFill>
                          <w14:schemeClr w14:val="tx1"/>
                        </w14:solidFill>
                      </w14:textFill>
                    </w:rPr>
                    <w:t>、绝缘漆使用密闭包装桶进行物料转移。</w:t>
                  </w:r>
                </w:p>
              </w:tc>
              <w:tc>
                <w:tcPr>
                  <w:tcW w:w="989"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Merge w:val="continue"/>
                  <w:vAlign w:val="center"/>
                </w:tcPr>
                <w:p>
                  <w:pPr>
                    <w:widowControl/>
                    <w:jc w:val="left"/>
                    <w:rPr>
                      <w:color w:val="000000" w:themeColor="text1"/>
                      <w14:textFill>
                        <w14:solidFill>
                          <w14:schemeClr w14:val="tx1"/>
                        </w14:solidFill>
                      </w14:textFill>
                    </w:rPr>
                  </w:pPr>
                </w:p>
              </w:tc>
              <w:tc>
                <w:tcPr>
                  <w:tcW w:w="1162" w:type="dxa"/>
                  <w:vMerge w:val="continue"/>
                  <w:vAlign w:val="center"/>
                </w:tcPr>
                <w:p>
                  <w:pPr>
                    <w:widowControl/>
                    <w:jc w:val="left"/>
                    <w:rPr>
                      <w:color w:val="000000" w:themeColor="text1"/>
                      <w14:textFill>
                        <w14:solidFill>
                          <w14:schemeClr w14:val="tx1"/>
                        </w14:solidFill>
                      </w14:textFill>
                    </w:rPr>
                  </w:pPr>
                </w:p>
              </w:tc>
              <w:tc>
                <w:tcPr>
                  <w:tcW w:w="3078" w:type="dxa"/>
                  <w:vAlign w:val="center"/>
                </w:tcPr>
                <w:p>
                  <w:pPr>
                    <w:pStyle w:val="37"/>
                    <w:snapToGrid w:val="0"/>
                    <w:spacing w:line="240" w:lineRule="auto"/>
                    <w:ind w:firstLine="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指导企业使用适宜高效的治理技术，涉VOCs重点行业新建、改建和扩建项目不推荐使用光氧化、光催化、低温等离子等低效治理设施，已建项目逐步淘汰光氧化、光催化、低温等离子治理设施。</w:t>
                  </w:r>
                </w:p>
              </w:tc>
              <w:tc>
                <w:tcPr>
                  <w:tcW w:w="3159" w:type="dxa"/>
                  <w:vAlign w:val="center"/>
                </w:tcPr>
                <w:p>
                  <w:pPr>
                    <w:pStyle w:val="37"/>
                    <w:snapToGrid w:val="0"/>
                    <w:spacing w:line="240" w:lineRule="auto"/>
                    <w:ind w:firstLine="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生产废气收集后经“水喷淋塔+干式过滤器+二级活性炭吸附装置”处理，不使用光氧化、光催化、低温等离子治理设施。</w:t>
                  </w:r>
                </w:p>
              </w:tc>
              <w:tc>
                <w:tcPr>
                  <w:tcW w:w="989"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Merge w:val="continue"/>
                  <w:vAlign w:val="center"/>
                </w:tcPr>
                <w:p>
                  <w:pPr>
                    <w:widowControl/>
                    <w:jc w:val="left"/>
                    <w:rPr>
                      <w:color w:val="000000" w:themeColor="text1"/>
                      <w14:textFill>
                        <w14:solidFill>
                          <w14:schemeClr w14:val="tx1"/>
                        </w14:solidFill>
                      </w14:textFill>
                    </w:rPr>
                  </w:pPr>
                </w:p>
              </w:tc>
              <w:tc>
                <w:tcPr>
                  <w:tcW w:w="1162" w:type="dxa"/>
                  <w:vMerge w:val="continue"/>
                  <w:vAlign w:val="center"/>
                </w:tcPr>
                <w:p>
                  <w:pPr>
                    <w:widowControl/>
                    <w:jc w:val="left"/>
                    <w:rPr>
                      <w:color w:val="000000" w:themeColor="text1"/>
                      <w14:textFill>
                        <w14:solidFill>
                          <w14:schemeClr w14:val="tx1"/>
                        </w14:solidFill>
                      </w14:textFill>
                    </w:rPr>
                  </w:pPr>
                </w:p>
              </w:tc>
              <w:tc>
                <w:tcPr>
                  <w:tcW w:w="3078" w:type="dxa"/>
                  <w:vAlign w:val="center"/>
                </w:tcPr>
                <w:p>
                  <w:pPr>
                    <w:pStyle w:val="37"/>
                    <w:snapToGrid w:val="0"/>
                    <w:spacing w:line="240" w:lineRule="auto"/>
                    <w:ind w:firstLine="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指导采用一次性活性炭吸附治理技术的企业，明确活性炭装载量和更换频次，记录更换时间和使用量。</w:t>
                  </w:r>
                </w:p>
              </w:tc>
              <w:tc>
                <w:tcPr>
                  <w:tcW w:w="3159" w:type="dxa"/>
                  <w:vAlign w:val="center"/>
                </w:tcPr>
                <w:p>
                  <w:pPr>
                    <w:pStyle w:val="37"/>
                    <w:snapToGrid w:val="0"/>
                    <w:spacing w:line="240" w:lineRule="auto"/>
                    <w:ind w:firstLine="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企业将严格记录活性炭的更换时间和使用量。</w:t>
                  </w:r>
                </w:p>
              </w:tc>
              <w:tc>
                <w:tcPr>
                  <w:tcW w:w="989"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符合</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8" w:type="dxa"/>
                  <w:vMerge w:val="continue"/>
                  <w:vAlign w:val="center"/>
                </w:tcPr>
                <w:p>
                  <w:pPr>
                    <w:widowControl/>
                    <w:jc w:val="left"/>
                    <w:rPr>
                      <w:color w:val="000000" w:themeColor="text1"/>
                      <w14:textFill>
                        <w14:solidFill>
                          <w14:schemeClr w14:val="tx1"/>
                        </w14:solidFill>
                      </w14:textFill>
                    </w:rPr>
                  </w:pPr>
                </w:p>
              </w:tc>
              <w:tc>
                <w:tcPr>
                  <w:tcW w:w="1162" w:type="dxa"/>
                  <w:vMerge w:val="continue"/>
                  <w:vAlign w:val="center"/>
                </w:tcPr>
                <w:p>
                  <w:pPr>
                    <w:widowControl/>
                    <w:jc w:val="left"/>
                    <w:rPr>
                      <w:color w:val="000000" w:themeColor="text1"/>
                      <w14:textFill>
                        <w14:solidFill>
                          <w14:schemeClr w14:val="tx1"/>
                        </w14:solidFill>
                      </w14:textFill>
                    </w:rPr>
                  </w:pPr>
                </w:p>
              </w:tc>
              <w:tc>
                <w:tcPr>
                  <w:tcW w:w="3078" w:type="dxa"/>
                  <w:vAlign w:val="center"/>
                </w:tcPr>
                <w:p>
                  <w:pPr>
                    <w:pStyle w:val="37"/>
                    <w:snapToGrid w:val="0"/>
                    <w:spacing w:line="240" w:lineRule="auto"/>
                    <w:ind w:firstLine="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鼓励企业推行活性炭厂内脱附和专用移动车上门脱附，指导企业做好废活性炭的密封贮存和转移，推动家具、干洗、汽车配件生产等典型行业建设共性工厂。</w:t>
                  </w:r>
                </w:p>
              </w:tc>
              <w:tc>
                <w:tcPr>
                  <w:tcW w:w="3159" w:type="dxa"/>
                  <w:vAlign w:val="center"/>
                </w:tcPr>
                <w:p>
                  <w:pPr>
                    <w:pStyle w:val="37"/>
                    <w:snapToGrid w:val="0"/>
                    <w:spacing w:line="240" w:lineRule="auto"/>
                    <w:ind w:firstLine="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企业将严格做好废活性炭等的密封贮存和转移</w:t>
                  </w:r>
                </w:p>
              </w:tc>
              <w:tc>
                <w:tcPr>
                  <w:tcW w:w="989" w:type="dxa"/>
                  <w:vAlign w:val="center"/>
                </w:tcPr>
                <w:p>
                  <w:pPr>
                    <w:pStyle w:val="37"/>
                    <w:snapToGrid w:val="0"/>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符合</w:t>
                  </w:r>
                </w:p>
              </w:tc>
            </w:tr>
          </w:tbl>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（4）与《关于印发&lt;广东省涉挥发性有机物（VOCs）重点行业治理指引&gt;的通知》（粤环办〔2021〕43号）的相符性分析</w:t>
            </w:r>
          </w:p>
          <w:p>
            <w:pPr>
              <w:pStyle w:val="13"/>
              <w:spacing w:line="360" w:lineRule="auto"/>
              <w:ind w:firstLineChars="0"/>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本项目参照电子元件制造行业VOCs治理指引，见下表。</w:t>
            </w:r>
          </w:p>
          <w:p>
            <w:pPr>
              <w:pStyle w:val="13"/>
              <w:spacing w:line="360" w:lineRule="auto"/>
              <w:ind w:firstLineChars="0"/>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表1-3  与《广东省涉挥发性有机物（VOCs）重点行业治理指引》的相符性分析</w:t>
            </w:r>
          </w:p>
          <w:tbl>
            <w:tblPr>
              <w:tblStyle w:val="30"/>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766"/>
              <w:gridCol w:w="4825"/>
              <w:gridCol w:w="2810"/>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8" w:type="dxa"/>
                  <w:gridSpan w:val="2"/>
                  <w:tcBorders>
                    <w:top w:val="single" w:color="auto" w:sz="12" w:space="0"/>
                    <w:left w:val="single" w:color="auto" w:sz="4" w:space="0"/>
                    <w:bottom w:val="single" w:color="auto" w:sz="4" w:space="0"/>
                    <w:right w:val="single" w:color="auto" w:sz="4" w:space="0"/>
                  </w:tcBorders>
                  <w:vAlign w:val="center"/>
                </w:tcPr>
                <w:p>
                  <w:pPr>
                    <w:jc w:val="center"/>
                    <w:rPr>
                      <w:b/>
                      <w:bCs w:val="0"/>
                      <w:color w:val="000000" w:themeColor="text1"/>
                      <w14:textFill>
                        <w14:solidFill>
                          <w14:schemeClr w14:val="tx1"/>
                        </w14:solidFill>
                      </w14:textFill>
                    </w:rPr>
                  </w:pPr>
                  <w:r>
                    <w:rPr>
                      <w:b/>
                      <w:color w:val="000000" w:themeColor="text1"/>
                      <w14:textFill>
                        <w14:solidFill>
                          <w14:schemeClr w14:val="tx1"/>
                        </w14:solidFill>
                      </w14:textFill>
                    </w:rPr>
                    <w:t>环节</w:t>
                  </w:r>
                </w:p>
              </w:tc>
              <w:tc>
                <w:tcPr>
                  <w:tcW w:w="4825"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控制要求</w:t>
                  </w:r>
                </w:p>
              </w:tc>
              <w:tc>
                <w:tcPr>
                  <w:tcW w:w="2810"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本项目情况</w:t>
                  </w:r>
                </w:p>
              </w:tc>
              <w:tc>
                <w:tcPr>
                  <w:tcW w:w="863"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kern w:val="0"/>
                      <w14:textFill>
                        <w14:solidFill>
                          <w14:schemeClr w14:val="tx1"/>
                        </w14:solidFill>
                      </w14:textFill>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tcBorders>
                    <w:top w:val="nil"/>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源头削减</w:t>
                  </w:r>
                </w:p>
              </w:tc>
              <w:tc>
                <w:tcPr>
                  <w:tcW w:w="766" w:type="dxa"/>
                  <w:tcBorders>
                    <w:top w:val="nil"/>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胶粘剂</w:t>
                  </w:r>
                </w:p>
              </w:tc>
              <w:tc>
                <w:tcPr>
                  <w:tcW w:w="4825" w:type="dxa"/>
                  <w:tcBorders>
                    <w:top w:val="single" w:color="auto" w:sz="4" w:space="0"/>
                    <w:left w:val="single" w:color="auto" w:sz="4" w:space="0"/>
                    <w:bottom w:val="single" w:color="auto" w:sz="4" w:space="0"/>
                    <w:right w:val="single" w:color="auto" w:sz="4" w:space="0"/>
                  </w:tcBorders>
                  <w:vAlign w:val="center"/>
                </w:tcPr>
                <w:p>
                  <w:pPr>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本体型胶粘剂：有机硅类VOCs含量≤100g/L；MS类、聚氨酯类、聚硫类、环氧树脂类、热塑类、其他VOCs含量≤50g/L；丙烯酸酯类VOCs含量≤200g/L；α-氰基丙烯酸类VOCs含量≤20g/L。</w:t>
                  </w:r>
                </w:p>
              </w:tc>
              <w:tc>
                <w:tcPr>
                  <w:tcW w:w="2810" w:type="dxa"/>
                  <w:tcBorders>
                    <w:top w:val="single" w:color="auto" w:sz="4" w:space="0"/>
                    <w:left w:val="single" w:color="auto" w:sz="4" w:space="0"/>
                    <w:bottom w:val="single" w:color="auto" w:sz="4" w:space="0"/>
                    <w:right w:val="single" w:color="auto" w:sz="4" w:space="0"/>
                  </w:tcBorders>
                  <w:vAlign w:val="center"/>
                </w:tcPr>
                <w:p>
                  <w:pPr>
                    <w:jc w:val="left"/>
                    <w:rPr>
                      <w:color w:val="000000" w:themeColor="text1"/>
                      <w14:textFill>
                        <w14:solidFill>
                          <w14:schemeClr w14:val="tx1"/>
                        </w14:solidFill>
                      </w14:textFill>
                    </w:rPr>
                  </w:pPr>
                  <w:r>
                    <w:rPr>
                      <w:bCs w:val="0"/>
                      <w:color w:val="000000" w:themeColor="text1"/>
                      <w14:textFill>
                        <w14:solidFill>
                          <w14:schemeClr w14:val="tx1"/>
                        </w14:solidFill>
                      </w14:textFill>
                    </w:rPr>
                    <w:t>本项目使用的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为环氧树脂类，其VOC含量为</w:t>
                  </w:r>
                  <w:r>
                    <w:rPr>
                      <w:rFonts w:hint="eastAsia"/>
                      <w:bCs w:val="0"/>
                      <w:color w:val="000000" w:themeColor="text1"/>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14:textFill>
                        <w14:solidFill>
                          <w14:schemeClr w14:val="tx1"/>
                        </w14:solidFill>
                      </w14:textFill>
                    </w:rPr>
                    <w:t>，</w:t>
                  </w:r>
                  <w:r>
                    <w:rPr>
                      <w:bCs w:val="0"/>
                      <w:color w:val="000000" w:themeColor="text1"/>
                      <w14:textFill>
                        <w14:solidFill>
                          <w14:schemeClr w14:val="tx1"/>
                        </w14:solidFill>
                      </w14:textFill>
                    </w:rPr>
                    <w:t>＜50</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kern w:val="0"/>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restart"/>
                  <w:tcBorders>
                    <w:top w:val="nil"/>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rStyle w:val="59"/>
                      <w:b/>
                      <w:color w:val="000000" w:themeColor="text1"/>
                      <w14:textFill>
                        <w14:solidFill>
                          <w14:schemeClr w14:val="tx1"/>
                        </w14:solidFill>
                      </w14:textFill>
                    </w:rPr>
                    <w:t>过程控制</w:t>
                  </w:r>
                </w:p>
              </w:tc>
              <w:tc>
                <w:tcPr>
                  <w:tcW w:w="766" w:type="dxa"/>
                  <w:vMerge w:val="restart"/>
                  <w:tcBorders>
                    <w:top w:val="nil"/>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kern w:val="0"/>
                      <w14:textFill>
                        <w14:solidFill>
                          <w14:schemeClr w14:val="tx1"/>
                        </w14:solidFill>
                      </w14:textFill>
                    </w:rPr>
                    <w:t>VOCs</w:t>
                  </w:r>
                  <w:r>
                    <w:rPr>
                      <w:rStyle w:val="47"/>
                      <w:b/>
                      <w:color w:val="000000" w:themeColor="text1"/>
                      <w14:textFill>
                        <w14:solidFill>
                          <w14:schemeClr w14:val="tx1"/>
                        </w14:solidFill>
                      </w14:textFill>
                    </w:rPr>
                    <w:t>物料储存</w:t>
                  </w:r>
                </w:p>
              </w:tc>
              <w:tc>
                <w:tcPr>
                  <w:tcW w:w="4825" w:type="dxa"/>
                  <w:tcBorders>
                    <w:top w:val="single" w:color="auto" w:sz="4" w:space="0"/>
                    <w:left w:val="single" w:color="auto" w:sz="4" w:space="0"/>
                    <w:bottom w:val="single" w:color="auto" w:sz="4" w:space="0"/>
                    <w:right w:val="single" w:color="auto" w:sz="4" w:space="0"/>
                  </w:tcBorders>
                  <w:vAlign w:val="center"/>
                </w:tcPr>
                <w:p>
                  <w:pPr>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清洗剂、清洁剂、油墨、胶粘剂、固化剂、溶剂、开油水、洗网水等VOCs物料应储存于密闭的容器、包装袋、储罐、储库、料仓中。</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w:t>
                  </w:r>
                  <w:r>
                    <w:rPr>
                      <w:color w:val="000000" w:themeColor="text1"/>
                      <w14:textFill>
                        <w14:solidFill>
                          <w14:schemeClr w14:val="tx1"/>
                        </w14:solidFill>
                      </w14:textFill>
                    </w:rPr>
                    <w:t>绝缘漆</w:t>
                  </w:r>
                  <w:r>
                    <w:rPr>
                      <w:bCs w:val="0"/>
                      <w:color w:val="000000" w:themeColor="text1"/>
                      <w14:textFill>
                        <w14:solidFill>
                          <w14:schemeClr w14:val="tx1"/>
                        </w14:solidFill>
                      </w14:textFill>
                    </w:rPr>
                    <w:t>储存于密闭的容器中。</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盛装VOCs物料的容器是否存放于室内，或存放于设置有雨棚、遮阳和防渗设施的专用场地。盛装VOCs物料的容器在非取用状态时应加盖、封口，保持密闭。</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w:t>
                  </w:r>
                  <w:r>
                    <w:rPr>
                      <w:color w:val="000000" w:themeColor="text1"/>
                      <w14:textFill>
                        <w14:solidFill>
                          <w14:schemeClr w14:val="tx1"/>
                        </w14:solidFill>
                      </w14:textFill>
                    </w:rPr>
                    <w:t>绝缘漆</w:t>
                  </w:r>
                  <w:r>
                    <w:rPr>
                      <w:bCs w:val="0"/>
                      <w:color w:val="000000" w:themeColor="text1"/>
                      <w14:textFill>
                        <w14:solidFill>
                          <w14:schemeClr w14:val="tx1"/>
                        </w14:solidFill>
                      </w14:textFill>
                    </w:rPr>
                    <w:t>存放于室内，在非取用状态时应加盖、封口，保持密闭。</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tcBorders>
                    <w:top w:val="single" w:color="auto" w:sz="4" w:space="0"/>
                    <w:left w:val="single" w:color="auto" w:sz="4" w:space="0"/>
                    <w:bottom w:val="single" w:color="auto" w:sz="4" w:space="0"/>
                    <w:right w:val="single" w:color="auto" w:sz="4" w:space="0"/>
                  </w:tcBorders>
                  <w:vAlign w:val="center"/>
                </w:tcPr>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VOCs物料转移和输送</w:t>
                  </w: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液体VOCs物料应采用管道密闭输送。采用非管道输送方式转移液态VOCs物料时，应采用密闭容器或罐车。</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w:t>
                  </w:r>
                  <w:r>
                    <w:rPr>
                      <w:color w:val="000000" w:themeColor="text1"/>
                      <w14:textFill>
                        <w14:solidFill>
                          <w14:schemeClr w14:val="tx1"/>
                        </w14:solidFill>
                      </w14:textFill>
                    </w:rPr>
                    <w:t>绝缘漆使用密闭包装桶进行物料转移。</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tcBorders>
                    <w:top w:val="single" w:color="auto" w:sz="4" w:space="0"/>
                    <w:left w:val="single" w:color="auto" w:sz="4" w:space="0"/>
                    <w:bottom w:val="single" w:color="auto" w:sz="4" w:space="0"/>
                    <w:right w:val="single" w:color="auto" w:sz="4" w:space="0"/>
                  </w:tcBorders>
                  <w:vAlign w:val="center"/>
                </w:tcPr>
                <w:p>
                  <w:pPr>
                    <w:jc w:val="center"/>
                    <w:rPr>
                      <w:b/>
                      <w:color w:val="000000" w:themeColor="text1"/>
                      <w:kern w:val="0"/>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工艺过程</w:t>
                  </w: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包封、灌封、线路印刷、防焊印刷、文字印刷、丝印、UV固化、烤版、洗网、晾干、调油、清洗等使用VOCs质量占比大于等于10%物料的过程应采用密闭设备或在密闭空间内操作，废气应排至VOCs废气收集处理系统；无法密闭的，应采取局部气体收集措施，废气排至VOCs废气收集处理系统。</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本项目使用VOCs质量占比大于等于10%物料，在密闭空间内操作，产生的废气均排至VOCs废气收集处理系统</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vMerge w:val="restart"/>
                  <w:tcBorders>
                    <w:top w:val="nil"/>
                    <w:left w:val="single" w:color="auto" w:sz="4" w:space="0"/>
                    <w:bottom w:val="single" w:color="auto" w:sz="4" w:space="0"/>
                    <w:right w:val="single" w:color="auto" w:sz="4" w:space="0"/>
                  </w:tcBorders>
                  <w:vAlign w:val="center"/>
                </w:tcPr>
                <w:p>
                  <w:pPr>
                    <w:jc w:val="center"/>
                    <w:rPr>
                      <w:rStyle w:val="58"/>
                      <w:rFonts w:hint="default" w:ascii="Times New Roman" w:hAnsi="Times New Roman"/>
                      <w:b/>
                      <w:color w:val="000000" w:themeColor="text1"/>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废气收集</w:t>
                  </w: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通风生产设备、操作工位、车间厂房等应在符合安全生产、职业卫生相关规定的前提下，根据行业作业规程与标准、工业建筑及洁净厂房通风设计规范等的要求，采用合理的通风量。</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本项目通风量合理</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废气收集系统的输送管道应密闭。废气收集系统应在负压下运行，若处于正压状态，应对管道组件的密封点进行泄漏检测，泄漏检测值不应超过500μmol/mol，亦不应有感官可察觉泄漏。</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本项目废气收集系统的输送管道为密闭，</w:t>
                  </w:r>
                  <w:r>
                    <w:rPr>
                      <w:bCs w:val="0"/>
                      <w:color w:val="000000" w:themeColor="text1"/>
                      <w14:textFill>
                        <w14:solidFill>
                          <w14:schemeClr w14:val="tx1"/>
                        </w14:solidFill>
                      </w14:textFill>
                    </w:rPr>
                    <w:t>废气收集系统</w:t>
                  </w:r>
                  <w:r>
                    <w:rPr>
                      <w:bCs w:val="0"/>
                      <w:color w:val="000000" w:themeColor="text1"/>
                      <w:kern w:val="0"/>
                      <w14:textFill>
                        <w14:solidFill>
                          <w14:schemeClr w14:val="tx1"/>
                        </w14:solidFill>
                      </w14:textFill>
                    </w:rPr>
                    <w:t>在风机负压下运行</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本项目运行后，</w:t>
                  </w:r>
                  <w:r>
                    <w:rPr>
                      <w:bCs w:val="0"/>
                      <w:color w:val="000000" w:themeColor="text1"/>
                      <w14:textFill>
                        <w14:solidFill>
                          <w14:schemeClr w14:val="tx1"/>
                        </w14:solidFill>
                      </w14:textFill>
                    </w:rPr>
                    <w:t>废气收集系统与生产工艺设备同步运行，当废气收集系统发生故障或检修时，对应的生产工艺设备停止运行</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766" w:type="dxa"/>
                  <w:tcBorders>
                    <w:top w:val="single" w:color="auto" w:sz="4" w:space="0"/>
                    <w:left w:val="single" w:color="auto" w:sz="4" w:space="0"/>
                    <w:bottom w:val="single" w:color="auto" w:sz="4" w:space="0"/>
                    <w:right w:val="single" w:color="auto" w:sz="4" w:space="0"/>
                  </w:tcBorders>
                  <w:vAlign w:val="center"/>
                </w:tcPr>
                <w:p>
                  <w:pPr>
                    <w:jc w:val="center"/>
                    <w:rPr>
                      <w:rStyle w:val="58"/>
                      <w:rFonts w:hint="default" w:ascii="Times New Roman" w:hAnsi="Times New Roman"/>
                      <w:b/>
                      <w:color w:val="000000" w:themeColor="text1"/>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非正常排放</w:t>
                  </w:r>
                </w:p>
              </w:tc>
              <w:tc>
                <w:tcPr>
                  <w:tcW w:w="4825" w:type="dxa"/>
                  <w:tcBorders>
                    <w:top w:val="single" w:color="auto" w:sz="4" w:space="0"/>
                    <w:left w:val="single" w:color="auto" w:sz="4" w:space="0"/>
                    <w:bottom w:val="single" w:color="auto" w:sz="4" w:space="0"/>
                    <w:right w:val="single" w:color="auto" w:sz="4" w:space="0"/>
                  </w:tcBorders>
                  <w:vAlign w:val="center"/>
                </w:tcPr>
                <w:p>
                  <w:pPr>
                    <w:rPr>
                      <w:color w:val="000000" w:themeColor="text1"/>
                      <w14:textFill>
                        <w14:solidFill>
                          <w14:schemeClr w14:val="tx1"/>
                        </w14:solidFill>
                      </w14:textFill>
                    </w:rPr>
                  </w:pPr>
                  <w:r>
                    <w:rPr>
                      <w:bCs w:val="0"/>
                      <w:color w:val="000000" w:themeColor="text1"/>
                      <w14:textFill>
                        <w14:solidFill>
                          <w14:schemeClr w14:val="tx1"/>
                        </w14:solidFill>
                      </w14:textFill>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本项目运行后，</w:t>
                  </w:r>
                  <w:r>
                    <w:rPr>
                      <w:bCs w:val="0"/>
                      <w:color w:val="000000" w:themeColor="text1"/>
                      <w14:textFill>
                        <w14:solidFill>
                          <w14:schemeClr w14:val="tx1"/>
                        </w14:solidFill>
                      </w14:textFill>
                    </w:rPr>
                    <w:t>载有VOCs物料的设备在开停工（车）、检维修和清洗时，在退料阶段将残存物料退净，并用密闭容器盛装，退料过程废气、清洗及吹扫过程排气排至VOCs废气收集处理系统</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restart"/>
                  <w:tcBorders>
                    <w:top w:val="nil"/>
                    <w:left w:val="single" w:color="auto" w:sz="4" w:space="0"/>
                    <w:bottom w:val="single" w:color="auto" w:sz="4" w:space="0"/>
                    <w:right w:val="single" w:color="auto" w:sz="4" w:space="0"/>
                  </w:tcBorders>
                  <w:vAlign w:val="center"/>
                </w:tcPr>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末端治理</w:t>
                  </w:r>
                </w:p>
              </w:tc>
              <w:tc>
                <w:tcPr>
                  <w:tcW w:w="766" w:type="dxa"/>
                  <w:tcBorders>
                    <w:top w:val="single" w:color="auto" w:sz="4" w:space="0"/>
                    <w:left w:val="single" w:color="auto" w:sz="4" w:space="0"/>
                    <w:bottom w:val="single" w:color="auto" w:sz="4" w:space="0"/>
                    <w:right w:val="single" w:color="auto" w:sz="4" w:space="0"/>
                  </w:tcBorders>
                  <w:vAlign w:val="center"/>
                </w:tcPr>
                <w:p>
                  <w:pPr>
                    <w:jc w:val="center"/>
                    <w:rPr>
                      <w:rStyle w:val="58"/>
                      <w:rFonts w:hint="default" w:ascii="Times New Roman" w:hAnsi="Times New Roman"/>
                      <w:b/>
                      <w:color w:val="000000" w:themeColor="text1"/>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排放水平</w:t>
                  </w:r>
                </w:p>
              </w:tc>
              <w:tc>
                <w:tcPr>
                  <w:tcW w:w="4825" w:type="dxa"/>
                  <w:tcBorders>
                    <w:top w:val="single" w:color="auto" w:sz="4" w:space="0"/>
                    <w:left w:val="single" w:color="auto" w:sz="4" w:space="0"/>
                    <w:bottom w:val="single" w:color="auto" w:sz="4" w:space="0"/>
                    <w:right w:val="single" w:color="auto" w:sz="4" w:space="0"/>
                  </w:tcBorders>
                  <w:vAlign w:val="center"/>
                </w:tcPr>
                <w:p>
                  <w:pPr>
                    <w:rPr>
                      <w:color w:val="000000" w:themeColor="text1"/>
                      <w14:textFill>
                        <w14:solidFill>
                          <w14:schemeClr w14:val="tx1"/>
                        </w14:solidFill>
                      </w14:textFill>
                    </w:rPr>
                  </w:pPr>
                  <w:r>
                    <w:rPr>
                      <w:bCs w:val="0"/>
                      <w:color w:val="000000" w:themeColor="text1"/>
                      <w14:textFill>
                        <w14:solidFill>
                          <w14:schemeClr w14:val="tx1"/>
                        </w14:solidFill>
                      </w14:textFill>
                    </w:rPr>
                    <w:t>（1）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kg/h时，建设VOCs处理设施且处理效率≥80%。</w:t>
                  </w:r>
                </w:p>
                <w:p>
                  <w:pPr>
                    <w:rPr>
                      <w:bCs w:val="0"/>
                      <w:color w:val="000000" w:themeColor="text1"/>
                      <w14:textFill>
                        <w14:solidFill>
                          <w14:schemeClr w14:val="tx1"/>
                        </w14:solidFill>
                      </w14:textFill>
                    </w:rPr>
                  </w:pPr>
                  <w:r>
                    <w:rPr>
                      <w:bCs w:val="0"/>
                      <w:color w:val="000000" w:themeColor="text1"/>
                      <w14:textFill>
                        <w14:solidFill>
                          <w14:schemeClr w14:val="tx1"/>
                        </w14:solidFill>
                      </w14:textFill>
                    </w:rPr>
                    <w:t>（2）厂区内无组织排放监控点NMHC的小时平均浓度值不超过6mg/m</w:t>
                  </w:r>
                  <w:r>
                    <w:rPr>
                      <w:bCs w:val="0"/>
                      <w:color w:val="000000" w:themeColor="text1"/>
                      <w:vertAlign w:val="superscript"/>
                      <w14:textFill>
                        <w14:solidFill>
                          <w14:schemeClr w14:val="tx1"/>
                        </w14:solidFill>
                      </w14:textFill>
                    </w:rPr>
                    <w:t>3</w:t>
                  </w:r>
                  <w:r>
                    <w:rPr>
                      <w:bCs w:val="0"/>
                      <w:color w:val="000000" w:themeColor="text1"/>
                      <w14:textFill>
                        <w14:solidFill>
                          <w14:schemeClr w14:val="tx1"/>
                        </w14:solidFill>
                      </w14:textFill>
                    </w:rPr>
                    <w:t>，任意一次浓度值不超过20mg/m</w:t>
                  </w:r>
                  <w:r>
                    <w:rPr>
                      <w:bCs w:val="0"/>
                      <w:color w:val="000000" w:themeColor="text1"/>
                      <w:vertAlign w:val="superscript"/>
                      <w14:textFill>
                        <w14:solidFill>
                          <w14:schemeClr w14:val="tx1"/>
                        </w14:solidFill>
                      </w14:textFill>
                    </w:rPr>
                    <w:t>3</w:t>
                  </w:r>
                  <w:r>
                    <w:rPr>
                      <w:bCs w:val="0"/>
                      <w:color w:val="000000" w:themeColor="text1"/>
                      <w14:textFill>
                        <w14:solidFill>
                          <w14:schemeClr w14:val="tx1"/>
                        </w14:solidFill>
                      </w14:textFill>
                    </w:rPr>
                    <w:t>。</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本项目产生的</w:t>
                  </w:r>
                  <w:r>
                    <w:rPr>
                      <w:color w:val="000000" w:themeColor="text1"/>
                      <w14:textFill>
                        <w14:solidFill>
                          <w14:schemeClr w14:val="tx1"/>
                        </w14:solidFill>
                      </w14:textFill>
                    </w:rPr>
                    <w:t>VOCs</w:t>
                  </w:r>
                  <w:r>
                    <w:rPr>
                      <w:color w:val="000000" w:themeColor="text1"/>
                      <w:kern w:val="0"/>
                      <w14:textFill>
                        <w14:solidFill>
                          <w14:schemeClr w14:val="tx1"/>
                        </w14:solidFill>
                      </w14:textFill>
                    </w:rPr>
                    <w:t>有组织排放参照执行广东省《固定污染源挥发性有机物综合排放标准》（DB44/2367-2022）表1限值要求，无组织排放执行</w:t>
                  </w:r>
                  <w:r>
                    <w:rPr>
                      <w:bCs w:val="0"/>
                      <w:color w:val="000000" w:themeColor="text1"/>
                      <w14:textFill>
                        <w14:solidFill>
                          <w14:schemeClr w14:val="tx1"/>
                        </w14:solidFill>
                      </w14:textFill>
                    </w:rPr>
                    <w:t>《家具制造行业挥发性有机化合物排放标准》（DB44/814-2010）表2无组织排放监控点浓度限值</w:t>
                  </w:r>
                  <w:r>
                    <w:rPr>
                      <w:color w:val="000000" w:themeColor="text1"/>
                      <w:kern w:val="0"/>
                      <w14:textFill>
                        <w14:solidFill>
                          <w14:schemeClr w14:val="tx1"/>
                        </w14:solidFill>
                      </w14:textFill>
                    </w:rPr>
                    <w:t>要求；厂区内VOCs无组织排放满足广东省地方标准《固定污染源挥发性有机物综合排放标准》（DB44/2367-2022）表3厂区内无组织VOCs排放限值。</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tcBorders>
                    <w:top w:val="single" w:color="auto" w:sz="4" w:space="0"/>
                    <w:left w:val="single" w:color="auto" w:sz="4" w:space="0"/>
                    <w:bottom w:val="single" w:color="auto" w:sz="4" w:space="0"/>
                    <w:right w:val="single" w:color="auto" w:sz="4" w:space="0"/>
                  </w:tcBorders>
                  <w:vAlign w:val="center"/>
                </w:tcPr>
                <w:p>
                  <w:pPr>
                    <w:jc w:val="center"/>
                    <w:rPr>
                      <w:rStyle w:val="58"/>
                      <w:rFonts w:hint="default" w:ascii="Times New Roman" w:hAnsi="Times New Roman"/>
                      <w:b/>
                      <w:color w:val="000000" w:themeColor="text1"/>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治理技术</w:t>
                  </w:r>
                </w:p>
              </w:tc>
              <w:tc>
                <w:tcPr>
                  <w:tcW w:w="4825" w:type="dxa"/>
                  <w:tcBorders>
                    <w:top w:val="single" w:color="auto" w:sz="4" w:space="0"/>
                    <w:left w:val="single" w:color="auto" w:sz="4" w:space="0"/>
                    <w:bottom w:val="single" w:color="auto" w:sz="4" w:space="0"/>
                    <w:right w:val="single" w:color="auto" w:sz="4" w:space="0"/>
                  </w:tcBorders>
                  <w:vAlign w:val="center"/>
                </w:tcPr>
                <w:p>
                  <w:pPr>
                    <w:rPr>
                      <w:color w:val="000000" w:themeColor="text1"/>
                      <w14:textFill>
                        <w14:solidFill>
                          <w14:schemeClr w14:val="tx1"/>
                        </w14:solidFill>
                      </w14:textFill>
                    </w:rPr>
                  </w:pPr>
                  <w:r>
                    <w:rPr>
                      <w:bCs w:val="0"/>
                      <w:color w:val="000000" w:themeColor="text1"/>
                      <w14:textFill>
                        <w14:solidFill>
                          <w14:schemeClr w14:val="tx1"/>
                        </w14:solidFill>
                      </w14:textFill>
                    </w:rPr>
                    <w:t>喷涂/印刷、晾（风）干工序废气宜采用吸附法、热氧化或其组合技术进行处理。</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w:t>
                  </w:r>
                  <w:r>
                    <w:rPr>
                      <w:color w:val="000000" w:themeColor="text1"/>
                      <w14:textFill>
                        <w14:solidFill>
                          <w14:schemeClr w14:val="tx1"/>
                        </w14:solidFill>
                      </w14:textFill>
                    </w:rPr>
                    <w:t>VOCs</w:t>
                  </w:r>
                  <w:r>
                    <w:rPr>
                      <w:bCs w:val="0"/>
                      <w:color w:val="000000" w:themeColor="text1"/>
                      <w14:textFill>
                        <w14:solidFill>
                          <w14:schemeClr w14:val="tx1"/>
                        </w14:solidFill>
                      </w14:textFill>
                    </w:rPr>
                    <w:t>采用“</w:t>
                  </w:r>
                  <w:r>
                    <w:rPr>
                      <w:color w:val="000000" w:themeColor="text1"/>
                      <w14:textFill>
                        <w14:solidFill>
                          <w14:schemeClr w14:val="tx1"/>
                        </w14:solidFill>
                      </w14:textFill>
                    </w:rPr>
                    <w:t>水喷淋塔+干式过滤器+二级活性炭吸附装置</w:t>
                  </w:r>
                  <w:r>
                    <w:rPr>
                      <w:bCs w:val="0"/>
                      <w:color w:val="000000" w:themeColor="text1"/>
                      <w14:textFill>
                        <w14:solidFill>
                          <w14:schemeClr w14:val="tx1"/>
                        </w14:solidFill>
                      </w14:textFill>
                    </w:rPr>
                    <w:t>”进行处理</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restart"/>
                  <w:tcBorders>
                    <w:top w:val="nil"/>
                    <w:left w:val="single" w:color="auto" w:sz="4" w:space="0"/>
                    <w:bottom w:val="single" w:color="auto" w:sz="4" w:space="0"/>
                    <w:right w:val="single" w:color="auto" w:sz="4" w:space="0"/>
                  </w:tcBorders>
                  <w:vAlign w:val="center"/>
                </w:tcPr>
                <w:p>
                  <w:pPr>
                    <w:jc w:val="center"/>
                    <w:rPr>
                      <w:rStyle w:val="58"/>
                      <w:rFonts w:hint="default" w:ascii="Times New Roman" w:hAnsi="Times New Roman"/>
                      <w:b/>
                      <w:color w:val="000000" w:themeColor="text1"/>
                      <w14:textFill>
                        <w14:solidFill>
                          <w14:schemeClr w14:val="tx1"/>
                        </w14:solidFill>
                      </w14:textFill>
                    </w:rPr>
                  </w:pPr>
                  <w:r>
                    <w:rPr>
                      <w:rStyle w:val="58"/>
                      <w:rFonts w:hint="default" w:ascii="Times New Roman" w:hAnsi="Times New Roman"/>
                      <w:b/>
                      <w:color w:val="000000" w:themeColor="text1"/>
                      <w14:textFill>
                        <w14:solidFill>
                          <w14:schemeClr w14:val="tx1"/>
                        </w14:solidFill>
                      </w14:textFill>
                    </w:rPr>
                    <w:t>治理设施设计与运行管理</w:t>
                  </w:r>
                </w:p>
              </w:tc>
              <w:tc>
                <w:tcPr>
                  <w:tcW w:w="4825" w:type="dxa"/>
                  <w:tcBorders>
                    <w:top w:val="single" w:color="auto" w:sz="4" w:space="0"/>
                    <w:left w:val="single" w:color="auto" w:sz="4" w:space="0"/>
                    <w:bottom w:val="single" w:color="auto" w:sz="4" w:space="0"/>
                    <w:right w:val="single" w:color="auto" w:sz="4" w:space="0"/>
                  </w:tcBorders>
                  <w:vAlign w:val="center"/>
                </w:tcPr>
                <w:p>
                  <w:pPr>
                    <w:rPr>
                      <w:color w:val="000000" w:themeColor="text1"/>
                      <w14:textFill>
                        <w14:solidFill>
                          <w14:schemeClr w14:val="tx1"/>
                        </w14:solidFill>
                      </w14:textFill>
                    </w:rPr>
                  </w:pPr>
                  <w:r>
                    <w:rPr>
                      <w:bCs w:val="0"/>
                      <w:color w:val="000000" w:themeColor="text1"/>
                      <w14:textFill>
                        <w14:solidFill>
                          <w14:schemeClr w14:val="tx1"/>
                        </w14:solidFill>
                      </w14:textFill>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本项目运行后，</w:t>
                  </w:r>
                  <w:r>
                    <w:rPr>
                      <w:bCs w:val="0"/>
                      <w:color w:val="000000" w:themeColor="text1"/>
                      <w14:textFill>
                        <w14:solidFill>
                          <w14:schemeClr w14:val="tx1"/>
                        </w14:solidFill>
                      </w14:textFill>
                    </w:rPr>
                    <w:t>VOCs治理设施与生产工艺设备同步运行，VOCs治理设施发生故障或检修时，对应的生产工艺设备停止运行，待检修完毕后同步投入使用</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废气污染治理设施应依据国家和地方规范进行设计。</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14:textFill>
                        <w14:solidFill>
                          <w14:schemeClr w14:val="tx1"/>
                        </w14:solidFill>
                      </w14:textFill>
                    </w:rPr>
                    <w:t>废气污染治理设施依据国家和地方规范进行设计</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污染治理设施应在满足设计工况的条件下运行，并根据工艺要求，定期对设备、电气、自控仪表及构筑物进行检查维护，确保污染治理设施可靠运行。</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14:textFill>
                        <w14:solidFill>
                          <w14:schemeClr w14:val="tx1"/>
                        </w14:solidFill>
                      </w14:textFill>
                    </w:rPr>
                    <w:t>本项目运行后定期对污染治理设施设备、电气、自控仪表及构筑物进行检查维护</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污染治理设施编号可为电子工业排污单位内部编号，若排污单位无内部编号，则根据《排污单位编码规则》（HJ608）进行编号。有组织排放口编号应填写地方环境保护主管部门现有编号，若排污单位无现有编号，则由电子工业排污单位根据《排污单位编码规则》（HJ608）进行编号。</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按要求对污染治理设施进行编号</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按要求设置</w:t>
                  </w:r>
                  <w:r>
                    <w:rPr>
                      <w:bCs w:val="0"/>
                      <w:color w:val="000000" w:themeColor="text1"/>
                      <w14:textFill>
                        <w14:solidFill>
                          <w14:schemeClr w14:val="tx1"/>
                        </w14:solidFill>
                      </w14:textFill>
                    </w:rPr>
                    <w:t>规范的处理前后采样位置</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rStyle w:val="58"/>
                      <w:rFonts w:hint="default" w:ascii="Times New Roman" w:hAnsi="Times New Roman"/>
                      <w:b/>
                      <w:color w:val="000000" w:themeColor="text1"/>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废气排气筒应按照《广东省污染源排污口规范化设置导则》（粤环〔2008〕42号）相关规定，设置与排污口相应的环境保护图形标志牌。</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按要求设置废气排气筒</w:t>
                  </w:r>
                  <w:r>
                    <w:rPr>
                      <w:bCs w:val="0"/>
                      <w:color w:val="000000" w:themeColor="text1"/>
                      <w14:textFill>
                        <w14:solidFill>
                          <w14:schemeClr w14:val="tx1"/>
                        </w14:solidFill>
                      </w14:textFill>
                    </w:rPr>
                    <w:t>标志牌</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 w:type="dxa"/>
                  <w:vMerge w:val="restart"/>
                  <w:tcBorders>
                    <w:top w:val="nil"/>
                    <w:left w:val="single" w:color="auto" w:sz="4" w:space="0"/>
                    <w:bottom w:val="single" w:color="auto" w:sz="4" w:space="0"/>
                    <w:right w:val="single" w:color="auto" w:sz="4" w:space="0"/>
                  </w:tcBorders>
                  <w:vAlign w:val="center"/>
                </w:tcPr>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环境管理</w:t>
                  </w:r>
                </w:p>
              </w:tc>
              <w:tc>
                <w:tcPr>
                  <w:tcW w:w="766" w:type="dxa"/>
                  <w:vMerge w:val="restart"/>
                  <w:tcBorders>
                    <w:top w:val="nil"/>
                    <w:left w:val="single" w:color="auto" w:sz="4" w:space="0"/>
                    <w:bottom w:val="single" w:color="auto" w:sz="4" w:space="0"/>
                    <w:right w:val="single" w:color="auto" w:sz="4" w:space="0"/>
                  </w:tcBorders>
                  <w:vAlign w:val="center"/>
                </w:tcPr>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管理台账</w:t>
                  </w: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建立含VOCs原辅材料台账，记录含VOCs原辅材料的名称及其VOCs含量、采购量、使用量、库存量、含VOCs原辅材料回收方式及回收量。</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本项目运行后建立</w:t>
                  </w:r>
                  <w:r>
                    <w:rPr>
                      <w:bCs w:val="0"/>
                      <w:color w:val="000000" w:themeColor="text1"/>
                      <w:kern w:val="0"/>
                      <w14:textFill>
                        <w14:solidFill>
                          <w14:schemeClr w14:val="tx1"/>
                        </w14:solidFill>
                      </w14:textFill>
                    </w:rPr>
                    <w:t>含VOCs原辅材料台账</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建立废气收集处理设施台账，记录废气处理设施进出口的监测数据（废气量、浓度、温度、含氧量等）、废气收集与处理设施关键参数、废气处理设施相关耗材（吸收剂、吸附剂、催化剂等）购买和处理记录。</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本项目运行后</w:t>
                  </w:r>
                  <w:r>
                    <w:rPr>
                      <w:bCs w:val="0"/>
                      <w:color w:val="000000" w:themeColor="text1"/>
                      <w:kern w:val="0"/>
                      <w14:textFill>
                        <w14:solidFill>
                          <w14:schemeClr w14:val="tx1"/>
                        </w14:solidFill>
                      </w14:textFill>
                    </w:rPr>
                    <w:t>建立废气收集处理设施台账</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建立危废台账，整理危废处置合同、转移联单及危废处理方资质佐证材料。</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本项目运行后</w:t>
                  </w:r>
                  <w:r>
                    <w:rPr>
                      <w:bCs w:val="0"/>
                      <w:color w:val="000000" w:themeColor="text1"/>
                      <w:kern w:val="0"/>
                      <w14:textFill>
                        <w14:solidFill>
                          <w14:schemeClr w14:val="tx1"/>
                        </w14:solidFill>
                      </w14:textFill>
                    </w:rPr>
                    <w:t>建立危废台账，整理危废处置合同、转移联单及危废处理方资质佐证材料</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vMerge w:val="continue"/>
                  <w:tcBorders>
                    <w:top w:val="nil"/>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4825"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台账保存期限不少于3年。</w:t>
                  </w:r>
                </w:p>
              </w:tc>
              <w:tc>
                <w:tcPr>
                  <w:tcW w:w="2810" w:type="dxa"/>
                  <w:tcBorders>
                    <w:top w:val="single" w:color="auto" w:sz="4" w:space="0"/>
                    <w:left w:val="single" w:color="auto" w:sz="4" w:space="0"/>
                    <w:bottom w:val="single" w:color="auto" w:sz="4"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本项目运行后</w:t>
                  </w:r>
                  <w:r>
                    <w:rPr>
                      <w:bCs w:val="0"/>
                      <w:color w:val="000000" w:themeColor="text1"/>
                      <w:kern w:val="0"/>
                      <w14:textFill>
                        <w14:solidFill>
                          <w14:schemeClr w14:val="tx1"/>
                        </w14:solidFill>
                      </w14:textFill>
                    </w:rPr>
                    <w:t>台账保存期限不少于5年</w:t>
                  </w:r>
                </w:p>
              </w:tc>
              <w:tc>
                <w:tcPr>
                  <w:tcW w:w="863"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2" w:type="dxa"/>
                  <w:vMerge w:val="continue"/>
                  <w:tcBorders>
                    <w:top w:val="nil"/>
                    <w:left w:val="single" w:color="auto" w:sz="4" w:space="0"/>
                    <w:bottom w:val="single" w:color="auto" w:sz="12"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766" w:type="dxa"/>
                  <w:tcBorders>
                    <w:top w:val="single" w:color="auto" w:sz="4" w:space="0"/>
                    <w:left w:val="single" w:color="auto" w:sz="4" w:space="0"/>
                    <w:bottom w:val="single" w:color="auto" w:sz="12" w:space="0"/>
                    <w:right w:val="single" w:color="auto" w:sz="4" w:space="0"/>
                  </w:tcBorders>
                  <w:vAlign w:val="center"/>
                </w:tcPr>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危废管理</w:t>
                  </w:r>
                </w:p>
              </w:tc>
              <w:tc>
                <w:tcPr>
                  <w:tcW w:w="4825" w:type="dxa"/>
                  <w:tcBorders>
                    <w:top w:val="single" w:color="auto" w:sz="4" w:space="0"/>
                    <w:left w:val="single" w:color="auto" w:sz="4" w:space="0"/>
                    <w:bottom w:val="single" w:color="auto" w:sz="12"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工艺过程产生的含VOCs废料（渣、液）应按照相关要求进行储存、转移和输送。盛装过VOCs物料的废包装容器应加盖密闭。</w:t>
                  </w:r>
                </w:p>
              </w:tc>
              <w:tc>
                <w:tcPr>
                  <w:tcW w:w="2810" w:type="dxa"/>
                  <w:tcBorders>
                    <w:top w:val="single" w:color="auto" w:sz="4" w:space="0"/>
                    <w:left w:val="single" w:color="auto" w:sz="4" w:space="0"/>
                    <w:bottom w:val="single" w:color="auto" w:sz="12" w:space="0"/>
                    <w:right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危险废物按照相关要求进行储存、转移和输送，盛装过VOCs物料的废包装容器加盖密闭</w:t>
                  </w:r>
                </w:p>
              </w:tc>
              <w:tc>
                <w:tcPr>
                  <w:tcW w:w="863" w:type="dxa"/>
                  <w:tcBorders>
                    <w:top w:val="single" w:color="auto" w:sz="4" w:space="0"/>
                    <w:left w:val="single" w:color="auto" w:sz="4" w:space="0"/>
                    <w:bottom w:val="single" w:color="auto" w:sz="12"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符合</w:t>
                  </w:r>
                </w:p>
              </w:tc>
            </w:tr>
          </w:tbl>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3、其他环保方面：</w:t>
            </w:r>
          </w:p>
          <w:p>
            <w:pPr>
              <w:adjustRightIn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（1）项目与《关于广东省2021年水、大气、土壤污染防治工作方案的通知》（粤办函〔2021〕58号）的相符性分析</w:t>
            </w:r>
          </w:p>
          <w:p>
            <w:pPr>
              <w:adjustRightIn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大气污染防治工作方案有关内容:</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9.全面深化涉VOCs排放企业深度治理。研究将《挥发性有机物无组织排放控制标准(CB37822-2019)》无组织排放要求作为强制性标准实施。制定省涉VOCs重点行业治理指引，督促指导涉VOCs重点企业对照治理指引编制VOCs深度治理手册并开展治理,年底前各地级以上市要完成治理任务量的10%，督促企业开展含VOCs 物料(包括含VOCs 原辅材料、含VOCs产品、含VOCs废料以及有机聚合物材料等)储存、转移和输送、设备与管线组件泄漏、敞开液面逸散以及工艺过程等无组织环节排查。指导企业使用适宜高效的治理技术，涉VOCs重点行业新建、改建和扩建项目不推荐使用光氧化、光催化、低温子等低效治理设施，已建项目逐步淘汰光氧化、光催化、低温等离子治理设施。指导采用一次性活性炭吸附治理技术的企业，明确活性炭装载量和更换频次，记录更换时间和使用量。推行活性炭厂内脱附和专用移动车上门脱附，指导企业做好废活性炭的密封贮存和转移，引导建设活性炭集中处理中心、溶剂回收中心，推动家具、干洗、汽车配件生产等典型行业建设共性工厂，推进汽车维修业建设共享喷涂车间，实施喷漆废气处理，使用水性、高固体份涂料替代溶剂型涂料。（省生态环境厅、工业和信息化厅按职责分工负责）</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水污染防治工作方案有关内容:</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三)深入推进工业污染治理。提升工业污染源闭环管控水平，实施污染源“三线一单'管控一一规划与项目环评一—排污许可证管理一一环境监察与执法”的闭环管理机制。严格落实排污许可证后执法监管，确保依法持证排污、按证排污，加大涉排污许可证环境违法行为查处力度，适时开展专项执法行动。对重点流城和重点控制单元进行定期检查与突击执法，不定期组织联合执法、交叉执法，持续保持环保执法高压态势，坚决查处偷排超排、漏排等环境违法行为。建立健全重污染行业退出机制和防乱污”企业回潮的长效监管机制。进一步强化环保执法推动违法企业及时有效落实整改措施。推动工：业废水资源化利用，加快中水回用及再生水循环利用设施建设，选取重用水企业开展用水审计、水效对标和节水改造，推进企业内部工业用水循环利用，推进园区内企业间用水系统集成优化，实现串联用水、分质用水、一水多用和梯级利用。鼓励各地开展工业区(工业集聚区)“污水零直排区”试点示范。(省生态环境厅、发展改革委、科技厅、工业和信息化厅、住房城乡建设厅、水利厅按职责分工负责)。</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土壤污染防治工作方案有关内容:</w:t>
            </w:r>
          </w:p>
          <w:p>
            <w:pPr>
              <w:adjustRightIn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二)加强工业污染风险防控。严格执行重金属污染物排放标准，持续落实相关总量控制指标。补充涉镉等重金属重点行业企业重点排查区域，更新污染源整治清单，督促责任主体制定并落实整治方案。加强工业废物处理处置，各地级以上市组织开展工业固体废物堆存场所的现场检查，重点检查防扬散、防流失、防渗漏等设施建设运行情况，发现问题要督促责任主体立即整改。(省生态环境厅牵头，省发展改革委、工业和信息化厅、自然资源厅、国资委、地质局、核工业地质局参与)。</w:t>
            </w:r>
          </w:p>
          <w:p>
            <w:pPr>
              <w:spacing w:line="360" w:lineRule="auto"/>
              <w:ind w:firstLine="422" w:firstLineChars="200"/>
              <w:rPr>
                <w:color w:val="000000" w:themeColor="text1"/>
                <w14:textFill>
                  <w14:solidFill>
                    <w14:schemeClr w14:val="tx1"/>
                  </w14:solidFill>
                </w14:textFill>
              </w:rPr>
            </w:pPr>
            <w:r>
              <w:rPr>
                <w:b/>
                <w:bCs w:val="0"/>
                <w:color w:val="000000" w:themeColor="text1"/>
                <w:kern w:val="0"/>
                <w14:textFill>
                  <w14:solidFill>
                    <w14:schemeClr w14:val="tx1"/>
                  </w14:solidFill>
                </w14:textFill>
              </w:rPr>
              <w:t>相符性分析：</w:t>
            </w:r>
            <w:r>
              <w:rPr>
                <w:color w:val="000000" w:themeColor="text1"/>
                <w14:textFill>
                  <w14:solidFill>
                    <w14:schemeClr w14:val="tx1"/>
                  </w14:solidFill>
                </w14:textFill>
              </w:rPr>
              <w:t>本项目属于C3821变压器、整流器和电感器制造，主要从事变压器的生产，不属于涉VOCs重点行业，</w:t>
            </w:r>
            <w:r>
              <w:rPr>
                <w:rFonts w:hint="eastAsia"/>
                <w:color w:val="000000" w:themeColor="text1"/>
                <w:lang w:val="en-US" w:eastAsia="zh-CN"/>
                <w14:textFill>
                  <w14:solidFill>
                    <w14:schemeClr w14:val="tx1"/>
                  </w14:solidFill>
                </w14:textFill>
              </w:rPr>
              <w:t>组立工序VOCs顶吸集气罩收集，</w:t>
            </w:r>
            <w:r>
              <w:rPr>
                <w:color w:val="000000" w:themeColor="text1"/>
                <w14:textFill>
                  <w14:solidFill>
                    <w14:schemeClr w14:val="tx1"/>
                  </w14:solidFill>
                </w14:textFill>
              </w:rPr>
              <w:t>真空含浸、</w:t>
            </w:r>
            <w:r>
              <w:rPr>
                <w:color w:val="000000" w:themeColor="text1"/>
                <w:kern w:val="0"/>
                <w14:textFill>
                  <w14:solidFill>
                    <w14:schemeClr w14:val="tx1"/>
                  </w14:solidFill>
                </w14:textFill>
              </w:rPr>
              <w:t>烘干工序</w:t>
            </w:r>
            <w:r>
              <w:rPr>
                <w:color w:val="000000" w:themeColor="text1"/>
                <w14:textFill>
                  <w14:solidFill>
                    <w14:schemeClr w14:val="tx1"/>
                  </w14:solidFill>
                </w14:textFill>
              </w:rPr>
              <w:t>VOCs密闭负压</w:t>
            </w:r>
            <w:r>
              <w:rPr>
                <w:color w:val="000000" w:themeColor="text1"/>
                <w:kern w:val="0"/>
                <w14:textFill>
                  <w14:solidFill>
                    <w14:schemeClr w14:val="tx1"/>
                  </w14:solidFill>
                </w14:textFill>
              </w:rPr>
              <w:t>收集，汇集至</w:t>
            </w:r>
            <w:r>
              <w:rPr>
                <w:color w:val="000000" w:themeColor="text1"/>
                <w14:textFill>
                  <w14:solidFill>
                    <w14:schemeClr w14:val="tx1"/>
                  </w14:solidFill>
                </w14:textFill>
              </w:rPr>
              <w:t>“水喷淋塔+干式过滤器+二级活性炭吸附装置”处理最后通过15m高排气筒（DA001）达标排放，对周边环境影响不大；本项目生产过程中无生产废水产生及排放，生活污水经“三级化粪池”预处理后达到广东省地方标准《水污染物排放限值》（DB44/26-2001）第二时段三级标准后通过市政纳污管网排入博罗县城生活污水处理厂处理；本项目生产过程不会产生重金属污染物，也不属于重金属重点行业企业重点排查区域，一般工业固废仓库的建设满足防渗漏、防雨淋、防扬尘等要求，危险废物仓库的建设满足《危险废物贮存污染控制标准》（GB18597-2023）。</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因此，项目与</w:t>
            </w:r>
            <w:r>
              <w:rPr>
                <w:rFonts w:ascii="Times New Roman" w:hAnsi="Times New Roman" w:cs="Times New Roman"/>
                <w:bCs/>
                <w:color w:val="000000" w:themeColor="text1"/>
                <w:sz w:val="21"/>
                <w:szCs w:val="21"/>
                <w14:textFill>
                  <w14:solidFill>
                    <w14:schemeClr w14:val="tx1"/>
                  </w14:solidFill>
                </w14:textFill>
              </w:rPr>
              <w:t>《关于广东省2021年水、大气、土壤污染防治工作方案的通知》相符合。</w:t>
            </w:r>
          </w:p>
          <w:p>
            <w:pPr>
              <w:spacing w:line="360" w:lineRule="auto"/>
              <w:ind w:firstLine="422" w:firstLineChars="200"/>
              <w:rPr>
                <w:rStyle w:val="59"/>
                <w:b/>
                <w:color w:val="000000" w:themeColor="text1"/>
                <w14:textFill>
                  <w14:solidFill>
                    <w14:schemeClr w14:val="tx1"/>
                  </w14:solidFill>
                </w14:textFill>
              </w:rPr>
            </w:pPr>
            <w:r>
              <w:rPr>
                <w:b/>
                <w:color w:val="000000" w:themeColor="text1"/>
                <w14:textFill>
                  <w14:solidFill>
                    <w14:schemeClr w14:val="tx1"/>
                  </w14:solidFill>
                </w14:textFill>
              </w:rPr>
              <w:t>（2）与《广东省生态环境厅关于印发&lt;广东省生态环境保护“十四五”规划&gt;的通知》（粤环〔2021〕10号）相符性分析</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根据《广东省生态环境保护“十四五”规划》：</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第五章 加强协同控制，引领大气环境质量改善</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大力推进挥发性有机物（VOCs）源头控制和重点行业深度治理。开展原油、成品油、有机化学品等涉VOCs物质储罐排查，深化重点行业VOCs排放基数调查，系统掌握工业源VOCs产生、处理、排放及分布情况，分类建立台账，实施VOCs精细化管理。在石化、化工、包装印刷、工业涂装等重点行业建立完善源头、过程和末端的VOCs全过程控制体系。大力推进低VOCs含量原辅材料源头替代，严格落实国家和地方产品VOCs 含量限值质量标准，禁止建设生产和使用高VOCs含量的溶剂型涂料、油墨、胶粘剂等项目。严格实施VOCs排放企业分级管控，全面推进涉VOCs排放企业深度治理。开展中小型企业废气收集和治理设施建设、运行情况的评估，强化对企业涉VOCs生产车间/工序废气的收集管理，推动企业开展治理设施升级改造。推进工业园区、企业集群因地制宜统筹规划建设一批集中喷涂中心（共性工厂）、活性炭集中再生中心，实现VOCs集中高效处理。开展无组织排放源排查，加强含VOCs物料全方位、全链条、全环节密闭管理，深入推进泄漏检测与修复（LDAR）工作。</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相符性分析：</w:t>
            </w:r>
            <w:r>
              <w:rPr>
                <w:color w:val="000000" w:themeColor="text1"/>
                <w14:textFill>
                  <w14:solidFill>
                    <w14:schemeClr w14:val="tx1"/>
                  </w14:solidFill>
                </w14:textFill>
              </w:rPr>
              <w:t>本项目位于惠州市博罗县罗阳街道虾塱村委会洲际工业园梅园3路22号，主要从事变压器的生产，属于《国民经济行业分类》（GB/T 4754-2017）及第1号修改单中</w:t>
            </w:r>
            <w:r>
              <w:rPr>
                <w:color w:val="000000" w:themeColor="text1"/>
                <w:kern w:val="0"/>
                <w14:textFill>
                  <w14:solidFill>
                    <w14:schemeClr w14:val="tx1"/>
                  </w14:solidFill>
                </w14:textFill>
              </w:rPr>
              <w:t>“</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w:t>
            </w:r>
            <w:r>
              <w:rPr>
                <w:color w:val="000000" w:themeColor="text1"/>
                <w14:textFill>
                  <w14:solidFill>
                    <w14:schemeClr w14:val="tx1"/>
                  </w14:solidFill>
                </w14:textFill>
              </w:rPr>
              <w:t>，项目不使用高VOCs原辅材料，所使用的原辅料满足对应的挥发性有机物含量限值。</w:t>
            </w:r>
            <w:r>
              <w:rPr>
                <w:color w:val="000000" w:themeColor="text1"/>
                <w:kern w:val="0"/>
                <w14:textFill>
                  <w14:solidFill>
                    <w14:schemeClr w14:val="tx1"/>
                  </w14:solidFill>
                </w14:textFill>
              </w:rPr>
              <w:t>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，符合《胶粘剂挥发性有机化合物限量》（GB33372-2020）中表3本体型胶粘剂VOC含量限值中其他-环氧树脂类（≤50g/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项目使用的绝缘漆VOC含量为27g/L（详见附件6-2），符合《工业防护涂料中有害物质限量》（GB30981-2020）中表3无溶剂型涂料VOC含量限值（≤100g/L）要求，且符合《低挥发性有机化合物含量涂料产品技术要求》（GB/T38597-2020）中表3无溶剂型涂料（≤60g/L）要求</w:t>
            </w:r>
            <w:r>
              <w:rPr>
                <w:color w:val="000000" w:themeColor="text1"/>
                <w:lang w:bidi="ar"/>
                <w14:textFill>
                  <w14:solidFill>
                    <w14:schemeClr w14:val="tx1"/>
                  </w14:solidFill>
                </w14:textFill>
              </w:rPr>
              <w:t>。</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因此，本项目与《广东省生态环境保护“十四五”规划》相关要求相符。</w:t>
            </w:r>
          </w:p>
          <w:p>
            <w:pPr>
              <w:spacing w:line="360" w:lineRule="auto"/>
              <w:ind w:firstLine="422" w:firstLineChars="200"/>
              <w:rPr>
                <w:b/>
                <w:bCs w:val="0"/>
                <w:color w:val="000000" w:themeColor="text1"/>
                <w14:textFill>
                  <w14:solidFill>
                    <w14:schemeClr w14:val="tx1"/>
                  </w14:solidFill>
                </w14:textFill>
              </w:rPr>
            </w:pPr>
            <w:r>
              <w:rPr>
                <w:b/>
                <w:color w:val="000000" w:themeColor="text1"/>
                <w14:textFill>
                  <w14:solidFill>
                    <w14:schemeClr w14:val="tx1"/>
                  </w14:solidFill>
                </w14:textFill>
              </w:rPr>
              <w:t>（3）与《惠州市人民政府关于印发惠州市生态环境保护“十四五”规划的通知》（惠府〔2022〕11号）的相符性分析</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根据《惠州市人民政府关于印发惠州市生态环境保护“十四五”规划的通知》（惠府〔2022〕11号）：</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第二节 大力推进工业源深度治理</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加强挥发性有机物（VOCs）深度治理。建立健全全市VOCs重点管控企业清单，督促重点行业企业编制VOCs深度治理手册，指导辖区内VOCs重点监管企业“按单施治”。实施VOCs重点企业分级管控，更新建立重点企业分级管理台账。加强低挥发性有机物原辅材料替代，严格执行大宗有机溶剂产品VOCs含量限值标准，禁止建设生产和使用高VOCs含量的溶剂型涂料、油墨、胶粘剂等项目。落实建设项目VOCs削减替代制度，重点推进炼油石化、化工、工业涂装、印刷、制鞋、电子制造等重点行业，以及机动车和油品储运销等领域VOCs减排。以加油站、储油库为重点，加强VOCs无组织排放控制，加强储罐、装卸、设备管线组件、污水处理厂等通用设施污染源项管理。大亚湾石化区石油炼制及化工行业全面实施VOCs泄漏检测与修复（LDAR）工作，加快应用VOCs走航监测等新技术，加快推动车用汽油年销售量5000吨以上的加油站开展油气回收在线监控。</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相符性分析：</w:t>
            </w:r>
            <w:r>
              <w:rPr>
                <w:color w:val="000000" w:themeColor="text1"/>
                <w14:textFill>
                  <w14:solidFill>
                    <w14:schemeClr w14:val="tx1"/>
                  </w14:solidFill>
                </w14:textFill>
              </w:rPr>
              <w:t>本项目主要从事变压器的生产，属于《国民经济行业分类》（GB/T 4754-2017）及第1号修改单中</w:t>
            </w:r>
            <w:r>
              <w:rPr>
                <w:color w:val="000000" w:themeColor="text1"/>
                <w:kern w:val="0"/>
                <w14:textFill>
                  <w14:solidFill>
                    <w14:schemeClr w14:val="tx1"/>
                  </w14:solidFill>
                </w14:textFill>
              </w:rPr>
              <w:t>“</w:t>
            </w:r>
            <w:r>
              <w:rPr>
                <w:color w:val="000000" w:themeColor="text1"/>
                <w:kern w:val="21"/>
                <w14:textFill>
                  <w14:solidFill>
                    <w14:schemeClr w14:val="tx1"/>
                  </w14:solidFill>
                </w14:textFill>
              </w:rPr>
              <w:t>C3821变压器、整流器和电感器制造</w:t>
            </w:r>
            <w:r>
              <w:rPr>
                <w:color w:val="000000" w:themeColor="text1"/>
                <w:kern w:val="0"/>
                <w14:textFill>
                  <w14:solidFill>
                    <w14:schemeClr w14:val="tx1"/>
                  </w14:solidFill>
                </w14:textFill>
              </w:rPr>
              <w:t>”</w:t>
            </w:r>
            <w:r>
              <w:rPr>
                <w:color w:val="000000" w:themeColor="text1"/>
                <w14:textFill>
                  <w14:solidFill>
                    <w14:schemeClr w14:val="tx1"/>
                  </w14:solidFill>
                </w14:textFill>
              </w:rPr>
              <w:t>，项目不使用高VOCs原辅材料，所使用的原辅料满足对应的挥发性有机物含量限值。</w:t>
            </w:r>
            <w:r>
              <w:rPr>
                <w:color w:val="000000" w:themeColor="text1"/>
                <w:kern w:val="0"/>
                <w14:textFill>
                  <w14:solidFill>
                    <w14:schemeClr w14:val="tx1"/>
                  </w14:solidFill>
                </w14:textFill>
              </w:rPr>
              <w:t>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，符合《胶粘剂挥发性有机化合物限量》（GB33372-2020）中表3本体型胶粘剂VOC含量限值中其他-环氧树脂类（≤50g/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项目使用的绝缘漆VOC含量为27g/L（详见附件6-2），符合《工业防护涂料中有害物质限量》（GB30981-2020）中表3无溶剂型涂料VOC含量限值（≤100g/L）要求，且符合《低挥发性有机化合物含量涂料产品技术要求》（GB/T38597-2020）中表3无溶剂型涂料（≤60g/L）要求</w:t>
            </w:r>
            <w:r>
              <w:rPr>
                <w:color w:val="000000" w:themeColor="text1"/>
                <w:lang w:bidi="ar"/>
                <w14:textFill>
                  <w14:solidFill>
                    <w14:schemeClr w14:val="tx1"/>
                  </w14:solidFill>
                </w14:textFill>
              </w:rPr>
              <w:t>。</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因此，本项目与《惠州市人民政府关于印发惠州市生态环境保护“十四五”规划的通知》（惠府〔2022〕11号）相符。</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（4）与《惠州市推进工业企业低挥发性有机物原辅材料替代工作方案》（惠市工信[2021]228号）的相符性分析</w:t>
            </w:r>
          </w:p>
          <w:p>
            <w:pPr>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根据《惠州市推进工业企业低挥发性有机物原辅材料替代工作方案》：</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分类处置，应替尽替”的原则，通过“示范引领，执法倒逼”等方式，推动工业涂装、家具喷涂、包装印刷等重点行业低VOCs含量源头替代，采用符合国家有关低VOCs含量产品规定的涂料、油墨、胶粘剂、切削液、润滑液等，或使用的原辅材VOCs含量（质量比）均低于10%的工序。工业涂装行业根据《涂料中挥发性有机物限量》中VOCs含量限值要求，重点加快使用粉末、水性、高固体分、辐射固化等低VOCs含量的涂料替代溶剂型涂料；包装印刷行业重点推广使用植物基油基油墨、辐射固化油墨、低醇润版液等低VOCs含量原辅材料，重点推进塑料软包装印刷、印铁制罐等企业的替代任务。大力推进企业低挥发性有机物源头替代工作，从源头上减少挥发性有机物排放。</w:t>
            </w:r>
          </w:p>
          <w:p>
            <w:pPr>
              <w:spacing w:line="360" w:lineRule="auto"/>
              <w:ind w:firstLine="422" w:firstLineChars="200"/>
              <w:rPr>
                <w:b/>
                <w:color w:val="000000" w:themeColor="text1"/>
                <w14:textFill>
                  <w14:solidFill>
                    <w14:schemeClr w14:val="tx1"/>
                  </w14:solidFill>
                </w14:textFill>
              </w:rPr>
            </w:pPr>
            <w:r>
              <w:rPr>
                <w:b/>
                <w:bCs w:val="0"/>
                <w:color w:val="000000" w:themeColor="text1"/>
                <w14:textFill>
                  <w14:solidFill>
                    <w14:schemeClr w14:val="tx1"/>
                  </w14:solidFill>
                </w14:textFill>
              </w:rPr>
              <w:t>相符性分析：</w:t>
            </w:r>
          </w:p>
          <w:p>
            <w:pPr>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项目位于惠州市博罗县罗阳街道虾塱村委会洲际工业园梅园3路22号，主要从事变压器的生产，属于《国民经济行业分类》（GB/T4754-2017）及其国家标准第1号修改单中C3821变压器、整流器和电感器制造，项目使用的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kern w:val="0"/>
                <w:lang w:bidi="ar"/>
                <w14:textFill>
                  <w14:solidFill>
                    <w14:schemeClr w14:val="tx1"/>
                  </w14:solidFill>
                </w14:textFill>
              </w:rPr>
              <w:t>VOC含量为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w:t>
            </w:r>
            <w:r>
              <w:rPr>
                <w:color w:val="000000" w:themeColor="text1"/>
                <w14:textFill>
                  <w14:solidFill>
                    <w14:schemeClr w14:val="tx1"/>
                  </w14:solidFill>
                </w14:textFill>
              </w:rPr>
              <w:t>满足</w:t>
            </w:r>
            <w:r>
              <w:rPr>
                <w:bCs w:val="0"/>
                <w:color w:val="000000" w:themeColor="text1"/>
                <w14:textFill>
                  <w14:solidFill>
                    <w14:schemeClr w14:val="tx1"/>
                  </w14:solidFill>
                </w14:textFill>
              </w:rPr>
              <w:t>《胶粘剂挥发性有机化合物限量》（GB33372-2020）</w:t>
            </w:r>
            <w:r>
              <w:rPr>
                <w:color w:val="000000" w:themeColor="text1"/>
                <w:kern w:val="0"/>
                <w:lang w:bidi="ar"/>
                <w14:textFill>
                  <w14:solidFill>
                    <w14:schemeClr w14:val="tx1"/>
                  </w14:solidFill>
                </w14:textFill>
              </w:rPr>
              <w:t>表3本体型胶粘剂VOC含量限值中其他-环氧树脂类（≤50g/</w:t>
            </w:r>
            <w:r>
              <w:rPr>
                <w:rFonts w:hint="eastAsia"/>
                <w:color w:val="000000" w:themeColor="text1"/>
                <w:kern w:val="0"/>
                <w:lang w:val="en-US" w:eastAsia="zh-CN" w:bidi="ar"/>
                <w14:textFill>
                  <w14:solidFill>
                    <w14:schemeClr w14:val="tx1"/>
                  </w14:solidFill>
                </w14:textFill>
              </w:rPr>
              <w:t>kg</w:t>
            </w:r>
            <w:r>
              <w:rPr>
                <w:color w:val="000000" w:themeColor="text1"/>
                <w:kern w:val="0"/>
                <w:lang w:bidi="ar"/>
                <w14:textFill>
                  <w14:solidFill>
                    <w14:schemeClr w14:val="tx1"/>
                  </w14:solidFill>
                </w14:textFill>
              </w:rPr>
              <w:t>）的限值</w:t>
            </w:r>
            <w:r>
              <w:rPr>
                <w:bCs w:val="0"/>
                <w:color w:val="000000" w:themeColor="text1"/>
                <w14:textFill>
                  <w14:solidFill>
                    <w14:schemeClr w14:val="tx1"/>
                  </w14:solidFill>
                </w14:textFill>
              </w:rPr>
              <w:t>；项目使用的绝缘漆</w:t>
            </w:r>
            <w:r>
              <w:rPr>
                <w:bCs w:val="0"/>
                <w:color w:val="000000" w:themeColor="text1"/>
                <w:kern w:val="0"/>
                <w:lang w:bidi="ar"/>
                <w14:textFill>
                  <w14:solidFill>
                    <w14:schemeClr w14:val="tx1"/>
                  </w14:solidFill>
                </w14:textFill>
              </w:rPr>
              <w:t>的VOC含量为27g/L，</w:t>
            </w:r>
            <w:r>
              <w:rPr>
                <w:color w:val="000000" w:themeColor="text1"/>
                <w:kern w:val="0"/>
                <w:lang w:bidi="ar"/>
                <w14:textFill>
                  <w14:solidFill>
                    <w14:schemeClr w14:val="tx1"/>
                  </w14:solidFill>
                </w14:textFill>
              </w:rPr>
              <w:t>符合《工业防护涂料中有害物质限量》（GB30981-2020）中表3无溶剂型涂料VOC含量限值（≤100g/L）要求，且符合《低挥发性有机化合物含量涂料产品技术要求》（GB/T38597-2020）中表3无溶剂型涂料（≤60g/L）要求</w:t>
            </w:r>
            <w:r>
              <w:rPr>
                <w:color w:val="000000" w:themeColor="text1"/>
                <w14:textFill>
                  <w14:solidFill>
                    <w14:schemeClr w14:val="tx1"/>
                  </w14:solidFill>
                </w14:textFill>
              </w:rPr>
              <w:t>，因此本项目所使用的原辅料均不属于高VOCs含量物料。项目生产过程中产生的VOCs密闭负压收集抽至“水喷淋塔+干式过滤器+二级活性炭吸附装置”处理后通过15m高排气筒（DA001）达标排放。</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因此，本项目建设符合《惠州市推进工业企业低挥发性有机物原辅材料替代工作方案》（惠市工信[2021]228号）。</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（5）本项目涉及溶剂型涂料的政策法规符合性分析</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本项目主要从事变压器的生产，属于《国民经济行业分类》（GB/T 4754-2017）及第1号修改单中“C3821变压器、整流器和电感器制造”，项目在生产过程中需要用到绝缘漆对变压器进行含浸，建设单位使用的是符合国家相关强制性标准涂料，涉及的相关产业政策详见下表：</w:t>
            </w:r>
          </w:p>
          <w:p>
            <w:pPr>
              <w:spacing w:line="360" w:lineRule="auto"/>
              <w:ind w:firstLine="422" w:firstLineChars="20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表1-4  涂料涉及的相关产业政策</w:t>
            </w:r>
          </w:p>
          <w:tbl>
            <w:tblPr>
              <w:tblStyle w:val="31"/>
              <w:tblW w:w="9691" w:type="dxa"/>
              <w:tblInd w:w="0" w:type="dxa"/>
              <w:tblBorders>
                <w:top w:val="single" w:color="auto" w:sz="18" w:space="0"/>
                <w:left w:val="single" w:color="auto" w:sz="6" w:space="0"/>
                <w:bottom w:val="single" w:color="auto" w:sz="18"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845"/>
              <w:gridCol w:w="4846"/>
            </w:tblGrid>
            <w:tr>
              <w:tblPrEx>
                <w:tblBorders>
                  <w:top w:val="single" w:color="auto" w:sz="18" w:space="0"/>
                  <w:left w:val="single" w:color="auto" w:sz="6" w:space="0"/>
                  <w:bottom w:val="single" w:color="auto" w:sz="18"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845" w:type="dxa"/>
                  <w:tcBorders>
                    <w:top w:val="single" w:color="auto" w:sz="18" w:space="0"/>
                    <w:left w:val="single" w:color="auto" w:sz="6" w:space="0"/>
                    <w:bottom w:val="single" w:color="auto" w:sz="6" w:space="0"/>
                    <w:right w:val="single" w:color="auto" w:sz="6" w:space="0"/>
                  </w:tcBorders>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政策文件名称</w:t>
                  </w:r>
                </w:p>
              </w:tc>
              <w:tc>
                <w:tcPr>
                  <w:tcW w:w="4846" w:type="dxa"/>
                  <w:tcBorders>
                    <w:top w:val="single" w:color="auto" w:sz="18" w:space="0"/>
                    <w:left w:val="single" w:color="auto" w:sz="6" w:space="0"/>
                    <w:bottom w:val="single" w:color="auto" w:sz="6" w:space="0"/>
                    <w:right w:val="single" w:color="auto" w:sz="6" w:space="0"/>
                  </w:tcBorders>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涉及的核心政策文件内容</w:t>
                  </w:r>
                </w:p>
              </w:tc>
            </w:tr>
            <w:tr>
              <w:tblPrEx>
                <w:tblBorders>
                  <w:top w:val="single" w:color="auto" w:sz="18" w:space="0"/>
                  <w:left w:val="single" w:color="auto" w:sz="6" w:space="0"/>
                  <w:bottom w:val="single" w:color="auto" w:sz="18"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845" w:type="dxa"/>
                  <w:tcBorders>
                    <w:top w:val="single" w:color="auto" w:sz="6" w:space="0"/>
                    <w:left w:val="single" w:color="auto" w:sz="6" w:space="0"/>
                    <w:bottom w:val="single" w:color="auto" w:sz="6" w:space="0"/>
                    <w:right w:val="single" w:color="auto" w:sz="6" w:space="0"/>
                  </w:tcBorders>
                  <w:vAlign w:val="center"/>
                </w:tcPr>
                <w:p>
                  <w:pPr>
                    <w:adjustRightInd w:val="0"/>
                    <w:snapToGrid w:val="0"/>
                    <w:rPr>
                      <w:b/>
                      <w:bCs w:val="0"/>
                      <w:color w:val="000000" w:themeColor="text1"/>
                      <w14:textFill>
                        <w14:solidFill>
                          <w14:schemeClr w14:val="tx1"/>
                        </w14:solidFill>
                      </w14:textFill>
                    </w:rPr>
                  </w:pPr>
                  <w:r>
                    <w:rPr>
                      <w:b/>
                      <w:bCs w:val="0"/>
                      <w:color w:val="000000" w:themeColor="text1"/>
                      <w14:textFill>
                        <w14:solidFill>
                          <w14:schemeClr w14:val="tx1"/>
                        </w14:solidFill>
                      </w14:textFill>
                    </w:rPr>
                    <w:t>中华人民共和国大气污染防治法（2018年修订）</w:t>
                  </w:r>
                </w:p>
              </w:tc>
              <w:tc>
                <w:tcPr>
                  <w:tcW w:w="4846" w:type="dxa"/>
                  <w:tcBorders>
                    <w:top w:val="single" w:color="auto" w:sz="6" w:space="0"/>
                    <w:left w:val="single" w:color="auto" w:sz="6" w:space="0"/>
                    <w:bottom w:val="single" w:color="auto" w:sz="6" w:space="0"/>
                    <w:right w:val="single" w:color="auto" w:sz="6" w:space="0"/>
                  </w:tcBorders>
                  <w:vAlign w:val="center"/>
                </w:tcPr>
                <w:p>
                  <w:pPr>
                    <w:rPr>
                      <w:bCs w:val="0"/>
                      <w:color w:val="000000" w:themeColor="text1"/>
                      <w14:textFill>
                        <w14:solidFill>
                          <w14:schemeClr w14:val="tx1"/>
                        </w14:solidFill>
                      </w14:textFill>
                    </w:rPr>
                  </w:pPr>
                  <w:r>
                    <w:rPr>
                      <w:color w:val="000000" w:themeColor="text1"/>
                      <w14:textFill>
                        <w14:solidFill>
                          <w14:schemeClr w14:val="tx1"/>
                        </w14:solidFill>
                      </w14:textFill>
                    </w:rPr>
                    <w:t>第四十六条 工业涂装企业应当使用低挥发性有机物含量的涂料</w:t>
                  </w:r>
                </w:p>
              </w:tc>
            </w:tr>
            <w:tr>
              <w:tblPrEx>
                <w:tblBorders>
                  <w:top w:val="single" w:color="auto" w:sz="18" w:space="0"/>
                  <w:left w:val="single" w:color="auto" w:sz="6" w:space="0"/>
                  <w:bottom w:val="single" w:color="auto" w:sz="18"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845" w:type="dxa"/>
                  <w:tcBorders>
                    <w:top w:val="single" w:color="auto" w:sz="6" w:space="0"/>
                    <w:left w:val="single" w:color="auto" w:sz="6" w:space="0"/>
                    <w:bottom w:val="single" w:color="auto" w:sz="6" w:space="0"/>
                    <w:right w:val="single" w:color="auto" w:sz="6" w:space="0"/>
                  </w:tcBorders>
                  <w:vAlign w:val="center"/>
                </w:tcPr>
                <w:p>
                  <w:pPr>
                    <w:adjustRightInd w:val="0"/>
                    <w:snapToGrid w:val="0"/>
                    <w:rPr>
                      <w:b/>
                      <w:color w:val="000000" w:themeColor="text1"/>
                      <w14:textFill>
                        <w14:solidFill>
                          <w14:schemeClr w14:val="tx1"/>
                        </w14:solidFill>
                      </w14:textFill>
                    </w:rPr>
                  </w:pPr>
                  <w:r>
                    <w:rPr>
                      <w:b/>
                      <w:bCs w:val="0"/>
                      <w:color w:val="000000" w:themeColor="text1"/>
                      <w14:textFill>
                        <w14:solidFill>
                          <w14:schemeClr w14:val="tx1"/>
                        </w14:solidFill>
                      </w14:textFill>
                    </w:rPr>
                    <w:t>《广东省大气污染防治条例》（广东省第十三届人民代表大会常务委员会公告（第20号））</w:t>
                  </w:r>
                </w:p>
              </w:tc>
              <w:tc>
                <w:tcPr>
                  <w:tcW w:w="4846" w:type="dxa"/>
                  <w:tcBorders>
                    <w:top w:val="single" w:color="auto" w:sz="6" w:space="0"/>
                    <w:left w:val="single" w:color="auto" w:sz="6" w:space="0"/>
                    <w:bottom w:val="single" w:color="auto" w:sz="6" w:space="0"/>
                    <w:right w:val="single" w:color="auto" w:sz="6" w:space="0"/>
                  </w:tcBorders>
                  <w:vAlign w:val="center"/>
                </w:tcPr>
                <w:p>
                  <w:pPr>
                    <w:rPr>
                      <w:bCs w:val="0"/>
                      <w:color w:val="000000" w:themeColor="text1"/>
                      <w14:textFill>
                        <w14:solidFill>
                          <w14:schemeClr w14:val="tx1"/>
                        </w14:solidFill>
                      </w14:textFill>
                    </w:rPr>
                  </w:pPr>
                  <w:r>
                    <w:rPr>
                      <w:color w:val="000000" w:themeColor="text1"/>
                      <w14:textFill>
                        <w14:solidFill>
                          <w14:schemeClr w14:val="tx1"/>
                        </w14:solidFill>
                      </w14:textFill>
                    </w:rPr>
                    <w:t>第二十七条 工业涂装企业应当使用低挥发性有机物含量的涂料</w:t>
                  </w:r>
                </w:p>
              </w:tc>
            </w:tr>
          </w:tbl>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关于以上政策文件，分析如下，首先根据广东省生态环境厅回复如下：</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48910" cy="5438775"/>
                  <wp:effectExtent l="57150" t="57150" r="104140" b="104775"/>
                  <wp:docPr id="1746917237" name="图片 1" descr="图形用户界面, 网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917237" name="图片 1" descr="图形用户界面, 网站&#10;&#10;描述已自动生成"/>
                          <pic:cNvPicPr>
                            <a:picLocks noChangeAspect="1"/>
                          </pic:cNvPicPr>
                        </pic:nvPicPr>
                        <pic:blipFill>
                          <a:blip r:embed="rId7"/>
                          <a:stretch>
                            <a:fillRect/>
                          </a:stretch>
                        </pic:blipFill>
                        <pic:spPr>
                          <a:xfrm>
                            <a:off x="0" y="0"/>
                            <a:ext cx="5251307" cy="5441267"/>
                          </a:xfrm>
                          <a:prstGeom prst="rect">
                            <a:avLst/>
                          </a:prstGeom>
                          <a:ln w="1905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inline>
              </w:drawing>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图1-1  广东省生态环境厅相关内容回复截图</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本项目拟使用的绝缘漆的</w:t>
            </w:r>
            <w:r>
              <w:rPr>
                <w:color w:val="000000" w:themeColor="text1"/>
                <w:kern w:val="0"/>
                <w:lang w:bidi="ar"/>
                <w14:textFill>
                  <w14:solidFill>
                    <w14:schemeClr w14:val="tx1"/>
                  </w14:solidFill>
                </w14:textFill>
              </w:rPr>
              <w:t>VOC含量为27g/L</w:t>
            </w:r>
            <w:r>
              <w:rPr>
                <w:color w:val="000000" w:themeColor="text1"/>
                <w14:textFill>
                  <w14:solidFill>
                    <w14:schemeClr w14:val="tx1"/>
                  </w14:solidFill>
                </w14:textFill>
              </w:rPr>
              <w:t>，</w:t>
            </w:r>
            <w:r>
              <w:rPr>
                <w:color w:val="000000" w:themeColor="text1"/>
                <w:kern w:val="0"/>
                <w:lang w:bidi="ar"/>
                <w14:textFill>
                  <w14:solidFill>
                    <w14:schemeClr w14:val="tx1"/>
                  </w14:solidFill>
                </w14:textFill>
              </w:rPr>
              <w:t>符合《低挥发性有机化合物含量涂料产品技术要求》（GB/T38597-2020）中表3的无溶剂型涂料含量限值要求（≤60g/L）。</w:t>
            </w:r>
            <w:r>
              <w:rPr>
                <w:color w:val="000000" w:themeColor="text1"/>
                <w14:textFill>
                  <w14:solidFill>
                    <w14:schemeClr w14:val="tx1"/>
                  </w14:solidFill>
                </w14:textFill>
              </w:rPr>
              <w:t>根据上述回复可知，建设单位拟使用的绝缘漆需要满足国家已颁布了《低挥发性有机化合物含量涂料产品技术要求》（GB/T 38597-2020）即可满足上述法规及政策要求，因此本项目拟用绝缘漆符合强制性国家标准。</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目前国家颁布的涉及本项目绝缘漆的强制性国家标准还有《工业防护涂料中有害物质限量》（GB30981-2020）。本项目绝缘漆的VOC含量为27g/L，</w:t>
            </w:r>
            <w:r>
              <w:rPr>
                <w:color w:val="000000" w:themeColor="text1"/>
                <w:kern w:val="0"/>
                <w:lang w:bidi="ar"/>
                <w14:textFill>
                  <w14:solidFill>
                    <w14:schemeClr w14:val="tx1"/>
                  </w14:solidFill>
                </w14:textFill>
              </w:rPr>
              <w:t>符合《工业防护涂料中有害物质限量》（GB30981-2020）中表3无溶剂型涂料VOC含量限值（≤100g/L）</w:t>
            </w:r>
            <w:r>
              <w:rPr>
                <w:color w:val="000000" w:themeColor="text1"/>
                <w14:textFill>
                  <w14:solidFill>
                    <w14:schemeClr w14:val="tx1"/>
                  </w14:solidFill>
                </w14:textFill>
              </w:rPr>
              <w:t>，因此本项目拟用绝缘漆符合强制性国家标准。</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4、产业政策方面：</w:t>
            </w:r>
          </w:p>
          <w:p>
            <w:pPr>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（1）与《鼓励外商投资产业目录》（2022年版）相符性分析</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根据《鼓励外商投资产业目录》（2022年版）：</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（二十一）电气机械和器材制造业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306.100 万千瓦超超临界火电机组用关键辅机设备制造：安全阀、调节阀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307.火电设备的密封件设计、制造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308.水电机组用关键辅机设备制造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309.输变电设备及关键组部件制造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310.新能源发电成套设备或关键设备制造：光伏发电、光热发电、地热发电、 潮汐发电、波浪发电、垃圾发电、沼气发生与发电；大尺寸异质结基体材料制造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311.斯特林发电机组制造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312.直线和平面电机及其驱动系统开发、制造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313.高技术绿色电池制造：动力镍氢电池、锌镍蓄电池、钠盐电池、锌银蓄电 池、锂离子电池、太阳能电池、燃料电池等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314.电动机采用直流调速技术的制冷空调用压缩机、采用 CO2自然工质制冷空 调压缩机、应用可再生能源（空气源、水源、地源）制冷空调设备制造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315.太阳能空调、采暖系统、太阳能干燥装置制造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316.生物质干燥热解系统、生物质气化装置制造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317.生物天然气原料预处理及进料、发酵、提纯、沼液处理装置制造 </w:t>
            </w:r>
          </w:p>
          <w:p>
            <w:pPr>
              <w:pStyle w:val="13"/>
              <w:spacing w:line="360" w:lineRule="auto"/>
              <w:ind w:firstLineChars="0"/>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 xml:space="preserve">318.交流调频调压牵引装置制造 </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319.高压真空元件及开关设备，智能化中压开关元件及成套设备，使用环保型 中压气体的绝缘开关柜，智能型（可通信）低压电器，非晶合金、卷铁芯等节能配 电变压器制造</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相符性分析：</w:t>
            </w:r>
            <w:r>
              <w:rPr>
                <w:rFonts w:ascii="Times New Roman" w:hAnsi="Times New Roman" w:cs="Times New Roman"/>
                <w:color w:val="000000" w:themeColor="text1"/>
                <w:sz w:val="21"/>
                <w:szCs w:val="21"/>
                <w14:textFill>
                  <w14:solidFill>
                    <w14:schemeClr w14:val="tx1"/>
                  </w14:solidFill>
                </w14:textFill>
              </w:rPr>
              <w:t>本项目主要从事变压器的生产，属于上述所说的“309.输变电设备及关键组部件制造”，因此本项目与《鼓励外商投资产业目录》（2022年版）的要求相符。</w:t>
            </w:r>
          </w:p>
          <w:p>
            <w:pPr>
              <w:pStyle w:val="13"/>
              <w:spacing w:line="360" w:lineRule="auto"/>
              <w:ind w:firstLineChars="0"/>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（2）与《外商投资准入特别管理措施（负面清单）》（2021年版）相符性分析</w:t>
            </w:r>
          </w:p>
          <w:p>
            <w:pPr>
              <w:pStyle w:val="13"/>
              <w:spacing w:line="360" w:lineRule="auto"/>
              <w:ind w:firstLineChars="0"/>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根据《外商投资准入特别管理措施（负面清单）》（2021年版）：</w:t>
            </w:r>
          </w:p>
          <w:p>
            <w:pPr>
              <w:pStyle w:val="13"/>
              <w:spacing w:line="360" w:lineRule="auto"/>
              <w:ind w:firstLine="0" w:firstLineChars="0"/>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inline distT="0" distB="0" distL="0" distR="0">
                  <wp:extent cx="4060825" cy="4229735"/>
                  <wp:effectExtent l="19050" t="19050" r="0" b="0"/>
                  <wp:docPr id="2011677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677088" name="图片 1"/>
                          <pic:cNvPicPr>
                            <a:picLocks noChangeAspect="1"/>
                          </pic:cNvPicPr>
                        </pic:nvPicPr>
                        <pic:blipFill>
                          <a:blip r:embed="rId8"/>
                          <a:stretch>
                            <a:fillRect/>
                          </a:stretch>
                        </pic:blipFill>
                        <pic:spPr>
                          <a:xfrm>
                            <a:off x="0" y="0"/>
                            <a:ext cx="4079502" cy="4249060"/>
                          </a:xfrm>
                          <a:prstGeom prst="rect">
                            <a:avLst/>
                          </a:prstGeom>
                          <a:ln w="19050">
                            <a:solidFill>
                              <a:schemeClr val="tx1"/>
                            </a:solidFill>
                          </a:ln>
                        </pic:spPr>
                      </pic:pic>
                    </a:graphicData>
                  </a:graphic>
                </wp:inline>
              </w:drawing>
            </w:r>
          </w:p>
          <w:p>
            <w:pPr>
              <w:pStyle w:val="13"/>
              <w:spacing w:line="360" w:lineRule="auto"/>
              <w:ind w:firstLineChars="0"/>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图1-4  外商投资准入特别管理措施（负面清单）（2021年版）部分内容截图</w:t>
            </w:r>
          </w:p>
          <w:p>
            <w:pPr>
              <w:pStyle w:val="13"/>
              <w:spacing w:line="360" w:lineRule="auto"/>
              <w:ind w:firstLineChars="0"/>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相符性分析：</w:t>
            </w:r>
            <w:r>
              <w:rPr>
                <w:rFonts w:ascii="Times New Roman" w:hAnsi="Times New Roman" w:cs="Times New Roman"/>
                <w:color w:val="000000" w:themeColor="text1"/>
                <w:sz w:val="21"/>
                <w:szCs w:val="21"/>
                <w14:textFill>
                  <w14:solidFill>
                    <w14:schemeClr w14:val="tx1"/>
                  </w14:solidFill>
                </w14:textFill>
              </w:rPr>
              <w:t>本项目主要从事变压器的生产，为《国民经济行业分类》（GB/T 4754-2017）及第1号修改单中“</w:t>
            </w:r>
            <w:r>
              <w:rPr>
                <w:rFonts w:ascii="Times New Roman" w:hAnsi="Times New Roman" w:cs="Times New Roman"/>
                <w:color w:val="000000" w:themeColor="text1"/>
                <w:kern w:val="21"/>
                <w:sz w:val="21"/>
                <w:szCs w:val="21"/>
                <w14:textFill>
                  <w14:solidFill>
                    <w14:schemeClr w14:val="tx1"/>
                  </w14:solidFill>
                </w14:textFill>
              </w:rPr>
              <w:t>C3821变压器、整流器和电感器制造</w:t>
            </w:r>
            <w:r>
              <w:rPr>
                <w:rFonts w:ascii="Times New Roman" w:hAnsi="Times New Roman" w:cs="Times New Roman"/>
                <w:color w:val="000000" w:themeColor="text1"/>
                <w:sz w:val="21"/>
                <w:szCs w:val="21"/>
                <w14:textFill>
                  <w14:solidFill>
                    <w14:schemeClr w14:val="tx1"/>
                  </w14:solidFill>
                </w14:textFill>
              </w:rPr>
              <w:t>”，</w:t>
            </w:r>
            <w:r>
              <w:rPr>
                <w:rFonts w:ascii="Times New Roman" w:hAnsi="Times New Roman" w:cs="Times New Roman"/>
                <w:bCs/>
                <w:color w:val="000000" w:themeColor="text1"/>
                <w:sz w:val="21"/>
                <w:szCs w:val="21"/>
                <w14:textFill>
                  <w14:solidFill>
                    <w14:schemeClr w14:val="tx1"/>
                  </w14:solidFill>
                </w14:textFill>
              </w:rPr>
              <w:t>不涉及上述提及的“三、制造业”中“出版物印刷”和“投资中药钦片的蒸、炒、灸、煅等炮制技术的应用及中成药保密处方产品的生产”。因此，本项目不与《外商投资准入特别管理措施（负面清单）》（2021年版）相关要求冲突。</w:t>
            </w:r>
          </w:p>
        </w:tc>
      </w:tr>
    </w:tbl>
    <w:p>
      <w:pPr>
        <w:pStyle w:val="27"/>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color w:val="000000" w:themeColor="text1"/>
          <w:sz w:val="21"/>
          <w:szCs w:val="24"/>
          <w14:textFill>
            <w14:solidFill>
              <w14:schemeClr w14:val="tx1"/>
            </w14:solidFill>
          </w14:textFill>
        </w:rPr>
        <w:br w:type="page"/>
      </w:r>
      <w:r>
        <w:rPr>
          <w:rFonts w:ascii="Times New Roman" w:hAnsi="Times New Roman" w:eastAsia="黑体"/>
          <w:snapToGrid w:val="0"/>
          <w:color w:val="000000" w:themeColor="text1"/>
          <w:sz w:val="30"/>
          <w:szCs w:val="30"/>
          <w14:textFill>
            <w14:solidFill>
              <w14:schemeClr w14:val="tx1"/>
            </w14:solidFill>
          </w14:textFill>
        </w:rPr>
        <w:t>二、建设项目工程分析</w:t>
      </w:r>
    </w:p>
    <w:tbl>
      <w:tblPr>
        <w:tblStyle w:val="30"/>
        <w:tblW w:w="106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02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436" w:type="dxa"/>
            <w:vAlign w:val="center"/>
          </w:tcPr>
          <w:p>
            <w:pPr>
              <w:pStyle w:val="27"/>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建设内容</w:t>
            </w:r>
          </w:p>
        </w:tc>
        <w:tc>
          <w:tcPr>
            <w:tcW w:w="10246" w:type="dxa"/>
          </w:tcPr>
          <w:p>
            <w:pPr>
              <w:snapToGrid w:val="0"/>
              <w:spacing w:line="360" w:lineRule="auto"/>
              <w:rPr>
                <w:b/>
                <w:color w:val="000000" w:themeColor="text1"/>
                <w14:textFill>
                  <w14:solidFill>
                    <w14:schemeClr w14:val="tx1"/>
                  </w14:solidFill>
                </w14:textFill>
              </w:rPr>
            </w:pPr>
            <w:r>
              <w:rPr>
                <w:b/>
                <w:color w:val="000000" w:themeColor="text1"/>
                <w14:textFill>
                  <w14:solidFill>
                    <w14:schemeClr w14:val="tx1"/>
                  </w14:solidFill>
                </w14:textFill>
              </w:rPr>
              <w:t>一、建设背景及工程内容</w:t>
            </w:r>
          </w:p>
          <w:p>
            <w:pPr>
              <w:snapToGri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田村电子（惠州）有限公司大型变压器分公司位于</w:t>
            </w:r>
            <w:r>
              <w:rPr>
                <w:color w:val="000000" w:themeColor="text1"/>
                <w14:textFill>
                  <w14:solidFill>
                    <w14:schemeClr w14:val="tx1"/>
                  </w14:solidFill>
                </w14:textFill>
              </w:rPr>
              <w:t>惠州市博罗县罗阳街道虾塱村委会洲际工业园梅园3路22号，</w:t>
            </w:r>
            <w:r>
              <w:rPr>
                <w:color w:val="000000" w:themeColor="text1"/>
                <w:kern w:val="0"/>
                <w14:textFill>
                  <w14:solidFill>
                    <w14:schemeClr w14:val="tx1"/>
                  </w14:solidFill>
                </w14:textFill>
              </w:rPr>
              <w:t>田村电子（惠州）有限公司大型变压器分公司（下称分公司）属于田村电子（惠州）有限公司（下称总公司）的分公司，分公司原本属于总公司的一部分，由于总公司建设条件受限，未能落实环保工程升级改造，因此迁出原有地块，保留8000m</w:t>
            </w:r>
            <w:r>
              <w:rPr>
                <w:color w:val="000000" w:themeColor="text1"/>
                <w:kern w:val="0"/>
                <w:vertAlign w:val="superscript"/>
                <w14:textFill>
                  <w14:solidFill>
                    <w14:schemeClr w14:val="tx1"/>
                  </w14:solidFill>
                </w14:textFill>
              </w:rPr>
              <w:t>2</w:t>
            </w:r>
            <w:r>
              <w:rPr>
                <w:color w:val="000000" w:themeColor="text1"/>
                <w:kern w:val="0"/>
                <w14:textFill>
                  <w14:solidFill>
                    <w14:schemeClr w14:val="tx1"/>
                  </w14:solidFill>
                </w14:textFill>
              </w:rPr>
              <w:t>地块及建设内容用于建设分公司。分公司主要生产大型变压器，总公司生产规格较小的产品，两者的产品并无上下游关系，使用的原料及中间产品不可通用，因此分公司与总公司并无依托关系，属于独立的生产单元。</w:t>
            </w:r>
          </w:p>
          <w:p>
            <w:pPr>
              <w:snapToGri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分公司与总公司并无依托关系，且分公司在拟建设地块建成后可以满足环保要求，因此田村电子（惠州）有限公司大型变压器分公司在</w:t>
            </w:r>
            <w:r>
              <w:rPr>
                <w:color w:val="000000" w:themeColor="text1"/>
                <w14:textFill>
                  <w14:solidFill>
                    <w14:schemeClr w14:val="tx1"/>
                  </w14:solidFill>
                </w14:textFill>
              </w:rPr>
              <w:t>惠州市博罗县罗阳街道虾塱村委会洲际工业园梅园3路22号建设是合理的。</w:t>
            </w:r>
          </w:p>
          <w:p>
            <w:pPr>
              <w:snapToGrid w:val="0"/>
              <w:spacing w:line="360" w:lineRule="auto"/>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田村电子（惠州）有限公司大型变压器分公司位于</w:t>
            </w:r>
            <w:r>
              <w:rPr>
                <w:color w:val="000000" w:themeColor="text1"/>
                <w14:textFill>
                  <w14:solidFill>
                    <w14:schemeClr w14:val="tx1"/>
                  </w14:solidFill>
                </w14:textFill>
              </w:rPr>
              <w:t>惠州市博罗县罗阳街道虾塱村委会洲际工业园梅园3路22号</w:t>
            </w:r>
            <w:r>
              <w:rPr>
                <w:color w:val="000000" w:themeColor="text1"/>
                <w:kern w:val="0"/>
                <w14:textFill>
                  <w14:solidFill>
                    <w14:schemeClr w14:val="tx1"/>
                  </w14:solidFill>
                </w14:textFill>
              </w:rPr>
              <w:t>，其中心经纬度为：E114°15'57.208"（114.265891°），N23°11'12.232"（23.186731°）。项目总投资500万元，环保投资85万元，本项目总占地面积为8000m</w:t>
            </w:r>
            <w:r>
              <w:rPr>
                <w:color w:val="000000" w:themeColor="text1"/>
                <w:kern w:val="0"/>
                <w:vertAlign w:val="superscript"/>
                <w14:textFill>
                  <w14:solidFill>
                    <w14:schemeClr w14:val="tx1"/>
                  </w14:solidFill>
                </w14:textFill>
              </w:rPr>
              <w:t>2</w:t>
            </w:r>
            <w:r>
              <w:rPr>
                <w:color w:val="000000" w:themeColor="text1"/>
                <w:kern w:val="0"/>
                <w14:textFill>
                  <w14:solidFill>
                    <w14:schemeClr w14:val="tx1"/>
                  </w14:solidFill>
                </w14:textFill>
              </w:rPr>
              <w:t>，总建筑面积约为4906m</w:t>
            </w:r>
            <w:r>
              <w:rPr>
                <w:color w:val="000000" w:themeColor="text1"/>
                <w:kern w:val="0"/>
                <w:vertAlign w:val="superscript"/>
                <w14:textFill>
                  <w14:solidFill>
                    <w14:schemeClr w14:val="tx1"/>
                  </w14:solidFill>
                </w14:textFill>
              </w:rPr>
              <w:t>2</w:t>
            </w:r>
            <w:r>
              <w:rPr>
                <w:color w:val="000000" w:themeColor="text1"/>
                <w:kern w:val="0"/>
                <w14:textFill>
                  <w14:solidFill>
                    <w14:schemeClr w14:val="tx1"/>
                  </w14:solidFill>
                </w14:textFill>
              </w:rPr>
              <w:t>，从事变压器的生产，年产水冷式变压器800PCS、干式三相变压器100PCS、单相电抗器1200PCS。项目劳动定员为12人，均不在项目内食宿，年工作日300天，每天工作8h。</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项目租用惠州市博罗县罗阳街道虾塱村委会洲际工业园的厂房，项目工程组成一览表见下表。</w:t>
            </w:r>
          </w:p>
          <w:p>
            <w:pPr>
              <w:snapToGrid w:val="0"/>
              <w:spacing w:line="360" w:lineRule="auto"/>
              <w:ind w:firstLine="422" w:firstLineChars="20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表2-2  项目工程组成</w:t>
            </w:r>
          </w:p>
          <w:tbl>
            <w:tblPr>
              <w:tblStyle w:val="30"/>
              <w:tblW w:w="10018"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752"/>
              <w:gridCol w:w="36"/>
              <w:gridCol w:w="1295"/>
              <w:gridCol w:w="675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工程类别</w:t>
                  </w:r>
                </w:p>
              </w:tc>
              <w:tc>
                <w:tcPr>
                  <w:tcW w:w="2083" w:type="dxa"/>
                  <w:gridSpan w:val="3"/>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构筑物名称</w:t>
                  </w:r>
                </w:p>
              </w:tc>
              <w:tc>
                <w:tcPr>
                  <w:tcW w:w="675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建筑规模</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主体工程</w:t>
                  </w: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生产车间</w:t>
                  </w:r>
                </w:p>
              </w:tc>
              <w:tc>
                <w:tcPr>
                  <w:tcW w:w="6753"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1层钢构建筑物，高度4.2m，建筑面积为3200m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，主要包括卷线区1#（450m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）、卷线区2#（200m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）、含浸房1#（110m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）、含浸房2#（170m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）、组装区1#（140m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）、组装区2#（200m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）、焊接区3#（60m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）、检测区1#（40m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 检测区2#（85m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）、检测区3#（15m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）等。</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788" w:type="dxa"/>
                  <w:gridSpan w:val="2"/>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包含</w:t>
                  </w:r>
                </w:p>
              </w:tc>
              <w:tc>
                <w:tcPr>
                  <w:tcW w:w="1295"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含浸房1#</w:t>
                  </w:r>
                </w:p>
              </w:tc>
              <w:tc>
                <w:tcPr>
                  <w:tcW w:w="6753"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板式结构房间，建筑面积110m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，高4m。包含含浸区1#和烘干区1#，含浸区1#约60m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，烘干区1#约50m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788" w:type="dxa"/>
                  <w:gridSpan w:val="2"/>
                  <w:vMerge w:val="continue"/>
                  <w:vAlign w:val="center"/>
                </w:tcPr>
                <w:p>
                  <w:pPr>
                    <w:adjustRightInd w:val="0"/>
                    <w:snapToGrid w:val="0"/>
                    <w:jc w:val="center"/>
                    <w:rPr>
                      <w:bCs w:val="0"/>
                      <w:color w:val="000000" w:themeColor="text1"/>
                      <w14:textFill>
                        <w14:solidFill>
                          <w14:schemeClr w14:val="tx1"/>
                        </w14:solidFill>
                      </w14:textFill>
                    </w:rPr>
                  </w:pPr>
                </w:p>
              </w:tc>
              <w:tc>
                <w:tcPr>
                  <w:tcW w:w="1295"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含浸房2#</w:t>
                  </w:r>
                </w:p>
              </w:tc>
              <w:tc>
                <w:tcPr>
                  <w:tcW w:w="6753"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板式结构房间，建筑面积170m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，高4m。包含含浸区2#和烘干区2#，含浸区2#约60m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，烘干区2#约50m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辅助工程</w:t>
                  </w: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办公室</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位于生产车间东南侧，建筑面积约为100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储运工程</w:t>
                  </w: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位于生产车间南侧，建筑面积约为500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半成品暂放区</w:t>
                  </w:r>
                </w:p>
              </w:tc>
              <w:tc>
                <w:tcPr>
                  <w:tcW w:w="6753"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半成品暂放区1#位于生产车间中间区域，建筑面积约为65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半成品暂放区2#位于生产车间中间区域，建筑面积约为100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成品暂存区</w:t>
                  </w:r>
                </w:p>
              </w:tc>
              <w:tc>
                <w:tcPr>
                  <w:tcW w:w="6753"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成品暂放区1#位于生产车间东侧，建筑面积约为30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成品暂放区2#位于生产车间东侧，建筑面积约为100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成品暂放区3#位于生产车间东南侧，建筑面积约为60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纸箱暂放区</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位于生产车间东南侧，建筑面积约为45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一般固废仓</w:t>
                  </w:r>
                </w:p>
              </w:tc>
              <w:tc>
                <w:tcPr>
                  <w:tcW w:w="6753"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一般固废仓1#位于生产车间外北侧，建筑面积约为400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一般固废仓2#位于生产车间外西侧，建筑面积约为380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公用工程</w:t>
                  </w: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给水工程</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市政供水</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排水工程</w:t>
                  </w:r>
                </w:p>
              </w:tc>
              <w:tc>
                <w:tcPr>
                  <w:tcW w:w="6753"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废水收集系统、雨水排放系统；污水管网、雨水管网接纳</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供电工程</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市政供电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依托工程</w:t>
                  </w: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生活污水</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依托</w:t>
                  </w:r>
                  <w:r>
                    <w:rPr>
                      <w:color w:val="000000" w:themeColor="text1"/>
                      <w14:textFill>
                        <w14:solidFill>
                          <w14:schemeClr w14:val="tx1"/>
                        </w14:solidFill>
                      </w14:textFill>
                    </w:rPr>
                    <w:t>博罗县城生活污水处理厂</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环保工程</w:t>
                  </w:r>
                </w:p>
              </w:tc>
              <w:tc>
                <w:tcPr>
                  <w:tcW w:w="7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废水</w:t>
                  </w:r>
                </w:p>
              </w:tc>
              <w:tc>
                <w:tcPr>
                  <w:tcW w:w="1331" w:type="dxa"/>
                  <w:gridSpan w:val="2"/>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生活污水</w:t>
                  </w:r>
                </w:p>
              </w:tc>
              <w:tc>
                <w:tcPr>
                  <w:tcW w:w="6753"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项目生活污水经“三级化粪池”预处理达到广东省地方标准《水污染物排放限值》（DB44/26-2001）第二时段三级标准后经市政纳污管网排入博罗县城生活污水处理厂处理，尾水排入新角排渠后汇入东江</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75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废气</w:t>
                  </w:r>
                </w:p>
              </w:tc>
              <w:tc>
                <w:tcPr>
                  <w:tcW w:w="1331" w:type="dxa"/>
                  <w:gridSpan w:val="2"/>
                  <w:vAlign w:val="center"/>
                </w:tcPr>
                <w:p>
                  <w:pPr>
                    <w:adjustRightInd w:val="0"/>
                    <w:snapToGrid w:val="0"/>
                    <w:jc w:val="center"/>
                    <w:rPr>
                      <w:bCs w:val="0"/>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组立、</w:t>
                  </w:r>
                  <w:r>
                    <w:rPr>
                      <w:color w:val="000000" w:themeColor="text1"/>
                      <w14:textFill>
                        <w14:solidFill>
                          <w14:schemeClr w14:val="tx1"/>
                        </w14:solidFill>
                      </w14:textFill>
                    </w:rPr>
                    <w:t>真空含浸、烘干工序</w:t>
                  </w:r>
                </w:p>
              </w:tc>
              <w:tc>
                <w:tcPr>
                  <w:tcW w:w="6753" w:type="dxa"/>
                  <w:vAlign w:val="center"/>
                </w:tcPr>
                <w:p>
                  <w:pPr>
                    <w:adjustRightInd w:val="0"/>
                    <w:snapToGrid w:val="0"/>
                    <w:jc w:val="center"/>
                    <w:rPr>
                      <w:bCs w:val="0"/>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组立工序VOCs顶吸集气罩收集，</w:t>
                  </w:r>
                  <w:r>
                    <w:rPr>
                      <w:color w:val="000000" w:themeColor="text1"/>
                      <w14:textFill>
                        <w14:solidFill>
                          <w14:schemeClr w14:val="tx1"/>
                        </w14:solidFill>
                      </w14:textFill>
                    </w:rPr>
                    <w:t>真空含浸、</w:t>
                  </w:r>
                  <w:r>
                    <w:rPr>
                      <w:color w:val="000000" w:themeColor="text1"/>
                      <w:kern w:val="0"/>
                      <w14:textFill>
                        <w14:solidFill>
                          <w14:schemeClr w14:val="tx1"/>
                        </w14:solidFill>
                      </w14:textFill>
                    </w:rPr>
                    <w:t>烘干工序</w:t>
                  </w:r>
                  <w:r>
                    <w:rPr>
                      <w:color w:val="000000" w:themeColor="text1"/>
                      <w14:textFill>
                        <w14:solidFill>
                          <w14:schemeClr w14:val="tx1"/>
                        </w14:solidFill>
                      </w14:textFill>
                    </w:rPr>
                    <w:t>VOCs密闭负压</w:t>
                  </w:r>
                  <w:r>
                    <w:rPr>
                      <w:color w:val="000000" w:themeColor="text1"/>
                      <w:kern w:val="0"/>
                      <w14:textFill>
                        <w14:solidFill>
                          <w14:schemeClr w14:val="tx1"/>
                        </w14:solidFill>
                      </w14:textFill>
                    </w:rPr>
                    <w:t>收集，汇集</w:t>
                  </w:r>
                  <w:r>
                    <w:rPr>
                      <w:color w:val="000000" w:themeColor="text1"/>
                      <w14:textFill>
                        <w14:solidFill>
                          <w14:schemeClr w14:val="tx1"/>
                        </w14:solidFill>
                      </w14:textFill>
                    </w:rPr>
                    <w:t>至“水喷淋塔+干式过滤器+二级活性炭吸附装置”+</w:t>
                  </w:r>
                  <w:r>
                    <w:rPr>
                      <w:rFonts w:hint="eastAsia"/>
                      <w:color w:val="000000" w:themeColor="text1"/>
                      <w:lang w:val="en-US" w:eastAsia="zh-CN"/>
                      <w14:textFill>
                        <w14:solidFill>
                          <w14:schemeClr w14:val="tx1"/>
                        </w14:solidFill>
                      </w14:textFill>
                    </w:rPr>
                    <w:t>300</w:t>
                  </w:r>
                  <w:r>
                    <w:rPr>
                      <w:color w:val="000000" w:themeColor="text1"/>
                      <w14:textFill>
                        <w14:solidFill>
                          <w14:schemeClr w14:val="tx1"/>
                        </w14:solidFill>
                      </w14:textFill>
                    </w:rPr>
                    <w:t>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/h风机+15m排气筒（DA001）处理排放</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752" w:type="dxa"/>
                  <w:vMerge w:val="continue"/>
                  <w:vAlign w:val="center"/>
                </w:tcPr>
                <w:p>
                  <w:pPr>
                    <w:adjustRightInd w:val="0"/>
                    <w:snapToGrid w:val="0"/>
                    <w:jc w:val="center"/>
                    <w:rPr>
                      <w:bCs w:val="0"/>
                      <w:color w:val="000000" w:themeColor="text1"/>
                      <w14:textFill>
                        <w14:solidFill>
                          <w14:schemeClr w14:val="tx1"/>
                        </w14:solidFill>
                      </w14:textFill>
                    </w:rPr>
                  </w:pPr>
                </w:p>
              </w:tc>
              <w:tc>
                <w:tcPr>
                  <w:tcW w:w="1331" w:type="dxa"/>
                  <w:gridSpan w:val="2"/>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配组工序</w:t>
                  </w:r>
                </w:p>
              </w:tc>
              <w:tc>
                <w:tcPr>
                  <w:tcW w:w="675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配组工序中的烟尘（颗粒物）：移动式除尘器收集，未收集部分作无组织排放</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噪声</w:t>
                  </w:r>
                </w:p>
              </w:tc>
              <w:tc>
                <w:tcPr>
                  <w:tcW w:w="675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设备噪声：使用低噪声设备、隔声等措施</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一般工业固废</w:t>
                  </w:r>
                </w:p>
              </w:tc>
              <w:tc>
                <w:tcPr>
                  <w:tcW w:w="6753"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一般固废仓1#位于生产车间外北侧，建筑面积约为400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r>
                    <w:rPr>
                      <w:bCs w:val="0"/>
                      <w:color w:val="000000" w:themeColor="text1"/>
                      <w14:textFill>
                        <w14:solidFill>
                          <w14:schemeClr w14:val="tx1"/>
                        </w14:solidFill>
                      </w14:textFill>
                    </w:rPr>
                    <w:t>一般工业固体废物经分类收集后交由专业回收单位回收利用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Merge w:val="continue"/>
                  <w:vAlign w:val="center"/>
                </w:tcPr>
                <w:p>
                  <w:pPr>
                    <w:adjustRightInd w:val="0"/>
                    <w:snapToGrid w:val="0"/>
                    <w:jc w:val="center"/>
                    <w:rPr>
                      <w:bCs w:val="0"/>
                      <w:color w:val="000000" w:themeColor="text1"/>
                      <w14:textFill>
                        <w14:solidFill>
                          <w14:schemeClr w14:val="tx1"/>
                        </w14:solidFill>
                      </w14:textFill>
                    </w:rPr>
                  </w:pPr>
                </w:p>
              </w:tc>
              <w:tc>
                <w:tcPr>
                  <w:tcW w:w="6753"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一般固废仓2#位于生产车间外西侧，建筑面积约为380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r>
                    <w:rPr>
                      <w:bCs w:val="0"/>
                      <w:color w:val="000000" w:themeColor="text1"/>
                      <w14:textFill>
                        <w14:solidFill>
                          <w14:schemeClr w14:val="tx1"/>
                        </w14:solidFill>
                      </w14:textFill>
                    </w:rPr>
                    <w:t>一般工业固体废物经分类收集后交由专业回收单位回收利用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Merge w:val="continue"/>
                  <w:vAlign w:val="center"/>
                </w:tcPr>
                <w:p>
                  <w:pPr>
                    <w:adjustRightInd w:val="0"/>
                    <w:snapToGrid w:val="0"/>
                    <w:jc w:val="center"/>
                    <w:rPr>
                      <w:bCs w:val="0"/>
                      <w:color w:val="000000" w:themeColor="text1"/>
                      <w14:textFill>
                        <w14:solidFill>
                          <w14:schemeClr w14:val="tx1"/>
                        </w14:solidFill>
                      </w14:textFill>
                    </w:rPr>
                  </w:pPr>
                </w:p>
              </w:tc>
              <w:tc>
                <w:tcPr>
                  <w:tcW w:w="6753"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一般固废仓3#，位于项目生产车间外的西南侧，建筑面积约10m</w:t>
                  </w:r>
                  <w:r>
                    <w:rPr>
                      <w:bCs w:val="0"/>
                      <w:color w:val="000000" w:themeColor="text1"/>
                      <w:vertAlign w:val="superscript"/>
                      <w14:textFill>
                        <w14:solidFill>
                          <w14:schemeClr w14:val="tx1"/>
                        </w14:solidFill>
                      </w14:textFill>
                    </w:rPr>
                    <w:t>2</w:t>
                  </w:r>
                  <w:r>
                    <w:rPr>
                      <w:bCs w:val="0"/>
                      <w:color w:val="000000" w:themeColor="text1"/>
                      <w14:textFill>
                        <w14:solidFill>
                          <w14:schemeClr w14:val="tx1"/>
                        </w14:solidFill>
                      </w14:textFill>
                    </w:rPr>
                    <w:t>，一般工业固体废物经分类收集后交由专业回收单位回收利用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危险废物</w:t>
                  </w:r>
                </w:p>
              </w:tc>
              <w:tc>
                <w:tcPr>
                  <w:tcW w:w="6753"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设置危废暂存间1间，位于项目生产车间外西南侧，建筑面积约10m</w:t>
                  </w:r>
                  <w:r>
                    <w:rPr>
                      <w:bCs w:val="0"/>
                      <w:color w:val="000000" w:themeColor="text1"/>
                      <w:vertAlign w:val="superscript"/>
                      <w14:textFill>
                        <w14:solidFill>
                          <w14:schemeClr w14:val="tx1"/>
                        </w14:solidFill>
                      </w14:textFill>
                    </w:rPr>
                    <w:t>2</w:t>
                  </w:r>
                  <w:r>
                    <w:rPr>
                      <w:bCs w:val="0"/>
                      <w:color w:val="000000" w:themeColor="text1"/>
                      <w14:textFill>
                        <w14:solidFill>
                          <w14:schemeClr w14:val="tx1"/>
                        </w14:solidFill>
                      </w14:textFill>
                    </w:rPr>
                    <w:t>，危险废物经分类收集后交有危险废物处理资质的单位处置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2" w:type="dxa"/>
                  <w:vMerge w:val="continue"/>
                  <w:vAlign w:val="center"/>
                </w:tcPr>
                <w:p>
                  <w:pPr>
                    <w:adjustRightInd w:val="0"/>
                    <w:snapToGrid w:val="0"/>
                    <w:jc w:val="center"/>
                    <w:rPr>
                      <w:bCs w:val="0"/>
                      <w:color w:val="000000" w:themeColor="text1"/>
                      <w14:textFill>
                        <w14:solidFill>
                          <w14:schemeClr w14:val="tx1"/>
                        </w14:solidFill>
                      </w14:textFill>
                    </w:rPr>
                  </w:pPr>
                </w:p>
              </w:tc>
              <w:tc>
                <w:tcPr>
                  <w:tcW w:w="2083" w:type="dxa"/>
                  <w:gridSpan w:val="3"/>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生活垃圾</w:t>
                  </w:r>
                </w:p>
              </w:tc>
              <w:tc>
                <w:tcPr>
                  <w:tcW w:w="6753"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交由环卫部门清运处理</w:t>
                  </w:r>
                </w:p>
              </w:tc>
            </w:tr>
          </w:tbl>
          <w:p>
            <w:pPr>
              <w:snapToGrid w:val="0"/>
              <w:spacing w:line="520" w:lineRule="exact"/>
              <w:rPr>
                <w:color w:val="000000" w:themeColor="text1"/>
                <w14:textFill>
                  <w14:solidFill>
                    <w14:schemeClr w14:val="tx1"/>
                  </w14:solidFill>
                </w14:textFill>
              </w:rPr>
            </w:pPr>
            <w:r>
              <w:rPr>
                <w:b/>
                <w:color w:val="000000" w:themeColor="text1"/>
                <w14:textFill>
                  <w14:solidFill>
                    <w14:schemeClr w14:val="tx1"/>
                  </w14:solidFill>
                </w14:textFill>
              </w:rPr>
              <w:t xml:space="preserve">二、主要产品及产能 </w:t>
            </w:r>
          </w:p>
          <w:p>
            <w:pPr>
              <w:pStyle w:val="4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表2-2</w:t>
            </w:r>
            <w:r>
              <w:rPr>
                <w:b w:val="0"/>
                <w:bCs w:val="0"/>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项目产品及产能一览表</w:t>
            </w:r>
          </w:p>
          <w:tbl>
            <w:tblPr>
              <w:tblStyle w:val="30"/>
              <w:tblW w:w="10020"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737"/>
              <w:gridCol w:w="2848"/>
              <w:gridCol w:w="2343"/>
              <w:gridCol w:w="234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737"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产品名称</w:t>
                  </w:r>
                </w:p>
              </w:tc>
              <w:tc>
                <w:tcPr>
                  <w:tcW w:w="2848"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规格（长*宽*高）</w:t>
                  </w:r>
                </w:p>
              </w:tc>
              <w:tc>
                <w:tcPr>
                  <w:tcW w:w="234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年产量</w:t>
                  </w:r>
                </w:p>
              </w:tc>
              <w:tc>
                <w:tcPr>
                  <w:tcW w:w="234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贮存位置</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w:t>
                  </w:r>
                </w:p>
              </w:tc>
              <w:tc>
                <w:tcPr>
                  <w:tcW w:w="1737" w:type="dxa"/>
                  <w:vAlign w:val="center"/>
                </w:tcPr>
                <w:p>
                  <w:pPr>
                    <w:adjustRightInd w:val="0"/>
                    <w:snapToGrid w:val="0"/>
                    <w:jc w:val="center"/>
                    <w:rPr>
                      <w:bCs w:val="0"/>
                      <w:color w:val="000000" w:themeColor="text1"/>
                      <w14:textFill>
                        <w14:solidFill>
                          <w14:schemeClr w14:val="tx1"/>
                        </w14:solidFill>
                      </w14:textFill>
                    </w:rPr>
                  </w:pPr>
                  <w:r>
                    <w:rPr>
                      <w:color w:val="000000" w:themeColor="text1"/>
                      <w:kern w:val="0"/>
                      <w14:textFill>
                        <w14:solidFill>
                          <w14:schemeClr w14:val="tx1"/>
                        </w14:solidFill>
                      </w14:textFill>
                    </w:rPr>
                    <w:t>水冷式变压器</w:t>
                  </w:r>
                </w:p>
              </w:tc>
              <w:tc>
                <w:tcPr>
                  <w:tcW w:w="2848"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1.2m*0.8m*1.15m</w:t>
                  </w:r>
                </w:p>
              </w:tc>
              <w:tc>
                <w:tcPr>
                  <w:tcW w:w="234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800PCS</w:t>
                  </w:r>
                </w:p>
              </w:tc>
              <w:tc>
                <w:tcPr>
                  <w:tcW w:w="2343"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成品暂存区</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49"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73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干式三相变压器</w:t>
                  </w:r>
                </w:p>
              </w:tc>
              <w:tc>
                <w:tcPr>
                  <w:tcW w:w="2848"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1.08m*1.08m*0.77m</w:t>
                  </w:r>
                </w:p>
              </w:tc>
              <w:tc>
                <w:tcPr>
                  <w:tcW w:w="234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100PCS</w:t>
                  </w:r>
                </w:p>
              </w:tc>
              <w:tc>
                <w:tcPr>
                  <w:tcW w:w="2343" w:type="dxa"/>
                  <w:vMerge w:val="continue"/>
                  <w:vAlign w:val="center"/>
                </w:tcPr>
                <w:p>
                  <w:pPr>
                    <w:adjustRightInd w:val="0"/>
                    <w:snapToGrid w:val="0"/>
                    <w:jc w:val="center"/>
                    <w:rPr>
                      <w:bCs w:val="0"/>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49"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w:t>
                  </w:r>
                </w:p>
              </w:tc>
              <w:tc>
                <w:tcPr>
                  <w:tcW w:w="173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单相电抗器</w:t>
                  </w:r>
                </w:p>
              </w:tc>
              <w:tc>
                <w:tcPr>
                  <w:tcW w:w="2848"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1.06m*1.06m*0.6m</w:t>
                  </w:r>
                </w:p>
              </w:tc>
              <w:tc>
                <w:tcPr>
                  <w:tcW w:w="234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1200PCS</w:t>
                  </w:r>
                </w:p>
              </w:tc>
              <w:tc>
                <w:tcPr>
                  <w:tcW w:w="2343" w:type="dxa"/>
                  <w:vMerge w:val="continue"/>
                  <w:vAlign w:val="center"/>
                </w:tcPr>
                <w:p>
                  <w:pPr>
                    <w:adjustRightInd w:val="0"/>
                    <w:snapToGrid w:val="0"/>
                    <w:jc w:val="center"/>
                    <w:rPr>
                      <w:bCs w:val="0"/>
                      <w:color w:val="000000" w:themeColor="text1"/>
                      <w14:textFill>
                        <w14:solidFill>
                          <w14:schemeClr w14:val="tx1"/>
                        </w14:solidFill>
                      </w14:textFill>
                    </w:rPr>
                  </w:pPr>
                </w:p>
              </w:tc>
            </w:tr>
          </w:tbl>
          <w:tbl>
            <w:tblPr>
              <w:tblStyle w:val="31"/>
              <w:tblW w:w="10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0"/>
              <w:gridCol w:w="4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0"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drawing>
                      <wp:inline distT="0" distB="0" distL="0" distR="0">
                        <wp:extent cx="1946910" cy="2260600"/>
                        <wp:effectExtent l="0" t="0" r="15240" b="635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946910" cy="2260600"/>
                                </a:xfrm>
                                <a:prstGeom prst="rect">
                                  <a:avLst/>
                                </a:prstGeom>
                                <a:noFill/>
                                <a:ln>
                                  <a:noFill/>
                                </a:ln>
                              </pic:spPr>
                            </pic:pic>
                          </a:graphicData>
                        </a:graphic>
                      </wp:inline>
                    </w:drawing>
                  </w:r>
                </w:p>
              </w:tc>
              <w:tc>
                <w:tcPr>
                  <w:tcW w:w="4650"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drawing>
                      <wp:inline distT="0" distB="0" distL="0" distR="0">
                        <wp:extent cx="2730500" cy="2226310"/>
                        <wp:effectExtent l="0" t="0" r="12700" b="254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0500" cy="22263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0"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单相电抗器</w:t>
                  </w:r>
                </w:p>
              </w:tc>
              <w:tc>
                <w:tcPr>
                  <w:tcW w:w="4650"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干式三相变压器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0" w:type="dxa"/>
                  <w:gridSpan w:val="2"/>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drawing>
                      <wp:inline distT="0" distB="0" distL="0" distR="0">
                        <wp:extent cx="3406775" cy="2132330"/>
                        <wp:effectExtent l="0" t="0" r="3175" b="127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406775" cy="21323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0" w:type="dxa"/>
                  <w:gridSpan w:val="2"/>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水冷式变压器</w:t>
                  </w:r>
                </w:p>
              </w:tc>
            </w:tr>
          </w:tbl>
          <w:p>
            <w:pPr>
              <w:pStyle w:val="37"/>
              <w:ind w:firstLine="422"/>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图2-2  项目产品图</w:t>
            </w:r>
          </w:p>
          <w:p>
            <w:pPr>
              <w:snapToGrid w:val="0"/>
              <w:spacing w:before="120" w:beforeLines="50" w:line="360" w:lineRule="auto"/>
              <w:rPr>
                <w:b/>
                <w:color w:val="000000" w:themeColor="text1"/>
                <w14:textFill>
                  <w14:solidFill>
                    <w14:schemeClr w14:val="tx1"/>
                  </w14:solidFill>
                </w14:textFill>
              </w:rPr>
            </w:pPr>
            <w:r>
              <w:rPr>
                <w:b/>
                <w:color w:val="000000" w:themeColor="text1"/>
                <w14:textFill>
                  <w14:solidFill>
                    <w14:schemeClr w14:val="tx1"/>
                  </w14:solidFill>
                </w14:textFill>
              </w:rPr>
              <w:t>三、主要生产原辅材料</w:t>
            </w:r>
          </w:p>
          <w:p>
            <w:pPr>
              <w:pStyle w:val="41"/>
              <w:spacing w:line="360" w:lineRule="auto"/>
              <w:ind w:firstLine="422" w:firstLineChars="200"/>
              <w:jc w:val="left"/>
              <w:rPr>
                <w:color w:val="000000" w:themeColor="text1"/>
                <w14:textFill>
                  <w14:solidFill>
                    <w14:schemeClr w14:val="tx1"/>
                  </w14:solidFill>
                </w14:textFill>
              </w:rPr>
            </w:pPr>
            <w:r>
              <w:rPr>
                <w:color w:val="000000" w:themeColor="text1"/>
                <w14:textFill>
                  <w14:solidFill>
                    <w14:schemeClr w14:val="tx1"/>
                  </w14:solidFill>
                </w14:textFill>
              </w:rPr>
              <w:t>1、项目原辅材料一览表</w:t>
            </w:r>
          </w:p>
          <w:p>
            <w:pPr>
              <w:pStyle w:val="4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表2-3</w:t>
            </w:r>
            <w:r>
              <w:rPr>
                <w:b w:val="0"/>
                <w:bCs w:val="0"/>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本项目主要原辅材料一览表</w:t>
            </w:r>
          </w:p>
          <w:tbl>
            <w:tblPr>
              <w:tblStyle w:val="30"/>
              <w:tblW w:w="10020"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55"/>
              <w:gridCol w:w="650"/>
              <w:gridCol w:w="1701"/>
              <w:gridCol w:w="1561"/>
              <w:gridCol w:w="851"/>
              <w:gridCol w:w="1134"/>
              <w:gridCol w:w="1132"/>
              <w:gridCol w:w="139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505" w:type="dxa"/>
                  <w:gridSpan w:val="2"/>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名称</w:t>
                  </w:r>
                </w:p>
              </w:tc>
              <w:tc>
                <w:tcPr>
                  <w:tcW w:w="1701"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消耗量</w:t>
                  </w:r>
                </w:p>
              </w:tc>
              <w:tc>
                <w:tcPr>
                  <w:tcW w:w="1561"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最大储存量</w:t>
                  </w:r>
                </w:p>
              </w:tc>
              <w:tc>
                <w:tcPr>
                  <w:tcW w:w="851"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性状</w:t>
                  </w:r>
                </w:p>
              </w:tc>
              <w:tc>
                <w:tcPr>
                  <w:tcW w:w="1134"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储存位置</w:t>
                  </w:r>
                </w:p>
              </w:tc>
              <w:tc>
                <w:tcPr>
                  <w:tcW w:w="1132"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包装形式</w:t>
                  </w:r>
                </w:p>
              </w:tc>
              <w:tc>
                <w:tcPr>
                  <w:tcW w:w="1390"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用途</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w:t>
                  </w:r>
                </w:p>
              </w:tc>
              <w:tc>
                <w:tcPr>
                  <w:tcW w:w="1505" w:type="dxa"/>
                  <w:gridSpan w:val="2"/>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骨条</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11000pcs/a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500pcs/a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卷线</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505" w:type="dxa"/>
                  <w:gridSpan w:val="2"/>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铝箔</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62t/a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卷线</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w:t>
                  </w:r>
                </w:p>
              </w:tc>
              <w:tc>
                <w:tcPr>
                  <w:tcW w:w="1505" w:type="dxa"/>
                  <w:gridSpan w:val="2"/>
                  <w:vAlign w:val="center"/>
                </w:tcPr>
                <w:p>
                  <w:pPr>
                    <w:adjustRightInd w:val="0"/>
                    <w:snapToGrid w:val="0"/>
                    <w:jc w:val="center"/>
                    <w:rPr>
                      <w:bCs w:val="0"/>
                      <w:color w:val="000000" w:themeColor="text1"/>
                      <w14:textFill>
                        <w14:solidFill>
                          <w14:schemeClr w14:val="tx1"/>
                        </w14:solidFill>
                      </w14:textFill>
                    </w:rPr>
                  </w:pPr>
                  <w:r>
                    <w:rPr>
                      <w:color w:val="000000" w:themeColor="text1"/>
                      <w:kern w:val="0"/>
                      <w14:textFill>
                        <w14:solidFill>
                          <w14:schemeClr w14:val="tx1"/>
                        </w14:solidFill>
                      </w14:textFill>
                    </w:rPr>
                    <w:t>铝端子</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5600pcs/a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260pcs/a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配组</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铁芯</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230t/a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11t/a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水管</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7500pcs/a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350pcs/a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牛夹</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4000pcs/a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200pcs/a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7</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水管接头</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13000pcs/a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610pcs/a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bCs w:val="0"/>
                      <w:color w:val="000000" w:themeColor="text1"/>
                      <w14:textFill>
                        <w14:solidFill>
                          <w14:schemeClr w14:val="tx1"/>
                        </w14:solidFill>
                      </w14:textFill>
                    </w:rPr>
                    <w:t>箱装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8</w:t>
                  </w:r>
                </w:p>
              </w:tc>
              <w:tc>
                <w:tcPr>
                  <w:tcW w:w="855" w:type="dxa"/>
                  <w:vMerge w:val="restart"/>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p>
              </w:tc>
              <w:tc>
                <w:tcPr>
                  <w:tcW w:w="650"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A胶</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w:t>
                  </w:r>
                  <w:r>
                    <w:rPr>
                      <w:rFonts w:hint="eastAsia"/>
                      <w:bCs w:val="0"/>
                      <w:color w:val="000000" w:themeColor="text1"/>
                      <w14:textFill>
                        <w14:solidFill>
                          <w14:schemeClr w14:val="tx1"/>
                        </w14:solidFill>
                      </w14:textFill>
                    </w:rPr>
                    <w:t>66</w:t>
                  </w:r>
                  <w:r>
                    <w:rPr>
                      <w:bCs w:val="0"/>
                      <w:color w:val="000000" w:themeColor="text1"/>
                      <w14:textFill>
                        <w14:solidFill>
                          <w14:schemeClr w14:val="tx1"/>
                        </w14:solidFill>
                      </w14:textFill>
                    </w:rPr>
                    <w:t>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0.0</w:t>
                  </w:r>
                  <w:r>
                    <w:rPr>
                      <w:rFonts w:hint="eastAsia"/>
                      <w:bCs w:val="0"/>
                      <w:color w:val="000000" w:themeColor="text1"/>
                      <w14:textFill>
                        <w14:solidFill>
                          <w14:schemeClr w14:val="tx1"/>
                        </w14:solidFill>
                      </w14:textFill>
                    </w:rPr>
                    <w:t>4</w:t>
                  </w:r>
                  <w:r>
                    <w:rPr>
                      <w:bCs w:val="0"/>
                      <w:color w:val="000000" w:themeColor="text1"/>
                      <w14:textFill>
                        <w14:solidFill>
                          <w14:schemeClr w14:val="tx1"/>
                        </w14:solidFill>
                      </w14:textFill>
                    </w:rPr>
                    <w:t>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液态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罐装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9</w:t>
                  </w:r>
                </w:p>
              </w:tc>
              <w:tc>
                <w:tcPr>
                  <w:tcW w:w="855" w:type="dxa"/>
                  <w:vMerge w:val="continue"/>
                  <w:vAlign w:val="center"/>
                </w:tcPr>
                <w:p>
                  <w:pPr>
                    <w:adjustRightInd w:val="0"/>
                    <w:snapToGrid w:val="0"/>
                    <w:jc w:val="center"/>
                    <w:rPr>
                      <w:color w:val="000000" w:themeColor="text1"/>
                      <w:kern w:val="0"/>
                      <w14:textFill>
                        <w14:solidFill>
                          <w14:schemeClr w14:val="tx1"/>
                        </w14:solidFill>
                      </w14:textFill>
                    </w:rPr>
                  </w:pPr>
                </w:p>
              </w:tc>
              <w:tc>
                <w:tcPr>
                  <w:tcW w:w="650" w:type="dxa"/>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B胶</w:t>
                  </w:r>
                </w:p>
              </w:tc>
              <w:tc>
                <w:tcPr>
                  <w:tcW w:w="1701" w:type="dxa"/>
                  <w:vAlign w:val="center"/>
                </w:tcPr>
                <w:p>
                  <w:pPr>
                    <w:adjustRightInd w:val="0"/>
                    <w:snapToGrid w:val="0"/>
                    <w:jc w:val="center"/>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0.22</w:t>
                  </w:r>
                  <w:r>
                    <w:rPr>
                      <w:bCs w:val="0"/>
                      <w:color w:val="000000" w:themeColor="text1"/>
                      <w14:textFill>
                        <w14:solidFill>
                          <w14:schemeClr w14:val="tx1"/>
                        </w14:solidFill>
                      </w14:textFill>
                    </w:rPr>
                    <w:t>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0.0</w:t>
                  </w:r>
                  <w:r>
                    <w:rPr>
                      <w:rFonts w:hint="eastAsia"/>
                      <w:bCs w:val="0"/>
                      <w:color w:val="000000" w:themeColor="text1"/>
                      <w14:textFill>
                        <w14:solidFill>
                          <w14:schemeClr w14:val="tx1"/>
                        </w14:solidFill>
                      </w14:textFill>
                    </w:rPr>
                    <w:t>2</w:t>
                  </w:r>
                  <w:r>
                    <w:rPr>
                      <w:bCs w:val="0"/>
                      <w:color w:val="000000" w:themeColor="text1"/>
                      <w14:textFill>
                        <w14:solidFill>
                          <w14:schemeClr w14:val="tx1"/>
                        </w14:solidFill>
                      </w14:textFill>
                    </w:rPr>
                    <w:t>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液态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罐装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组立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6.66t/a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0.4t/a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液态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桶装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含浸、烘干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11</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布碎/纸皮</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0.1t/a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固态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仓库</w:t>
                  </w:r>
                </w:p>
              </w:tc>
              <w:tc>
                <w:tcPr>
                  <w:tcW w:w="1132"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6" w:type="dxa"/>
                  <w:vAlign w:val="center"/>
                </w:tcPr>
                <w:p>
                  <w:pPr>
                    <w:adjustRightInd w:val="0"/>
                    <w:snapToGrid w:val="0"/>
                    <w:jc w:val="center"/>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12</w:t>
                  </w:r>
                </w:p>
              </w:tc>
              <w:tc>
                <w:tcPr>
                  <w:tcW w:w="1505" w:type="dxa"/>
                  <w:gridSpan w:val="2"/>
                  <w:vAlign w:val="center"/>
                </w:tcPr>
                <w:p>
                  <w:pPr>
                    <w:adjustRightInd w:val="0"/>
                    <w:snapToGrid w:val="0"/>
                    <w:jc w:val="center"/>
                    <w:rPr>
                      <w:color w:val="000000" w:themeColor="text1"/>
                      <w:kern w:val="0"/>
                      <w14:textFill>
                        <w14:solidFill>
                          <w14:schemeClr w14:val="tx1"/>
                        </w14:solidFill>
                      </w14:textFill>
                    </w:rPr>
                  </w:pPr>
                  <w:r>
                    <w:rPr>
                      <w:bCs w:val="0"/>
                      <w:color w:val="000000" w:themeColor="text1"/>
                      <w14:textFill>
                        <w14:solidFill>
                          <w14:schemeClr w14:val="tx1"/>
                        </w14:solidFill>
                      </w14:textFill>
                    </w:rPr>
                    <w:t>机油</w:t>
                  </w:r>
                </w:p>
              </w:tc>
              <w:tc>
                <w:tcPr>
                  <w:tcW w:w="170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0.5t/a</w:t>
                  </w:r>
                </w:p>
              </w:tc>
              <w:tc>
                <w:tcPr>
                  <w:tcW w:w="156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0.15t/a</w:t>
                  </w:r>
                </w:p>
              </w:tc>
              <w:tc>
                <w:tcPr>
                  <w:tcW w:w="85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液态</w:t>
                  </w:r>
                </w:p>
              </w:tc>
              <w:tc>
                <w:tcPr>
                  <w:tcW w:w="1134"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原料仓</w:t>
                  </w:r>
                </w:p>
              </w:tc>
              <w:tc>
                <w:tcPr>
                  <w:tcW w:w="113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桶装</w:t>
                  </w:r>
                </w:p>
              </w:tc>
              <w:tc>
                <w:tcPr>
                  <w:tcW w:w="139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设备维修</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保养</w:t>
                  </w:r>
                </w:p>
              </w:tc>
            </w:tr>
          </w:tbl>
          <w:p>
            <w:pPr>
              <w:adjustRightInd w:val="0"/>
              <w:snapToGrid w:val="0"/>
              <w:spacing w:line="360" w:lineRule="auto"/>
              <w:ind w:firstLine="420" w:firstLineChars="200"/>
              <w:jc w:val="left"/>
              <w:rPr>
                <w:bCs w:val="0"/>
                <w:color w:val="000000" w:themeColor="text1"/>
                <w14:textFill>
                  <w14:solidFill>
                    <w14:schemeClr w14:val="tx1"/>
                  </w14:solidFill>
                </w14:textFill>
              </w:rPr>
            </w:pPr>
          </w:p>
        </w:tc>
      </w:tr>
    </w:tbl>
    <w:p>
      <w:pPr>
        <w:rPr>
          <w:color w:val="000000" w:themeColor="text1"/>
          <w14:textFill>
            <w14:solidFill>
              <w14:schemeClr w14:val="tx1"/>
            </w14:solidFill>
          </w14:textFill>
        </w:rPr>
        <w:sectPr>
          <w:pgSz w:w="11906" w:h="16838"/>
          <w:pgMar w:top="720" w:right="720" w:bottom="720" w:left="720" w:header="851" w:footer="851" w:gutter="0"/>
          <w:cols w:space="720" w:num="1"/>
          <w:docGrid w:linePitch="312" w:charSpace="0"/>
        </w:sectPr>
      </w:pPr>
    </w:p>
    <w:tbl>
      <w:tblPr>
        <w:tblStyle w:val="30"/>
        <w:tblW w:w="1561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0"/>
        <w:gridCol w:w="152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390" w:type="dxa"/>
            <w:vAlign w:val="center"/>
          </w:tcPr>
          <w:p>
            <w:pPr>
              <w:pStyle w:val="27"/>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建设内容</w:t>
            </w:r>
          </w:p>
        </w:tc>
        <w:tc>
          <w:tcPr>
            <w:tcW w:w="15224" w:type="dxa"/>
          </w:tcPr>
          <w:p>
            <w:pPr>
              <w:adjustRightInd w:val="0"/>
              <w:snapToGrid w:val="0"/>
              <w:spacing w:line="360" w:lineRule="auto"/>
              <w:ind w:firstLine="422" w:firstLineChars="200"/>
              <w:jc w:val="left"/>
              <w:rPr>
                <w:b/>
                <w:bCs w:val="0"/>
                <w:color w:val="000000" w:themeColor="text1"/>
                <w:shd w:val="clear" w:color="auto" w:fill="FFFFFF"/>
                <w14:textFill>
                  <w14:solidFill>
                    <w14:schemeClr w14:val="tx1"/>
                  </w14:solidFill>
                </w14:textFill>
              </w:rPr>
            </w:pPr>
            <w:r>
              <w:rPr>
                <w:b/>
                <w:bCs w:val="0"/>
                <w:color w:val="000000" w:themeColor="text1"/>
                <w:shd w:val="clear" w:color="auto" w:fill="FFFFFF"/>
                <w14:textFill>
                  <w14:solidFill>
                    <w14:schemeClr w14:val="tx1"/>
                  </w14:solidFill>
                </w14:textFill>
              </w:rPr>
              <w:t>2、项目原辅材料理化性质见下表：</w:t>
            </w:r>
          </w:p>
          <w:p>
            <w:pPr>
              <w:spacing w:line="360" w:lineRule="auto"/>
              <w:jc w:val="center"/>
              <w:rPr>
                <w:bCs w:val="0"/>
                <w:color w:val="000000" w:themeColor="text1"/>
                <w14:textFill>
                  <w14:solidFill>
                    <w14:schemeClr w14:val="tx1"/>
                  </w14:solidFill>
                </w14:textFill>
              </w:rPr>
            </w:pPr>
            <w:r>
              <w:rPr>
                <w:b/>
                <w:bCs w:val="0"/>
                <w:color w:val="000000" w:themeColor="text1"/>
                <w14:textFill>
                  <w14:solidFill>
                    <w14:schemeClr w14:val="tx1"/>
                  </w14:solidFill>
                </w14:textFill>
              </w:rPr>
              <w:t>表2-4  项目主要原辅材料性质一览表</w:t>
            </w:r>
          </w:p>
          <w:tbl>
            <w:tblPr>
              <w:tblStyle w:val="30"/>
              <w:tblW w:w="14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88"/>
              <w:gridCol w:w="2411"/>
              <w:gridCol w:w="2652"/>
              <w:gridCol w:w="914"/>
              <w:gridCol w:w="1052"/>
              <w:gridCol w:w="955"/>
              <w:gridCol w:w="1334"/>
              <w:gridCol w:w="2205"/>
              <w:gridCol w:w="1091"/>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tcBorders>
                    <w:top w:val="single" w:color="auto" w:sz="12" w:space="0"/>
                    <w:left w:val="single" w:color="auto" w:sz="4" w:space="0"/>
                    <w:bottom w:val="single" w:color="auto" w:sz="4" w:space="0"/>
                    <w:right w:val="single" w:color="auto" w:sz="4" w:space="0"/>
                  </w:tcBorders>
                  <w:vAlign w:val="center"/>
                </w:tcPr>
                <w:p>
                  <w:pPr>
                    <w:jc w:val="center"/>
                    <w:rPr>
                      <w:b/>
                      <w:bCs w:val="0"/>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988"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主要原辅材料名称</w:t>
                  </w:r>
                </w:p>
              </w:tc>
              <w:tc>
                <w:tcPr>
                  <w:tcW w:w="2411"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理化性质</w:t>
                  </w:r>
                </w:p>
              </w:tc>
              <w:tc>
                <w:tcPr>
                  <w:tcW w:w="2652"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组分</w:t>
                  </w:r>
                </w:p>
              </w:tc>
              <w:tc>
                <w:tcPr>
                  <w:tcW w:w="914"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毒理性质</w:t>
                  </w:r>
                </w:p>
              </w:tc>
              <w:tc>
                <w:tcPr>
                  <w:tcW w:w="1052"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燃烧爆炸性</w:t>
                  </w:r>
                </w:p>
              </w:tc>
              <w:tc>
                <w:tcPr>
                  <w:tcW w:w="955"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是否属于危险化学品</w:t>
                  </w:r>
                </w:p>
              </w:tc>
              <w:tc>
                <w:tcPr>
                  <w:tcW w:w="1334"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挥发性有机化合物含量</w:t>
                  </w:r>
                </w:p>
              </w:tc>
              <w:tc>
                <w:tcPr>
                  <w:tcW w:w="2205"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对应的挥发性有机物含量限值文件</w:t>
                  </w:r>
                </w:p>
              </w:tc>
              <w:tc>
                <w:tcPr>
                  <w:tcW w:w="1091"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对应的限值要求</w:t>
                  </w:r>
                </w:p>
              </w:tc>
              <w:tc>
                <w:tcPr>
                  <w:tcW w:w="928" w:type="dxa"/>
                  <w:tcBorders>
                    <w:top w:val="single" w:color="auto" w:sz="12" w:space="0"/>
                    <w:left w:val="single" w:color="auto" w:sz="4" w:space="0"/>
                    <w:bottom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相符性结论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w:t>
                  </w: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p>
              </w:tc>
              <w:tc>
                <w:tcPr>
                  <w:tcW w:w="2411"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rFonts w:hint="eastAsia"/>
                      <w:color w:val="000000" w:themeColor="text1"/>
                      <w14:textFill>
                        <w14:solidFill>
                          <w14:schemeClr w14:val="tx1"/>
                        </w14:solidFill>
                      </w14:textFill>
                    </w:rPr>
                    <w:t>A胶：淡紫色粘稠体，密度1.15±0.05</w:t>
                  </w:r>
                  <w:r>
                    <w:rPr>
                      <w:color w:val="000000" w:themeColor="text1"/>
                      <w14:textFill>
                        <w14:solidFill>
                          <w14:schemeClr w14:val="tx1"/>
                        </w14:solidFill>
                      </w14:textFill>
                    </w:rPr>
                    <w:t>g/cm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，B胶：无色</w:t>
                  </w:r>
                  <w:r>
                    <w:rPr>
                      <w:color w:val="000000" w:themeColor="text1"/>
                      <w14:textFill>
                        <w14:solidFill>
                          <w14:schemeClr w14:val="tx1"/>
                        </w14:solidFill>
                      </w14:textFill>
                    </w:rPr>
                    <w:t>透明液体，密度1.</w:t>
                  </w:r>
                  <w:r>
                    <w:rPr>
                      <w:rFonts w:hint="eastAsia"/>
                      <w:color w:val="000000" w:themeColor="text1"/>
                      <w14:textFill>
                        <w14:solidFill>
                          <w14:schemeClr w14:val="tx1"/>
                        </w14:solidFill>
                      </w14:textFill>
                    </w:rPr>
                    <w:t>15±0.05</w:t>
                  </w:r>
                  <w:r>
                    <w:rPr>
                      <w:color w:val="000000" w:themeColor="text1"/>
                      <w14:textFill>
                        <w14:solidFill>
                          <w14:schemeClr w14:val="tx1"/>
                        </w14:solidFill>
                      </w14:textFill>
                    </w:rPr>
                    <w:t>g/cm</w:t>
                  </w:r>
                  <w:r>
                    <w:rPr>
                      <w:color w:val="000000" w:themeColor="text1"/>
                      <w:vertAlign w:val="superscript"/>
                      <w14:textFill>
                        <w14:solidFill>
                          <w14:schemeClr w14:val="tx1"/>
                        </w14:solidFill>
                      </w14:textFill>
                    </w:rPr>
                    <w:t>3</w:t>
                  </w:r>
                </w:p>
              </w:tc>
              <w:tc>
                <w:tcPr>
                  <w:tcW w:w="2652"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A胶：双酚A型环氧树脂90~99%、环氧稀释剂0.9~5%、添加剂0.09~4%、色料0.01~1%</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B胶：酸酐类固化剂90~99.9%、促进剂0.1~9%、添加剂0.1~1%</w:t>
                  </w:r>
                </w:p>
              </w:tc>
              <w:tc>
                <w:tcPr>
                  <w:tcW w:w="914"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无资料</w:t>
                  </w:r>
                </w:p>
              </w:tc>
              <w:tc>
                <w:tcPr>
                  <w:tcW w:w="1052"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无爆炸性危害</w:t>
                  </w:r>
                </w:p>
              </w:tc>
              <w:tc>
                <w:tcPr>
                  <w:tcW w:w="95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否</w:t>
                  </w:r>
                </w:p>
              </w:tc>
              <w:tc>
                <w:tcPr>
                  <w:tcW w:w="133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《胶粘剂挥发性有机化合物限量》（GB33372-2020）</w:t>
                  </w: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“其他-</w:t>
                  </w:r>
                  <w:r>
                    <w:rPr>
                      <w:rFonts w:hint="eastAsia"/>
                      <w:color w:val="000000" w:themeColor="text1"/>
                      <w:lang w:val="en-US" w:eastAsia="zh-CN"/>
                      <w14:textFill>
                        <w14:solidFill>
                          <w14:schemeClr w14:val="tx1"/>
                        </w14:solidFill>
                      </w14:textFill>
                    </w:rPr>
                    <w:t>环氧树脂</w:t>
                  </w:r>
                  <w:r>
                    <w:rPr>
                      <w:color w:val="000000" w:themeColor="text1"/>
                      <w14:textFill>
                        <w14:solidFill>
                          <w14:schemeClr w14:val="tx1"/>
                        </w14:solidFill>
                      </w14:textFill>
                    </w:rPr>
                    <w:t>类”</w:t>
                  </w:r>
                </w:p>
              </w:tc>
              <w:tc>
                <w:tcPr>
                  <w:tcW w:w="1091"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50</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p>
              </w:tc>
              <w:tc>
                <w:tcPr>
                  <w:tcW w:w="928"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988" w:type="dxa"/>
                  <w:tcBorders>
                    <w:top w:val="nil"/>
                    <w:left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绝缘漆</w:t>
                  </w:r>
                </w:p>
              </w:tc>
              <w:tc>
                <w:tcPr>
                  <w:tcW w:w="24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无色至淡黄色透明油状液体，熔点：-25℃，沸点：＞300℃，闪点：＞120℃，相对密度为1.06~1.12g/cm</w:t>
                  </w:r>
                  <w:r>
                    <w:rPr>
                      <w:color w:val="000000" w:themeColor="text1"/>
                      <w:vertAlign w:val="superscript"/>
                      <w14:textFill>
                        <w14:solidFill>
                          <w14:schemeClr w14:val="tx1"/>
                        </w14:solidFill>
                      </w14:textFill>
                    </w:rPr>
                    <w:t>3</w:t>
                  </w:r>
                </w:p>
              </w:tc>
              <w:tc>
                <w:tcPr>
                  <w:tcW w:w="2652"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耐热聚酯树脂70~80%、改性环氧树脂20~30%、催化剂1~2%</w:t>
                  </w:r>
                </w:p>
              </w:tc>
              <w:tc>
                <w:tcPr>
                  <w:tcW w:w="914"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无急性毒性</w:t>
                  </w:r>
                </w:p>
              </w:tc>
              <w:tc>
                <w:tcPr>
                  <w:tcW w:w="1052"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无爆炸性危害</w:t>
                  </w:r>
                </w:p>
              </w:tc>
              <w:tc>
                <w:tcPr>
                  <w:tcW w:w="955" w:type="dxa"/>
                  <w:tcBorders>
                    <w:top w:val="single" w:color="auto" w:sz="4" w:space="0"/>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否</w:t>
                  </w:r>
                </w:p>
              </w:tc>
              <w:tc>
                <w:tcPr>
                  <w:tcW w:w="1334" w:type="dxa"/>
                  <w:tcBorders>
                    <w:top w:val="nil"/>
                    <w:left w:val="single" w:color="auto" w:sz="4" w:space="0"/>
                    <w:bottom w:val="single" w:color="auto" w:sz="4" w:space="0"/>
                    <w:right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27g/L</w:t>
                  </w:r>
                </w:p>
              </w:tc>
              <w:tc>
                <w:tcPr>
                  <w:tcW w:w="2205" w:type="dxa"/>
                  <w:tcBorders>
                    <w:top w:val="nil"/>
                    <w:left w:val="single" w:color="auto" w:sz="4" w:space="0"/>
                    <w:right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《低挥发性有机化合物含量涂料产品技术要求》（GB/T38597-2020）中表3无溶剂型涂料</w:t>
                  </w:r>
                </w:p>
              </w:tc>
              <w:tc>
                <w:tcPr>
                  <w:tcW w:w="1091" w:type="dxa"/>
                  <w:tcBorders>
                    <w:top w:val="nil"/>
                    <w:left w:val="single" w:color="auto" w:sz="4" w:space="0"/>
                    <w:right w:val="single" w:color="auto" w:sz="4" w:space="0"/>
                  </w:tcBorders>
                  <w:vAlign w:val="center"/>
                </w:tcPr>
                <w:p>
                  <w:pPr>
                    <w:widowControl/>
                    <w:jc w:val="center"/>
                    <w:rPr>
                      <w:color w:val="000000" w:themeColor="text1"/>
                      <w14:textFill>
                        <w14:solidFill>
                          <w14:schemeClr w14:val="tx1"/>
                        </w14:solidFill>
                      </w14:textFill>
                    </w:rPr>
                  </w:pPr>
                  <w:r>
                    <w:rPr>
                      <w:bCs w:val="0"/>
                      <w:color w:val="000000" w:themeColor="text1"/>
                      <w14:textFill>
                        <w14:solidFill>
                          <w14:schemeClr w14:val="tx1"/>
                        </w14:solidFill>
                      </w14:textFill>
                    </w:rPr>
                    <w:t>VOC含量≤60g/L</w:t>
                  </w:r>
                </w:p>
              </w:tc>
              <w:tc>
                <w:tcPr>
                  <w:tcW w:w="928" w:type="dxa"/>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相符</w:t>
                  </w:r>
                </w:p>
              </w:tc>
            </w:tr>
          </w:tbl>
          <w:p>
            <w:pPr>
              <w:snapToGrid w:val="0"/>
              <w:spacing w:line="360" w:lineRule="auto"/>
              <w:rPr>
                <w:b/>
                <w:color w:val="000000" w:themeColor="text1"/>
                <w14:textFill>
                  <w14:solidFill>
                    <w14:schemeClr w14:val="tx1"/>
                  </w14:solidFill>
                </w14:textFill>
              </w:rPr>
            </w:pPr>
          </w:p>
        </w:tc>
      </w:tr>
    </w:tbl>
    <w:p>
      <w:pPr>
        <w:rPr>
          <w:color w:val="000000" w:themeColor="text1"/>
          <w14:textFill>
            <w14:solidFill>
              <w14:schemeClr w14:val="tx1"/>
            </w14:solidFill>
          </w14:textFill>
        </w:rPr>
        <w:sectPr>
          <w:pgSz w:w="16838" w:h="11906" w:orient="landscape"/>
          <w:pgMar w:top="720" w:right="720" w:bottom="720" w:left="720" w:header="851" w:footer="851" w:gutter="0"/>
          <w:cols w:space="720" w:num="1"/>
          <w:docGrid w:linePitch="312" w:charSpace="0"/>
        </w:sectPr>
      </w:pPr>
    </w:p>
    <w:tbl>
      <w:tblPr>
        <w:tblStyle w:val="30"/>
        <w:tblW w:w="106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02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425" w:type="dxa"/>
            <w:vAlign w:val="center"/>
          </w:tcPr>
          <w:p>
            <w:pPr>
              <w:pStyle w:val="27"/>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建设内容</w:t>
            </w:r>
          </w:p>
        </w:tc>
        <w:tc>
          <w:tcPr>
            <w:tcW w:w="10257" w:type="dxa"/>
          </w:tcPr>
          <w:p>
            <w:pPr>
              <w:adjustRightInd w:val="0"/>
              <w:snapToGri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3、含VOCs原辅料用量核算</w:t>
            </w:r>
          </w:p>
          <w:p>
            <w:pPr>
              <w:adjustRightInd w:val="0"/>
              <w:snapToGri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bCs w:val="0"/>
                <w:color w:val="000000" w:themeColor="text1"/>
                <w:kern w:val="0"/>
                <w14:textFill>
                  <w14:solidFill>
                    <w14:schemeClr w14:val="tx1"/>
                  </w14:solidFill>
                </w14:textFill>
              </w:rPr>
              <w:t>环氧树脂</w:t>
            </w:r>
            <w:r>
              <w:rPr>
                <w:b/>
                <w:bCs w:val="0"/>
                <w:color w:val="000000" w:themeColor="text1"/>
                <w:kern w:val="0"/>
                <w14:textFill>
                  <w14:solidFill>
                    <w14:schemeClr w14:val="tx1"/>
                  </w14:solidFill>
                </w14:textFill>
              </w:rPr>
              <w:t>胶水</w:t>
            </w:r>
            <w:r>
              <w:rPr>
                <w:b/>
                <w:color w:val="000000" w:themeColor="text1"/>
                <w14:textFill>
                  <w14:solidFill>
                    <w14:schemeClr w14:val="tx1"/>
                  </w14:solidFill>
                </w14:textFill>
              </w:rPr>
              <w:t>用量核算</w:t>
            </w:r>
          </w:p>
          <w:p>
            <w:pPr>
              <w:adjustRightInd w:val="0"/>
              <w:snapToGrid w:val="0"/>
              <w:spacing w:line="360" w:lineRule="auto"/>
              <w:ind w:firstLine="420" w:firstLineChars="200"/>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根据建设单位提供的资料，本项目组立工序中需使用</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人工涂覆在铁芯内表面上与完成配组工序的工件进行组装，本项目</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的用量具体见下表。</w:t>
            </w:r>
          </w:p>
          <w:p>
            <w:pPr>
              <w:adjustRightInd w:val="0"/>
              <w:snapToGrid w:val="0"/>
              <w:spacing w:line="360" w:lineRule="auto"/>
              <w:ind w:firstLine="422" w:firstLineChars="200"/>
              <w:jc w:val="center"/>
              <w:rPr>
                <w:b/>
                <w:color w:val="000000" w:themeColor="text1"/>
                <w14:textFill>
                  <w14:solidFill>
                    <w14:schemeClr w14:val="tx1"/>
                  </w14:solidFill>
                </w14:textFill>
              </w:rPr>
            </w:pPr>
            <w:r>
              <w:rPr>
                <w:b/>
                <w:color w:val="000000" w:themeColor="text1"/>
                <w14:textFill>
                  <w14:solidFill>
                    <w14:schemeClr w14:val="tx1"/>
                  </w14:solidFill>
                </w14:textFill>
              </w:rPr>
              <w:t>表2-5  项目</w:t>
            </w:r>
            <w:r>
              <w:rPr>
                <w:rFonts w:hint="eastAsia"/>
                <w:b/>
                <w:bCs w:val="0"/>
                <w:color w:val="000000" w:themeColor="text1"/>
                <w:kern w:val="0"/>
                <w14:textFill>
                  <w14:solidFill>
                    <w14:schemeClr w14:val="tx1"/>
                  </w14:solidFill>
                </w14:textFill>
              </w:rPr>
              <w:t>环氧树脂</w:t>
            </w:r>
            <w:r>
              <w:rPr>
                <w:b/>
                <w:bCs w:val="0"/>
                <w:color w:val="000000" w:themeColor="text1"/>
                <w:kern w:val="0"/>
                <w14:textFill>
                  <w14:solidFill>
                    <w14:schemeClr w14:val="tx1"/>
                  </w14:solidFill>
                </w14:textFill>
              </w:rPr>
              <w:t>胶水</w:t>
            </w:r>
            <w:r>
              <w:rPr>
                <w:b/>
                <w:color w:val="000000" w:themeColor="text1"/>
                <w14:textFill>
                  <w14:solidFill>
                    <w14:schemeClr w14:val="tx1"/>
                  </w14:solidFill>
                </w14:textFill>
              </w:rPr>
              <w:t>用量核算表</w:t>
            </w:r>
          </w:p>
          <w:tbl>
            <w:tblPr>
              <w:tblStyle w:val="30"/>
              <w:tblW w:w="10031" w:type="dxa"/>
              <w:jc w:val="center"/>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fixed"/>
              <w:tblCellMar>
                <w:top w:w="17" w:type="dxa"/>
                <w:left w:w="108" w:type="dxa"/>
                <w:bottom w:w="17" w:type="dxa"/>
                <w:right w:w="108" w:type="dxa"/>
              </w:tblCellMar>
            </w:tblPr>
            <w:tblGrid>
              <w:gridCol w:w="1088"/>
              <w:gridCol w:w="1258"/>
              <w:gridCol w:w="2036"/>
              <w:gridCol w:w="1136"/>
              <w:gridCol w:w="1278"/>
              <w:gridCol w:w="1140"/>
              <w:gridCol w:w="851"/>
              <w:gridCol w:w="1244"/>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88"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产品</w:t>
                  </w:r>
                </w:p>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名称</w:t>
                  </w:r>
                </w:p>
              </w:tc>
              <w:tc>
                <w:tcPr>
                  <w:tcW w:w="1258"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产品数量</w:t>
                  </w:r>
                </w:p>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（pcs/年）</w:t>
                  </w:r>
                </w:p>
              </w:tc>
              <w:tc>
                <w:tcPr>
                  <w:tcW w:w="2036"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产品规格</w:t>
                  </w:r>
                </w:p>
              </w:tc>
              <w:tc>
                <w:tcPr>
                  <w:tcW w:w="1136"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单位铁芯涂覆面积（m</w:t>
                  </w:r>
                  <w:r>
                    <w:rPr>
                      <w:b/>
                      <w:bCs w:val="0"/>
                      <w:color w:val="000000" w:themeColor="text1"/>
                      <w:kern w:val="0"/>
                      <w:vertAlign w:val="superscript"/>
                      <w14:textFill>
                        <w14:solidFill>
                          <w14:schemeClr w14:val="tx1"/>
                        </w14:solidFill>
                      </w14:textFill>
                    </w:rPr>
                    <w:t>2</w:t>
                  </w:r>
                  <w:r>
                    <w:rPr>
                      <w:b/>
                      <w:bCs w:val="0"/>
                      <w:color w:val="000000" w:themeColor="text1"/>
                      <w:kern w:val="0"/>
                      <w14:textFill>
                        <w14:solidFill>
                          <w14:schemeClr w14:val="tx1"/>
                        </w14:solidFill>
                      </w14:textFill>
                    </w:rPr>
                    <w:t>）</w:t>
                  </w:r>
                </w:p>
              </w:tc>
              <w:tc>
                <w:tcPr>
                  <w:tcW w:w="1278"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湿膜厚度（mm）</w:t>
                  </w:r>
                </w:p>
              </w:tc>
              <w:tc>
                <w:tcPr>
                  <w:tcW w:w="1140"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胶水相对密度（g/cm</w:t>
                  </w:r>
                  <w:r>
                    <w:rPr>
                      <w:b/>
                      <w:bCs w:val="0"/>
                      <w:color w:val="000000" w:themeColor="text1"/>
                      <w:kern w:val="0"/>
                      <w:vertAlign w:val="superscript"/>
                      <w14:textFill>
                        <w14:solidFill>
                          <w14:schemeClr w14:val="tx1"/>
                        </w14:solidFill>
                      </w14:textFill>
                    </w:rPr>
                    <w:t>3</w:t>
                  </w:r>
                  <w:r>
                    <w:rPr>
                      <w:b/>
                      <w:bCs w:val="0"/>
                      <w:color w:val="000000" w:themeColor="text1"/>
                      <w:kern w:val="0"/>
                      <w14:textFill>
                        <w14:solidFill>
                          <w14:schemeClr w14:val="tx1"/>
                        </w14:solidFill>
                      </w14:textFill>
                    </w:rPr>
                    <w:t>）</w:t>
                  </w:r>
                </w:p>
              </w:tc>
              <w:tc>
                <w:tcPr>
                  <w:tcW w:w="851" w:type="dxa"/>
                  <w:tcBorders>
                    <w:top w:val="single" w:color="000000" w:sz="18" w:space="0"/>
                    <w:left w:val="single" w:color="000000" w:sz="4" w:space="0"/>
                    <w:bottom w:val="single" w:color="000000" w:sz="4" w:space="0"/>
                    <w:right w:val="single" w:color="000000"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利用率</w:t>
                  </w:r>
                </w:p>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w:t>
                  </w:r>
                </w:p>
              </w:tc>
              <w:tc>
                <w:tcPr>
                  <w:tcW w:w="1244"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rFonts w:hint="eastAsia"/>
                      <w:b/>
                      <w:bCs w:val="0"/>
                      <w:color w:val="000000" w:themeColor="text1"/>
                      <w:kern w:val="0"/>
                      <w14:textFill>
                        <w14:solidFill>
                          <w14:schemeClr w14:val="tx1"/>
                        </w14:solidFill>
                      </w14:textFill>
                    </w:rPr>
                    <w:t>环氧树脂</w:t>
                  </w:r>
                  <w:r>
                    <w:rPr>
                      <w:b/>
                      <w:bCs w:val="0"/>
                      <w:color w:val="000000" w:themeColor="text1"/>
                      <w:kern w:val="0"/>
                      <w14:textFill>
                        <w14:solidFill>
                          <w14:schemeClr w14:val="tx1"/>
                        </w14:solidFill>
                      </w14:textFill>
                    </w:rPr>
                    <w:t>胶水用量（t/a）</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8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水冷式变压器</w:t>
                  </w:r>
                </w:p>
              </w:tc>
              <w:tc>
                <w:tcPr>
                  <w:tcW w:w="12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800</w:t>
                  </w:r>
                </w:p>
              </w:tc>
              <w:tc>
                <w:tcPr>
                  <w:tcW w:w="20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bCs w:val="0"/>
                      <w:color w:val="000000" w:themeColor="text1"/>
                      <w14:textFill>
                        <w14:solidFill>
                          <w14:schemeClr w14:val="tx1"/>
                        </w14:solidFill>
                      </w14:textFill>
                    </w:rPr>
                    <w:t>1.2m*1.15m*0.8m</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3.50</w:t>
                  </w:r>
                </w:p>
              </w:tc>
              <w:tc>
                <w:tcPr>
                  <w:tcW w:w="12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0.11</w:t>
                  </w:r>
                </w:p>
              </w:tc>
              <w:tc>
                <w:tcPr>
                  <w:tcW w:w="1140" w:type="dxa"/>
                  <w:vMerge w:val="restart"/>
                  <w:tcBorders>
                    <w:top w:val="single" w:color="000000" w:sz="4" w:space="0"/>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w:t>
                  </w:r>
                  <w:r>
                    <w:rPr>
                      <w:rFonts w:hint="eastAsia"/>
                      <w:color w:val="000000" w:themeColor="text1"/>
                      <w:kern w:val="0"/>
                      <w14:textFill>
                        <w14:solidFill>
                          <w14:schemeClr w14:val="tx1"/>
                        </w14:solidFill>
                      </w14:textFill>
                    </w:rPr>
                    <w:t>15</w:t>
                  </w:r>
                </w:p>
              </w:tc>
              <w:tc>
                <w:tcPr>
                  <w:tcW w:w="851" w:type="dxa"/>
                  <w:vMerge w:val="restart"/>
                  <w:tcBorders>
                    <w:top w:val="single" w:color="000000" w:sz="4" w:space="0"/>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95</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0.3</w:t>
                  </w:r>
                  <w:r>
                    <w:rPr>
                      <w:rFonts w:hint="eastAsia"/>
                      <w:color w:val="000000" w:themeColor="text1"/>
                      <w:kern w:val="0"/>
                      <w14:textFill>
                        <w14:solidFill>
                          <w14:schemeClr w14:val="tx1"/>
                        </w14:solidFill>
                      </w14:textFill>
                    </w:rPr>
                    <w:t>7</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8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干式三相变压器</w:t>
                  </w:r>
                </w:p>
              </w:tc>
              <w:tc>
                <w:tcPr>
                  <w:tcW w:w="12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100</w:t>
                  </w:r>
                </w:p>
              </w:tc>
              <w:tc>
                <w:tcPr>
                  <w:tcW w:w="20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14:textFill>
                        <w14:solidFill>
                          <w14:schemeClr w14:val="tx1"/>
                        </w14:solidFill>
                      </w14:textFill>
                    </w:rPr>
                  </w:pPr>
                  <w:r>
                    <w:rPr>
                      <w:bCs w:val="0"/>
                      <w:color w:val="000000" w:themeColor="text1"/>
                      <w14:textFill>
                        <w14:solidFill>
                          <w14:schemeClr w14:val="tx1"/>
                        </w14:solidFill>
                      </w14:textFill>
                    </w:rPr>
                    <w:t>1.08m*1.08m*0.77m</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2.60</w:t>
                  </w:r>
                </w:p>
              </w:tc>
              <w:tc>
                <w:tcPr>
                  <w:tcW w:w="12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0.11</w:t>
                  </w:r>
                </w:p>
              </w:tc>
              <w:tc>
                <w:tcPr>
                  <w:tcW w:w="1140" w:type="dxa"/>
                  <w:vMerge w:val="continue"/>
                  <w:tcBorders>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51" w:type="dxa"/>
                  <w:vMerge w:val="continue"/>
                  <w:tcBorders>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0.03</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8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单相电抗器</w:t>
                  </w:r>
                </w:p>
              </w:tc>
              <w:tc>
                <w:tcPr>
                  <w:tcW w:w="12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1200</w:t>
                  </w:r>
                </w:p>
              </w:tc>
              <w:tc>
                <w:tcPr>
                  <w:tcW w:w="20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14:textFill>
                        <w14:solidFill>
                          <w14:schemeClr w14:val="tx1"/>
                        </w14:solidFill>
                      </w14:textFill>
                    </w:rPr>
                  </w:pPr>
                  <w:r>
                    <w:rPr>
                      <w:bCs w:val="0"/>
                      <w:color w:val="000000" w:themeColor="text1"/>
                      <w14:textFill>
                        <w14:solidFill>
                          <w14:schemeClr w14:val="tx1"/>
                        </w14:solidFill>
                      </w14:textFill>
                    </w:rPr>
                    <w:t>1.06m*1.06m*0.8m</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3.00</w:t>
                  </w:r>
                </w:p>
              </w:tc>
              <w:tc>
                <w:tcPr>
                  <w:tcW w:w="12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0.11</w:t>
                  </w:r>
                </w:p>
              </w:tc>
              <w:tc>
                <w:tcPr>
                  <w:tcW w:w="1140" w:type="dxa"/>
                  <w:vMerge w:val="continue"/>
                  <w:tcBorders>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51" w:type="dxa"/>
                  <w:vMerge w:val="continue"/>
                  <w:tcBorders>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0.4</w:t>
                  </w:r>
                  <w:r>
                    <w:rPr>
                      <w:rFonts w:hint="eastAsia"/>
                      <w:color w:val="000000" w:themeColor="text1"/>
                      <w:kern w:val="0"/>
                      <w14:textFill>
                        <w14:solidFill>
                          <w14:schemeClr w14:val="tx1"/>
                        </w14:solidFill>
                      </w14:textFill>
                    </w:rPr>
                    <w:t>8</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8787"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合计</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0.</w:t>
                  </w:r>
                  <w:r>
                    <w:rPr>
                      <w:rFonts w:hint="eastAsia"/>
                      <w:b/>
                      <w:bCs w:val="0"/>
                      <w:color w:val="000000" w:themeColor="text1"/>
                      <w:kern w:val="0"/>
                      <w14:textFill>
                        <w14:solidFill>
                          <w14:schemeClr w14:val="tx1"/>
                        </w14:solidFill>
                      </w14:textFill>
                    </w:rPr>
                    <w:t>8</w:t>
                  </w:r>
                  <w:r>
                    <w:rPr>
                      <w:b/>
                      <w:bCs w:val="0"/>
                      <w:color w:val="000000" w:themeColor="text1"/>
                      <w:kern w:val="0"/>
                      <w14:textFill>
                        <w14:solidFill>
                          <w14:schemeClr w14:val="tx1"/>
                        </w14:solidFill>
                      </w14:textFill>
                    </w:rPr>
                    <w:t>8</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031" w:type="dxa"/>
                  <w:gridSpan w:val="8"/>
                  <w:tcBorders>
                    <w:top w:val="single" w:color="000000" w:sz="4" w:space="0"/>
                    <w:left w:val="single" w:color="000000" w:sz="4" w:space="0"/>
                    <w:bottom w:val="single" w:color="000000" w:sz="18" w:space="0"/>
                    <w:right w:val="single" w:color="000000" w:sz="4" w:space="0"/>
                  </w:tcBorders>
                </w:tcPr>
                <w:p>
                  <w:pPr>
                    <w:widowControl/>
                    <w:jc w:val="left"/>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备注：</w:t>
                  </w:r>
                </w:p>
                <w:p>
                  <w:pPr>
                    <w:widowControl/>
                    <w:numPr>
                      <w:ilvl w:val="0"/>
                      <w:numId w:val="2"/>
                    </w:numPr>
                    <w:jc w:val="left"/>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本项目原属田村电子（惠州）有限公司的一部分，根据田村电子（惠州）有限公司生产经验得到单件产品的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胶水用量及湿膜厚度，可推算得出单位铁芯涂覆面积</w:t>
                  </w:r>
                  <w:r>
                    <w:rPr>
                      <w:rFonts w:hint="eastAsia"/>
                      <w:color w:val="000000" w:themeColor="text1"/>
                      <w:kern w:val="0"/>
                      <w14:textFill>
                        <w14:solidFill>
                          <w14:schemeClr w14:val="tx1"/>
                        </w14:solidFill>
                      </w14:textFill>
                    </w:rPr>
                    <w:t>；</w:t>
                  </w:r>
                </w:p>
                <w:p>
                  <w:pPr>
                    <w:widowControl/>
                    <w:numPr>
                      <w:ilvl w:val="0"/>
                      <w:numId w:val="2"/>
                    </w:numPr>
                    <w:jc w:val="left"/>
                    <w:textAlignment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根据企业提供的资料，环氧树脂</w:t>
                  </w:r>
                  <w:r>
                    <w:rPr>
                      <w:color w:val="000000" w:themeColor="text1"/>
                      <w:kern w:val="0"/>
                      <w14:textFill>
                        <w14:solidFill>
                          <w14:schemeClr w14:val="tx1"/>
                        </w14:solidFill>
                      </w14:textFill>
                    </w:rPr>
                    <w:t>胶水</w:t>
                  </w:r>
                  <w:r>
                    <w:rPr>
                      <w:rFonts w:hint="eastAsia"/>
                      <w:color w:val="000000" w:themeColor="text1"/>
                      <w:kern w:val="0"/>
                      <w14:textFill>
                        <w14:solidFill>
                          <w14:schemeClr w14:val="tx1"/>
                        </w14:solidFill>
                      </w14:textFill>
                    </w:rPr>
                    <w:t>使用时，A胶、B胶混合比例约3:1，A胶、B胶密度均为1.15±0.05g/cm</w:t>
                  </w:r>
                  <w:r>
                    <w:rPr>
                      <w:rFonts w:hint="eastAsia"/>
                      <w:color w:val="000000" w:themeColor="text1"/>
                      <w:kern w:val="0"/>
                      <w:vertAlign w:val="superscript"/>
                      <w14:textFill>
                        <w14:solidFill>
                          <w14:schemeClr w14:val="tx1"/>
                        </w14:solidFill>
                      </w14:textFill>
                    </w:rPr>
                    <w:t>3</w:t>
                  </w:r>
                  <w:r>
                    <w:rPr>
                      <w:rFonts w:hint="eastAsia"/>
                      <w:color w:val="000000" w:themeColor="text1"/>
                      <w:kern w:val="0"/>
                      <w14:textFill>
                        <w14:solidFill>
                          <w14:schemeClr w14:val="tx1"/>
                        </w14:solidFill>
                      </w14:textFill>
                    </w:rPr>
                    <w:t>，以1.15g/cm</w:t>
                  </w:r>
                  <w:r>
                    <w:rPr>
                      <w:rFonts w:hint="eastAsia"/>
                      <w:color w:val="000000" w:themeColor="text1"/>
                      <w:kern w:val="0"/>
                      <w:vertAlign w:val="superscript"/>
                      <w14:textFill>
                        <w14:solidFill>
                          <w14:schemeClr w14:val="tx1"/>
                        </w14:solidFill>
                      </w14:textFill>
                    </w:rPr>
                    <w:t>3</w:t>
                  </w:r>
                  <w:r>
                    <w:rPr>
                      <w:rFonts w:hint="eastAsia"/>
                      <w:color w:val="000000" w:themeColor="text1"/>
                      <w:kern w:val="0"/>
                      <w14:textFill>
                        <w14:solidFill>
                          <w14:schemeClr w14:val="tx1"/>
                        </w14:solidFill>
                      </w14:textFill>
                    </w:rPr>
                    <w:t>计，计算得混合后密度为1.15g/cm</w:t>
                  </w:r>
                  <w:r>
                    <w:rPr>
                      <w:rFonts w:hint="eastAsia"/>
                      <w:color w:val="000000" w:themeColor="text1"/>
                      <w:kern w:val="0"/>
                      <w:vertAlign w:val="superscript"/>
                      <w14:textFill>
                        <w14:solidFill>
                          <w14:schemeClr w14:val="tx1"/>
                        </w14:solidFill>
                      </w14:textFill>
                    </w:rPr>
                    <w:t>3</w:t>
                  </w:r>
                  <w:r>
                    <w:rPr>
                      <w:rFonts w:hint="eastAsia"/>
                      <w:color w:val="000000" w:themeColor="text1"/>
                      <w:kern w:val="0"/>
                      <w14:textFill>
                        <w14:solidFill>
                          <w14:schemeClr w14:val="tx1"/>
                        </w14:solidFill>
                      </w14:textFill>
                    </w:rPr>
                    <w:t>。</w:t>
                  </w:r>
                </w:p>
                <w:p>
                  <w:pPr>
                    <w:widowControl/>
                    <w:jc w:val="left"/>
                    <w:textAlignment w:val="center"/>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14:textFill>
                        <w14:solidFill>
                          <w14:schemeClr w14:val="tx1"/>
                        </w14:solidFill>
                      </w14:textFill>
                    </w:rPr>
                    <w:t>在使用的过程中有少量的残留在原料包装桶和布碎中，因此取利用率为95%</w:t>
                  </w:r>
                  <w:r>
                    <w:rPr>
                      <w:color w:val="000000" w:themeColor="text1"/>
                      <w:kern w:val="0"/>
                      <w14:textFill>
                        <w14:solidFill>
                          <w14:schemeClr w14:val="tx1"/>
                        </w14:solidFill>
                      </w14:textFill>
                    </w:rPr>
                    <w:t>；</w:t>
                  </w:r>
                </w:p>
                <w:p>
                  <w:pPr>
                    <w:widowControl/>
                    <w:jc w:val="left"/>
                    <w:textAlignment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4</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胶水用量（t/a）=产品数量</w:t>
                  </w:r>
                  <w:r>
                    <w:rPr>
                      <w:bCs w:val="0"/>
                      <w:color w:val="000000" w:themeColor="text1"/>
                      <w14:textFill>
                        <w14:solidFill>
                          <w14:schemeClr w14:val="tx1"/>
                        </w14:solidFill>
                      </w14:textFill>
                    </w:rPr>
                    <w:t>×单位铁芯涂覆面积×湿膜厚度×胶水相对密度/利用率×10</w:t>
                  </w:r>
                  <w:r>
                    <w:rPr>
                      <w:bCs w:val="0"/>
                      <w:color w:val="000000" w:themeColor="text1"/>
                      <w:vertAlign w:val="superscript"/>
                      <w14:textFill>
                        <w14:solidFill>
                          <w14:schemeClr w14:val="tx1"/>
                        </w14:solidFill>
                      </w14:textFill>
                    </w:rPr>
                    <w:t>-3</w:t>
                  </w:r>
                  <w:r>
                    <w:rPr>
                      <w:bCs w:val="0"/>
                      <w:color w:val="000000" w:themeColor="text1"/>
                      <w14:textFill>
                        <w14:solidFill>
                          <w14:schemeClr w14:val="tx1"/>
                        </w14:solidFill>
                      </w14:textFill>
                    </w:rPr>
                    <w:t>。</w:t>
                  </w:r>
                </w:p>
              </w:tc>
            </w:tr>
          </w:tbl>
          <w:p>
            <w:pPr>
              <w:adjustRightInd w:val="0"/>
              <w:snapToGrid w:val="0"/>
              <w:spacing w:line="360" w:lineRule="auto"/>
              <w:ind w:firstLine="420" w:firstLineChars="200"/>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根据上表计算可得，本项目设计所需</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用量</w:t>
            </w:r>
            <w:r>
              <w:rPr>
                <w:rFonts w:hint="eastAsia"/>
                <w:bCs w:val="0"/>
                <w:color w:val="000000" w:themeColor="text1"/>
                <w14:textFill>
                  <w14:solidFill>
                    <w14:schemeClr w14:val="tx1"/>
                  </w14:solidFill>
                </w14:textFill>
              </w:rPr>
              <w:t>合计</w:t>
            </w:r>
            <w:r>
              <w:rPr>
                <w:bCs w:val="0"/>
                <w:color w:val="000000" w:themeColor="text1"/>
                <w14:textFill>
                  <w14:solidFill>
                    <w14:schemeClr w14:val="tx1"/>
                  </w14:solidFill>
                </w14:textFill>
              </w:rPr>
              <w:t>为0.</w:t>
            </w:r>
            <w:r>
              <w:rPr>
                <w:rFonts w:hint="eastAsia"/>
                <w:bCs w:val="0"/>
                <w:color w:val="000000" w:themeColor="text1"/>
                <w14:textFill>
                  <w14:solidFill>
                    <w14:schemeClr w14:val="tx1"/>
                  </w14:solidFill>
                </w14:textFill>
              </w:rPr>
              <w:t>8</w:t>
            </w:r>
            <w:r>
              <w:rPr>
                <w:bCs w:val="0"/>
                <w:color w:val="000000" w:themeColor="text1"/>
                <w14:textFill>
                  <w14:solidFill>
                    <w14:schemeClr w14:val="tx1"/>
                  </w14:solidFill>
                </w14:textFill>
              </w:rPr>
              <w:t>8t/a</w:t>
            </w:r>
            <w:r>
              <w:rPr>
                <w:rFonts w:hint="eastAsia"/>
                <w:bCs w:val="0"/>
                <w:color w:val="000000" w:themeColor="text1"/>
                <w14:textFill>
                  <w14:solidFill>
                    <w14:schemeClr w14:val="tx1"/>
                  </w14:solidFill>
                </w14:textFill>
              </w:rPr>
              <w:t>，其中A胶、B胶使用比例约3:1，则A胶用量约0.66t/a，B胶用量约0.22t/a</w:t>
            </w:r>
            <w:r>
              <w:rPr>
                <w:bCs w:val="0"/>
                <w:color w:val="000000" w:themeColor="text1"/>
                <w14:textFill>
                  <w14:solidFill>
                    <w14:schemeClr w14:val="tx1"/>
                  </w14:solidFill>
                </w14:textFill>
              </w:rPr>
              <w:t>。</w:t>
            </w:r>
          </w:p>
          <w:p>
            <w:pPr>
              <w:adjustRightInd w:val="0"/>
              <w:snapToGri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（2）绝缘漆用量核算</w:t>
            </w:r>
          </w:p>
          <w:p>
            <w:pPr>
              <w:adjustRightInd w:val="0"/>
              <w:snapToGrid w:val="0"/>
              <w:spacing w:line="360" w:lineRule="auto"/>
              <w:ind w:firstLine="420" w:firstLineChars="200"/>
              <w:rPr>
                <w:bCs w:val="0"/>
                <w:color w:val="000000" w:themeColor="text1"/>
                <w14:textFill>
                  <w14:solidFill>
                    <w14:schemeClr w14:val="tx1"/>
                  </w14:solidFill>
                </w14:textFill>
              </w:rPr>
            </w:pPr>
            <w:r>
              <w:rPr>
                <w:bCs w:val="0"/>
                <w:color w:val="000000" w:themeColor="text1"/>
                <w14:textFill>
                  <w14:solidFill>
                    <w14:schemeClr w14:val="tx1"/>
                  </w14:solidFill>
                </w14:textFill>
              </w:rPr>
              <w:t>本项目将绝缘漆倒入真空含浸装置的储罐中密闭存放，启动真空含浸装置，抽真空，气压抽至0.05～0.1MPa左右，绝缘漆注入腔体，此时绝缘漆能快速、均匀、彻底渗透到线圈的空隙中。本项目绝缘漆的用量具体见下表。</w:t>
            </w:r>
          </w:p>
          <w:p>
            <w:pPr>
              <w:adjustRightInd w:val="0"/>
              <w:snapToGrid w:val="0"/>
              <w:spacing w:line="360" w:lineRule="auto"/>
              <w:ind w:firstLine="422" w:firstLineChars="200"/>
              <w:jc w:val="center"/>
              <w:rPr>
                <w:b/>
                <w:color w:val="000000" w:themeColor="text1"/>
                <w14:textFill>
                  <w14:solidFill>
                    <w14:schemeClr w14:val="tx1"/>
                  </w14:solidFill>
                </w14:textFill>
              </w:rPr>
            </w:pPr>
            <w:r>
              <w:rPr>
                <w:b/>
                <w:color w:val="000000" w:themeColor="text1"/>
                <w14:textFill>
                  <w14:solidFill>
                    <w14:schemeClr w14:val="tx1"/>
                  </w14:solidFill>
                </w14:textFill>
              </w:rPr>
              <w:t>表2-6  项目绝缘漆用量核算表</w:t>
            </w:r>
          </w:p>
          <w:tbl>
            <w:tblPr>
              <w:tblStyle w:val="30"/>
              <w:tblW w:w="10031" w:type="dxa"/>
              <w:jc w:val="center"/>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fixed"/>
              <w:tblCellMar>
                <w:top w:w="17" w:type="dxa"/>
                <w:left w:w="108" w:type="dxa"/>
                <w:bottom w:w="17" w:type="dxa"/>
                <w:right w:w="108" w:type="dxa"/>
              </w:tblCellMar>
            </w:tblPr>
            <w:tblGrid>
              <w:gridCol w:w="909"/>
              <w:gridCol w:w="1376"/>
              <w:gridCol w:w="2140"/>
              <w:gridCol w:w="1320"/>
              <w:gridCol w:w="1250"/>
              <w:gridCol w:w="1296"/>
              <w:gridCol w:w="850"/>
              <w:gridCol w:w="890"/>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909"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产品</w:t>
                  </w:r>
                </w:p>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名称</w:t>
                  </w:r>
                </w:p>
              </w:tc>
              <w:tc>
                <w:tcPr>
                  <w:tcW w:w="1376"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产品数量</w:t>
                  </w:r>
                </w:p>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（pcs/年）</w:t>
                  </w:r>
                </w:p>
              </w:tc>
              <w:tc>
                <w:tcPr>
                  <w:tcW w:w="2140"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产品规格</w:t>
                  </w:r>
                </w:p>
              </w:tc>
              <w:tc>
                <w:tcPr>
                  <w:tcW w:w="1320"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单位浸涂面积（m</w:t>
                  </w:r>
                  <w:r>
                    <w:rPr>
                      <w:b/>
                      <w:bCs w:val="0"/>
                      <w:color w:val="000000" w:themeColor="text1"/>
                      <w:kern w:val="0"/>
                      <w:vertAlign w:val="superscript"/>
                      <w14:textFill>
                        <w14:solidFill>
                          <w14:schemeClr w14:val="tx1"/>
                        </w14:solidFill>
                      </w14:textFill>
                    </w:rPr>
                    <w:t>2</w:t>
                  </w:r>
                  <w:r>
                    <w:rPr>
                      <w:b/>
                      <w:bCs w:val="0"/>
                      <w:color w:val="000000" w:themeColor="text1"/>
                      <w:kern w:val="0"/>
                      <w14:textFill>
                        <w14:solidFill>
                          <w14:schemeClr w14:val="tx1"/>
                        </w14:solidFill>
                      </w14:textFill>
                    </w:rPr>
                    <w:t>）</w:t>
                  </w:r>
                </w:p>
              </w:tc>
              <w:tc>
                <w:tcPr>
                  <w:tcW w:w="1250"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湿膜厚度（mm）</w:t>
                  </w:r>
                </w:p>
              </w:tc>
              <w:tc>
                <w:tcPr>
                  <w:tcW w:w="1296" w:type="dxa"/>
                  <w:tcBorders>
                    <w:top w:val="single" w:color="000000" w:sz="18" w:space="0"/>
                    <w:left w:val="single" w:color="000000" w:sz="4" w:space="0"/>
                    <w:bottom w:val="single" w:color="000000" w:sz="4" w:space="0"/>
                    <w:right w:val="single" w:color="000000"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绝缘漆相对密度（g/cm</w:t>
                  </w:r>
                  <w:r>
                    <w:rPr>
                      <w:b/>
                      <w:bCs w:val="0"/>
                      <w:color w:val="000000" w:themeColor="text1"/>
                      <w:kern w:val="0"/>
                      <w:vertAlign w:val="superscript"/>
                      <w14:textFill>
                        <w14:solidFill>
                          <w14:schemeClr w14:val="tx1"/>
                        </w14:solidFill>
                      </w14:textFill>
                    </w:rPr>
                    <w:t>3</w:t>
                  </w:r>
                  <w:r>
                    <w:rPr>
                      <w:b/>
                      <w:bCs w:val="0"/>
                      <w:color w:val="000000" w:themeColor="text1"/>
                      <w:kern w:val="0"/>
                      <w14:textFill>
                        <w14:solidFill>
                          <w14:schemeClr w14:val="tx1"/>
                        </w14:solidFill>
                      </w14:textFill>
                    </w:rPr>
                    <w:t>）</w:t>
                  </w:r>
                </w:p>
              </w:tc>
              <w:tc>
                <w:tcPr>
                  <w:tcW w:w="850" w:type="dxa"/>
                  <w:tcBorders>
                    <w:top w:val="single" w:color="000000" w:sz="18" w:space="0"/>
                    <w:left w:val="single" w:color="000000" w:sz="4" w:space="0"/>
                    <w:bottom w:val="single" w:color="000000" w:sz="4" w:space="0"/>
                    <w:right w:val="single" w:color="000000"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利用率</w:t>
                  </w:r>
                </w:p>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w:t>
                  </w:r>
                </w:p>
              </w:tc>
              <w:tc>
                <w:tcPr>
                  <w:tcW w:w="890" w:type="dxa"/>
                  <w:tcBorders>
                    <w:top w:val="single" w:color="000000" w:sz="18"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绝缘漆</w:t>
                  </w:r>
                  <w:r>
                    <w:rPr>
                      <w:b/>
                      <w:bCs w:val="0"/>
                      <w:color w:val="000000" w:themeColor="text1"/>
                      <w:kern w:val="0"/>
                      <w14:textFill>
                        <w14:solidFill>
                          <w14:schemeClr w14:val="tx1"/>
                        </w14:solidFill>
                      </w14:textFill>
                    </w:rPr>
                    <w:t>用量（t/a）</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水冷式变压器</w:t>
                  </w:r>
                </w:p>
              </w:tc>
              <w:tc>
                <w:tcPr>
                  <w:tcW w:w="13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800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bCs w:val="0"/>
                      <w:color w:val="000000" w:themeColor="text1"/>
                      <w14:textFill>
                        <w14:solidFill>
                          <w14:schemeClr w14:val="tx1"/>
                        </w14:solidFill>
                      </w14:textFill>
                    </w:rPr>
                    <w:t>1.2m*0.8m*1.15m</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6.6</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0.5</w:t>
                  </w:r>
                </w:p>
              </w:tc>
              <w:tc>
                <w:tcPr>
                  <w:tcW w:w="1296" w:type="dxa"/>
                  <w:vMerge w:val="restart"/>
                  <w:tcBorders>
                    <w:top w:val="single" w:color="000000" w:sz="4" w:space="0"/>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1.09</w:t>
                  </w:r>
                </w:p>
              </w:tc>
              <w:tc>
                <w:tcPr>
                  <w:tcW w:w="850" w:type="dxa"/>
                  <w:vMerge w:val="restart"/>
                  <w:tcBorders>
                    <w:top w:val="single" w:color="000000" w:sz="4" w:space="0"/>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95</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3.03</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干式三相变压器</w:t>
                  </w:r>
                </w:p>
              </w:tc>
              <w:tc>
                <w:tcPr>
                  <w:tcW w:w="13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14:textFill>
                        <w14:solidFill>
                          <w14:schemeClr w14:val="tx1"/>
                        </w14:solidFill>
                      </w14:textFill>
                    </w:rPr>
                  </w:pPr>
                  <w:r>
                    <w:rPr>
                      <w:bCs w:val="0"/>
                      <w:color w:val="000000" w:themeColor="text1"/>
                      <w14:textFill>
                        <w14:solidFill>
                          <w14:schemeClr w14:val="tx1"/>
                        </w14:solidFill>
                      </w14:textFill>
                    </w:rPr>
                    <w:t>1.08m*1.08m*0.77m</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5.7</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0.5</w:t>
                  </w:r>
                </w:p>
              </w:tc>
              <w:tc>
                <w:tcPr>
                  <w:tcW w:w="1296" w:type="dxa"/>
                  <w:vMerge w:val="continue"/>
                  <w:tcBorders>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50" w:type="dxa"/>
                  <w:vMerge w:val="continue"/>
                  <w:tcBorders>
                    <w:left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0.33</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909"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单相电抗器</w:t>
                  </w:r>
                </w:p>
              </w:tc>
              <w:tc>
                <w:tcPr>
                  <w:tcW w:w="13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1200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14:textFill>
                        <w14:solidFill>
                          <w14:schemeClr w14:val="tx1"/>
                        </w14:solidFill>
                      </w14:textFill>
                    </w:rPr>
                  </w:pPr>
                  <w:r>
                    <w:rPr>
                      <w:bCs w:val="0"/>
                      <w:color w:val="000000" w:themeColor="text1"/>
                      <w14:textFill>
                        <w14:solidFill>
                          <w14:schemeClr w14:val="tx1"/>
                        </w14:solidFill>
                      </w14:textFill>
                    </w:rPr>
                    <w:t>1.06m*1.06m*0.6m</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4.8</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0.5</w:t>
                  </w:r>
                </w:p>
              </w:tc>
              <w:tc>
                <w:tcPr>
                  <w:tcW w:w="1296" w:type="dxa"/>
                  <w:vMerge w:val="continue"/>
                  <w:tcBorders>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50" w:type="dxa"/>
                  <w:vMerge w:val="continue"/>
                  <w:tcBorders>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3.3</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9141"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合计</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6.66</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17" w:type="dxa"/>
                  <w:left w:w="108" w:type="dxa"/>
                  <w:bottom w:w="17" w:type="dxa"/>
                  <w:right w:w="108" w:type="dxa"/>
                </w:tblCellMar>
              </w:tblPrEx>
              <w:trPr>
                <w:trHeight w:val="454" w:hRule="atLeast"/>
                <w:jc w:val="center"/>
              </w:trPr>
              <w:tc>
                <w:tcPr>
                  <w:tcW w:w="10031" w:type="dxa"/>
                  <w:gridSpan w:val="8"/>
                  <w:tcBorders>
                    <w:top w:val="single" w:color="000000" w:sz="4" w:space="0"/>
                    <w:left w:val="single" w:color="000000" w:sz="4" w:space="0"/>
                    <w:bottom w:val="single" w:color="000000" w:sz="18" w:space="0"/>
                    <w:right w:val="single" w:color="000000" w:sz="4" w:space="0"/>
                  </w:tcBorders>
                  <w:vAlign w:val="center"/>
                </w:tcPr>
                <w:p>
                  <w:pPr>
                    <w:widowControl/>
                    <w:jc w:val="left"/>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备注：</w:t>
                  </w:r>
                </w:p>
                <w:p>
                  <w:pPr>
                    <w:widowControl/>
                    <w:jc w:val="left"/>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1、本项目原属田村电子（惠州）有限公司的一部分，根据田村电子（惠州）有限公司生产经验得到单件产品的绝缘漆用量及粘附厚度，可推算得出单位浸涂面积。</w:t>
                  </w:r>
                </w:p>
                <w:p>
                  <w:pPr>
                    <w:widowControl/>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2、根据建设单位提供的资料，每种产品的湿膜厚度约为0.5mm。</w:t>
                  </w:r>
                  <w:r>
                    <w:rPr>
                      <w:bCs w:val="0"/>
                      <w:color w:val="000000" w:themeColor="text1"/>
                      <w14:textFill>
                        <w14:solidFill>
                          <w14:schemeClr w14:val="tx1"/>
                        </w14:solidFill>
                      </w14:textFill>
                    </w:rPr>
                    <w:t>绝缘漆相对密度约为1.09</w:t>
                  </w:r>
                  <w:r>
                    <w:rPr>
                      <w:color w:val="000000" w:themeColor="text1"/>
                      <w14:textFill>
                        <w14:solidFill>
                          <w14:schemeClr w14:val="tx1"/>
                        </w14:solidFill>
                      </w14:textFill>
                    </w:rPr>
                    <w:t>g/cm</w:t>
                  </w:r>
                  <w:r>
                    <w:rPr>
                      <w:color w:val="000000" w:themeColor="text1"/>
                      <w:vertAlign w:val="superscript"/>
                      <w14:textFill>
                        <w14:solidFill>
                          <w14:schemeClr w14:val="tx1"/>
                        </w14:solidFill>
                      </w14:textFill>
                    </w:rPr>
                    <w:t>3</w:t>
                  </w:r>
                  <w:r>
                    <w:rPr>
                      <w:color w:val="000000" w:themeColor="text1"/>
                      <w:kern w:val="0"/>
                      <w14:textFill>
                        <w14:solidFill>
                          <w14:schemeClr w14:val="tx1"/>
                        </w14:solidFill>
                      </w14:textFill>
                    </w:rPr>
                    <w:t>；</w:t>
                  </w:r>
                </w:p>
                <w:p>
                  <w:pPr>
                    <w:widowControl/>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w:t>
                  </w:r>
                  <w:r>
                    <w:rPr>
                      <w:color w:val="000000" w:themeColor="text1"/>
                      <w14:textFill>
                        <w14:solidFill>
                          <w14:schemeClr w14:val="tx1"/>
                        </w14:solidFill>
                      </w14:textFill>
                    </w:rPr>
                    <w:t>绝缘漆在使用的过程中有少量的残留在原料包装桶、含浸槽、托盘和纸皮中，因此取绝缘漆的利用率为95%；</w:t>
                  </w:r>
                </w:p>
                <w:p>
                  <w:pPr>
                    <w:widowControl/>
                    <w:textAlignment w:val="center"/>
                    <w:rPr>
                      <w:bCs w:val="0"/>
                      <w:color w:val="000000" w:themeColor="text1"/>
                      <w14:textFill>
                        <w14:solidFill>
                          <w14:schemeClr w14:val="tx1"/>
                        </w14:solidFill>
                      </w14:textFill>
                    </w:rPr>
                  </w:pPr>
                  <w:r>
                    <w:rPr>
                      <w:color w:val="000000" w:themeColor="text1"/>
                      <w14:textFill>
                        <w14:solidFill>
                          <w14:schemeClr w14:val="tx1"/>
                        </w14:solidFill>
                      </w14:textFill>
                    </w:rPr>
                    <w:t>4、绝缘漆</w:t>
                  </w:r>
                  <w:r>
                    <w:rPr>
                      <w:color w:val="000000" w:themeColor="text1"/>
                      <w:kern w:val="0"/>
                      <w14:textFill>
                        <w14:solidFill>
                          <w14:schemeClr w14:val="tx1"/>
                        </w14:solidFill>
                      </w14:textFill>
                    </w:rPr>
                    <w:t>用量（t/a）=产品数量</w:t>
                  </w:r>
                  <w:r>
                    <w:rPr>
                      <w:bCs w:val="0"/>
                      <w:color w:val="000000" w:themeColor="text1"/>
                      <w14:textFill>
                        <w14:solidFill>
                          <w14:schemeClr w14:val="tx1"/>
                        </w14:solidFill>
                      </w14:textFill>
                    </w:rPr>
                    <w:t>×单位表面积×湿膜厚度×绝缘漆相对密度/利用率×10</w:t>
                  </w:r>
                  <w:r>
                    <w:rPr>
                      <w:bCs w:val="0"/>
                      <w:color w:val="000000" w:themeColor="text1"/>
                      <w:vertAlign w:val="superscript"/>
                      <w14:textFill>
                        <w14:solidFill>
                          <w14:schemeClr w14:val="tx1"/>
                        </w14:solidFill>
                      </w14:textFill>
                    </w:rPr>
                    <w:t>-3</w:t>
                  </w:r>
                  <w:r>
                    <w:rPr>
                      <w:bCs w:val="0"/>
                      <w:color w:val="000000" w:themeColor="text1"/>
                      <w14:textFill>
                        <w14:solidFill>
                          <w14:schemeClr w14:val="tx1"/>
                        </w14:solidFill>
                      </w14:textFill>
                    </w:rPr>
                    <w:t>。</w:t>
                  </w:r>
                </w:p>
              </w:tc>
            </w:tr>
          </w:tbl>
          <w:p>
            <w:pPr>
              <w:adjustRightInd w:val="0"/>
              <w:snapToGrid w:val="0"/>
              <w:spacing w:line="360" w:lineRule="auto"/>
              <w:jc w:val="left"/>
              <w:rPr>
                <w:b/>
                <w:color w:val="000000" w:themeColor="text1"/>
                <w14:textFill>
                  <w14:solidFill>
                    <w14:schemeClr w14:val="tx1"/>
                  </w14:solidFill>
                </w14:textFill>
              </w:rPr>
            </w:pPr>
          </w:p>
          <w:p>
            <w:pPr>
              <w:adjustRightInd w:val="0"/>
              <w:snapToGrid w:val="0"/>
              <w:spacing w:line="360" w:lineRule="auto"/>
              <w:jc w:val="left"/>
              <w:rPr>
                <w:b/>
                <w:color w:val="000000" w:themeColor="text1"/>
                <w14:textFill>
                  <w14:solidFill>
                    <w14:schemeClr w14:val="tx1"/>
                  </w14:solidFill>
                </w14:textFill>
              </w:rPr>
            </w:pPr>
            <w:r>
              <w:rPr>
                <w:b/>
                <w:color w:val="000000" w:themeColor="text1"/>
                <w14:textFill>
                  <w14:solidFill>
                    <w14:schemeClr w14:val="tx1"/>
                  </w14:solidFill>
                </w14:textFill>
              </w:rPr>
              <w:t>四、主要生产设施</w:t>
            </w:r>
          </w:p>
          <w:p>
            <w:pPr>
              <w:adjustRightInd w:val="0"/>
              <w:snapToGrid w:val="0"/>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表2-7  本项目主要生产设备一览表</w:t>
            </w:r>
          </w:p>
          <w:tbl>
            <w:tblPr>
              <w:tblStyle w:val="30"/>
              <w:tblW w:w="10031"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1218"/>
              <w:gridCol w:w="1860"/>
              <w:gridCol w:w="692"/>
              <w:gridCol w:w="903"/>
              <w:gridCol w:w="1306"/>
              <w:gridCol w:w="857"/>
              <w:gridCol w:w="1532"/>
              <w:gridCol w:w="1052"/>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218"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主要生产</w:t>
                  </w:r>
                </w:p>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单元</w:t>
                  </w:r>
                </w:p>
              </w:tc>
              <w:tc>
                <w:tcPr>
                  <w:tcW w:w="1860"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设备名称</w:t>
                  </w:r>
                </w:p>
              </w:tc>
              <w:tc>
                <w:tcPr>
                  <w:tcW w:w="692"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单位</w:t>
                  </w:r>
                </w:p>
              </w:tc>
              <w:tc>
                <w:tcPr>
                  <w:tcW w:w="90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数量</w:t>
                  </w:r>
                </w:p>
              </w:tc>
              <w:tc>
                <w:tcPr>
                  <w:tcW w:w="1306"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参数名称</w:t>
                  </w:r>
                </w:p>
              </w:tc>
              <w:tc>
                <w:tcPr>
                  <w:tcW w:w="857"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计量单位</w:t>
                  </w:r>
                </w:p>
              </w:tc>
              <w:tc>
                <w:tcPr>
                  <w:tcW w:w="1532"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参数值</w:t>
                  </w:r>
                </w:p>
              </w:tc>
              <w:tc>
                <w:tcPr>
                  <w:tcW w:w="1052"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工序</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w:t>
                  </w:r>
                </w:p>
              </w:tc>
              <w:tc>
                <w:tcPr>
                  <w:tcW w:w="1218"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变压器生产单元</w:t>
                  </w: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箔绕机</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22.0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卷线</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卷线</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8</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焊接</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储漆罐</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个</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容积</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m</w:t>
                  </w:r>
                  <w:r>
                    <w:rPr>
                      <w:bCs w:val="0"/>
                      <w:color w:val="000000" w:themeColor="text1"/>
                      <w:vertAlign w:val="superscript"/>
                      <w14:textFill>
                        <w14:solidFill>
                          <w14:schemeClr w14:val="tx1"/>
                        </w14:solidFill>
                      </w14:textFill>
                    </w:rPr>
                    <w:t>3</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9.42（直径2m，高3m）</w:t>
                  </w:r>
                </w:p>
              </w:tc>
              <w:tc>
                <w:tcPr>
                  <w:tcW w:w="105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真空含浸</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真空含浸槽</w:t>
                  </w:r>
                </w:p>
              </w:tc>
              <w:tc>
                <w:tcPr>
                  <w:tcW w:w="69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个</w:t>
                  </w:r>
                </w:p>
              </w:tc>
              <w:tc>
                <w:tcPr>
                  <w:tcW w:w="903"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生产能力</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pcs/h</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1052" w:type="dxa"/>
                  <w:vMerge w:val="continue"/>
                  <w:vAlign w:val="center"/>
                </w:tcPr>
                <w:p>
                  <w:pPr>
                    <w:adjustRightInd w:val="0"/>
                    <w:snapToGrid w:val="0"/>
                    <w:jc w:val="center"/>
                    <w:rPr>
                      <w:bCs w:val="0"/>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Merge w:val="continue"/>
                  <w:vAlign w:val="center"/>
                </w:tcPr>
                <w:p>
                  <w:pPr>
                    <w:adjustRightInd w:val="0"/>
                    <w:snapToGrid w:val="0"/>
                    <w:jc w:val="center"/>
                    <w:rPr>
                      <w:bCs w:val="0"/>
                      <w:color w:val="000000" w:themeColor="text1"/>
                      <w14:textFill>
                        <w14:solidFill>
                          <w14:schemeClr w14:val="tx1"/>
                        </w14:solidFill>
                      </w14:textFill>
                    </w:rPr>
                  </w:pP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Merge w:val="continue"/>
                  <w:vAlign w:val="center"/>
                </w:tcPr>
                <w:p>
                  <w:pPr>
                    <w:adjustRightInd w:val="0"/>
                    <w:snapToGrid w:val="0"/>
                    <w:jc w:val="center"/>
                    <w:rPr>
                      <w:bCs w:val="0"/>
                      <w:color w:val="000000" w:themeColor="text1"/>
                      <w14:textFill>
                        <w14:solidFill>
                          <w14:schemeClr w14:val="tx1"/>
                        </w14:solidFill>
                      </w14:textFill>
                    </w:rPr>
                  </w:pPr>
                </w:p>
              </w:tc>
              <w:tc>
                <w:tcPr>
                  <w:tcW w:w="692" w:type="dxa"/>
                  <w:vMerge w:val="continue"/>
                  <w:vAlign w:val="center"/>
                </w:tcPr>
                <w:p>
                  <w:pPr>
                    <w:adjustRightInd w:val="0"/>
                    <w:snapToGrid w:val="0"/>
                    <w:jc w:val="center"/>
                    <w:rPr>
                      <w:bCs w:val="0"/>
                      <w:color w:val="000000" w:themeColor="text1"/>
                      <w14:textFill>
                        <w14:solidFill>
                          <w14:schemeClr w14:val="tx1"/>
                        </w14:solidFill>
                      </w14:textFill>
                    </w:rPr>
                  </w:pPr>
                </w:p>
              </w:tc>
              <w:tc>
                <w:tcPr>
                  <w:tcW w:w="903" w:type="dxa"/>
                  <w:vMerge w:val="continue"/>
                  <w:vAlign w:val="center"/>
                </w:tcPr>
                <w:p>
                  <w:pPr>
                    <w:adjustRightInd w:val="0"/>
                    <w:snapToGrid w:val="0"/>
                    <w:jc w:val="center"/>
                    <w:rPr>
                      <w:bCs w:val="0"/>
                      <w:color w:val="000000" w:themeColor="text1"/>
                      <w14:textFill>
                        <w14:solidFill>
                          <w14:schemeClr w14:val="tx1"/>
                        </w14:solidFill>
                      </w14:textFill>
                    </w:rPr>
                  </w:pP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规格尺寸</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m</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1.98*1.48*2.6</w:t>
                  </w:r>
                </w:p>
              </w:tc>
              <w:tc>
                <w:tcPr>
                  <w:tcW w:w="1052" w:type="dxa"/>
                  <w:vMerge w:val="continue"/>
                  <w:vAlign w:val="center"/>
                </w:tcPr>
                <w:p>
                  <w:pPr>
                    <w:adjustRightInd w:val="0"/>
                    <w:snapToGrid w:val="0"/>
                    <w:jc w:val="center"/>
                    <w:rPr>
                      <w:bCs w:val="0"/>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精密型烤箱</w:t>
                  </w:r>
                </w:p>
              </w:tc>
              <w:tc>
                <w:tcPr>
                  <w:tcW w:w="69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生产能力</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pcs/h</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1052"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烘干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Merge w:val="continue"/>
                  <w:vAlign w:val="center"/>
                </w:tcPr>
                <w:p>
                  <w:pPr>
                    <w:adjustRightInd w:val="0"/>
                    <w:snapToGrid w:val="0"/>
                    <w:jc w:val="center"/>
                    <w:rPr>
                      <w:bCs w:val="0"/>
                      <w:color w:val="000000" w:themeColor="text1"/>
                      <w14:textFill>
                        <w14:solidFill>
                          <w14:schemeClr w14:val="tx1"/>
                        </w14:solidFill>
                      </w14:textFill>
                    </w:rPr>
                  </w:pP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Merge w:val="continue"/>
                  <w:vAlign w:val="center"/>
                </w:tcPr>
                <w:p>
                  <w:pPr>
                    <w:adjustRightInd w:val="0"/>
                    <w:snapToGrid w:val="0"/>
                    <w:jc w:val="center"/>
                    <w:rPr>
                      <w:bCs w:val="0"/>
                      <w:color w:val="000000" w:themeColor="text1"/>
                      <w14:textFill>
                        <w14:solidFill>
                          <w14:schemeClr w14:val="tx1"/>
                        </w14:solidFill>
                      </w14:textFill>
                    </w:rPr>
                  </w:pPr>
                </w:p>
              </w:tc>
              <w:tc>
                <w:tcPr>
                  <w:tcW w:w="692" w:type="dxa"/>
                  <w:vMerge w:val="continue"/>
                  <w:vAlign w:val="center"/>
                </w:tcPr>
                <w:p>
                  <w:pPr>
                    <w:adjustRightInd w:val="0"/>
                    <w:snapToGrid w:val="0"/>
                    <w:jc w:val="center"/>
                    <w:rPr>
                      <w:bCs w:val="0"/>
                      <w:color w:val="000000" w:themeColor="text1"/>
                      <w14:textFill>
                        <w14:solidFill>
                          <w14:schemeClr w14:val="tx1"/>
                        </w14:solidFill>
                      </w14:textFill>
                    </w:rPr>
                  </w:pPr>
                </w:p>
              </w:tc>
              <w:tc>
                <w:tcPr>
                  <w:tcW w:w="903" w:type="dxa"/>
                  <w:vMerge w:val="continue"/>
                  <w:vAlign w:val="center"/>
                </w:tcPr>
                <w:p>
                  <w:pPr>
                    <w:adjustRightInd w:val="0"/>
                    <w:snapToGrid w:val="0"/>
                    <w:jc w:val="center"/>
                    <w:rPr>
                      <w:bCs w:val="0"/>
                      <w:color w:val="000000" w:themeColor="text1"/>
                      <w14:textFill>
                        <w14:solidFill>
                          <w14:schemeClr w14:val="tx1"/>
                        </w14:solidFill>
                      </w14:textFill>
                    </w:rPr>
                  </w:pP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规格尺寸</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m</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2*1.6*2.2</w:t>
                  </w:r>
                </w:p>
              </w:tc>
              <w:tc>
                <w:tcPr>
                  <w:tcW w:w="1052" w:type="dxa"/>
                  <w:vMerge w:val="continue"/>
                  <w:vAlign w:val="center"/>
                </w:tcPr>
                <w:p>
                  <w:pPr>
                    <w:adjustRightInd w:val="0"/>
                    <w:snapToGrid w:val="0"/>
                    <w:jc w:val="center"/>
                    <w:rPr>
                      <w:bCs w:val="0"/>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7</w:t>
                  </w:r>
                </w:p>
              </w:tc>
              <w:tc>
                <w:tcPr>
                  <w:tcW w:w="1218" w:type="dxa"/>
                  <w:vMerge w:val="restart"/>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产品检测单元</w:t>
                  </w: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低温恒温槽</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1.2</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8</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调压器</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9</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光电测量仪器</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气密性测试仪</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11</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电感性能测定器</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12</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交直流耐压绝缘测试仪</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绝缘电阻测试范围</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MΩ</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1~1000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13</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LCR机</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测量时间</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ms</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13.0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14</w:t>
                  </w:r>
                </w:p>
              </w:tc>
              <w:tc>
                <w:tcPr>
                  <w:tcW w:w="1218" w:type="dxa"/>
                  <w:vMerge w:val="continue"/>
                  <w:vAlign w:val="center"/>
                </w:tcPr>
                <w:p>
                  <w:pPr>
                    <w:adjustRightInd w:val="0"/>
                    <w:snapToGrid w:val="0"/>
                    <w:jc w:val="center"/>
                    <w:rPr>
                      <w:bCs w:val="0"/>
                      <w:color w:val="000000" w:themeColor="text1"/>
                      <w14:textFill>
                        <w14:solidFill>
                          <w14:schemeClr w14:val="tx1"/>
                        </w14:solidFill>
                      </w14:textFill>
                    </w:rPr>
                  </w:pPr>
                </w:p>
              </w:tc>
              <w:tc>
                <w:tcPr>
                  <w:tcW w:w="1860"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脉冲测试仪</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脉冲间隔</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时间</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s</w:t>
                  </w:r>
                </w:p>
              </w:tc>
              <w:tc>
                <w:tcPr>
                  <w:tcW w:w="153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5.9</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检测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1"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15</w:t>
                  </w:r>
                </w:p>
              </w:tc>
              <w:tc>
                <w:tcPr>
                  <w:tcW w:w="1218"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辅助单元</w:t>
                  </w:r>
                </w:p>
              </w:tc>
              <w:tc>
                <w:tcPr>
                  <w:tcW w:w="18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空压机</w:t>
                  </w:r>
                </w:p>
              </w:tc>
              <w:tc>
                <w:tcPr>
                  <w:tcW w:w="69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台</w:t>
                  </w:r>
                </w:p>
              </w:tc>
              <w:tc>
                <w:tcPr>
                  <w:tcW w:w="90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2</w:t>
                  </w:r>
                </w:p>
              </w:tc>
              <w:tc>
                <w:tcPr>
                  <w:tcW w:w="130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功率</w:t>
                  </w:r>
                </w:p>
              </w:tc>
              <w:tc>
                <w:tcPr>
                  <w:tcW w:w="8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kW</w:t>
                  </w:r>
                </w:p>
              </w:tc>
              <w:tc>
                <w:tcPr>
                  <w:tcW w:w="153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37.0</w:t>
                  </w:r>
                </w:p>
              </w:tc>
              <w:tc>
                <w:tcPr>
                  <w:tcW w:w="1052"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辅助</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1" w:type="dxa"/>
                  <w:gridSpan w:val="9"/>
                  <w:vAlign w:val="center"/>
                </w:tcPr>
                <w:p>
                  <w:pPr>
                    <w:adjustRightInd w:val="0"/>
                    <w:snapToGrid w:val="0"/>
                    <w:jc w:val="left"/>
                    <w:rPr>
                      <w:color w:val="000000" w:themeColor="text1"/>
                      <w14:textFill>
                        <w14:solidFill>
                          <w14:schemeClr w14:val="tx1"/>
                        </w14:solidFill>
                      </w14:textFill>
                    </w:rPr>
                  </w:pPr>
                  <w:r>
                    <w:rPr>
                      <w:bCs w:val="0"/>
                      <w:color w:val="000000" w:themeColor="text1"/>
                      <w14:textFill>
                        <w14:solidFill>
                          <w14:schemeClr w14:val="tx1"/>
                        </w14:solidFill>
                      </w14:textFill>
                    </w:rPr>
                    <w:t>备注：所有设备均采用电能。</w:t>
                  </w:r>
                </w:p>
              </w:tc>
            </w:tr>
          </w:tbl>
          <w:p>
            <w:pPr>
              <w:adjustRightInd w:val="0"/>
              <w:snapToGrid w:val="0"/>
              <w:spacing w:line="360" w:lineRule="auto"/>
              <w:ind w:firstLine="422" w:firstLineChars="200"/>
              <w:jc w:val="left"/>
              <w:rPr>
                <w:bCs w:val="0"/>
                <w:color w:val="000000" w:themeColor="text1"/>
                <w14:textFill>
                  <w14:solidFill>
                    <w14:schemeClr w14:val="tx1"/>
                  </w14:solidFill>
                </w14:textFill>
              </w:rPr>
            </w:pPr>
            <w:r>
              <w:rPr>
                <w:b/>
                <w:color w:val="000000" w:themeColor="text1"/>
                <w14:textFill>
                  <w14:solidFill>
                    <w14:schemeClr w14:val="tx1"/>
                  </w14:solidFill>
                </w14:textFill>
              </w:rPr>
              <w:t>设备产能匹配性分析：</w:t>
            </w:r>
            <w:r>
              <w:rPr>
                <w:bCs w:val="0"/>
                <w:color w:val="000000" w:themeColor="text1"/>
                <w14:textFill>
                  <w14:solidFill>
                    <w14:schemeClr w14:val="tx1"/>
                  </w14:solidFill>
                </w14:textFill>
              </w:rPr>
              <w:t>根据建设单位提供的资料，本项目年生产水冷式变压器800pcs/a、干式三相变压器100pcs/a和单相电抗器1200pcs/a，而主要影响其产能的设备为真空含浸槽和精密型烤箱，则本项目设备产能匹配性分析如下。</w:t>
            </w:r>
          </w:p>
          <w:p>
            <w:pPr>
              <w:adjustRightInd w:val="0"/>
              <w:snapToGrid w:val="0"/>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表2-8  本项目主要设备产能匹配性分析一览表</w:t>
            </w:r>
          </w:p>
          <w:tbl>
            <w:tblPr>
              <w:tblStyle w:val="30"/>
              <w:tblW w:w="10031" w:type="dxa"/>
              <w:tblInd w:w="0" w:type="dxa"/>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98"/>
              <w:gridCol w:w="1170"/>
              <w:gridCol w:w="1104"/>
              <w:gridCol w:w="1103"/>
              <w:gridCol w:w="1153"/>
              <w:gridCol w:w="1440"/>
              <w:gridCol w:w="2563"/>
            </w:tblGrid>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0" w:hRule="atLeast"/>
              </w:trPr>
              <w:tc>
                <w:tcPr>
                  <w:tcW w:w="1498"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生产设备</w:t>
                  </w:r>
                </w:p>
              </w:tc>
              <w:tc>
                <w:tcPr>
                  <w:tcW w:w="1170"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设备</w:t>
                  </w:r>
                </w:p>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数量（组）</w:t>
                  </w:r>
                </w:p>
              </w:tc>
              <w:tc>
                <w:tcPr>
                  <w:tcW w:w="1104"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每批次生产数量（pcs）</w:t>
                  </w:r>
                </w:p>
              </w:tc>
              <w:tc>
                <w:tcPr>
                  <w:tcW w:w="1103"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每批次生产时间（h）</w:t>
                  </w:r>
                </w:p>
              </w:tc>
              <w:tc>
                <w:tcPr>
                  <w:tcW w:w="1153"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年生产批次（批/年）</w:t>
                  </w:r>
                </w:p>
              </w:tc>
              <w:tc>
                <w:tcPr>
                  <w:tcW w:w="1440"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理论最大产能（pcs/a）</w:t>
                  </w:r>
                </w:p>
              </w:tc>
              <w:tc>
                <w:tcPr>
                  <w:tcW w:w="2563" w:type="dxa"/>
                  <w:shd w:val="clear" w:color="auto" w:fill="auto"/>
                  <w:vAlign w:val="center"/>
                </w:tcPr>
                <w:p>
                  <w:pPr>
                    <w:widowControl/>
                    <w:jc w:val="center"/>
                    <w:rPr>
                      <w:b/>
                      <w:color w:val="000000" w:themeColor="text1"/>
                      <w:kern w:val="0"/>
                      <w:szCs w:val="22"/>
                      <w14:textFill>
                        <w14:solidFill>
                          <w14:schemeClr w14:val="tx1"/>
                        </w14:solidFill>
                      </w14:textFill>
                    </w:rPr>
                  </w:pPr>
                  <w:r>
                    <w:rPr>
                      <w:b/>
                      <w:color w:val="000000" w:themeColor="text1"/>
                      <w:kern w:val="0"/>
                      <w:szCs w:val="22"/>
                      <w14:textFill>
                        <w14:solidFill>
                          <w14:schemeClr w14:val="tx1"/>
                        </w14:solidFill>
                      </w14:textFill>
                    </w:rPr>
                    <w:t>备注</w:t>
                  </w:r>
                </w:p>
              </w:tc>
            </w:tr>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0" w:hRule="atLeast"/>
              </w:trPr>
              <w:tc>
                <w:tcPr>
                  <w:tcW w:w="1498" w:type="dxa"/>
                  <w:shd w:val="clear" w:color="auto" w:fill="auto"/>
                  <w:vAlign w:val="center"/>
                </w:tcPr>
                <w:p>
                  <w:pPr>
                    <w:widowControl/>
                    <w:jc w:val="center"/>
                    <w:rPr>
                      <w:bCs w:val="0"/>
                      <w:color w:val="000000" w:themeColor="text1"/>
                      <w:kern w:val="0"/>
                      <w14:textFill>
                        <w14:solidFill>
                          <w14:schemeClr w14:val="tx1"/>
                        </w14:solidFill>
                      </w14:textFill>
                    </w:rPr>
                  </w:pPr>
                  <w:r>
                    <w:rPr>
                      <w:bCs w:val="0"/>
                      <w:color w:val="000000" w:themeColor="text1"/>
                      <w14:textFill>
                        <w14:solidFill>
                          <w14:schemeClr w14:val="tx1"/>
                        </w14:solidFill>
                      </w14:textFill>
                    </w:rPr>
                    <w:t>真空含浸槽</w:t>
                  </w:r>
                </w:p>
              </w:tc>
              <w:tc>
                <w:tcPr>
                  <w:tcW w:w="1170" w:type="dxa"/>
                  <w:shd w:val="clear" w:color="auto" w:fill="auto"/>
                  <w:vAlign w:val="center"/>
                </w:tcPr>
                <w:p>
                  <w:pPr>
                    <w:widowControl/>
                    <w:jc w:val="center"/>
                    <w:rPr>
                      <w:bCs w:val="0"/>
                      <w:color w:val="000000" w:themeColor="text1"/>
                      <w:kern w:val="0"/>
                      <w14:textFill>
                        <w14:solidFill>
                          <w14:schemeClr w14:val="tx1"/>
                        </w14:solidFill>
                      </w14:textFill>
                    </w:rPr>
                  </w:pPr>
                  <w:r>
                    <w:rPr>
                      <w:bCs w:val="0"/>
                      <w:color w:val="000000" w:themeColor="text1"/>
                      <w:kern w:val="0"/>
                      <w14:textFill>
                        <w14:solidFill>
                          <w14:schemeClr w14:val="tx1"/>
                        </w14:solidFill>
                      </w14:textFill>
                    </w:rPr>
                    <w:t>2</w:t>
                  </w:r>
                </w:p>
              </w:tc>
              <w:tc>
                <w:tcPr>
                  <w:tcW w:w="1104" w:type="dxa"/>
                  <w:shd w:val="clear" w:color="auto" w:fill="auto"/>
                  <w:vAlign w:val="center"/>
                </w:tcPr>
                <w:p>
                  <w:pPr>
                    <w:widowControl/>
                    <w:jc w:val="center"/>
                    <w:rPr>
                      <w:bCs w:val="0"/>
                      <w:color w:val="000000" w:themeColor="text1"/>
                      <w:kern w:val="0"/>
                      <w:szCs w:val="22"/>
                      <w14:textFill>
                        <w14:solidFill>
                          <w14:schemeClr w14:val="tx1"/>
                        </w14:solidFill>
                      </w14:textFill>
                    </w:rPr>
                  </w:pPr>
                  <w:r>
                    <w:rPr>
                      <w:color w:val="000000" w:themeColor="text1"/>
                      <w14:textFill>
                        <w14:solidFill>
                          <w14:schemeClr w14:val="tx1"/>
                        </w14:solidFill>
                      </w14:textFill>
                    </w:rPr>
                    <w:t>1</w:t>
                  </w:r>
                </w:p>
              </w:tc>
              <w:tc>
                <w:tcPr>
                  <w:tcW w:w="1103" w:type="dxa"/>
                  <w:shd w:val="clear" w:color="auto" w:fill="auto"/>
                  <w:vAlign w:val="center"/>
                </w:tcPr>
                <w:p>
                  <w:pPr>
                    <w:widowControl/>
                    <w:jc w:val="center"/>
                    <w:rPr>
                      <w:bCs w:val="0"/>
                      <w:color w:val="000000" w:themeColor="text1"/>
                      <w:kern w:val="0"/>
                      <w:szCs w:val="22"/>
                      <w14:textFill>
                        <w14:solidFill>
                          <w14:schemeClr w14:val="tx1"/>
                        </w14:solidFill>
                      </w14:textFill>
                    </w:rPr>
                  </w:pPr>
                  <w:r>
                    <w:rPr>
                      <w:bCs w:val="0"/>
                      <w:color w:val="000000" w:themeColor="text1"/>
                      <w:kern w:val="0"/>
                      <w:szCs w:val="22"/>
                      <w14:textFill>
                        <w14:solidFill>
                          <w14:schemeClr w14:val="tx1"/>
                        </w14:solidFill>
                      </w14:textFill>
                    </w:rPr>
                    <w:t>2</w:t>
                  </w:r>
                </w:p>
              </w:tc>
              <w:tc>
                <w:tcPr>
                  <w:tcW w:w="1153" w:type="dxa"/>
                  <w:shd w:val="clear" w:color="auto" w:fill="auto"/>
                  <w:vAlign w:val="center"/>
                </w:tcPr>
                <w:p>
                  <w:pPr>
                    <w:widowControl/>
                    <w:jc w:val="center"/>
                    <w:rPr>
                      <w:bCs w:val="0"/>
                      <w:color w:val="000000" w:themeColor="text1"/>
                      <w:kern w:val="0"/>
                      <w:szCs w:val="22"/>
                      <w14:textFill>
                        <w14:solidFill>
                          <w14:schemeClr w14:val="tx1"/>
                        </w14:solidFill>
                      </w14:textFill>
                    </w:rPr>
                  </w:pPr>
                  <w:r>
                    <w:rPr>
                      <w:bCs w:val="0"/>
                      <w:color w:val="000000" w:themeColor="text1"/>
                      <w:kern w:val="0"/>
                      <w:szCs w:val="22"/>
                      <w14:textFill>
                        <w14:solidFill>
                          <w14:schemeClr w14:val="tx1"/>
                        </w14:solidFill>
                      </w14:textFill>
                    </w:rPr>
                    <w:t>1200</w:t>
                  </w:r>
                </w:p>
              </w:tc>
              <w:tc>
                <w:tcPr>
                  <w:tcW w:w="1440" w:type="dxa"/>
                  <w:shd w:val="clear" w:color="auto" w:fill="auto"/>
                  <w:vAlign w:val="center"/>
                </w:tcPr>
                <w:p>
                  <w:pPr>
                    <w:widowControl/>
                    <w:jc w:val="center"/>
                    <w:rPr>
                      <w:bCs w:val="0"/>
                      <w:color w:val="000000" w:themeColor="text1"/>
                      <w:kern w:val="0"/>
                      <w:szCs w:val="22"/>
                      <w14:textFill>
                        <w14:solidFill>
                          <w14:schemeClr w14:val="tx1"/>
                        </w14:solidFill>
                      </w14:textFill>
                    </w:rPr>
                  </w:pPr>
                  <w:r>
                    <w:rPr>
                      <w:bCs w:val="0"/>
                      <w:color w:val="000000" w:themeColor="text1"/>
                      <w:kern w:val="0"/>
                      <w:szCs w:val="22"/>
                      <w14:textFill>
                        <w14:solidFill>
                          <w14:schemeClr w14:val="tx1"/>
                        </w14:solidFill>
                      </w14:textFill>
                    </w:rPr>
                    <w:t>2400</w:t>
                  </w:r>
                </w:p>
              </w:tc>
              <w:tc>
                <w:tcPr>
                  <w:tcW w:w="2563" w:type="dxa"/>
                  <w:shd w:val="clear" w:color="auto" w:fill="auto"/>
                  <w:vAlign w:val="center"/>
                </w:tcPr>
                <w:p>
                  <w:pPr>
                    <w:widowControl/>
                    <w:rPr>
                      <w:color w:val="000000" w:themeColor="text1"/>
                      <w14:textFill>
                        <w14:solidFill>
                          <w14:schemeClr w14:val="tx1"/>
                        </w14:solidFill>
                      </w14:textFill>
                    </w:rPr>
                  </w:pPr>
                  <w:r>
                    <w:rPr>
                      <w:bCs w:val="0"/>
                      <w:color w:val="000000" w:themeColor="text1"/>
                      <w:kern w:val="0"/>
                      <w:szCs w:val="22"/>
                      <w14:textFill>
                        <w14:solidFill>
                          <w14:schemeClr w14:val="tx1"/>
                        </w14:solidFill>
                      </w14:textFill>
                    </w:rPr>
                    <w:t>每批次卷线1h、配组1h、组立1h、</w:t>
                  </w:r>
                  <w:r>
                    <w:rPr>
                      <w:b/>
                      <w:color w:val="000000" w:themeColor="text1"/>
                      <w:kern w:val="0"/>
                      <w:szCs w:val="22"/>
                      <w14:textFill>
                        <w14:solidFill>
                          <w14:schemeClr w14:val="tx1"/>
                        </w14:solidFill>
                      </w14:textFill>
                    </w:rPr>
                    <w:t>含浸2h</w:t>
                  </w:r>
                  <w:r>
                    <w:rPr>
                      <w:bCs w:val="0"/>
                      <w:color w:val="000000" w:themeColor="text1"/>
                      <w:kern w:val="0"/>
                      <w:szCs w:val="22"/>
                      <w14:textFill>
                        <w14:solidFill>
                          <w14:schemeClr w14:val="tx1"/>
                        </w14:solidFill>
                      </w14:textFill>
                    </w:rPr>
                    <w:t>，烘干2h、检测1h。各工序生产时间有交叉，每天生产时间合计8小时。</w:t>
                  </w:r>
                </w:p>
              </w:tc>
            </w:tr>
            <w:tr>
              <w:tblPrEx>
                <w:tblBorders>
                  <w:top w:val="single" w:color="auto" w:sz="12" w:space="0"/>
                  <w:left w:val="single" w:color="000000" w:sz="4" w:space="0"/>
                  <w:bottom w:val="single" w:color="auto"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0031" w:type="dxa"/>
                  <w:gridSpan w:val="7"/>
                  <w:shd w:val="clear" w:color="auto" w:fill="auto"/>
                  <w:vAlign w:val="center"/>
                </w:tcPr>
                <w:p>
                  <w:pPr>
                    <w:widowControl/>
                    <w:rPr>
                      <w:color w:val="000000" w:themeColor="text1"/>
                      <w14:textFill>
                        <w14:solidFill>
                          <w14:schemeClr w14:val="tx1"/>
                        </w14:solidFill>
                      </w14:textFill>
                    </w:rPr>
                  </w:pPr>
                  <w:r>
                    <w:rPr>
                      <w:color w:val="000000" w:themeColor="text1"/>
                      <w14:textFill>
                        <w14:solidFill>
                          <w14:schemeClr w14:val="tx1"/>
                        </w14:solidFill>
                      </w14:textFill>
                    </w:rPr>
                    <w:t>备注：</w:t>
                  </w:r>
                </w:p>
                <w:p>
                  <w:pPr>
                    <w:widowControl/>
                    <w:rPr>
                      <w:color w:val="000000" w:themeColor="text1"/>
                      <w14:textFill>
                        <w14:solidFill>
                          <w14:schemeClr w14:val="tx1"/>
                        </w14:solidFill>
                      </w14:textFill>
                    </w:rPr>
                  </w:pPr>
                  <w:r>
                    <w:rPr>
                      <w:color w:val="000000" w:themeColor="text1"/>
                      <w14:textFill>
                        <w14:solidFill>
                          <w14:schemeClr w14:val="tx1"/>
                        </w14:solidFill>
                      </w14:textFill>
                    </w:rPr>
                    <w:t>1、真空含浸槽2台为一组，一组含浸槽配备1个控制端，1个控制端同时只能操纵1个含浸槽工作，其中1个含浸槽工作时，另一个含浸槽受保护不能运作，即同组的2个含浸槽交替运作。共有2组含浸槽，每1组含浸槽1天生产4批次，年生产1200批次，每批次生产1个工件；</w:t>
                  </w:r>
                </w:p>
                <w:p>
                  <w:pPr>
                    <w:pStyle w:val="37"/>
                    <w:spacing w:line="240" w:lineRule="auto"/>
                    <w:ind w:firstLine="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2、由于工件规格较大，单个真空含浸槽每次只能容纳1个工件加工。</w:t>
                  </w:r>
                </w:p>
              </w:tc>
            </w:tr>
          </w:tbl>
          <w:p>
            <w:pPr>
              <w:rPr>
                <w:color w:val="000000" w:themeColor="text1"/>
                <w14:textFill>
                  <w14:solidFill>
                    <w14:schemeClr w14:val="tx1"/>
                  </w14:solidFill>
                </w14:textFill>
              </w:rPr>
            </w:pPr>
          </w:p>
          <w:p>
            <w:pPr>
              <w:adjustRightInd w:val="0"/>
              <w:snapToGrid w:val="0"/>
              <w:spacing w:line="360" w:lineRule="auto"/>
              <w:ind w:firstLine="420" w:firstLineChars="200"/>
              <w:jc w:val="left"/>
              <w:rPr>
                <w:bCs w:val="0"/>
                <w:color w:val="000000" w:themeColor="text1"/>
                <w14:textFill>
                  <w14:solidFill>
                    <w14:schemeClr w14:val="tx1"/>
                  </w14:solidFill>
                </w14:textFill>
              </w:rPr>
            </w:pPr>
            <w:r>
              <w:rPr>
                <w:bCs w:val="0"/>
                <w:color w:val="000000" w:themeColor="text1"/>
                <w14:textFill>
                  <w14:solidFill>
                    <w14:schemeClr w14:val="tx1"/>
                  </w14:solidFill>
                </w14:textFill>
              </w:rPr>
              <w:t>项目核心设备理论最大产能为2400pcs/a，大于计划产量2100pcs/a，可满足生产需求，也并未出现产能过剩，与项目拟生产量较为匹配。</w:t>
            </w:r>
            <w:r>
              <w:rPr>
                <w:bCs w:val="0"/>
                <w:color w:val="000000" w:themeColor="text1"/>
                <w:kern w:val="0"/>
                <w:szCs w:val="22"/>
                <w14:textFill>
                  <w14:solidFill>
                    <w14:schemeClr w14:val="tx1"/>
                  </w14:solidFill>
                </w14:textFill>
              </w:rPr>
              <w:t>项目设备的理论最大产能大于设计产能主要是考虑到实际生产过程中会发生设备检修等特殊情况。</w:t>
            </w:r>
          </w:p>
          <w:p>
            <w:pPr>
              <w:adjustRightInd w:val="0"/>
              <w:snapToGrid w:val="0"/>
              <w:spacing w:line="360" w:lineRule="auto"/>
              <w:jc w:val="left"/>
              <w:rPr>
                <w:b/>
                <w:bCs w:val="0"/>
                <w:color w:val="000000" w:themeColor="text1"/>
                <w14:textFill>
                  <w14:solidFill>
                    <w14:schemeClr w14:val="tx1"/>
                  </w14:solidFill>
                </w14:textFill>
              </w:rPr>
            </w:pPr>
            <w:r>
              <w:rPr>
                <w:b/>
                <w:color w:val="000000" w:themeColor="text1"/>
                <w14:textFill>
                  <w14:solidFill>
                    <w14:schemeClr w14:val="tx1"/>
                  </w14:solidFill>
                </w14:textFill>
              </w:rPr>
              <w:t>五、</w:t>
            </w:r>
            <w:r>
              <w:rPr>
                <w:b/>
                <w:bCs w:val="0"/>
                <w:color w:val="000000" w:themeColor="text1"/>
                <w14:textFill>
                  <w14:solidFill>
                    <w14:schemeClr w14:val="tx1"/>
                  </w14:solidFill>
                </w14:textFill>
              </w:rPr>
              <w:t>给排水和供电</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1、给排水</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 xml:space="preserve"> 项目用水由附近市政供水管网接入，运营期用水主要水喷淋塔用水和员工生活用水。项目采用雨、污水分流制，雨水经暗渠汇集后直接排入市政雨水管网，喷淋废水经收集后交由有危险废物处理资质单位处置，生活污水经“三级化粪池”预处理后纳入博罗县城生活污水处理厂进行处理。</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2、供电</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项目年耗电量约15万度，供电由广东电网惠州市供电局公共电网提供。</w:t>
            </w:r>
          </w:p>
          <w:p>
            <w:pPr>
              <w:pStyle w:val="37"/>
              <w:ind w:firstLine="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六、水平衡分析</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1、水喷淋塔用水和废水：</w:t>
            </w:r>
          </w:p>
          <w:p>
            <w:pPr>
              <w:spacing w:line="360" w:lineRule="auto"/>
              <w:ind w:firstLine="420" w:firstLineChars="200"/>
              <w:rPr>
                <w:b/>
                <w:bCs w:val="0"/>
                <w:color w:val="000000" w:themeColor="text1"/>
                <w14:textFill>
                  <w14:solidFill>
                    <w14:schemeClr w14:val="tx1"/>
                  </w14:solidFill>
                </w14:textFill>
              </w:rPr>
            </w:pPr>
            <w:r>
              <w:rPr>
                <w:color w:val="000000" w:themeColor="text1"/>
                <w14:textFill>
                  <w14:solidFill>
                    <w14:schemeClr w14:val="tx1"/>
                  </w14:solidFill>
                </w14:textFill>
              </w:rPr>
              <w:t>项目设置1套水喷淋塔，喷淋塔在运行过程，会产生喷淋废水。喷淋塔的气液比需为1.5-2.5L/m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，本项目取1.5L/m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进行计算，风机风量为</w:t>
            </w:r>
            <w:r>
              <w:rPr>
                <w:rFonts w:hint="eastAsia"/>
                <w:color w:val="000000" w:themeColor="text1"/>
                <w:lang w:val="en-US" w:eastAsia="zh-CN"/>
                <w14:textFill>
                  <w14:solidFill>
                    <w14:schemeClr w14:val="tx1"/>
                  </w14:solidFill>
                </w14:textFill>
              </w:rPr>
              <w:t>30</w:t>
            </w:r>
            <w:r>
              <w:rPr>
                <w:color w:val="000000" w:themeColor="text1"/>
                <w14:textFill>
                  <w14:solidFill>
                    <w14:schemeClr w14:val="tx1"/>
                  </w14:solidFill>
                </w14:textFill>
              </w:rPr>
              <w:t>000m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/h。喷淋塔下方设置循环水池对喷淋用水进行循环使用，循环水池容积按照5min的循环用水量设置，则每小时循环水量</w:t>
            </w:r>
            <w:r>
              <w:rPr>
                <w:rFonts w:hint="eastAsia"/>
                <w:color w:val="000000" w:themeColor="text1"/>
                <w14:textFill>
                  <w14:solidFill>
                    <w14:schemeClr w14:val="tx1"/>
                  </w14:solidFill>
                </w14:textFill>
              </w:rPr>
              <w:t>4</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/h，每天循环水量</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60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/d，配套水箱设为</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75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。喷淋塔用水经底部水槽沉淀隔渣后循环使用，采用喷淋过程中水损耗量根据《工业循环冷却水处理设计规范》（GB/T 50050-2017）中 5.0.7~5.0.8 所知，闭式系统的补充水量不宜大于循环水量的1%，补充水系统设计流量宜为循环水量的0.5%~1%，本环评取1%，一天工作8小时，年工作300d，则本项目喷淋塔损耗水量为</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1080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/a），水喷淋用水每半年更换一次，本项目喷淋塔配套水箱容积总计为</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75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，因此喷淋废水产生量为0.0</w:t>
            </w:r>
            <w:r>
              <w:rPr>
                <w:rFonts w:hint="eastAsia"/>
                <w:color w:val="000000" w:themeColor="text1"/>
                <w:lang w:val="en-US" w:eastAsia="zh-CN"/>
                <w14:textFill>
                  <w14:solidFill>
                    <w14:schemeClr w14:val="tx1"/>
                  </w14:solidFill>
                </w14:textFill>
              </w:rPr>
              <w:t>25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7.5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/a），更换后的喷淋废水经收集后交由有危险废物处理资质单位处置。喷淋塔补充水量为</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+0.0</w:t>
            </w: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625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1087.5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2、员工生活用水和污水：</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项目拟劳动定员为12人，均不在项目内食宿，年工作300d，根据广东省地方标准《用水定额 第3部分：生活用水》（DB44/T1461.3-2021），用水定额为10m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/人•a，则项目生活用水量为0.4m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/d（120m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/a），排污系数为0.8，因此员工生活污水排放量为0.32m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/d（96m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项目所在区域属于博罗县城生活污水处理厂纳污范围，项目的生活污水经“三级化粪池”预处理达到广东省地方标准《水污染物排放限值》（DB44/26-2001）第二时段三级标准后经市政污水管网排入博罗县城生活污水处理厂处理，尾水排入新角排渠后汇入东江。</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object>
                <v:shape id="_x0000_i1025" o:spt="75" type="#_x0000_t75" style="height:141pt;width:411pt;" o:ole="t" filled="f" o:preferrelative="t" stroked="f" coordsize="21600,21600">
                  <v:path/>
                  <v:fill on="f" focussize="0,0"/>
                  <v:stroke on="f"/>
                  <v:imagedata r:id="rId13" o:title=""/>
                  <o:lock v:ext="edit" aspectratio="t"/>
                  <w10:wrap type="none"/>
                  <w10:anchorlock/>
                </v:shape>
                <o:OLEObject Type="Embed" ProgID="Visio.Drawing.11" ShapeID="_x0000_i1025" DrawAspect="Content" ObjectID="_1468075725" r:id="rId12">
                  <o:LockedField>false</o:LockedField>
                </o:OLEObject>
              </w:objec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图2-3  项目水平衡示意图  单位：m</w:t>
            </w:r>
            <w:r>
              <w:rPr>
                <w:b/>
                <w:bCs w:val="0"/>
                <w:color w:val="000000" w:themeColor="text1"/>
                <w:vertAlign w:val="superscript"/>
                <w14:textFill>
                  <w14:solidFill>
                    <w14:schemeClr w14:val="tx1"/>
                  </w14:solidFill>
                </w14:textFill>
              </w:rPr>
              <w:t>3</w:t>
            </w:r>
            <w:r>
              <w:rPr>
                <w:b/>
                <w:bCs w:val="0"/>
                <w:color w:val="000000" w:themeColor="text1"/>
                <w14:textFill>
                  <w14:solidFill>
                    <w14:schemeClr w14:val="tx1"/>
                  </w14:solidFill>
                </w14:textFill>
              </w:rPr>
              <w:t>/d</w:t>
            </w:r>
          </w:p>
          <w:p>
            <w:pPr>
              <w:autoSpaceDE w:val="0"/>
              <w:autoSpaceDN w:val="0"/>
              <w:adjustRightInd w:val="0"/>
              <w:snapToGrid w:val="0"/>
              <w:spacing w:line="360" w:lineRule="auto"/>
              <w:rPr>
                <w:b/>
                <w:bCs w:val="0"/>
                <w:color w:val="000000" w:themeColor="text1"/>
                <w:kern w:val="21"/>
                <w14:textFill>
                  <w14:solidFill>
                    <w14:schemeClr w14:val="tx1"/>
                  </w14:solidFill>
                </w14:textFill>
              </w:rPr>
            </w:pPr>
            <w:r>
              <w:rPr>
                <w:b/>
                <w:bCs w:val="0"/>
                <w:color w:val="000000" w:themeColor="text1"/>
                <w:kern w:val="21"/>
                <w14:textFill>
                  <w14:solidFill>
                    <w14:schemeClr w14:val="tx1"/>
                  </w14:solidFill>
                </w14:textFill>
              </w:rPr>
              <w:t>七、项目VOCs平衡</w:t>
            </w:r>
          </w:p>
          <w:p>
            <w:pPr>
              <w:pStyle w:val="41"/>
              <w:adjustRightInd w:val="0"/>
              <w:snapToGrid w:val="0"/>
              <w:spacing w:line="360" w:lineRule="auto"/>
              <w:ind w:firstLine="420"/>
              <w:rPr>
                <w:b w:val="0"/>
                <w:bCs w:val="0"/>
                <w:color w:val="000000" w:themeColor="text1"/>
                <w14:textFill>
                  <w14:solidFill>
                    <w14:schemeClr w14:val="tx1"/>
                  </w14:solidFill>
                </w14:textFill>
              </w:rPr>
            </w:pPr>
            <w:r>
              <w:rPr>
                <w:color w:val="000000" w:themeColor="text1"/>
                <w14:textFill>
                  <w14:solidFill>
                    <w14:schemeClr w14:val="tx1"/>
                  </w14:solidFill>
                </w14:textFill>
              </w:rPr>
              <w:t>表2-9  项目VOCs平衡表</w:t>
            </w:r>
          </w:p>
          <w:tbl>
            <w:tblPr>
              <w:tblStyle w:val="30"/>
              <w:tblW w:w="10031"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8"/>
              <w:gridCol w:w="2486"/>
              <w:gridCol w:w="2223"/>
              <w:gridCol w:w="222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84" w:type="dxa"/>
                  <w:gridSpan w:val="2"/>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color w:val="000000" w:themeColor="text1"/>
                      <w14:textFill>
                        <w14:solidFill>
                          <w14:schemeClr w14:val="tx1"/>
                        </w14:solidFill>
                      </w14:textFill>
                    </w:rPr>
                  </w:pPr>
                  <w:r>
                    <w:rPr>
                      <w:b/>
                      <w:bCs w:val="0"/>
                      <w:color w:val="000000" w:themeColor="text1"/>
                      <w14:textFill>
                        <w14:solidFill>
                          <w14:schemeClr w14:val="tx1"/>
                        </w14:solidFill>
                      </w14:textFill>
                    </w:rPr>
                    <w:t>投入（t/a）</w:t>
                  </w:r>
                </w:p>
              </w:tc>
              <w:tc>
                <w:tcPr>
                  <w:tcW w:w="4447" w:type="dxa"/>
                  <w:gridSpan w:val="2"/>
                  <w:tcBorders>
                    <w:top w:val="single" w:color="auto" w:sz="12" w:space="0"/>
                    <w:left w:val="nil"/>
                    <w:bottom w:val="single" w:color="auto" w:sz="4" w:space="0"/>
                    <w:right w:val="single" w:color="auto" w:sz="4" w:space="0"/>
                  </w:tcBorders>
                  <w:vAlign w:val="center"/>
                </w:tcPr>
                <w:p>
                  <w:pPr>
                    <w:adjustRightInd w:val="0"/>
                    <w:snapToGrid w:val="0"/>
                    <w:jc w:val="center"/>
                    <w:rPr>
                      <w:b/>
                      <w:color w:val="000000" w:themeColor="text1"/>
                      <w14:textFill>
                        <w14:solidFill>
                          <w14:schemeClr w14:val="tx1"/>
                        </w14:solidFill>
                      </w14:textFill>
                    </w:rPr>
                  </w:pPr>
                  <w:r>
                    <w:rPr>
                      <w:b/>
                      <w:bCs w:val="0"/>
                      <w:color w:val="000000" w:themeColor="text1"/>
                      <w14:textFill>
                        <w14:solidFill>
                          <w14:schemeClr w14:val="tx1"/>
                        </w14:solidFill>
                      </w14:textFill>
                    </w:rPr>
                    <w:t>产出</w:t>
                  </w:r>
                  <w:r>
                    <w:rPr>
                      <w:b/>
                      <w:color w:val="000000" w:themeColor="text1"/>
                      <w14:textFill>
                        <w14:solidFill>
                          <w14:schemeClr w14:val="tx1"/>
                        </w14:solidFill>
                      </w14:textFill>
                    </w:rPr>
                    <w:t>（t/a）</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14:textFill>
                        <w14:solidFill>
                          <w14:schemeClr w14:val="tx1"/>
                        </w14:solidFill>
                      </w14:textFill>
                    </w:rPr>
                    <w:t>VOCs含量</w:t>
                  </w:r>
                </w:p>
              </w:tc>
              <w:tc>
                <w:tcPr>
                  <w:tcW w:w="2486"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42</w:t>
                  </w:r>
                </w:p>
              </w:tc>
              <w:tc>
                <w:tcPr>
                  <w:tcW w:w="2223" w:type="dxa"/>
                  <w:tcBorders>
                    <w:top w:val="single" w:color="auto" w:sz="4" w:space="0"/>
                    <w:left w:val="nil"/>
                    <w:righ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有组织排放量</w:t>
                  </w:r>
                </w:p>
              </w:tc>
              <w:tc>
                <w:tcPr>
                  <w:tcW w:w="2224" w:type="dxa"/>
                  <w:tcBorders>
                    <w:top w:val="single" w:color="auto" w:sz="4" w:space="0"/>
                    <w:left w:val="nil"/>
                    <w:right w:val="single" w:color="auto" w:sz="4" w:space="0"/>
                  </w:tcBorders>
                  <w:vAlign w:val="center"/>
                </w:tcPr>
                <w:p>
                  <w:pPr>
                    <w:adjustRightInd w:val="0"/>
                    <w:snapToGrid w:val="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4</w:t>
                  </w:r>
                  <w:r>
                    <w:rPr>
                      <w:rFonts w:hint="eastAsia"/>
                      <w:color w:val="000000" w:themeColor="text1"/>
                      <w:lang w:val="en-US" w:eastAsia="zh-CN"/>
                      <w14:textFill>
                        <w14:solidFill>
                          <w14:schemeClr w14:val="tx1"/>
                        </w14:solidFill>
                      </w14:textFill>
                    </w:rPr>
                    <w:t>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98" w:type="dxa"/>
                  <w:tcBorders>
                    <w:top w:val="single" w:color="auto" w:sz="4" w:space="0"/>
                    <w:left w:val="single" w:color="auto" w:sz="4" w:space="0"/>
                    <w:right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绝缘漆VOCs含量</w:t>
                  </w:r>
                </w:p>
              </w:tc>
              <w:tc>
                <w:tcPr>
                  <w:tcW w:w="2486" w:type="dxa"/>
                  <w:tcBorders>
                    <w:top w:val="single" w:color="auto" w:sz="4" w:space="0"/>
                    <w:left w:val="nil"/>
                    <w:right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0.165</w:t>
                  </w:r>
                </w:p>
              </w:tc>
              <w:tc>
                <w:tcPr>
                  <w:tcW w:w="2223" w:type="dxa"/>
                  <w:tcBorders>
                    <w:left w:val="nil"/>
                    <w:right w:val="single" w:color="auto" w:sz="4" w:space="0"/>
                  </w:tcBorders>
                  <w:vAlign w:val="center"/>
                </w:tcPr>
                <w:p>
                  <w:pPr>
                    <w:adjustRightInd w:val="0"/>
                    <w:snapToGrid w:val="0"/>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处理量</w:t>
                  </w:r>
                </w:p>
              </w:tc>
              <w:tc>
                <w:tcPr>
                  <w:tcW w:w="2224" w:type="dxa"/>
                  <w:tcBorders>
                    <w:left w:val="nil"/>
                    <w:righ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0.1</w:t>
                  </w:r>
                  <w:r>
                    <w:rPr>
                      <w:rFonts w:hint="eastAsia"/>
                      <w:color w:val="000000" w:themeColor="text1"/>
                      <w:lang w:val="en-US" w:eastAsia="zh-CN"/>
                      <w14:textFill>
                        <w14:solidFill>
                          <w14:schemeClr w14:val="tx1"/>
                        </w14:solidFill>
                      </w14:textFill>
                    </w:rPr>
                    <w:t>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98" w:type="dxa"/>
                  <w:tcBorders>
                    <w:top w:val="single" w:color="auto" w:sz="4" w:space="0"/>
                    <w:left w:val="single" w:color="auto" w:sz="4" w:space="0"/>
                    <w:right w:val="single" w:color="auto" w:sz="4" w:space="0"/>
                  </w:tcBorders>
                  <w:vAlign w:val="center"/>
                </w:tcPr>
                <w:p>
                  <w:pPr>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486" w:type="dxa"/>
                  <w:tcBorders>
                    <w:top w:val="single" w:color="auto" w:sz="4" w:space="0"/>
                    <w:left w:val="nil"/>
                    <w:right w:val="single" w:color="auto" w:sz="4" w:space="0"/>
                  </w:tcBorders>
                  <w:vAlign w:val="center"/>
                </w:tcPr>
                <w:p>
                  <w:pPr>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223" w:type="dxa"/>
                  <w:tcBorders>
                    <w:left w:val="nil"/>
                    <w:right w:val="single" w:color="auto" w:sz="4" w:space="0"/>
                  </w:tcBorders>
                  <w:vAlign w:val="center"/>
                </w:tcPr>
                <w:p>
                  <w:pPr>
                    <w:adjustRightInd w:val="0"/>
                    <w:snapToGrid w:val="0"/>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无组织排放量</w:t>
                  </w:r>
                </w:p>
              </w:tc>
              <w:tc>
                <w:tcPr>
                  <w:tcW w:w="2224" w:type="dxa"/>
                  <w:tcBorders>
                    <w:left w:val="nil"/>
                    <w:righ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33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总计</w:t>
                  </w:r>
                </w:p>
              </w:tc>
              <w:tc>
                <w:tcPr>
                  <w:tcW w:w="2486"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eastAsia="宋体"/>
                      <w:b/>
                      <w:bCs w:val="0"/>
                      <w:color w:val="000000" w:themeColor="text1"/>
                      <w:lang w:eastAsia="zh-CN"/>
                      <w14:textFill>
                        <w14:solidFill>
                          <w14:schemeClr w14:val="tx1"/>
                        </w14:solidFill>
                      </w14:textFill>
                    </w:rPr>
                  </w:pPr>
                  <w:r>
                    <w:rPr>
                      <w:b/>
                      <w:bCs w:val="0"/>
                      <w:color w:val="000000" w:themeColor="text1"/>
                      <w14:textFill>
                        <w14:solidFill>
                          <w14:schemeClr w14:val="tx1"/>
                        </w14:solidFill>
                      </w14:textFill>
                    </w:rPr>
                    <w:t>0.</w:t>
                  </w:r>
                  <w:r>
                    <w:rPr>
                      <w:rFonts w:hint="eastAsia"/>
                      <w:b/>
                      <w:bCs w:val="0"/>
                      <w:color w:val="000000" w:themeColor="text1"/>
                      <w14:textFill>
                        <w14:solidFill>
                          <w14:schemeClr w14:val="tx1"/>
                        </w14:solidFill>
                      </w14:textFill>
                    </w:rPr>
                    <w:t>20</w:t>
                  </w:r>
                  <w:r>
                    <w:rPr>
                      <w:rFonts w:hint="eastAsia"/>
                      <w:b/>
                      <w:bCs w:val="0"/>
                      <w:color w:val="000000" w:themeColor="text1"/>
                      <w:lang w:val="en-US" w:eastAsia="zh-CN"/>
                      <w14:textFill>
                        <w14:solidFill>
                          <w14:schemeClr w14:val="tx1"/>
                        </w14:solidFill>
                      </w14:textFill>
                    </w:rPr>
                    <w:t>7</w:t>
                  </w:r>
                </w:p>
              </w:tc>
              <w:tc>
                <w:tcPr>
                  <w:tcW w:w="2223" w:type="dxa"/>
                  <w:tcBorders>
                    <w:top w:val="single" w:color="auto" w:sz="4" w:space="0"/>
                    <w:left w:val="nil"/>
                    <w:bottom w:val="single" w:color="auto" w:sz="4" w:space="0"/>
                    <w:right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总计</w:t>
                  </w:r>
                </w:p>
              </w:tc>
              <w:tc>
                <w:tcPr>
                  <w:tcW w:w="2224"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eastAsia="宋体"/>
                      <w:b/>
                      <w:bCs w:val="0"/>
                      <w:color w:val="000000" w:themeColor="text1"/>
                      <w:lang w:eastAsia="zh-CN"/>
                      <w14:textFill>
                        <w14:solidFill>
                          <w14:schemeClr w14:val="tx1"/>
                        </w14:solidFill>
                      </w14:textFill>
                    </w:rPr>
                  </w:pPr>
                  <w:r>
                    <w:rPr>
                      <w:b/>
                      <w:bCs w:val="0"/>
                      <w:color w:val="000000" w:themeColor="text1"/>
                      <w14:textFill>
                        <w14:solidFill>
                          <w14:schemeClr w14:val="tx1"/>
                        </w14:solidFill>
                      </w14:textFill>
                    </w:rPr>
                    <w:t>0.</w:t>
                  </w:r>
                  <w:r>
                    <w:rPr>
                      <w:rFonts w:hint="eastAsia"/>
                      <w:b/>
                      <w:bCs w:val="0"/>
                      <w:color w:val="000000" w:themeColor="text1"/>
                      <w14:textFill>
                        <w14:solidFill>
                          <w14:schemeClr w14:val="tx1"/>
                        </w14:solidFill>
                      </w14:textFill>
                    </w:rPr>
                    <w:t>20</w:t>
                  </w:r>
                  <w:r>
                    <w:rPr>
                      <w:rFonts w:hint="eastAsia"/>
                      <w:b/>
                      <w:bCs w:val="0"/>
                      <w:color w:val="000000" w:themeColor="text1"/>
                      <w:lang w:val="en-US" w:eastAsia="zh-CN"/>
                      <w14:textFill>
                        <w14:solidFill>
                          <w14:schemeClr w14:val="tx1"/>
                        </w14:solidFill>
                      </w14:textFill>
                    </w:rPr>
                    <w:t>7</w:t>
                  </w:r>
                </w:p>
              </w:tc>
            </w:tr>
          </w:tbl>
          <w:p>
            <w:pPr>
              <w:autoSpaceDE w:val="0"/>
              <w:autoSpaceDN w:val="0"/>
              <w:adjustRightInd w:val="0"/>
              <w:snapToGrid w:val="0"/>
              <w:spacing w:before="120" w:beforeLines="50" w:line="360" w:lineRule="auto"/>
              <w:rPr>
                <w:b/>
                <w:bCs w:val="0"/>
                <w:color w:val="000000" w:themeColor="text1"/>
                <w:kern w:val="21"/>
                <w14:textFill>
                  <w14:solidFill>
                    <w14:schemeClr w14:val="tx1"/>
                  </w14:solidFill>
                </w14:textFill>
              </w:rPr>
            </w:pPr>
            <w:r>
              <w:rPr>
                <w:b/>
                <w:bCs w:val="0"/>
                <w:color w:val="000000" w:themeColor="text1"/>
                <w:kern w:val="21"/>
                <w14:textFill>
                  <w14:solidFill>
                    <w14:schemeClr w14:val="tx1"/>
                  </w14:solidFill>
                </w14:textFill>
              </w:rPr>
              <w:t>八、劳动定员及工作制度</w:t>
            </w:r>
          </w:p>
          <w:p>
            <w:pPr>
              <w:autoSpaceDE w:val="0"/>
              <w:autoSpaceDN w:val="0"/>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项目拟劳动定员为12人，均不在项目内食宿，年工作300d，每天工作时间8h。</w:t>
            </w:r>
          </w:p>
          <w:p>
            <w:pPr>
              <w:spacing w:line="360" w:lineRule="auto"/>
              <w:rPr>
                <w:b/>
                <w:bCs w:val="0"/>
                <w:color w:val="000000" w:themeColor="text1"/>
                <w14:textFill>
                  <w14:solidFill>
                    <w14:schemeClr w14:val="tx1"/>
                  </w14:solidFill>
                </w14:textFill>
              </w:rPr>
            </w:pPr>
            <w:r>
              <w:rPr>
                <w:b/>
                <w:bCs w:val="0"/>
                <w:color w:val="000000" w:themeColor="text1"/>
                <w14:textFill>
                  <w14:solidFill>
                    <w14:schemeClr w14:val="tx1"/>
                  </w14:solidFill>
                </w14:textFill>
              </w:rPr>
              <w:t>九、</w:t>
            </w:r>
            <w:r>
              <w:rPr>
                <w:b/>
                <w:color w:val="000000" w:themeColor="text1"/>
                <w14:textFill>
                  <w14:solidFill>
                    <w14:schemeClr w14:val="tx1"/>
                  </w14:solidFill>
                </w14:textFill>
              </w:rPr>
              <w:t>项目四邻关系情况</w:t>
            </w:r>
          </w:p>
          <w:p>
            <w:pPr>
              <w:spacing w:line="360" w:lineRule="auto"/>
              <w:ind w:firstLine="420" w:firstLineChars="200"/>
              <w:rPr>
                <w:color w:val="000000" w:themeColor="text1"/>
                <w14:textFill>
                  <w14:solidFill>
                    <w14:schemeClr w14:val="tx1"/>
                  </w14:solidFill>
                </w14:textFill>
              </w:rPr>
            </w:pPr>
            <w:r>
              <w:rPr>
                <w:bCs w:val="0"/>
                <w:color w:val="000000" w:themeColor="text1"/>
                <w14:textFill>
                  <w14:solidFill>
                    <w14:schemeClr w14:val="tx1"/>
                  </w14:solidFill>
                </w14:textFill>
              </w:rPr>
              <w:t>本项目</w:t>
            </w:r>
            <w:r>
              <w:rPr>
                <w:color w:val="000000" w:themeColor="text1"/>
                <w:kern w:val="0"/>
                <w14:textFill>
                  <w14:solidFill>
                    <w14:schemeClr w14:val="tx1"/>
                  </w14:solidFill>
                </w14:textFill>
              </w:rPr>
              <w:t>拟选址于</w:t>
            </w:r>
            <w:r>
              <w:rPr>
                <w:color w:val="000000" w:themeColor="text1"/>
                <w14:textFill>
                  <w14:solidFill>
                    <w14:schemeClr w14:val="tx1"/>
                  </w14:solidFill>
                </w14:textFill>
              </w:rPr>
              <w:t>惠州市博罗县罗阳街道虾塱村委会洲际工业园梅园3路22号，生产车间为1层高为8.5m的钢构建筑物，其中主要包括卷线区、组装区、含浸区、烘干区、焊接区、原料仓、半成品暂放区、成品暂放区、办公室等。</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根据现场勘察，本项目东面为沃多智造产业园，南面为广东恒达胶管制品有限公司，西面为洲际工业园，北面为深龙五金批发城</w:t>
            </w:r>
            <w:r>
              <w:rPr>
                <w:bCs w:val="0"/>
                <w:color w:val="000000" w:themeColor="text1"/>
                <w14:textFill>
                  <w14:solidFill>
                    <w14:schemeClr w14:val="tx1"/>
                  </w14:solidFill>
                </w14:textFill>
              </w:rPr>
              <w:t>。项目具体四邻关系见下表和</w:t>
            </w:r>
            <w:r>
              <w:rPr>
                <w:b/>
                <w:color w:val="000000" w:themeColor="text1"/>
                <w14:textFill>
                  <w14:solidFill>
                    <w14:schemeClr w14:val="tx1"/>
                  </w14:solidFill>
                </w14:textFill>
              </w:rPr>
              <w:t>附图2</w:t>
            </w:r>
            <w:r>
              <w:rPr>
                <w:bCs w:val="0"/>
                <w:color w:val="000000" w:themeColor="text1"/>
                <w14:textFill>
                  <w14:solidFill>
                    <w14:schemeClr w14:val="tx1"/>
                  </w14:solidFill>
                </w14:textFill>
              </w:rPr>
              <w:t>。</w:t>
            </w:r>
          </w:p>
          <w:p>
            <w:pPr>
              <w:pStyle w:val="4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表2-10</w:t>
            </w:r>
            <w:r>
              <w:rPr>
                <w:b w:val="0"/>
                <w:bCs w:val="0"/>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项目四邻关系一览表</w:t>
            </w:r>
          </w:p>
          <w:tbl>
            <w:tblPr>
              <w:tblStyle w:val="30"/>
              <w:tblW w:w="10031"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2113"/>
              <w:gridCol w:w="615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方位</w:t>
                  </w:r>
                </w:p>
              </w:tc>
              <w:tc>
                <w:tcPr>
                  <w:tcW w:w="211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距离（m）</w:t>
                  </w:r>
                </w:p>
              </w:tc>
              <w:tc>
                <w:tcPr>
                  <w:tcW w:w="6158"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名称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东面</w:t>
                  </w:r>
                </w:p>
              </w:tc>
              <w:tc>
                <w:tcPr>
                  <w:tcW w:w="211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相邻</w:t>
                  </w:r>
                </w:p>
              </w:tc>
              <w:tc>
                <w:tcPr>
                  <w:tcW w:w="6158"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沃多智造产业园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南面</w:t>
                  </w:r>
                </w:p>
              </w:tc>
              <w:tc>
                <w:tcPr>
                  <w:tcW w:w="211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32</w:t>
                  </w:r>
                </w:p>
              </w:tc>
              <w:tc>
                <w:tcPr>
                  <w:tcW w:w="6158"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广东恒达胶管制品有限公司</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西面</w:t>
                  </w:r>
                </w:p>
              </w:tc>
              <w:tc>
                <w:tcPr>
                  <w:tcW w:w="211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相邻</w:t>
                  </w:r>
                </w:p>
              </w:tc>
              <w:tc>
                <w:tcPr>
                  <w:tcW w:w="6158" w:type="dxa"/>
                  <w:vAlign w:val="center"/>
                </w:tcPr>
                <w:p>
                  <w:pPr>
                    <w:adjustRightInd w:val="0"/>
                    <w:snapToGrid w:val="0"/>
                    <w:jc w:val="center"/>
                    <w:rPr>
                      <w:bCs w:val="0"/>
                      <w:color w:val="000000" w:themeColor="text1"/>
                      <w14:textFill>
                        <w14:solidFill>
                          <w14:schemeClr w14:val="tx1"/>
                        </w14:solidFill>
                      </w14:textFill>
                    </w:rPr>
                  </w:pPr>
                  <w:r>
                    <w:rPr>
                      <w:color w:val="000000" w:themeColor="text1"/>
                      <w14:textFill>
                        <w14:solidFill>
                          <w14:schemeClr w14:val="tx1"/>
                        </w14:solidFill>
                      </w14:textFill>
                    </w:rPr>
                    <w:t>洲际工业园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0"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北面</w:t>
                  </w:r>
                </w:p>
              </w:tc>
              <w:tc>
                <w:tcPr>
                  <w:tcW w:w="2113"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相邻</w:t>
                  </w:r>
                </w:p>
              </w:tc>
              <w:tc>
                <w:tcPr>
                  <w:tcW w:w="6158"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深龙五金批发城</w:t>
                  </w:r>
                </w:p>
              </w:tc>
            </w:tr>
          </w:tbl>
          <w:p>
            <w:pPr>
              <w:adjustRightInd w:val="0"/>
              <w:snapToGrid w:val="0"/>
              <w:spacing w:line="360" w:lineRule="auto"/>
              <w:rPr>
                <w:b/>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425" w:type="dxa"/>
            <w:vAlign w:val="center"/>
          </w:tcPr>
          <w:p>
            <w:pPr>
              <w:pStyle w:val="27"/>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工艺流程和产排污环节</w:t>
            </w:r>
          </w:p>
        </w:tc>
        <w:tc>
          <w:tcPr>
            <w:tcW w:w="10257" w:type="dxa"/>
          </w:tcPr>
          <w:p>
            <w:pPr>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1、项目生产工艺流程及产污环节如下：</w:t>
            </w:r>
          </w:p>
          <w:p>
            <w:pPr>
              <w:adjustRightInd w:val="0"/>
              <w:snapToGrid w:val="0"/>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object>
                <v:shape id="_x0000_i1026" o:spt="75" type="#_x0000_t75" style="height:339pt;width:504.75pt;" o:ole="t" filled="f" o:preferrelative="t" stroked="f" coordsize="21600,21600">
                  <v:path/>
                  <v:fill on="f" focussize="0,0"/>
                  <v:stroke on="f" joinstyle="miter"/>
                  <v:imagedata r:id="rId15" o:title=""/>
                  <o:lock v:ext="edit" aspectratio="t"/>
                  <w10:wrap type="none"/>
                  <w10:anchorlock/>
                </v:shape>
                <o:OLEObject Type="Embed" ProgID="Visio.Drawing.11" ShapeID="_x0000_i1026" DrawAspect="Content" ObjectID="_1468075726" r:id="rId14">
                  <o:LockedField>false</o:LockedField>
                </o:OLEObject>
              </w:object>
            </w:r>
          </w:p>
          <w:p>
            <w:pPr>
              <w:adjustRightInd w:val="0"/>
              <w:snapToGrid w:val="0"/>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图2-4  生产工艺流程及产污环节示意图</w:t>
            </w:r>
          </w:p>
          <w:p>
            <w:pPr>
              <w:adjustRightInd w:val="0"/>
              <w:snapToGrid w:val="0"/>
              <w:spacing w:line="360" w:lineRule="auto"/>
              <w:rPr>
                <w:b/>
                <w:color w:val="000000" w:themeColor="text1"/>
                <w14:textFill>
                  <w14:solidFill>
                    <w14:schemeClr w14:val="tx1"/>
                  </w14:solidFill>
                </w14:textFill>
              </w:rPr>
            </w:pPr>
            <w:r>
              <w:rPr>
                <w:b/>
                <w:color w:val="000000" w:themeColor="text1"/>
                <w14:textFill>
                  <w14:solidFill>
                    <w14:schemeClr w14:val="tx1"/>
                  </w14:solidFill>
                </w14:textFill>
              </w:rPr>
              <w:t>工艺流程说明：</w:t>
            </w:r>
          </w:p>
          <w:p>
            <w:pPr>
              <w:pStyle w:val="81"/>
              <w:spacing w:line="360" w:lineRule="auto"/>
              <w:ind w:firstLine="422"/>
              <w:rPr>
                <w:b/>
                <w:bCs w:val="0"/>
                <w:color w:val="000000" w:themeColor="text1"/>
                <w:sz w:val="21"/>
                <w14:textFill>
                  <w14:solidFill>
                    <w14:schemeClr w14:val="tx1"/>
                  </w14:solidFill>
                </w14:textFill>
              </w:rPr>
            </w:pPr>
            <w:r>
              <w:rPr>
                <w:b/>
                <w:bCs w:val="0"/>
                <w:color w:val="000000" w:themeColor="text1"/>
                <w:sz w:val="21"/>
                <w14:textFill>
                  <w14:solidFill>
                    <w14:schemeClr w14:val="tx1"/>
                  </w14:solidFill>
                </w14:textFill>
              </w:rPr>
              <w:t>（1）卷线：</w:t>
            </w:r>
            <w:r>
              <w:rPr>
                <w:color w:val="000000" w:themeColor="text1"/>
                <w:sz w:val="21"/>
                <w14:textFill>
                  <w14:solidFill>
                    <w14:schemeClr w14:val="tx1"/>
                  </w14:solidFill>
                </w14:textFill>
              </w:rPr>
              <w:t>将骨条架置于卷线机/箔绕机上，根据工艺要求，将铝箔和绝缘纸绕在骨条上进行绕线工序。因此，该工序仅会产生机械噪声。</w:t>
            </w:r>
          </w:p>
          <w:p>
            <w:pPr>
              <w:pStyle w:val="81"/>
              <w:spacing w:line="360" w:lineRule="auto"/>
              <w:ind w:firstLine="422"/>
              <w:rPr>
                <w:color w:val="000000" w:themeColor="text1"/>
                <w:sz w:val="21"/>
                <w14:textFill>
                  <w14:solidFill>
                    <w14:schemeClr w14:val="tx1"/>
                  </w14:solidFill>
                </w14:textFill>
              </w:rPr>
            </w:pPr>
            <w:r>
              <w:rPr>
                <w:b/>
                <w:bCs w:val="0"/>
                <w:color w:val="000000" w:themeColor="text1"/>
                <w:sz w:val="21"/>
                <w14:textFill>
                  <w14:solidFill>
                    <w14:schemeClr w14:val="tx1"/>
                  </w14:solidFill>
                </w14:textFill>
              </w:rPr>
              <w:t>（2）配组：</w:t>
            </w:r>
            <w:r>
              <w:rPr>
                <w:color w:val="000000" w:themeColor="text1"/>
                <w:sz w:val="21"/>
                <w14:textFill>
                  <w14:solidFill>
                    <w14:schemeClr w14:val="tx1"/>
                  </w14:solidFill>
                </w14:textFill>
              </w:rPr>
              <w:t>将铝端子配绕在铝箔上，用剪钳剪切多余的线尾后用电焊机进行焊接，该过程会产生少量的烟尘（颗粒物）。电焊机系采用双面双点过流焊接的原理，工作时两个电极加压工件使两层金属在两电极的压力下形成一定的接触电阻，而焊接电流从一电极流经另一电极时在两接触电阻点形成瞬间的热熔接，且焊接电流瞬间从另一电极沿两工件流至此电极形成回路，并且不会伤及被焊工件的内部结构，无需耗材。因此，该工序会产生烟尘（颗粒物）和机械噪声。</w:t>
            </w:r>
          </w:p>
          <w:p>
            <w:pPr>
              <w:spacing w:line="360" w:lineRule="auto"/>
              <w:ind w:firstLine="422" w:firstLineChars="200"/>
              <w:rPr>
                <w:bCs w:val="0"/>
                <w:color w:val="000000" w:themeColor="text1"/>
                <w14:textFill>
                  <w14:solidFill>
                    <w14:schemeClr w14:val="tx1"/>
                  </w14:solidFill>
                </w14:textFill>
              </w:rPr>
            </w:pPr>
            <w:r>
              <w:rPr>
                <w:b/>
                <w:color w:val="000000" w:themeColor="text1"/>
                <w14:textFill>
                  <w14:solidFill>
                    <w14:schemeClr w14:val="tx1"/>
                  </w14:solidFill>
                </w14:textFill>
              </w:rPr>
              <w:t>（3）组立：</w:t>
            </w:r>
            <w:r>
              <w:rPr>
                <w:bCs w:val="0"/>
                <w:color w:val="000000" w:themeColor="text1"/>
                <w14:textFill>
                  <w14:solidFill>
                    <w14:schemeClr w14:val="tx1"/>
                  </w14:solidFill>
                </w14:textFill>
              </w:rPr>
              <w:t>将完成配组的工件装上已涂覆了</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14:textFill>
                  <w14:solidFill>
                    <w14:schemeClr w14:val="tx1"/>
                  </w14:solidFill>
                </w14:textFill>
              </w:rPr>
              <w:t>的铁芯并用牛夹对其进行固定，并用布碎擦拭多余出来的胶水，而水冷型变压器产品还需用水管和水管接头等进行组装，最后将组立好的工件放置自然风干。因此，该工序会产生VOCs、废布碎、废包装物和机械噪声。</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（4）真空含浸：</w:t>
            </w:r>
            <w:r>
              <w:rPr>
                <w:color w:val="000000" w:themeColor="text1"/>
                <w14:textFill>
                  <w14:solidFill>
                    <w14:schemeClr w14:val="tx1"/>
                  </w14:solidFill>
                </w14:textFill>
              </w:rPr>
              <w:t>将半成品放于真空含浸槽中，启动真空含浸装置，抽真空，气压抽至0.05～0.1MPa左右，绝缘漆注入腔体，此时绝缘漆能快速、均匀、彻底渗透到线圈的空隙中，含浸时间约为2h。建设单位每天均会使用布碎对真空含浸工序中的铁盘进行清洁，会产生废布碎。当含浸工序结束打开真空含浸槽的盖子后会VOCs和臭气浓度的逸出。因此，该工序会产生VOCs、臭气浓度、废布碎、废包装物和机械噪声</w:t>
            </w:r>
            <w:r>
              <w:rPr>
                <w:bCs w:val="0"/>
                <w:color w:val="000000" w:themeColor="text1"/>
                <w14:textFill>
                  <w14:solidFill>
                    <w14:schemeClr w14:val="tx1"/>
                  </w14:solidFill>
                </w14:textFill>
              </w:rPr>
              <w:t>。</w:t>
            </w:r>
          </w:p>
          <w:p>
            <w:pPr>
              <w:adjustRightInd w:val="0"/>
              <w:snapToGrid w:val="0"/>
              <w:spacing w:line="360" w:lineRule="auto"/>
              <w:ind w:firstLine="422" w:firstLineChars="200"/>
              <w:rPr>
                <w:color w:val="000000" w:themeColor="text1"/>
                <w:szCs w:val="18"/>
                <w14:textFill>
                  <w14:solidFill>
                    <w14:schemeClr w14:val="tx1"/>
                  </w14:solidFill>
                </w14:textFill>
              </w:rPr>
            </w:pPr>
            <w:r>
              <w:rPr>
                <w:b/>
                <w:color w:val="000000" w:themeColor="text1"/>
                <w14:textFill>
                  <w14:solidFill>
                    <w14:schemeClr w14:val="tx1"/>
                  </w14:solidFill>
                </w14:textFill>
              </w:rPr>
              <w:t>（5）</w:t>
            </w:r>
            <w:r>
              <w:rPr>
                <w:b/>
                <w:bCs w:val="0"/>
                <w:color w:val="000000" w:themeColor="text1"/>
                <w:szCs w:val="18"/>
                <w14:textFill>
                  <w14:solidFill>
                    <w14:schemeClr w14:val="tx1"/>
                  </w14:solidFill>
                </w14:textFill>
              </w:rPr>
              <w:t>烘干</w:t>
            </w:r>
            <w:r>
              <w:rPr>
                <w:b/>
                <w:color w:val="000000" w:themeColor="text1"/>
                <w14:textFill>
                  <w14:solidFill>
                    <w14:schemeClr w14:val="tx1"/>
                  </w14:solidFill>
                </w14:textFill>
              </w:rPr>
              <w:t>：</w:t>
            </w:r>
            <w:r>
              <w:rPr>
                <w:color w:val="000000" w:themeColor="text1"/>
                <w:szCs w:val="18"/>
                <w14:textFill>
                  <w14:solidFill>
                    <w14:schemeClr w14:val="tx1"/>
                  </w14:solidFill>
                </w14:textFill>
              </w:rPr>
              <w:t>将完成含浸的工件经起吊机转移至精密型烤箱中进行加热烘干，烘干时间平均约为2h，烘干温度设置在120℃左右，使用电能源加热。在转移至烤箱及烘干中会在铁盘下方放置纸皮，纸皮会粘附绝缘漆，会产生废纸皮。当烘干工序结束后，铁盘上、产品边缘粘附的绝缘漆会形成绝缘漆渣，人工定期用工具刮下装袋，产生废绝缘漆渣，工具长期重复使用，不更换。在加热的条件下，绝缘漆会产生</w:t>
            </w:r>
            <w:r>
              <w:rPr>
                <w:color w:val="000000" w:themeColor="text1"/>
                <w14:textFill>
                  <w14:solidFill>
                    <w14:schemeClr w14:val="tx1"/>
                  </w14:solidFill>
                </w14:textFill>
              </w:rPr>
              <w:t>VOCs</w:t>
            </w:r>
            <w:r>
              <w:rPr>
                <w:color w:val="000000" w:themeColor="text1"/>
                <w:szCs w:val="18"/>
                <w14:textFill>
                  <w14:solidFill>
                    <w14:schemeClr w14:val="tx1"/>
                  </w14:solidFill>
                </w14:textFill>
              </w:rPr>
              <w:t>和臭气浓度。因此，该工序会产生</w:t>
            </w:r>
            <w:r>
              <w:rPr>
                <w:color w:val="000000" w:themeColor="text1"/>
                <w14:textFill>
                  <w14:solidFill>
                    <w14:schemeClr w14:val="tx1"/>
                  </w14:solidFill>
                </w14:textFill>
              </w:rPr>
              <w:t>VOCs</w:t>
            </w:r>
            <w:r>
              <w:rPr>
                <w:color w:val="000000" w:themeColor="text1"/>
                <w:szCs w:val="18"/>
                <w14:textFill>
                  <w14:solidFill>
                    <w14:schemeClr w14:val="tx1"/>
                  </w14:solidFill>
                </w14:textFill>
              </w:rPr>
              <w:t>、臭气浓度、废绝缘漆渣、废纸皮和机械噪声</w:t>
            </w:r>
            <w:r>
              <w:rPr>
                <w:bCs w:val="0"/>
                <w:color w:val="000000" w:themeColor="text1"/>
                <w14:textFill>
                  <w14:solidFill>
                    <w14:schemeClr w14:val="tx1"/>
                  </w14:solidFill>
                </w14:textFill>
              </w:rPr>
              <w:t>。</w:t>
            </w:r>
          </w:p>
          <w:p>
            <w:pPr>
              <w:adjustRightInd w:val="0"/>
              <w:snapToGrid w:val="0"/>
              <w:spacing w:line="360" w:lineRule="auto"/>
              <w:ind w:firstLine="422" w:firstLineChars="200"/>
              <w:rPr>
                <w:color w:val="000000" w:themeColor="text1"/>
                <w:szCs w:val="18"/>
                <w14:textFill>
                  <w14:solidFill>
                    <w14:schemeClr w14:val="tx1"/>
                  </w14:solidFill>
                </w14:textFill>
              </w:rPr>
            </w:pPr>
            <w:r>
              <w:rPr>
                <w:b/>
                <w:bCs w:val="0"/>
                <w:color w:val="000000" w:themeColor="text1"/>
                <w:szCs w:val="18"/>
                <w14:textFill>
                  <w14:solidFill>
                    <w14:schemeClr w14:val="tx1"/>
                  </w14:solidFill>
                </w14:textFill>
              </w:rPr>
              <w:t>（6）检测：</w:t>
            </w:r>
            <w:r>
              <w:rPr>
                <w:color w:val="000000" w:themeColor="text1"/>
                <w:szCs w:val="18"/>
                <w14:textFill>
                  <w14:solidFill>
                    <w14:schemeClr w14:val="tx1"/>
                  </w14:solidFill>
                </w14:textFill>
              </w:rPr>
              <w:t>将完成烘干的工件使用低温恒温槽、调压器、光电测量仪器、气密性测试仪等检测仪器进行检测，经检测合格的产品放置于成品暂存区中，待出库。因此，该工序会产生少量的次品。</w:t>
            </w:r>
          </w:p>
          <w:p>
            <w:pPr>
              <w:spacing w:line="360" w:lineRule="auto"/>
              <w:jc w:val="center"/>
              <w:rPr>
                <w:b/>
                <w:color w:val="000000" w:themeColor="text1"/>
                <w14:textFill>
                  <w14:solidFill>
                    <w14:schemeClr w14:val="tx1"/>
                  </w14:solidFill>
                </w14:textFill>
              </w:rPr>
            </w:pPr>
            <w:r>
              <w:rPr>
                <w:b/>
                <w:bCs w:val="0"/>
                <w:color w:val="000000" w:themeColor="text1"/>
                <w14:textFill>
                  <w14:solidFill>
                    <w14:schemeClr w14:val="tx1"/>
                  </w14:solidFill>
                </w14:textFill>
              </w:rPr>
              <w:t>表2-11</w:t>
            </w:r>
            <w:r>
              <w:rPr>
                <w:color w:val="000000" w:themeColor="text1"/>
                <w14:textFill>
                  <w14:solidFill>
                    <w14:schemeClr w14:val="tx1"/>
                  </w14:solidFill>
                </w14:textFill>
              </w:rPr>
              <w:t xml:space="preserve"> </w:t>
            </w:r>
            <w:r>
              <w:rPr>
                <w:b/>
                <w:bCs w:val="0"/>
                <w:color w:val="000000" w:themeColor="text1"/>
                <w14:textFill>
                  <w14:solidFill>
                    <w14:schemeClr w14:val="tx1"/>
                  </w14:solidFill>
                </w14:textFill>
              </w:rPr>
              <w:t xml:space="preserve"> 运营期项目产污环节汇总表</w:t>
            </w:r>
          </w:p>
          <w:tbl>
            <w:tblPr>
              <w:tblStyle w:val="30"/>
              <w:tblW w:w="10029"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2743"/>
              <w:gridCol w:w="2790"/>
              <w:gridCol w:w="295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产污环节</w:t>
                  </w:r>
                </w:p>
              </w:tc>
              <w:tc>
                <w:tcPr>
                  <w:tcW w:w="2743"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使用设备</w:t>
                  </w:r>
                </w:p>
              </w:tc>
              <w:tc>
                <w:tcPr>
                  <w:tcW w:w="2790"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投入原料</w:t>
                  </w:r>
                </w:p>
              </w:tc>
              <w:tc>
                <w:tcPr>
                  <w:tcW w:w="2957" w:type="dxa"/>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卷线</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卷线机、箔绕机</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铝箔、骨条、绝缘纸</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配组</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电焊机</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铝端子</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废气：烟尘</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组立</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人工</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铁芯、牛夹、水管、水管接头、</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14:textFill>
                        <w14:solidFill>
                          <w14:schemeClr w14:val="tx1"/>
                        </w14:solidFill>
                      </w14:textFill>
                    </w:rPr>
                    <w:t>、布碎</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废气：</w:t>
                  </w:r>
                  <w:r>
                    <w:rPr>
                      <w:bCs w:val="0"/>
                      <w:color w:val="000000" w:themeColor="text1"/>
                      <w14:textFill>
                        <w14:solidFill>
                          <w14:schemeClr w14:val="tx1"/>
                        </w14:solidFill>
                      </w14:textFill>
                    </w:rPr>
                    <w:t>VOCs</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固废：废布碎、废包装物</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真空含浸</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真空含浸槽</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绝缘漆、布碎</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废气：</w:t>
                  </w:r>
                  <w:r>
                    <w:rPr>
                      <w:bCs w:val="0"/>
                      <w:color w:val="000000" w:themeColor="text1"/>
                      <w14:textFill>
                        <w14:solidFill>
                          <w14:schemeClr w14:val="tx1"/>
                        </w14:solidFill>
                      </w14:textFill>
                    </w:rPr>
                    <w:t>VOCs</w:t>
                  </w:r>
                  <w:r>
                    <w:rPr>
                      <w:color w:val="000000" w:themeColor="text1"/>
                      <w14:textFill>
                        <w14:solidFill>
                          <w14:schemeClr w14:val="tx1"/>
                        </w14:solidFill>
                      </w14:textFill>
                    </w:rPr>
                    <w:t>、臭气浓度</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固废：废布碎、废包装物</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烘干</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精密型烤箱</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纸皮</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废气：</w:t>
                  </w:r>
                  <w:r>
                    <w:rPr>
                      <w:bCs w:val="0"/>
                      <w:color w:val="000000" w:themeColor="text1"/>
                      <w14:textFill>
                        <w14:solidFill>
                          <w14:schemeClr w14:val="tx1"/>
                        </w14:solidFill>
                      </w14:textFill>
                    </w:rPr>
                    <w:t>VOCs</w:t>
                  </w:r>
                  <w:r>
                    <w:rPr>
                      <w:color w:val="000000" w:themeColor="text1"/>
                      <w14:textFill>
                        <w14:solidFill>
                          <w14:schemeClr w14:val="tx1"/>
                        </w14:solidFill>
                      </w14:textFill>
                    </w:rPr>
                    <w:t>、臭气浓度</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固废：废绝缘漆渣、废纸皮</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检测</w:t>
                  </w:r>
                </w:p>
              </w:tc>
              <w:tc>
                <w:tcPr>
                  <w:tcW w:w="274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低温恒温槽、调压器、光电测量仪器、气密性测试仪等</w:t>
                  </w:r>
                </w:p>
              </w:tc>
              <w:tc>
                <w:tcPr>
                  <w:tcW w:w="2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固废：次品</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粉尘废气处理</w:t>
                  </w:r>
                </w:p>
              </w:tc>
              <w:tc>
                <w:tcPr>
                  <w:tcW w:w="274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移动式除尘器</w:t>
                  </w:r>
                </w:p>
              </w:tc>
              <w:tc>
                <w:tcPr>
                  <w:tcW w:w="2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固废：收集的粉尘</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噪声：机械噪声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有机废气处理</w:t>
                  </w:r>
                </w:p>
              </w:tc>
              <w:tc>
                <w:tcPr>
                  <w:tcW w:w="274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水喷淋塔+干式过滤器+二级活性炭吸附装置</w:t>
                  </w:r>
                </w:p>
              </w:tc>
              <w:tc>
                <w:tcPr>
                  <w:tcW w:w="2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固废：喷淋废水、废活性炭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生产过程</w:t>
                  </w:r>
                </w:p>
              </w:tc>
              <w:tc>
                <w:tcPr>
                  <w:tcW w:w="274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固废：废机油、废机油桶、废抹布及手套</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噪声：设备噪声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9"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员工办公</w:t>
                  </w:r>
                </w:p>
              </w:tc>
              <w:tc>
                <w:tcPr>
                  <w:tcW w:w="2743"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79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957" w:type="dxa"/>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废水：生活污水</w:t>
                  </w:r>
                </w:p>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固废：生活垃圾</w:t>
                  </w:r>
                </w:p>
              </w:tc>
            </w:tr>
          </w:tbl>
          <w:p>
            <w:pPr>
              <w:adjustRightInd w:val="0"/>
              <w:snapToGrid w:val="0"/>
              <w:rPr>
                <w:bCs w:val="0"/>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425" w:type="dxa"/>
            <w:vAlign w:val="center"/>
          </w:tcPr>
          <w:p>
            <w:pPr>
              <w:pStyle w:val="27"/>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val="0"/>
                <w:color w:val="000000" w:themeColor="text1"/>
                <w:kern w:val="2"/>
                <w:sz w:val="21"/>
                <w:szCs w:val="21"/>
                <w14:textFill>
                  <w14:solidFill>
                    <w14:schemeClr w14:val="tx1"/>
                  </w14:solidFill>
                </w14:textFill>
              </w:rPr>
              <w:t>与项目有关的原有环境污染问题</w:t>
            </w:r>
          </w:p>
        </w:tc>
        <w:tc>
          <w:tcPr>
            <w:tcW w:w="10257"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无</w:t>
            </w:r>
          </w:p>
        </w:tc>
      </w:tr>
    </w:tbl>
    <w:p>
      <w:pPr>
        <w:pStyle w:val="27"/>
        <w:numPr>
          <w:ilvl w:val="0"/>
          <w:numId w:val="3"/>
        </w:numPr>
        <w:jc w:val="center"/>
        <w:outlineLvl w:val="0"/>
        <w:rPr>
          <w:rFonts w:ascii="Times New Roman" w:hAnsi="Times New Roman" w:eastAsia="黑体"/>
          <w:snapToGrid w:val="0"/>
          <w:color w:val="000000" w:themeColor="text1"/>
          <w:sz w:val="30"/>
          <w:szCs w:val="30"/>
          <w14:textFill>
            <w14:solidFill>
              <w14:schemeClr w14:val="tx1"/>
            </w14:solidFill>
          </w14:textFill>
        </w:rPr>
        <w:sectPr>
          <w:pgSz w:w="11906" w:h="16838"/>
          <w:pgMar w:top="720" w:right="720" w:bottom="720" w:left="720" w:header="851" w:footer="851" w:gutter="0"/>
          <w:cols w:space="720" w:num="1"/>
          <w:docGrid w:linePitch="312" w:charSpace="0"/>
        </w:sectPr>
      </w:pPr>
    </w:p>
    <w:p>
      <w:pPr>
        <w:pStyle w:val="27"/>
        <w:numPr>
          <w:ilvl w:val="0"/>
          <w:numId w:val="3"/>
        </w:numPr>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区域环境质量现状、环境保护目标及评价标准</w:t>
      </w:r>
    </w:p>
    <w:tbl>
      <w:tblPr>
        <w:tblStyle w:val="30"/>
        <w:tblW w:w="106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102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63" w:hRule="atLeast"/>
          <w:jc w:val="center"/>
        </w:trPr>
        <w:tc>
          <w:tcPr>
            <w:tcW w:w="425"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区域</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环境</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质量</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现状</w:t>
            </w:r>
          </w:p>
        </w:tc>
        <w:tc>
          <w:tcPr>
            <w:tcW w:w="10257" w:type="dxa"/>
          </w:tcPr>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1、环境空气质量现状</w:t>
            </w:r>
          </w:p>
          <w:p>
            <w:pPr>
              <w:pStyle w:val="13"/>
              <w:numPr>
                <w:ilvl w:val="0"/>
                <w:numId w:val="4"/>
              </w:numPr>
              <w:spacing w:line="360" w:lineRule="auto"/>
              <w:ind w:firstLine="422"/>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项目所在区域的空气环境质量达标情况分析</w:t>
            </w:r>
          </w:p>
          <w:p>
            <w:pPr>
              <w:pStyle w:val="13"/>
              <w:spacing w:line="360" w:lineRule="auto"/>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根据《惠州市环境空气质量功能区划分方案》及《关于印发&lt;惠州市环境空气质量功能区划（2021年修订）&gt;的通知》（惠市环〔2021〕1号），本项目所在区域属于环境空气二类功能区，执行《环境空气质量标准》（GB3095-2012）二级标准及其2018年修改单要求。</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根据《2022年惠州市生态环境状况公报》，惠州市城市空气质量总体保持良好。</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“一、环境空气质量方面</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1.城市空气：2022年，全市环境空气质量保持良好。六项污染物中，二氧化硫、二氧化氮、一氧化碳、可吸入颗粒物PM10年评价浓度达到国家一级标准，细颗粒物PM2.5和臭氧年评价浓度达到国家二级标准；综合指数为2.58，AQI达标率为93.7%，其中，优208天，良134天，轻度污染22天，中度污染1天，超标污染物均为臭氧。</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与2021年相比，AQI达标率下降0.8个百分点；二氧化硫、二氧化氮、可吸入颗粒物PM10、细颗粒物PM2.5浓度分别下降37.5%、20.0%、17.5%、10.5%，一氧化碳和臭氧浓度分别上升14.3%和4.1%。2.各2.各县区空气：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2022年，环境空气质量综合指数由好到差依次排名为龙门县、惠东县、大亚湾区、惠阳区、惠城区、博罗县、仲恺区。与上年同期相比，7个县区空气质量均改善。</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城市降水：2022年，惠州市降水pH均值为5.96，酸雨频率为6.0%，不属于重酸雨地区；主要阳离子为铵离子和钙离子，主要阴离子为硝酸根离子和硫酸根离子，酸雨类型为混合型。与上年相比，降雨量增加446.5毫米，pH值上升0.04个pH单位，酸雨频率下降1.4个百分点，降水质量状况略有改善。</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降尘：2022年，惠州市降尘为2.3吨/平方公里•月，达到广东省（8.0吨/平方公里•月）推荐标准。与2021年相比，降尘浓度下降11.5%。</w:t>
            </w:r>
          </w:p>
          <w:p>
            <w:pPr>
              <w:adjustRightIn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根据《2022年惠州市生态环境状况公报》，博罗县属于空气环境达标区。</w:t>
            </w:r>
          </w:p>
          <w:p>
            <w:pPr>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6410325" cy="5606415"/>
                  <wp:effectExtent l="0" t="0" r="9525" b="13335"/>
                  <wp:docPr id="5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9"/>
                          <pic:cNvPicPr>
                            <a:picLocks noChangeAspect="1"/>
                          </pic:cNvPicPr>
                        </pic:nvPicPr>
                        <pic:blipFill>
                          <a:blip r:embed="rId16"/>
                          <a:stretch>
                            <a:fillRect/>
                          </a:stretch>
                        </pic:blipFill>
                        <pic:spPr>
                          <a:xfrm>
                            <a:off x="0" y="0"/>
                            <a:ext cx="6410325" cy="5606415"/>
                          </a:xfrm>
                          <a:prstGeom prst="rect">
                            <a:avLst/>
                          </a:prstGeom>
                          <a:noFill/>
                          <a:ln>
                            <a:noFill/>
                          </a:ln>
                        </pic:spPr>
                      </pic:pic>
                    </a:graphicData>
                  </a:graphic>
                </wp:inline>
              </w:drawing>
            </w:r>
          </w:p>
          <w:p>
            <w:pPr>
              <w:pStyle w:val="14"/>
              <w:rPr>
                <w:rFonts w:ascii="Times New Roman" w:hAnsi="Times New Roman"/>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图3-1  2022年惠州市生态环境状况公报截图（部分）</w:t>
            </w:r>
          </w:p>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（2）特征污染物环境质量现状</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为了进一步了解该区域大气环境的质量情况，本次评价引用《田村电子（惠州）有限公司迁建项目环境影响报告书》中新村村A2监测数据（报告编号为：NL/BG-211021-02-005，详见</w:t>
            </w:r>
            <w:r>
              <w:rPr>
                <w:b/>
                <w:bCs w:val="0"/>
                <w:color w:val="000000" w:themeColor="text1"/>
                <w14:textFill>
                  <w14:solidFill>
                    <w14:schemeClr w14:val="tx1"/>
                  </w14:solidFill>
                </w14:textFill>
              </w:rPr>
              <w:t>附件7</w:t>
            </w:r>
            <w:r>
              <w:rPr>
                <w:color w:val="000000" w:themeColor="text1"/>
                <w14:textFill>
                  <w14:solidFill>
                    <w14:schemeClr w14:val="tx1"/>
                  </w14:solidFill>
                </w14:textFill>
              </w:rPr>
              <w:t>），监测单位为广东至诚检测技术有限公司，监测点距离本项目西南面472m＜5km，引用的监测项目为TVOC、TSP，采样时间为2021年10月10~16日，连续采样7天，满足《建设项目环境影响报告表编制技术指南（污染影响类）（试行）》规定厂址5km范围内监测点数据，并在3年有效内，引用该数据有效。</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项目与引用监测点位置的关系图详见</w:t>
            </w:r>
            <w:r>
              <w:rPr>
                <w:b/>
                <w:bCs w:val="0"/>
                <w:color w:val="000000" w:themeColor="text1"/>
                <w14:textFill>
                  <w14:solidFill>
                    <w14:schemeClr w14:val="tx1"/>
                  </w14:solidFill>
                </w14:textFill>
              </w:rPr>
              <w:t>附图11</w:t>
            </w:r>
            <w:r>
              <w:rPr>
                <w:color w:val="000000" w:themeColor="text1"/>
                <w14:textFill>
                  <w14:solidFill>
                    <w14:schemeClr w14:val="tx1"/>
                  </w14:solidFill>
                </w14:textFill>
              </w:rPr>
              <w:t>，具体监测数据见下表。</w: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表3-2  环境空气质量现状监测结果</w:t>
            </w:r>
          </w:p>
          <w:tbl>
            <w:tblPr>
              <w:tblStyle w:val="31"/>
              <w:tblW w:w="10031"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365"/>
              <w:gridCol w:w="1222"/>
              <w:gridCol w:w="1563"/>
              <w:gridCol w:w="1798"/>
              <w:gridCol w:w="2129"/>
              <w:gridCol w:w="86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监测</w:t>
                  </w:r>
                </w:p>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点位</w:t>
                  </w:r>
                </w:p>
              </w:tc>
              <w:tc>
                <w:tcPr>
                  <w:tcW w:w="1365"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污染物</w:t>
                  </w:r>
                </w:p>
              </w:tc>
              <w:tc>
                <w:tcPr>
                  <w:tcW w:w="1222"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平均时间</w:t>
                  </w:r>
                </w:p>
              </w:tc>
              <w:tc>
                <w:tcPr>
                  <w:tcW w:w="1563"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评价标准</w:t>
                  </w:r>
                </w:p>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（μg/m³）</w:t>
                  </w:r>
                </w:p>
              </w:tc>
              <w:tc>
                <w:tcPr>
                  <w:tcW w:w="1798"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监测浓度范围（μg/m³）</w:t>
                  </w:r>
                </w:p>
              </w:tc>
              <w:tc>
                <w:tcPr>
                  <w:tcW w:w="2129"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最大浓度占标率%</w:t>
                  </w:r>
                </w:p>
              </w:tc>
              <w:tc>
                <w:tcPr>
                  <w:tcW w:w="868"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达标情况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restart"/>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A2</w:t>
                  </w:r>
                </w:p>
              </w:tc>
              <w:tc>
                <w:tcPr>
                  <w:tcW w:w="1365"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TVOC</w:t>
                  </w:r>
                </w:p>
              </w:tc>
              <w:tc>
                <w:tcPr>
                  <w:tcW w:w="1222"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8h均值</w:t>
                  </w:r>
                </w:p>
              </w:tc>
              <w:tc>
                <w:tcPr>
                  <w:tcW w:w="1563"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600</w:t>
                  </w:r>
                </w:p>
              </w:tc>
              <w:tc>
                <w:tcPr>
                  <w:tcW w:w="1798"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42~144</w:t>
                  </w:r>
                </w:p>
              </w:tc>
              <w:tc>
                <w:tcPr>
                  <w:tcW w:w="212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24.0</w:t>
                  </w:r>
                </w:p>
              </w:tc>
              <w:tc>
                <w:tcPr>
                  <w:tcW w:w="868"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1365"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TSP</w:t>
                  </w:r>
                </w:p>
              </w:tc>
              <w:tc>
                <w:tcPr>
                  <w:tcW w:w="1222"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24h均值</w:t>
                  </w:r>
                </w:p>
              </w:tc>
              <w:tc>
                <w:tcPr>
                  <w:tcW w:w="1563"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300</w:t>
                  </w:r>
                </w:p>
              </w:tc>
              <w:tc>
                <w:tcPr>
                  <w:tcW w:w="1798"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81~89</w:t>
                  </w:r>
                </w:p>
              </w:tc>
              <w:tc>
                <w:tcPr>
                  <w:tcW w:w="212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29.7</w:t>
                  </w:r>
                </w:p>
              </w:tc>
              <w:tc>
                <w:tcPr>
                  <w:tcW w:w="868"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达标</w:t>
                  </w:r>
                </w:p>
              </w:tc>
            </w:tr>
          </w:tbl>
          <w:p>
            <w:pPr>
              <w:pStyle w:val="37"/>
              <w:ind w:firstLine="420"/>
              <w:jc w:val="left"/>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从上表可看出，TVOC满足《环境影响评价技术导则-大气环境》（HJ2.2-2018）附录D中其他污染物空气质量浓度参考限值，TSP满足《环境空气质量标准》（GB3095-2012）及其修改单中其他污染物空气质量浓度参考限值，监测结果表明该地域环境空气质量较好。</w:t>
            </w:r>
          </w:p>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2、地表水环境质量现状</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所在区域主要纳污河流为新角排渠，水质保护目标是V类，执行国家《地表水环境质量标准》（GB3838-2002）V类标准。本评价引用惠州市泰康科技产业园（博罗县九华实业有限公司、惠州市华泰益康实业有限公司、惠州市康泰华达医药发展有限公司）委托深圳市兴远检测技术有限公司于2021年8月6日对新角排渠进行监测（报告编号：20210813E92号，详见</w:t>
            </w:r>
            <w:r>
              <w:rPr>
                <w:rFonts w:hAnsi="Times New Roman"/>
                <w:b/>
                <w:bCs w:val="0"/>
                <w:color w:val="000000" w:themeColor="text1"/>
                <w14:textFill>
                  <w14:solidFill>
                    <w14:schemeClr w14:val="tx1"/>
                  </w14:solidFill>
                </w14:textFill>
              </w:rPr>
              <w:t>附件8</w:t>
            </w:r>
            <w:r>
              <w:rPr>
                <w:rFonts w:hAnsi="Times New Roman"/>
                <w:color w:val="000000" w:themeColor="text1"/>
                <w14:textFill>
                  <w14:solidFill>
                    <w14:schemeClr w14:val="tx1"/>
                  </w14:solidFill>
                </w14:textFill>
              </w:rPr>
              <w:t>），属于有效期内。具体监测断面及水质监测结果详见下表，引用监测结果点位图详见</w:t>
            </w:r>
            <w:r>
              <w:rPr>
                <w:rFonts w:hAnsi="Times New Roman"/>
                <w:b/>
                <w:bCs w:val="0"/>
                <w:color w:val="000000" w:themeColor="text1"/>
                <w14:textFill>
                  <w14:solidFill>
                    <w14:schemeClr w14:val="tx1"/>
                  </w14:solidFill>
                </w14:textFill>
              </w:rPr>
              <w:t>附图11</w:t>
            </w:r>
            <w:r>
              <w:rPr>
                <w:rFonts w:hAnsi="Times New Roman"/>
                <w:color w:val="000000" w:themeColor="text1"/>
                <w14:textFill>
                  <w14:solidFill>
                    <w14:schemeClr w14:val="tx1"/>
                  </w14:solidFill>
                </w14:textFill>
              </w:rPr>
              <w:t>。</w:t>
            </w:r>
          </w:p>
          <w:p>
            <w:pPr>
              <w:pStyle w:val="37"/>
              <w:ind w:firstLine="422"/>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表3-3  水质监测断面基本信息</w:t>
            </w:r>
          </w:p>
          <w:tbl>
            <w:tblPr>
              <w:tblStyle w:val="30"/>
              <w:tblW w:w="10031"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79"/>
              <w:gridCol w:w="5211"/>
              <w:gridCol w:w="334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79" w:type="dxa"/>
                  <w:vAlign w:val="center"/>
                </w:tcPr>
                <w:p>
                  <w:pPr>
                    <w:pStyle w:val="99"/>
                    <w:rPr>
                      <w:b/>
                      <w:bCs/>
                      <w:color w:val="000000" w:themeColor="text1"/>
                      <w:kern w:val="2"/>
                      <w:szCs w:val="21"/>
                      <w14:textFill>
                        <w14:solidFill>
                          <w14:schemeClr w14:val="tx1"/>
                        </w14:solidFill>
                      </w14:textFill>
                    </w:rPr>
                  </w:pPr>
                  <w:r>
                    <w:rPr>
                      <w:b/>
                      <w:bCs/>
                      <w:color w:val="000000" w:themeColor="text1"/>
                      <w14:textFill>
                        <w14:solidFill>
                          <w14:schemeClr w14:val="tx1"/>
                        </w14:solidFill>
                      </w14:textFill>
                    </w:rPr>
                    <w:t>编号</w:t>
                  </w:r>
                </w:p>
              </w:tc>
              <w:tc>
                <w:tcPr>
                  <w:tcW w:w="5211" w:type="dxa"/>
                  <w:vAlign w:val="center"/>
                </w:tcPr>
                <w:p>
                  <w:pPr>
                    <w:pStyle w:val="99"/>
                    <w:rPr>
                      <w:b/>
                      <w:bCs/>
                      <w:color w:val="000000" w:themeColor="text1"/>
                      <w14:textFill>
                        <w14:solidFill>
                          <w14:schemeClr w14:val="tx1"/>
                        </w14:solidFill>
                      </w14:textFill>
                    </w:rPr>
                  </w:pPr>
                  <w:r>
                    <w:rPr>
                      <w:b/>
                      <w:bCs/>
                      <w:color w:val="000000" w:themeColor="text1"/>
                      <w14:textFill>
                        <w14:solidFill>
                          <w14:schemeClr w14:val="tx1"/>
                        </w14:solidFill>
                      </w14:textFill>
                    </w:rPr>
                    <w:t>断面位置</w:t>
                  </w:r>
                </w:p>
              </w:tc>
              <w:tc>
                <w:tcPr>
                  <w:tcW w:w="3341" w:type="dxa"/>
                  <w:vAlign w:val="center"/>
                </w:tcPr>
                <w:p>
                  <w:pPr>
                    <w:pStyle w:val="99"/>
                    <w:rPr>
                      <w:b/>
                      <w:bCs/>
                      <w:color w:val="000000" w:themeColor="text1"/>
                      <w14:textFill>
                        <w14:solidFill>
                          <w14:schemeClr w14:val="tx1"/>
                        </w14:solidFill>
                      </w14:textFill>
                    </w:rPr>
                  </w:pPr>
                  <w:r>
                    <w:rPr>
                      <w:b/>
                      <w:bCs/>
                      <w:color w:val="000000" w:themeColor="text1"/>
                      <w14:textFill>
                        <w14:solidFill>
                          <w14:schemeClr w14:val="tx1"/>
                        </w14:solidFill>
                      </w14:textFill>
                    </w:rPr>
                    <w:t>所属水体</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79" w:type="dxa"/>
                  <w:vAlign w:val="center"/>
                </w:tcPr>
                <w:p>
                  <w:pPr>
                    <w:pStyle w:val="99"/>
                    <w:rPr>
                      <w:color w:val="000000" w:themeColor="text1"/>
                      <w14:textFill>
                        <w14:solidFill>
                          <w14:schemeClr w14:val="tx1"/>
                        </w14:solidFill>
                      </w14:textFill>
                    </w:rPr>
                  </w:pPr>
                  <w:r>
                    <w:rPr>
                      <w:color w:val="000000" w:themeColor="text1"/>
                      <w14:textFill>
                        <w14:solidFill>
                          <w14:schemeClr w14:val="tx1"/>
                        </w14:solidFill>
                      </w14:textFill>
                    </w:rPr>
                    <w:t>W1</w:t>
                  </w:r>
                </w:p>
              </w:tc>
              <w:tc>
                <w:tcPr>
                  <w:tcW w:w="5211" w:type="dxa"/>
                  <w:vAlign w:val="center"/>
                </w:tcPr>
                <w:p>
                  <w:pPr>
                    <w:pStyle w:val="99"/>
                    <w:rPr>
                      <w:color w:val="000000" w:themeColor="text1"/>
                      <w14:textFill>
                        <w14:solidFill>
                          <w14:schemeClr w14:val="tx1"/>
                        </w14:solidFill>
                      </w14:textFill>
                    </w:rPr>
                  </w:pPr>
                  <w:r>
                    <w:rPr>
                      <w:color w:val="000000" w:themeColor="text1"/>
                      <w14:textFill>
                        <w14:solidFill>
                          <w14:schemeClr w14:val="tx1"/>
                        </w14:solidFill>
                      </w14:textFill>
                    </w:rPr>
                    <w:t>博罗县城生活污水处理厂排污口上游0.5km处</w:t>
                  </w:r>
                </w:p>
              </w:tc>
              <w:tc>
                <w:tcPr>
                  <w:tcW w:w="3341" w:type="dxa"/>
                  <w:vAlign w:val="center"/>
                </w:tcPr>
                <w:p>
                  <w:pPr>
                    <w:pStyle w:val="99"/>
                    <w:rPr>
                      <w:color w:val="000000" w:themeColor="text1"/>
                      <w14:textFill>
                        <w14:solidFill>
                          <w14:schemeClr w14:val="tx1"/>
                        </w14:solidFill>
                      </w14:textFill>
                    </w:rPr>
                  </w:pPr>
                  <w:r>
                    <w:rPr>
                      <w:color w:val="000000" w:themeColor="text1"/>
                      <w14:textFill>
                        <w14:solidFill>
                          <w14:schemeClr w14:val="tx1"/>
                        </w14:solidFill>
                      </w14:textFill>
                    </w:rPr>
                    <w:t>新角排渠</w:t>
                  </w:r>
                </w:p>
              </w:tc>
            </w:tr>
          </w:tbl>
          <w:p>
            <w:pPr>
              <w:rPr>
                <w:color w:val="000000" w:themeColor="text1"/>
                <w14:textFill>
                  <w14:solidFill>
                    <w14:schemeClr w14:val="tx1"/>
                  </w14:solidFill>
                </w14:textFill>
              </w:rPr>
            </w:pPr>
          </w:p>
          <w:p>
            <w:pPr>
              <w:pStyle w:val="37"/>
              <w:ind w:firstLine="422"/>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表3-4  新角排渠水质现状监测数据结果  （单位：mg/L,PH和注明除外）</w:t>
            </w:r>
          </w:p>
          <w:tbl>
            <w:tblPr>
              <w:tblStyle w:val="30"/>
              <w:tblW w:w="10027"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9"/>
              <w:gridCol w:w="3970"/>
              <w:gridCol w:w="1964"/>
              <w:gridCol w:w="132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Merge w:val="restart"/>
                  <w:vAlign w:val="center"/>
                </w:tcPr>
                <w:p>
                  <w:pPr>
                    <w:jc w:val="center"/>
                    <w:rPr>
                      <w:bCs w:val="0"/>
                      <w:color w:val="000000" w:themeColor="text1"/>
                      <w14:textFill>
                        <w14:solidFill>
                          <w14:schemeClr w14:val="tx1"/>
                        </w14:solidFill>
                      </w14:textFill>
                    </w:rPr>
                  </w:pPr>
                  <w:r>
                    <w:rPr>
                      <w:b/>
                      <w:color w:val="000000" w:themeColor="text1"/>
                      <w14:textFill>
                        <w14:solidFill>
                          <w14:schemeClr w14:val="tx1"/>
                        </w14:solidFill>
                      </w14:textFill>
                    </w:rPr>
                    <w:t>检测项目</w:t>
                  </w:r>
                </w:p>
              </w:tc>
              <w:tc>
                <w:tcPr>
                  <w:tcW w:w="3970"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博罗县城生活污水处理厂排污口上游0.5km处W1</w:t>
                  </w:r>
                </w:p>
              </w:tc>
              <w:tc>
                <w:tcPr>
                  <w:tcW w:w="1964" w:type="dxa"/>
                  <w:vMerge w:val="restar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（GB3838-2002）Ⅴ类标准</w:t>
                  </w:r>
                </w:p>
              </w:tc>
              <w:tc>
                <w:tcPr>
                  <w:tcW w:w="1324" w:type="dxa"/>
                  <w:vMerge w:val="restar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达标情况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Merge w:val="continue"/>
                  <w:vAlign w:val="center"/>
                </w:tcPr>
                <w:p>
                  <w:pPr>
                    <w:widowControl/>
                    <w:jc w:val="left"/>
                    <w:rPr>
                      <w:color w:val="000000" w:themeColor="text1"/>
                      <w14:textFill>
                        <w14:solidFill>
                          <w14:schemeClr w14:val="tx1"/>
                        </w14:solidFill>
                      </w14:textFill>
                    </w:rPr>
                  </w:pPr>
                </w:p>
              </w:tc>
              <w:tc>
                <w:tcPr>
                  <w:tcW w:w="3970"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2021.8.6</w:t>
                  </w:r>
                </w:p>
              </w:tc>
              <w:tc>
                <w:tcPr>
                  <w:tcW w:w="1964" w:type="dxa"/>
                  <w:vMerge w:val="continue"/>
                  <w:vAlign w:val="center"/>
                </w:tcPr>
                <w:p>
                  <w:pPr>
                    <w:widowControl/>
                    <w:jc w:val="left"/>
                    <w:rPr>
                      <w:b/>
                      <w:color w:val="000000" w:themeColor="text1"/>
                      <w14:textFill>
                        <w14:solidFill>
                          <w14:schemeClr w14:val="tx1"/>
                        </w14:solidFill>
                      </w14:textFill>
                    </w:rPr>
                  </w:pPr>
                </w:p>
              </w:tc>
              <w:tc>
                <w:tcPr>
                  <w:tcW w:w="1324" w:type="dxa"/>
                  <w:vMerge w:val="continue"/>
                  <w:vAlign w:val="center"/>
                </w:tcPr>
                <w:p>
                  <w:pPr>
                    <w:widowControl/>
                    <w:jc w:val="center"/>
                    <w:rPr>
                      <w:b/>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pH值</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7.1</w:t>
                  </w:r>
                </w:p>
              </w:tc>
              <w:tc>
                <w:tcPr>
                  <w:tcW w:w="1964"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6～9</w:t>
                  </w:r>
                </w:p>
              </w:tc>
              <w:tc>
                <w:tcPr>
                  <w:tcW w:w="1324"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溶解氧</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6.3</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≥2</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化学需氧量</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11</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≤40</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五日生化需氧量</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3.3</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≤10</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悬浮物</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6</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氨氮</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0.537</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≤2.0</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总磷</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0.09</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≤0.4</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总氮</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0.81</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≤2.0</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动植物油</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0.10</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769"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石油类</w:t>
                  </w:r>
                </w:p>
              </w:tc>
              <w:tc>
                <w:tcPr>
                  <w:tcW w:w="3970"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ND</w:t>
                  </w:r>
                </w:p>
              </w:tc>
              <w:tc>
                <w:tcPr>
                  <w:tcW w:w="196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≤1.0</w:t>
                  </w:r>
                </w:p>
              </w:tc>
              <w:tc>
                <w:tcPr>
                  <w:tcW w:w="1324"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达标</w:t>
                  </w:r>
                </w:p>
              </w:tc>
            </w:tr>
          </w:tbl>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由监测结果可知，新角排渠的水质质量可达到《地表水环境质量标准》（GB3838-2002）V类标准，由此可见新角排渠水环境质量现状良好。</w:t>
            </w:r>
          </w:p>
          <w:p>
            <w:pPr>
              <w:pStyle w:val="37"/>
              <w:ind w:firstLine="422" w:firstLineChars="20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3、声环境</w:t>
            </w:r>
          </w:p>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关于印发&lt;惠州市声环境功能区划分方案（2022年）&gt;的通知》（惠市环〔2022〕33号），项目所在区域属于2类声功能区，执行《声环境质量标准》（GB3096-2008）中的2类标准，即昼间≤60dB（A），夜间≤50dB（A）。</w:t>
            </w:r>
          </w:p>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所在地厂界外50m范围内无敏感点，最近敏感点为距离本项目厂界57m的福鑫公馆，为了解福鑫公馆声环境现状，建设单位于2023年10月11日委托广东至诚检测技术有限公司出具了声环境现状检测报告（报告编号：ZC/BG-230922-1002-1），监测结果如下。</w:t>
            </w:r>
          </w:p>
          <w:p>
            <w:pPr>
              <w:pStyle w:val="37"/>
              <w:ind w:firstLine="422"/>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表3-5  福鑫公馆声环境现状监测结果</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3"/>
              <w:gridCol w:w="747"/>
              <w:gridCol w:w="1092"/>
              <w:gridCol w:w="1327"/>
              <w:gridCol w:w="1722"/>
              <w:gridCol w:w="210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测点位置</w:t>
                  </w:r>
                </w:p>
              </w:tc>
              <w:tc>
                <w:tcPr>
                  <w:tcW w:w="372"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时段</w:t>
                  </w:r>
                </w:p>
              </w:tc>
              <w:tc>
                <w:tcPr>
                  <w:tcW w:w="544"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主要声源</w:t>
                  </w:r>
                </w:p>
              </w:tc>
              <w:tc>
                <w:tcPr>
                  <w:tcW w:w="661"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测量时段</w:t>
                  </w:r>
                </w:p>
              </w:tc>
              <w:tc>
                <w:tcPr>
                  <w:tcW w:w="858"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结果[dB（A）]</w:t>
                  </w:r>
                </w:p>
              </w:tc>
              <w:tc>
                <w:tcPr>
                  <w:tcW w:w="1048"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标准限值[dB（A）]</w:t>
                  </w:r>
                </w:p>
              </w:tc>
              <w:tc>
                <w:tcPr>
                  <w:tcW w:w="749" w:type="pc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福鑫公馆1F</w:t>
                  </w:r>
                </w:p>
              </w:tc>
              <w:tc>
                <w:tcPr>
                  <w:tcW w:w="3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5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环境噪声</w:t>
                  </w:r>
                </w:p>
              </w:tc>
              <w:tc>
                <w:tcPr>
                  <w:tcW w:w="661"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昼间：10:00-10:23</w:t>
                  </w:r>
                </w:p>
              </w:tc>
              <w:tc>
                <w:tcPr>
                  <w:tcW w:w="8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45.9</w:t>
                  </w:r>
                </w:p>
              </w:tc>
              <w:tc>
                <w:tcPr>
                  <w:tcW w:w="104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福鑫公馆3F</w:t>
                  </w:r>
                </w:p>
              </w:tc>
              <w:tc>
                <w:tcPr>
                  <w:tcW w:w="3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5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环境噪声</w:t>
                  </w:r>
                </w:p>
              </w:tc>
              <w:tc>
                <w:tcPr>
                  <w:tcW w:w="661" w:type="pct"/>
                  <w:vMerge w:val="continue"/>
                  <w:vAlign w:val="center"/>
                </w:tcPr>
                <w:p>
                  <w:pPr>
                    <w:jc w:val="center"/>
                    <w:rPr>
                      <w:color w:val="000000" w:themeColor="text1"/>
                      <w14:textFill>
                        <w14:solidFill>
                          <w14:schemeClr w14:val="tx1"/>
                        </w14:solidFill>
                      </w14:textFill>
                    </w:rPr>
                  </w:pPr>
                </w:p>
              </w:tc>
              <w:tc>
                <w:tcPr>
                  <w:tcW w:w="8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45.3</w:t>
                  </w:r>
                </w:p>
              </w:tc>
              <w:tc>
                <w:tcPr>
                  <w:tcW w:w="104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福鑫公馆5F</w:t>
                  </w:r>
                </w:p>
              </w:tc>
              <w:tc>
                <w:tcPr>
                  <w:tcW w:w="3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5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环境噪声</w:t>
                  </w:r>
                </w:p>
              </w:tc>
              <w:tc>
                <w:tcPr>
                  <w:tcW w:w="661" w:type="pct"/>
                  <w:vMerge w:val="continue"/>
                  <w:vAlign w:val="center"/>
                </w:tcPr>
                <w:p>
                  <w:pPr>
                    <w:jc w:val="center"/>
                    <w:rPr>
                      <w:color w:val="000000" w:themeColor="text1"/>
                      <w14:textFill>
                        <w14:solidFill>
                          <w14:schemeClr w14:val="tx1"/>
                        </w14:solidFill>
                      </w14:textFill>
                    </w:rPr>
                  </w:pPr>
                </w:p>
              </w:tc>
              <w:tc>
                <w:tcPr>
                  <w:tcW w:w="8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44.9</w:t>
                  </w:r>
                </w:p>
              </w:tc>
              <w:tc>
                <w:tcPr>
                  <w:tcW w:w="104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福鑫公馆10F</w:t>
                  </w:r>
                </w:p>
              </w:tc>
              <w:tc>
                <w:tcPr>
                  <w:tcW w:w="3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5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环境噪声</w:t>
                  </w:r>
                </w:p>
              </w:tc>
              <w:tc>
                <w:tcPr>
                  <w:tcW w:w="661" w:type="pct"/>
                  <w:vMerge w:val="continue"/>
                  <w:vAlign w:val="center"/>
                </w:tcPr>
                <w:p>
                  <w:pPr>
                    <w:jc w:val="center"/>
                    <w:rPr>
                      <w:color w:val="000000" w:themeColor="text1"/>
                      <w14:textFill>
                        <w14:solidFill>
                          <w14:schemeClr w14:val="tx1"/>
                        </w14:solidFill>
                      </w14:textFill>
                    </w:rPr>
                  </w:pPr>
                </w:p>
              </w:tc>
              <w:tc>
                <w:tcPr>
                  <w:tcW w:w="8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44.5</w:t>
                  </w:r>
                </w:p>
              </w:tc>
              <w:tc>
                <w:tcPr>
                  <w:tcW w:w="104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福鑫公馆19F</w:t>
                  </w:r>
                </w:p>
              </w:tc>
              <w:tc>
                <w:tcPr>
                  <w:tcW w:w="3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5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环境噪声</w:t>
                  </w:r>
                </w:p>
              </w:tc>
              <w:tc>
                <w:tcPr>
                  <w:tcW w:w="661" w:type="pct"/>
                  <w:vMerge w:val="continue"/>
                  <w:vAlign w:val="center"/>
                </w:tcPr>
                <w:p>
                  <w:pPr>
                    <w:jc w:val="center"/>
                    <w:rPr>
                      <w:color w:val="000000" w:themeColor="text1"/>
                      <w14:textFill>
                        <w14:solidFill>
                          <w14:schemeClr w14:val="tx1"/>
                        </w14:solidFill>
                      </w14:textFill>
                    </w:rPr>
                  </w:pPr>
                </w:p>
              </w:tc>
              <w:tc>
                <w:tcPr>
                  <w:tcW w:w="8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44.7</w:t>
                  </w:r>
                </w:p>
              </w:tc>
              <w:tc>
                <w:tcPr>
                  <w:tcW w:w="104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r>
          </w:tbl>
          <w:p>
            <w:pPr>
              <w:rPr>
                <w:color w:val="000000" w:themeColor="text1"/>
                <w14:textFill>
                  <w14:solidFill>
                    <w14:schemeClr w14:val="tx1"/>
                  </w14:solidFill>
                </w14:textFill>
              </w:rPr>
            </w:pPr>
          </w:p>
          <w:p>
            <w:pPr>
              <w:pStyle w:val="37"/>
              <w:ind w:firstLine="422" w:firstLineChars="20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4、生态环境</w:t>
            </w:r>
          </w:p>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本项目不新增用地，且项目所在区域周边附近无风景名胜区、自然保护区及文化遗产等特殊保护目标，生态环境不属于敏感区，因此不开展生态环境现状调查。</w:t>
            </w:r>
          </w:p>
          <w:p>
            <w:pPr>
              <w:pStyle w:val="37"/>
              <w:ind w:firstLine="422" w:firstLineChars="20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5、电磁辐射</w:t>
            </w:r>
          </w:p>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本项目不涉及电磁辐射项目，不需要进行电磁辐射环境质量现状调查。</w:t>
            </w:r>
          </w:p>
          <w:p>
            <w:pPr>
              <w:pStyle w:val="37"/>
              <w:ind w:firstLine="422" w:firstLineChars="20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6、地下水、土壤环境</w:t>
            </w:r>
          </w:p>
          <w:p>
            <w:pPr>
              <w:pStyle w:val="37"/>
              <w:ind w:firstLine="420" w:firstLineChars="20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本项目的生产车间为租用惠州市博罗县罗阳街道虾塱村委会洲际工业园的厂房，根据建设单位提供的不动产权证（详见</w:t>
            </w:r>
            <w:r>
              <w:rPr>
                <w:rFonts w:hAnsi="Times New Roman"/>
                <w:b/>
                <w:bCs w:val="0"/>
                <w:color w:val="000000" w:themeColor="text1"/>
                <w14:textFill>
                  <w14:solidFill>
                    <w14:schemeClr w14:val="tx1"/>
                  </w14:solidFill>
                </w14:textFill>
              </w:rPr>
              <w:t>附件3</w:t>
            </w:r>
            <w:r>
              <w:rPr>
                <w:rFonts w:hAnsi="Times New Roman"/>
                <w:color w:val="000000" w:themeColor="text1"/>
                <w14:textFill>
                  <w14:solidFill>
                    <w14:schemeClr w14:val="tx1"/>
                  </w14:solidFill>
                </w14:textFill>
              </w:rPr>
              <w:t>）可知，项目厂房已建成，且项目所在区域已进行场地硬底化，不存在地下水、土壤环境污染途径，故项目所在地土壤环境质量基本保持原性质，现状质量较好，不需要进行地下水、土壤环境质量现状调查。</w:t>
            </w:r>
          </w:p>
          <w:tbl>
            <w:tblPr>
              <w:tblStyle w:val="31"/>
              <w:tblW w:w="9674"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0"/>
              <w:gridCol w:w="481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0"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drawing>
                      <wp:inline distT="0" distB="0" distL="0" distR="0">
                        <wp:extent cx="2948940" cy="2211705"/>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9393" cy="2212044"/>
                                </a:xfrm>
                                <a:prstGeom prst="rect">
                                  <a:avLst/>
                                </a:prstGeom>
                                <a:noFill/>
                                <a:ln>
                                  <a:noFill/>
                                </a:ln>
                              </pic:spPr>
                            </pic:pic>
                          </a:graphicData>
                        </a:graphic>
                      </wp:inline>
                    </w:drawing>
                  </w:r>
                </w:p>
              </w:tc>
              <w:tc>
                <w:tcPr>
                  <w:tcW w:w="4814"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drawing>
                      <wp:inline distT="0" distB="0" distL="0" distR="0">
                        <wp:extent cx="2919730" cy="218948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19748" cy="2189811"/>
                                </a:xfrm>
                                <a:prstGeom prst="rect">
                                  <a:avLst/>
                                </a:prstGeom>
                                <a:noFill/>
                                <a:ln>
                                  <a:noFill/>
                                </a:ln>
                              </pic:spPr>
                            </pic:pic>
                          </a:graphicData>
                        </a:graphic>
                      </wp:inline>
                    </w:drawing>
                  </w:r>
                </w:p>
              </w:tc>
            </w:tr>
          </w:tbl>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图3-3  项目所在区域场地硬底化照片</w:t>
            </w:r>
          </w:p>
          <w:p>
            <w:pPr>
              <w:rPr>
                <w:color w:val="000000" w:themeColor="text1"/>
                <w14:textFill>
                  <w14:solidFill>
                    <w14:schemeClr w14:val="tx1"/>
                  </w14:solidFill>
                </w14:textFill>
              </w:rPr>
            </w:pPr>
          </w:p>
        </w:tc>
      </w:tr>
    </w:tbl>
    <w:p>
      <w:pPr>
        <w:rPr>
          <w:color w:val="000000" w:themeColor="text1"/>
          <w14:textFill>
            <w14:solidFill>
              <w14:schemeClr w14:val="tx1"/>
            </w14:solidFill>
          </w14:textFill>
        </w:rPr>
        <w:sectPr>
          <w:pgSz w:w="11906" w:h="16838"/>
          <w:pgMar w:top="720" w:right="720" w:bottom="720" w:left="720" w:header="851" w:footer="851" w:gutter="0"/>
          <w:cols w:space="720" w:num="1"/>
          <w:docGrid w:linePitch="312" w:charSpace="0"/>
        </w:sectPr>
      </w:pPr>
    </w:p>
    <w:p>
      <w:pPr>
        <w:rPr>
          <w:color w:val="000000" w:themeColor="text1"/>
          <w14:textFill>
            <w14:solidFill>
              <w14:schemeClr w14:val="tx1"/>
            </w14:solidFill>
          </w14:textFill>
        </w:rPr>
      </w:pPr>
    </w:p>
    <w:tbl>
      <w:tblPr>
        <w:tblStyle w:val="30"/>
        <w:tblW w:w="105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2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426" w:type="dxa"/>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环 境</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保 护</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目 标</w:t>
            </w:r>
          </w:p>
        </w:tc>
        <w:tc>
          <w:tcPr>
            <w:tcW w:w="10160" w:type="dxa"/>
            <w:vAlign w:val="center"/>
          </w:tcPr>
          <w:p>
            <w:pPr>
              <w:adjustRightIn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1、大气环境</w:t>
            </w:r>
          </w:p>
          <w:p>
            <w:pPr>
              <w:spacing w:line="360" w:lineRule="auto"/>
              <w:ind w:firstLine="420" w:firstLineChars="200"/>
              <w:rPr>
                <w:rStyle w:val="59"/>
                <w:color w:val="000000" w:themeColor="text1"/>
                <w14:textFill>
                  <w14:solidFill>
                    <w14:schemeClr w14:val="tx1"/>
                  </w14:solidFill>
                </w14:textFill>
              </w:rPr>
            </w:pPr>
            <w:r>
              <w:rPr>
                <w:rStyle w:val="59"/>
                <w:color w:val="000000" w:themeColor="text1"/>
                <w14:textFill>
                  <w14:solidFill>
                    <w14:schemeClr w14:val="tx1"/>
                  </w14:solidFill>
                </w14:textFill>
              </w:rPr>
              <w:t>保护目标为周边的环境空气，使其符合《环境空气质量标准》（GB3095-2012）及其修改单中的二级标准；项目500米范围内的环境敏感点及保护目标详见下表：</w:t>
            </w:r>
          </w:p>
          <w:p>
            <w:pPr>
              <w:pStyle w:val="39"/>
              <w:spacing w:line="360" w:lineRule="auto"/>
              <w:jc w:val="center"/>
              <w:rPr>
                <w:rStyle w:val="59"/>
                <w:b/>
                <w:bCs w:val="0"/>
                <w:color w:val="000000" w:themeColor="text1"/>
                <w14:textFill>
                  <w14:solidFill>
                    <w14:schemeClr w14:val="tx1"/>
                  </w14:solidFill>
                </w14:textFill>
              </w:rPr>
            </w:pPr>
            <w:r>
              <w:rPr>
                <w:b/>
                <w:bCs w:val="0"/>
                <w:color w:val="000000" w:themeColor="text1"/>
                <w14:textFill>
                  <w14:solidFill>
                    <w14:schemeClr w14:val="tx1"/>
                  </w14:solidFill>
                </w14:textFill>
              </w:rPr>
              <w:t>表3-6  项目大气环境要素主要环境保护目标</w:t>
            </w:r>
          </w:p>
          <w:tbl>
            <w:tblPr>
              <w:tblStyle w:val="30"/>
              <w:tblW w:w="10008"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41"/>
              <w:gridCol w:w="1062"/>
              <w:gridCol w:w="1290"/>
              <w:gridCol w:w="1214"/>
              <w:gridCol w:w="801"/>
              <w:gridCol w:w="679"/>
              <w:gridCol w:w="905"/>
              <w:gridCol w:w="587"/>
              <w:gridCol w:w="1076"/>
              <w:gridCol w:w="1052"/>
              <w:gridCol w:w="901"/>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序号</w:t>
                  </w:r>
                </w:p>
              </w:tc>
              <w:tc>
                <w:tcPr>
                  <w:tcW w:w="530"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名称</w:t>
                  </w:r>
                </w:p>
              </w:tc>
              <w:tc>
                <w:tcPr>
                  <w:tcW w:w="1250" w:type="pct"/>
                  <w:gridSpan w:val="2"/>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经纬度</w:t>
                  </w:r>
                </w:p>
              </w:tc>
              <w:tc>
                <w:tcPr>
                  <w:tcW w:w="400"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保护</w:t>
                  </w:r>
                </w:p>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对象</w:t>
                  </w:r>
                </w:p>
              </w:tc>
              <w:tc>
                <w:tcPr>
                  <w:tcW w:w="339"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保护内容</w:t>
                  </w:r>
                </w:p>
              </w:tc>
              <w:tc>
                <w:tcPr>
                  <w:tcW w:w="452"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规模</w:t>
                  </w:r>
                </w:p>
              </w:tc>
              <w:tc>
                <w:tcPr>
                  <w:tcW w:w="293"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环境功能区</w:t>
                  </w:r>
                </w:p>
              </w:tc>
              <w:tc>
                <w:tcPr>
                  <w:tcW w:w="537"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相对生产车间方位</w:t>
                  </w:r>
                </w:p>
              </w:tc>
              <w:tc>
                <w:tcPr>
                  <w:tcW w:w="525"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距产污车间的相对距离（m）</w:t>
                  </w:r>
                </w:p>
              </w:tc>
              <w:tc>
                <w:tcPr>
                  <w:tcW w:w="450" w:type="pct"/>
                  <w:vMerge w:val="restar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相对厂界距离/m</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Merge w:val="continue"/>
                  <w:vAlign w:val="center"/>
                </w:tcPr>
                <w:p>
                  <w:pPr>
                    <w:jc w:val="center"/>
                    <w:rPr>
                      <w:rStyle w:val="59"/>
                      <w:color w:val="000000" w:themeColor="text1"/>
                      <w14:textFill>
                        <w14:solidFill>
                          <w14:schemeClr w14:val="tx1"/>
                        </w14:solidFill>
                      </w14:textFill>
                    </w:rPr>
                  </w:pPr>
                </w:p>
              </w:tc>
              <w:tc>
                <w:tcPr>
                  <w:tcW w:w="530" w:type="pct"/>
                  <w:vMerge w:val="continue"/>
                  <w:vAlign w:val="center"/>
                </w:tcPr>
                <w:p>
                  <w:pPr>
                    <w:jc w:val="center"/>
                    <w:rPr>
                      <w:rStyle w:val="59"/>
                      <w:color w:val="000000" w:themeColor="text1"/>
                      <w14:textFill>
                        <w14:solidFill>
                          <w14:schemeClr w14:val="tx1"/>
                        </w14:solidFill>
                      </w14:textFill>
                    </w:rPr>
                  </w:pPr>
                </w:p>
              </w:tc>
              <w:tc>
                <w:tcPr>
                  <w:tcW w:w="644" w:type="pc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经度（E）</w:t>
                  </w:r>
                </w:p>
              </w:tc>
              <w:tc>
                <w:tcPr>
                  <w:tcW w:w="605" w:type="pct"/>
                  <w:vAlign w:val="center"/>
                </w:tcPr>
                <w:p>
                  <w:pPr>
                    <w:jc w:val="center"/>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纬度（N）</w:t>
                  </w:r>
                </w:p>
              </w:tc>
              <w:tc>
                <w:tcPr>
                  <w:tcW w:w="400" w:type="pct"/>
                  <w:vMerge w:val="continue"/>
                  <w:vAlign w:val="center"/>
                </w:tcPr>
                <w:p>
                  <w:pPr>
                    <w:jc w:val="center"/>
                    <w:rPr>
                      <w:rStyle w:val="59"/>
                      <w:color w:val="000000" w:themeColor="text1"/>
                      <w14:textFill>
                        <w14:solidFill>
                          <w14:schemeClr w14:val="tx1"/>
                        </w14:solidFill>
                      </w14:textFill>
                    </w:rPr>
                  </w:pPr>
                </w:p>
              </w:tc>
              <w:tc>
                <w:tcPr>
                  <w:tcW w:w="339" w:type="pct"/>
                  <w:vMerge w:val="continue"/>
                  <w:vAlign w:val="center"/>
                </w:tcPr>
                <w:p>
                  <w:pPr>
                    <w:jc w:val="center"/>
                    <w:rPr>
                      <w:rStyle w:val="59"/>
                      <w:color w:val="000000" w:themeColor="text1"/>
                      <w14:textFill>
                        <w14:solidFill>
                          <w14:schemeClr w14:val="tx1"/>
                        </w14:solidFill>
                      </w14:textFill>
                    </w:rPr>
                  </w:pPr>
                </w:p>
              </w:tc>
              <w:tc>
                <w:tcPr>
                  <w:tcW w:w="452" w:type="pct"/>
                  <w:vMerge w:val="continue"/>
                  <w:vAlign w:val="center"/>
                </w:tcPr>
                <w:p>
                  <w:pPr>
                    <w:jc w:val="center"/>
                    <w:rPr>
                      <w:rStyle w:val="59"/>
                      <w:color w:val="000000" w:themeColor="text1"/>
                      <w14:textFill>
                        <w14:solidFill>
                          <w14:schemeClr w14:val="tx1"/>
                        </w14:solidFill>
                      </w14:textFill>
                    </w:rPr>
                  </w:pPr>
                </w:p>
              </w:tc>
              <w:tc>
                <w:tcPr>
                  <w:tcW w:w="293" w:type="pct"/>
                  <w:vMerge w:val="continue"/>
                  <w:vAlign w:val="center"/>
                </w:tcPr>
                <w:p>
                  <w:pPr>
                    <w:jc w:val="center"/>
                    <w:rPr>
                      <w:rStyle w:val="59"/>
                      <w:color w:val="000000" w:themeColor="text1"/>
                      <w14:textFill>
                        <w14:solidFill>
                          <w14:schemeClr w14:val="tx1"/>
                        </w14:solidFill>
                      </w14:textFill>
                    </w:rPr>
                  </w:pPr>
                </w:p>
              </w:tc>
              <w:tc>
                <w:tcPr>
                  <w:tcW w:w="537" w:type="pct"/>
                  <w:vMerge w:val="continue"/>
                  <w:vAlign w:val="center"/>
                </w:tcPr>
                <w:p>
                  <w:pPr>
                    <w:jc w:val="center"/>
                    <w:rPr>
                      <w:rStyle w:val="59"/>
                      <w:color w:val="000000" w:themeColor="text1"/>
                      <w14:textFill>
                        <w14:solidFill>
                          <w14:schemeClr w14:val="tx1"/>
                        </w14:solidFill>
                      </w14:textFill>
                    </w:rPr>
                  </w:pPr>
                </w:p>
              </w:tc>
              <w:tc>
                <w:tcPr>
                  <w:tcW w:w="525" w:type="pct"/>
                  <w:vMerge w:val="continue"/>
                  <w:vAlign w:val="center"/>
                </w:tcPr>
                <w:p>
                  <w:pPr>
                    <w:jc w:val="center"/>
                    <w:rPr>
                      <w:rStyle w:val="59"/>
                      <w:color w:val="000000" w:themeColor="text1"/>
                      <w14:textFill>
                        <w14:solidFill>
                          <w14:schemeClr w14:val="tx1"/>
                        </w14:solidFill>
                      </w14:textFill>
                    </w:rPr>
                  </w:pPr>
                </w:p>
              </w:tc>
              <w:tc>
                <w:tcPr>
                  <w:tcW w:w="450" w:type="pct"/>
                  <w:vMerge w:val="continue"/>
                  <w:vAlign w:val="center"/>
                </w:tcPr>
                <w:p>
                  <w:pPr>
                    <w:jc w:val="center"/>
                    <w:rPr>
                      <w:rStyle w:val="59"/>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1</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福鑫公馆</w:t>
                  </w:r>
                </w:p>
              </w:tc>
              <w:tc>
                <w:tcPr>
                  <w:tcW w:w="644" w:type="pct"/>
                  <w:vAlign w:val="center"/>
                </w:tcPr>
                <w:p>
                  <w:pPr>
                    <w:jc w:val="center"/>
                    <w:rPr>
                      <w:rStyle w:val="59"/>
                      <w:color w:val="000000" w:themeColor="text1"/>
                      <w14:textFill>
                        <w14:solidFill>
                          <w14:schemeClr w14:val="tx1"/>
                        </w14:solidFill>
                      </w14:textFill>
                    </w:rPr>
                  </w:pPr>
                  <w:r>
                    <w:rPr>
                      <w:color w:val="000000" w:themeColor="text1"/>
                      <w14:textFill>
                        <w14:solidFill>
                          <w14:schemeClr w14:val="tx1"/>
                        </w14:solidFill>
                      </w14:textFill>
                    </w:rPr>
                    <w:t>114.266899</w:t>
                  </w:r>
                  <w:r>
                    <w:rPr>
                      <w:rStyle w:val="59"/>
                      <w:color w:val="000000" w:themeColor="text1"/>
                      <w14:textFill>
                        <w14:solidFill>
                          <w14:schemeClr w14:val="tx1"/>
                        </w14:solidFill>
                      </w14:textFill>
                    </w:rPr>
                    <w:t>°</w:t>
                  </w:r>
                </w:p>
              </w:tc>
              <w:tc>
                <w:tcPr>
                  <w:tcW w:w="605" w:type="pct"/>
                  <w:vAlign w:val="center"/>
                </w:tcPr>
                <w:p>
                  <w:pPr>
                    <w:jc w:val="center"/>
                    <w:rPr>
                      <w:rStyle w:val="59"/>
                      <w:color w:val="000000" w:themeColor="text1"/>
                      <w14:textFill>
                        <w14:solidFill>
                          <w14:schemeClr w14:val="tx1"/>
                        </w14:solidFill>
                      </w14:textFill>
                    </w:rPr>
                  </w:pPr>
                  <w:r>
                    <w:rPr>
                      <w:color w:val="000000" w:themeColor="text1"/>
                      <w14:textFill>
                        <w14:solidFill>
                          <w14:schemeClr w14:val="tx1"/>
                        </w14:solidFill>
                      </w14:textFill>
                    </w:rPr>
                    <w:t>23.187852</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约200人</w:t>
                  </w:r>
                </w:p>
              </w:tc>
              <w:tc>
                <w:tcPr>
                  <w:tcW w:w="293" w:type="pct"/>
                  <w:vMerge w:val="restart"/>
                  <w:vAlign w:val="center"/>
                </w:tcPr>
                <w:p>
                  <w:pPr>
                    <w:rPr>
                      <w:rStyle w:val="59"/>
                      <w:color w:val="000000" w:themeColor="text1"/>
                      <w14:textFill>
                        <w14:solidFill>
                          <w14:schemeClr w14:val="tx1"/>
                        </w14:solidFill>
                      </w14:textFill>
                    </w:rPr>
                  </w:pPr>
                  <w:r>
                    <w:rPr>
                      <w:bCs w:val="0"/>
                      <w:color w:val="000000" w:themeColor="text1"/>
                      <w14:textFill>
                        <w14:solidFill>
                          <w14:schemeClr w14:val="tx1"/>
                        </w14:solidFill>
                      </w14:textFill>
                    </w:rPr>
                    <w:t>环境空气功能区二类区</w:t>
                  </w: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8</w:t>
                  </w:r>
                  <w:r>
                    <w:rPr>
                      <w:rStyle w:val="59"/>
                      <w:rFonts w:hint="eastAsia"/>
                      <w:color w:val="000000" w:themeColor="text1"/>
                      <w14:textFill>
                        <w14:solidFill>
                          <w14:schemeClr w14:val="tx1"/>
                        </w14:solidFill>
                      </w14:textFill>
                    </w:rPr>
                    <w:t>0</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57</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2</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虾塱村居民区1#</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114.269582</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23.189402</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约500人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364</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320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虾塱村居民区2#</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114.268466</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23.181860</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约300人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467</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456</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新村村居民区1#</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114.263327</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23.189510</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约500人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西北面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200</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174</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5</w:t>
                  </w:r>
                </w:p>
              </w:tc>
              <w:tc>
                <w:tcPr>
                  <w:tcW w:w="530" w:type="pct"/>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新村村居民区2#</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114.262136</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23.184392</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约200人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西面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402</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392</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6</w:t>
                  </w:r>
                </w:p>
              </w:tc>
              <w:tc>
                <w:tcPr>
                  <w:tcW w:w="530" w:type="pct"/>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新村村居民区3#</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114.262340</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23.181045</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约50人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西南面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568</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554</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7</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绿雅苑</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114.270279</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23.185980</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居民区</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约200人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382</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368</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8</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博罗实验学校</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114.270472</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23.187171</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学校</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约1000人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352</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346</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9</w:t>
                  </w:r>
                </w:p>
              </w:tc>
              <w:tc>
                <w:tcPr>
                  <w:tcW w:w="53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博艺学校</w:t>
                  </w:r>
                </w:p>
              </w:tc>
              <w:tc>
                <w:tcPr>
                  <w:tcW w:w="64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114.267221</w:t>
                  </w:r>
                  <w:r>
                    <w:rPr>
                      <w:rStyle w:val="59"/>
                      <w:color w:val="000000" w:themeColor="text1"/>
                      <w14:textFill>
                        <w14:solidFill>
                          <w14:schemeClr w14:val="tx1"/>
                        </w14:solidFill>
                      </w14:textFill>
                    </w:rPr>
                    <w:t>°</w:t>
                  </w:r>
                </w:p>
              </w:tc>
              <w:tc>
                <w:tcPr>
                  <w:tcW w:w="60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23.181881</w:t>
                  </w:r>
                  <w:r>
                    <w:rPr>
                      <w:rStyle w:val="59"/>
                      <w:color w:val="000000" w:themeColor="text1"/>
                      <w14:textFill>
                        <w14:solidFill>
                          <w14:schemeClr w14:val="tx1"/>
                        </w14:solidFill>
                      </w14:textFill>
                    </w:rPr>
                    <w:t>°</w:t>
                  </w:r>
                </w:p>
              </w:tc>
              <w:tc>
                <w:tcPr>
                  <w:tcW w:w="40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学校</w:t>
                  </w:r>
                </w:p>
              </w:tc>
              <w:tc>
                <w:tcPr>
                  <w:tcW w:w="339"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人群</w:t>
                  </w:r>
                </w:p>
              </w:tc>
              <w:tc>
                <w:tcPr>
                  <w:tcW w:w="452"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约1000人</w:t>
                  </w:r>
                </w:p>
              </w:tc>
              <w:tc>
                <w:tcPr>
                  <w:tcW w:w="293" w:type="pct"/>
                  <w:vMerge w:val="continue"/>
                  <w:vAlign w:val="center"/>
                </w:tcPr>
                <w:p>
                  <w:pPr>
                    <w:rPr>
                      <w:bCs w:val="0"/>
                      <w:color w:val="000000" w:themeColor="text1"/>
                      <w14:textFill>
                        <w14:solidFill>
                          <w14:schemeClr w14:val="tx1"/>
                        </w14:solidFill>
                      </w14:textFill>
                    </w:rPr>
                  </w:pPr>
                </w:p>
              </w:tc>
              <w:tc>
                <w:tcPr>
                  <w:tcW w:w="537"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东南面</w:t>
                  </w:r>
                </w:p>
              </w:tc>
              <w:tc>
                <w:tcPr>
                  <w:tcW w:w="525"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449</w:t>
                  </w:r>
                </w:p>
              </w:tc>
              <w:tc>
                <w:tcPr>
                  <w:tcW w:w="450" w:type="pct"/>
                  <w:vAlign w:val="center"/>
                </w:tcPr>
                <w:p>
                  <w:pPr>
                    <w:jc w:val="center"/>
                    <w:rPr>
                      <w:rStyle w:val="59"/>
                      <w:color w:val="000000" w:themeColor="text1"/>
                      <w14:textFill>
                        <w14:solidFill>
                          <w14:schemeClr w14:val="tx1"/>
                        </w14:solidFill>
                      </w14:textFill>
                    </w:rPr>
                  </w:pPr>
                  <w:r>
                    <w:rPr>
                      <w:rStyle w:val="59"/>
                      <w:color w:val="000000" w:themeColor="text1"/>
                      <w14:textFill>
                        <w14:solidFill>
                          <w14:schemeClr w14:val="tx1"/>
                        </w14:solidFill>
                      </w14:textFill>
                    </w:rPr>
                    <w:t>440</w:t>
                  </w:r>
                </w:p>
              </w:tc>
            </w:tr>
          </w:tbl>
          <w:p>
            <w:pPr>
              <w:spacing w:line="360" w:lineRule="auto"/>
              <w:ind w:firstLine="422" w:firstLineChars="200"/>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2、</w:t>
            </w:r>
            <w:r>
              <w:rPr>
                <w:b/>
                <w:bCs w:val="0"/>
                <w:color w:val="000000" w:themeColor="text1"/>
                <w:kern w:val="0"/>
                <w14:textFill>
                  <w14:solidFill>
                    <w14:schemeClr w14:val="tx1"/>
                  </w14:solidFill>
                </w14:textFill>
              </w:rPr>
              <w:t>声环境</w:t>
            </w:r>
          </w:p>
          <w:p>
            <w:pPr>
              <w:spacing w:line="360" w:lineRule="auto"/>
              <w:ind w:firstLine="420" w:firstLineChars="200"/>
              <w:rPr>
                <w:rStyle w:val="59"/>
                <w:b/>
                <w:bCs w:val="0"/>
                <w:color w:val="000000" w:themeColor="text1"/>
                <w14:textFill>
                  <w14:solidFill>
                    <w14:schemeClr w14:val="tx1"/>
                  </w14:solidFill>
                </w14:textFill>
              </w:rPr>
            </w:pPr>
            <w:r>
              <w:rPr>
                <w:rStyle w:val="59"/>
                <w:color w:val="000000" w:themeColor="text1"/>
                <w14:textFill>
                  <w14:solidFill>
                    <w14:schemeClr w14:val="tx1"/>
                  </w14:solidFill>
                </w14:textFill>
              </w:rPr>
              <w:t>本项目厂界外50米范围内无声环境保护目标。</w:t>
            </w:r>
          </w:p>
          <w:p>
            <w:pPr>
              <w:spacing w:line="360" w:lineRule="auto"/>
              <w:ind w:firstLine="422" w:firstLineChars="200"/>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3、地下水环境</w:t>
            </w:r>
          </w:p>
          <w:p>
            <w:pPr>
              <w:spacing w:line="360" w:lineRule="auto"/>
              <w:ind w:firstLine="420" w:firstLineChars="200"/>
              <w:rPr>
                <w:rStyle w:val="59"/>
                <w:color w:val="000000" w:themeColor="text1"/>
                <w14:textFill>
                  <w14:solidFill>
                    <w14:schemeClr w14:val="tx1"/>
                  </w14:solidFill>
                </w14:textFill>
              </w:rPr>
            </w:pPr>
            <w:r>
              <w:rPr>
                <w:rStyle w:val="59"/>
                <w:color w:val="000000" w:themeColor="text1"/>
                <w14:textFill>
                  <w14:solidFill>
                    <w14:schemeClr w14:val="tx1"/>
                  </w14:solidFill>
                </w14:textFill>
              </w:rPr>
              <w:t>厂界外500米范围内无地下水集中式饮用水水源和热水、矿泉水、温泉等特殊地下水资源。</w:t>
            </w:r>
          </w:p>
          <w:p>
            <w:pPr>
              <w:spacing w:line="360" w:lineRule="auto"/>
              <w:ind w:firstLine="422" w:firstLineChars="200"/>
              <w:rPr>
                <w:rStyle w:val="59"/>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4、生态环境</w:t>
            </w:r>
          </w:p>
          <w:p>
            <w:pPr>
              <w:spacing w:line="360" w:lineRule="auto"/>
              <w:ind w:firstLine="420" w:firstLineChars="200"/>
              <w:rPr>
                <w:color w:val="000000" w:themeColor="text1"/>
                <w14:textFill>
                  <w14:solidFill>
                    <w14:schemeClr w14:val="tx1"/>
                  </w14:solidFill>
                </w14:textFill>
              </w:rPr>
            </w:pPr>
            <w:r>
              <w:rPr>
                <w:rStyle w:val="59"/>
                <w:color w:val="000000" w:themeColor="text1"/>
                <w14:textFill>
                  <w14:solidFill>
                    <w14:schemeClr w14:val="tx1"/>
                  </w14:solidFill>
                </w14:textFill>
              </w:rPr>
              <w:t>项目不涉及土建，用地范围内无生态环境保护目标。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26" w:type="dxa"/>
            <w:tcMar>
              <w:left w:w="28" w:type="dxa"/>
              <w:right w:w="28" w:type="dxa"/>
            </w:tcMar>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污   染</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物   排</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放   控</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制</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标</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准</w:t>
            </w:r>
          </w:p>
        </w:tc>
        <w:tc>
          <w:tcPr>
            <w:tcW w:w="10160" w:type="dxa"/>
            <w:vAlign w:val="center"/>
          </w:tcPr>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1、大气</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（1）颗粒物</w:t>
            </w:r>
          </w:p>
          <w:p>
            <w:pPr>
              <w:pStyle w:val="37"/>
              <w:ind w:firstLine="420" w:firstLineChars="200"/>
              <w:jc w:val="both"/>
              <w:rPr>
                <w:rFonts w:hAnsi="Times New Roman"/>
                <w:b/>
                <w:bCs w:val="0"/>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配组工序中焊接过程会产生颗粒物，颗粒物经移动式除尘器收集处理，少部分未被收集的颗粒物以无组织形式排放，其无组织排放执行广东省《大气污染排放限值》（DB44/27-2001）第二时段无组织排放监控浓度限值。</w:t>
            </w:r>
          </w:p>
          <w:p>
            <w:pPr>
              <w:pStyle w:val="37"/>
              <w:ind w:firstLine="422" w:firstLineChars="200"/>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（2）有机废气</w:t>
            </w:r>
          </w:p>
          <w:p>
            <w:pPr>
              <w:spacing w:line="360" w:lineRule="auto"/>
              <w:ind w:firstLine="420" w:firstLineChars="200"/>
              <w:rPr>
                <w:color w:val="000000" w:themeColor="text1"/>
                <w14:textFill>
                  <w14:solidFill>
                    <w14:schemeClr w14:val="tx1"/>
                  </w14:solidFill>
                </w14:textFill>
              </w:rPr>
            </w:pPr>
            <w:r>
              <w:rPr>
                <w:bCs w:val="0"/>
                <w:color w:val="000000" w:themeColor="text1"/>
                <w14:textFill>
                  <w14:solidFill>
                    <w14:schemeClr w14:val="tx1"/>
                  </w14:solidFill>
                </w14:textFill>
              </w:rPr>
              <w:t>本项目产生的有机废气</w:t>
            </w:r>
            <w:r>
              <w:rPr>
                <w:color w:val="000000" w:themeColor="text1"/>
                <w14:textFill>
                  <w14:solidFill>
                    <w14:schemeClr w14:val="tx1"/>
                  </w14:solidFill>
                </w14:textFill>
              </w:rPr>
              <w:t>（TVOC/非甲烷总烃）</w:t>
            </w:r>
            <w:r>
              <w:rPr>
                <w:bCs w:val="0"/>
                <w:color w:val="000000" w:themeColor="text1"/>
                <w14:textFill>
                  <w14:solidFill>
                    <w14:schemeClr w14:val="tx1"/>
                  </w14:solidFill>
                </w14:textFill>
              </w:rPr>
              <w:t>有组织排放参照执行广东省《固定污染源挥发性有机物综合排放标准》（DB44/2367-2022）</w:t>
            </w:r>
            <w:r>
              <w:rPr>
                <w:color w:val="000000" w:themeColor="text1"/>
                <w14:textFill>
                  <w14:solidFill>
                    <w14:schemeClr w14:val="tx1"/>
                  </w14:solidFill>
                </w14:textFill>
              </w:rPr>
              <w:t>表1限值，无组织排放总VOCs参照执行</w:t>
            </w:r>
            <w:r>
              <w:rPr>
                <w:bCs w:val="0"/>
                <w:color w:val="000000" w:themeColor="text1"/>
                <w14:textFill>
                  <w14:solidFill>
                    <w14:schemeClr w14:val="tx1"/>
                  </w14:solidFill>
                </w14:textFill>
              </w:rPr>
              <w:t>《家具制造行业挥发性有机化合物排放标准》（DB44/814-2010）表2无组织排放监控点浓度限值</w:t>
            </w:r>
            <w:r>
              <w:rPr>
                <w:color w:val="000000" w:themeColor="text1"/>
                <w14:textFill>
                  <w14:solidFill>
                    <w14:schemeClr w14:val="tx1"/>
                  </w14:solidFill>
                </w14:textFill>
              </w:rPr>
              <w:t>；厂区内有机废气无组织排放浓度满足广东省地方标准《固定污染源挥发性有机物综合排放标准》（DB44/2367-2022）表3限值。</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（3）臭气浓度</w:t>
            </w:r>
          </w:p>
          <w:p>
            <w:pPr>
              <w:spacing w:line="360" w:lineRule="auto"/>
              <w:ind w:firstLine="420" w:firstLineChars="200"/>
              <w:rPr>
                <w:b/>
                <w:bCs w:val="0"/>
                <w:color w:val="000000" w:themeColor="text1"/>
                <w14:textFill>
                  <w14:solidFill>
                    <w14:schemeClr w14:val="tx1"/>
                  </w14:solidFill>
                </w14:textFill>
              </w:rPr>
            </w:pPr>
            <w:r>
              <w:rPr>
                <w:color w:val="000000" w:themeColor="text1"/>
                <w14:textFill>
                  <w14:solidFill>
                    <w14:schemeClr w14:val="tx1"/>
                  </w14:solidFill>
                </w14:textFill>
              </w:rPr>
              <w:t>本项目产生的臭气浓度执行《恶臭污染物排放标准》（GB14554-93）表1二级（新扩改建）标准限值和表2标准限值。</w:t>
            </w:r>
          </w:p>
          <w:p>
            <w:pPr>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具体执行的排放限值</w:t>
            </w:r>
            <w:r>
              <w:rPr>
                <w:bCs w:val="0"/>
                <w:color w:val="000000" w:themeColor="text1"/>
                <w14:textFill>
                  <w14:solidFill>
                    <w14:schemeClr w14:val="tx1"/>
                  </w14:solidFill>
                </w14:textFill>
              </w:rPr>
              <w:t>详见下表。</w:t>
            </w:r>
          </w:p>
          <w:p>
            <w:pPr>
              <w:pStyle w:val="39"/>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表3-7</w:t>
            </w:r>
            <w:r>
              <w:rPr>
                <w:color w:val="000000" w:themeColor="text1"/>
                <w14:textFill>
                  <w14:solidFill>
                    <w14:schemeClr w14:val="tx1"/>
                  </w14:solidFill>
                </w14:textFill>
              </w:rPr>
              <w:t xml:space="preserve">  </w:t>
            </w:r>
            <w:r>
              <w:rPr>
                <w:b/>
                <w:bCs w:val="0"/>
                <w:color w:val="000000" w:themeColor="text1"/>
                <w14:textFill>
                  <w14:solidFill>
                    <w14:schemeClr w14:val="tx1"/>
                  </w14:solidFill>
                </w14:textFill>
              </w:rPr>
              <w:t>项目废气排放执行标准与限值一览表</w:t>
            </w:r>
          </w:p>
          <w:tbl>
            <w:tblPr>
              <w:tblStyle w:val="30"/>
              <w:tblW w:w="9917"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477"/>
              <w:gridCol w:w="1295"/>
              <w:gridCol w:w="4054"/>
              <w:gridCol w:w="2036"/>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产污</w:t>
                  </w:r>
                </w:p>
                <w:p>
                  <w:pPr>
                    <w:jc w:val="center"/>
                    <w:rPr>
                      <w:b/>
                      <w:bCs w:val="0"/>
                      <w:color w:val="000000" w:themeColor="text1"/>
                      <w:highlight w:val="yellow"/>
                      <w14:textFill>
                        <w14:solidFill>
                          <w14:schemeClr w14:val="tx1"/>
                        </w14:solidFill>
                      </w14:textFill>
                    </w:rPr>
                  </w:pPr>
                  <w:r>
                    <w:rPr>
                      <w:b/>
                      <w:bCs w:val="0"/>
                      <w:color w:val="000000" w:themeColor="text1"/>
                      <w14:textFill>
                        <w14:solidFill>
                          <w14:schemeClr w14:val="tx1"/>
                        </w14:solidFill>
                      </w14:textFill>
                    </w:rPr>
                    <w:t>工序</w:t>
                  </w:r>
                </w:p>
              </w:tc>
              <w:tc>
                <w:tcPr>
                  <w:tcW w:w="1477"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污染物</w:t>
                  </w:r>
                </w:p>
              </w:tc>
              <w:tc>
                <w:tcPr>
                  <w:tcW w:w="1295"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排放方式</w:t>
                  </w:r>
                </w:p>
              </w:tc>
              <w:tc>
                <w:tcPr>
                  <w:tcW w:w="4054"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执行标准</w:t>
                  </w:r>
                </w:p>
              </w:tc>
              <w:tc>
                <w:tcPr>
                  <w:tcW w:w="2036"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排放限值（mg/m</w:t>
                  </w:r>
                  <w:r>
                    <w:rPr>
                      <w:b/>
                      <w:bCs w:val="0"/>
                      <w:color w:val="000000" w:themeColor="text1"/>
                      <w:vertAlign w:val="superscript"/>
                      <w14:textFill>
                        <w14:solidFill>
                          <w14:schemeClr w14:val="tx1"/>
                        </w14:solidFill>
                      </w14:textFill>
                    </w:rPr>
                    <w:t>3</w:t>
                  </w:r>
                  <w:r>
                    <w:rPr>
                      <w:b/>
                      <w:bCs w:val="0"/>
                      <w:color w:val="000000" w:themeColor="text1"/>
                      <w14:textFill>
                        <w14:solidFill>
                          <w14:schemeClr w14:val="tx1"/>
                        </w14:solidFill>
                      </w14:textFill>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配组</w:t>
                  </w:r>
                </w:p>
              </w:tc>
              <w:tc>
                <w:tcPr>
                  <w:tcW w:w="147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颗粒物</w:t>
                  </w:r>
                </w:p>
              </w:tc>
              <w:tc>
                <w:tcPr>
                  <w:tcW w:w="1295"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405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广东省《大气污染物排放限值》（DB44/27-2001）第二时段无组织排放监控浓度限值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组立</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真空含浸、烘干工序</w:t>
                  </w:r>
                </w:p>
              </w:tc>
              <w:tc>
                <w:tcPr>
                  <w:tcW w:w="147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TVOC</w:t>
                  </w:r>
                </w:p>
              </w:tc>
              <w:tc>
                <w:tcPr>
                  <w:tcW w:w="1295" w:type="dxa"/>
                  <w:vMerge w:val="restar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有组织</w:t>
                  </w:r>
                </w:p>
              </w:tc>
              <w:tc>
                <w:tcPr>
                  <w:tcW w:w="4054" w:type="dxa"/>
                  <w:vMerge w:val="restar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广东省《固定污染源挥发性有机物综合排放标准》（DB44/2367-2022）表1限值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jc w:val="center"/>
                    <w:rPr>
                      <w:color w:val="000000" w:themeColor="text1"/>
                      <w14:textFill>
                        <w14:solidFill>
                          <w14:schemeClr w14:val="tx1"/>
                        </w14:solidFill>
                      </w14:textFill>
                    </w:rPr>
                  </w:pPr>
                </w:p>
              </w:tc>
              <w:tc>
                <w:tcPr>
                  <w:tcW w:w="147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295" w:type="dxa"/>
                  <w:vMerge w:val="continue"/>
                  <w:vAlign w:val="center"/>
                </w:tcPr>
                <w:p>
                  <w:pPr>
                    <w:jc w:val="center"/>
                    <w:rPr>
                      <w:bCs w:val="0"/>
                      <w:color w:val="000000" w:themeColor="text1"/>
                      <w14:textFill>
                        <w14:solidFill>
                          <w14:schemeClr w14:val="tx1"/>
                        </w14:solidFill>
                      </w14:textFill>
                    </w:rPr>
                  </w:pPr>
                </w:p>
              </w:tc>
              <w:tc>
                <w:tcPr>
                  <w:tcW w:w="4054" w:type="dxa"/>
                  <w:vMerge w:val="continue"/>
                  <w:vAlign w:val="center"/>
                </w:tcPr>
                <w:p>
                  <w:pPr>
                    <w:jc w:val="center"/>
                    <w:rPr>
                      <w:color w:val="000000" w:themeColor="text1"/>
                      <w14:textFill>
                        <w14:solidFill>
                          <w14:schemeClr w14:val="tx1"/>
                        </w14:solidFill>
                      </w14:textFill>
                    </w:rPr>
                  </w:pP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jc w:val="center"/>
                    <w:rPr>
                      <w:color w:val="000000" w:themeColor="text1"/>
                      <w14:textFill>
                        <w14:solidFill>
                          <w14:schemeClr w14:val="tx1"/>
                        </w14:solidFill>
                      </w14:textFill>
                    </w:rPr>
                  </w:pPr>
                </w:p>
              </w:tc>
              <w:tc>
                <w:tcPr>
                  <w:tcW w:w="147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总VOCs</w:t>
                  </w:r>
                </w:p>
              </w:tc>
              <w:tc>
                <w:tcPr>
                  <w:tcW w:w="129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4054"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《家具制造行业挥发性有机化合物排放标准》（DB44/814-2010）表2无组织排放监控点浓度限值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jc w:val="center"/>
                    <w:rPr>
                      <w:color w:val="000000" w:themeColor="text1"/>
                      <w14:textFill>
                        <w14:solidFill>
                          <w14:schemeClr w14:val="tx1"/>
                        </w14:solidFill>
                      </w14:textFill>
                    </w:rPr>
                  </w:pPr>
                </w:p>
              </w:tc>
              <w:tc>
                <w:tcPr>
                  <w:tcW w:w="1477"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臭气浓度</w:t>
                  </w:r>
                </w:p>
              </w:tc>
              <w:tc>
                <w:tcPr>
                  <w:tcW w:w="1295"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有组织</w:t>
                  </w:r>
                </w:p>
              </w:tc>
              <w:tc>
                <w:tcPr>
                  <w:tcW w:w="4054"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《恶臭污染物排放标准》（GB14554-93）表1二级（新扩改建）标准限值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2000（无量纲）</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jc w:val="center"/>
                    <w:rPr>
                      <w:color w:val="000000" w:themeColor="text1"/>
                      <w14:textFill>
                        <w14:solidFill>
                          <w14:schemeClr w14:val="tx1"/>
                        </w14:solidFill>
                      </w14:textFill>
                    </w:rPr>
                  </w:pPr>
                </w:p>
              </w:tc>
              <w:tc>
                <w:tcPr>
                  <w:tcW w:w="1477" w:type="dxa"/>
                  <w:vMerge w:val="continue"/>
                  <w:vAlign w:val="center"/>
                </w:tcPr>
                <w:p>
                  <w:pPr>
                    <w:jc w:val="center"/>
                    <w:rPr>
                      <w:color w:val="000000" w:themeColor="text1"/>
                      <w14:textFill>
                        <w14:solidFill>
                          <w14:schemeClr w14:val="tx1"/>
                        </w14:solidFill>
                      </w14:textFill>
                    </w:rPr>
                  </w:pPr>
                </w:p>
              </w:tc>
              <w:tc>
                <w:tcPr>
                  <w:tcW w:w="1295"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405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《恶臭污染物排放标准》（GB14554-93）表2标准限值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20（无量纲）</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厂房外</w:t>
                  </w:r>
                </w:p>
              </w:tc>
              <w:tc>
                <w:tcPr>
                  <w:tcW w:w="1477"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295" w:type="dxa"/>
                  <w:vMerge w:val="restar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4054" w:type="dxa"/>
                  <w:vMerge w:val="restart"/>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广东省《固定污染源挥发性有机物综合排放标准》（DB44/2367-2022）表3限值</w:t>
                  </w: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6（监控点处1h平均浓度值）</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jc w:val="center"/>
                    <w:rPr>
                      <w:bCs w:val="0"/>
                      <w:color w:val="000000" w:themeColor="text1"/>
                      <w14:textFill>
                        <w14:solidFill>
                          <w14:schemeClr w14:val="tx1"/>
                        </w14:solidFill>
                      </w14:textFill>
                    </w:rPr>
                  </w:pPr>
                </w:p>
              </w:tc>
              <w:tc>
                <w:tcPr>
                  <w:tcW w:w="1477" w:type="dxa"/>
                  <w:vMerge w:val="continue"/>
                  <w:vAlign w:val="center"/>
                </w:tcPr>
                <w:p>
                  <w:pPr>
                    <w:jc w:val="center"/>
                    <w:rPr>
                      <w:color w:val="000000" w:themeColor="text1"/>
                      <w14:textFill>
                        <w14:solidFill>
                          <w14:schemeClr w14:val="tx1"/>
                        </w14:solidFill>
                      </w14:textFill>
                    </w:rPr>
                  </w:pPr>
                </w:p>
              </w:tc>
              <w:tc>
                <w:tcPr>
                  <w:tcW w:w="1295" w:type="dxa"/>
                  <w:vMerge w:val="continue"/>
                  <w:vAlign w:val="center"/>
                </w:tcPr>
                <w:p>
                  <w:pPr>
                    <w:jc w:val="center"/>
                    <w:rPr>
                      <w:bCs w:val="0"/>
                      <w:color w:val="000000" w:themeColor="text1"/>
                      <w14:textFill>
                        <w14:solidFill>
                          <w14:schemeClr w14:val="tx1"/>
                        </w14:solidFill>
                      </w14:textFill>
                    </w:rPr>
                  </w:pPr>
                </w:p>
              </w:tc>
              <w:tc>
                <w:tcPr>
                  <w:tcW w:w="4054" w:type="dxa"/>
                  <w:vMerge w:val="continue"/>
                  <w:vAlign w:val="center"/>
                </w:tcPr>
                <w:p>
                  <w:pPr>
                    <w:jc w:val="center"/>
                    <w:rPr>
                      <w:bCs w:val="0"/>
                      <w:color w:val="000000" w:themeColor="text1"/>
                      <w14:textFill>
                        <w14:solidFill>
                          <w14:schemeClr w14:val="tx1"/>
                        </w14:solidFill>
                      </w14:textFill>
                    </w:rPr>
                  </w:pPr>
                </w:p>
              </w:tc>
              <w:tc>
                <w:tcPr>
                  <w:tcW w:w="20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20（监控点处任意一次浓度值）</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917" w:type="dxa"/>
                  <w:gridSpan w:val="5"/>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注：</w:t>
                  </w:r>
                  <w:r>
                    <w:rPr>
                      <w:color w:val="000000" w:themeColor="text1"/>
                      <w:kern w:val="0"/>
                      <w14:textFill>
                        <w14:solidFill>
                          <w14:schemeClr w14:val="tx1"/>
                        </w14:solidFill>
                      </w14:textFill>
                    </w:rPr>
                    <w:t>TVOC限值待国家污染物监测方法标准发布后实施。</w:t>
                  </w:r>
                </w:p>
              </w:tc>
            </w:tr>
          </w:tbl>
          <w:p>
            <w:pPr>
              <w:spacing w:line="360" w:lineRule="auto"/>
              <w:rPr>
                <w:b/>
                <w:bCs w:val="0"/>
                <w:color w:val="000000" w:themeColor="text1"/>
                <w14:textFill>
                  <w14:solidFill>
                    <w14:schemeClr w14:val="tx1"/>
                  </w14:solidFill>
                </w14:textFill>
              </w:rPr>
            </w:pPr>
            <w:r>
              <w:rPr>
                <w:b/>
                <w:bCs w:val="0"/>
                <w:color w:val="000000" w:themeColor="text1"/>
                <w14:textFill>
                  <w14:solidFill>
                    <w14:schemeClr w14:val="tx1"/>
                  </w14:solidFill>
                </w14:textFill>
              </w:rPr>
              <w:t>二、废水</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1、生活污水</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项目生活污水经“三级化粪池”预处理达到广东省《水污染物排放限值》（DB44/26-2001）第二时段三级标准，通过市政污水管网排入博罗县城生活污水处理厂深度处理，经处理后尾水达到《城镇污水处理厂污染物排放标准》(GB18918－2002)一级A标准和广东省《水污染物排放限值》(DB44/26-2001)第二时段一级标准两者较严者（其中总磷和氨氮执行《地表水环境质量标准》中V类标准），具体标准值详见下表。</w: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表3-8  本项目排水及污水处理厂出水主要水质指标（单位：mg/L）</w:t>
            </w:r>
          </w:p>
          <w:tbl>
            <w:tblPr>
              <w:tblStyle w:val="30"/>
              <w:tblW w:w="10005"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2335"/>
              <w:gridCol w:w="891"/>
              <w:gridCol w:w="1010"/>
              <w:gridCol w:w="1010"/>
              <w:gridCol w:w="1078"/>
              <w:gridCol w:w="1001"/>
              <w:gridCol w:w="1001"/>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014" w:type="dxa"/>
                  <w:gridSpan w:val="2"/>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污染物</w:t>
                  </w:r>
                </w:p>
              </w:tc>
              <w:tc>
                <w:tcPr>
                  <w:tcW w:w="891" w:type="dxa"/>
                  <w:vAlign w:val="center"/>
                </w:tcPr>
                <w:p>
                  <w:pPr>
                    <w:rPr>
                      <w:bCs w:val="0"/>
                      <w:color w:val="000000" w:themeColor="text1"/>
                      <w14:textFill>
                        <w14:solidFill>
                          <w14:schemeClr w14:val="tx1"/>
                        </w14:solidFill>
                      </w14:textFill>
                    </w:rPr>
                  </w:pPr>
                  <w:r>
                    <w:rPr>
                      <w:b/>
                      <w:bCs w:val="0"/>
                      <w:color w:val="000000" w:themeColor="text1"/>
                      <w14:textFill>
                        <w14:solidFill>
                          <w14:schemeClr w14:val="tx1"/>
                        </w14:solidFill>
                      </w14:textFill>
                    </w:rPr>
                    <w:t>COD</w:t>
                  </w:r>
                  <w:r>
                    <w:rPr>
                      <w:b/>
                      <w:color w:val="000000" w:themeColor="text1"/>
                      <w:sz w:val="20"/>
                      <w:szCs w:val="20"/>
                      <w:vertAlign w:val="subscript"/>
                      <w14:textFill>
                        <w14:solidFill>
                          <w14:schemeClr w14:val="tx1"/>
                        </w14:solidFill>
                      </w14:textFill>
                    </w:rPr>
                    <w:t>Cr</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BOD</w:t>
                  </w:r>
                  <w:r>
                    <w:rPr>
                      <w:b/>
                      <w:bCs w:val="0"/>
                      <w:color w:val="000000" w:themeColor="text1"/>
                      <w:vertAlign w:val="subscript"/>
                      <w14:textFill>
                        <w14:solidFill>
                          <w14:schemeClr w14:val="tx1"/>
                        </w14:solidFill>
                      </w14:textFill>
                    </w:rPr>
                    <w:t>5</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SS</w:t>
                  </w:r>
                </w:p>
              </w:tc>
              <w:tc>
                <w:tcPr>
                  <w:tcW w:w="1078"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NH</w:t>
                  </w:r>
                  <w:r>
                    <w:rPr>
                      <w:b/>
                      <w:bCs w:val="0"/>
                      <w:color w:val="000000" w:themeColor="text1"/>
                      <w:vertAlign w:val="subscript"/>
                      <w14:textFill>
                        <w14:solidFill>
                          <w14:schemeClr w14:val="tx1"/>
                        </w14:solidFill>
                      </w14:textFill>
                    </w:rPr>
                    <w:t>3</w:t>
                  </w:r>
                  <w:r>
                    <w:rPr>
                      <w:b/>
                      <w:bCs w:val="0"/>
                      <w:color w:val="000000" w:themeColor="text1"/>
                      <w14:textFill>
                        <w14:solidFill>
                          <w14:schemeClr w14:val="tx1"/>
                        </w14:solidFill>
                      </w14:textFill>
                    </w:rPr>
                    <w:t>-N</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TP</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TN</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项目生活污水</w:t>
                  </w:r>
                </w:p>
              </w:tc>
              <w:tc>
                <w:tcPr>
                  <w:tcW w:w="23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（DB44/26-2001）其他排污单位第二时段三级标准</w:t>
                  </w:r>
                </w:p>
              </w:tc>
              <w:tc>
                <w:tcPr>
                  <w:tcW w:w="8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107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continue"/>
                  <w:vAlign w:val="center"/>
                </w:tcPr>
                <w:p>
                  <w:pPr>
                    <w:jc w:val="center"/>
                    <w:rPr>
                      <w:color w:val="000000" w:themeColor="text1"/>
                      <w14:textFill>
                        <w14:solidFill>
                          <w14:schemeClr w14:val="tx1"/>
                        </w14:solidFill>
                      </w14:textFill>
                    </w:rPr>
                  </w:pPr>
                </w:p>
              </w:tc>
              <w:tc>
                <w:tcPr>
                  <w:tcW w:w="2335"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项目排放口执行标准</w:t>
                  </w:r>
                </w:p>
              </w:tc>
              <w:tc>
                <w:tcPr>
                  <w:tcW w:w="89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500</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300</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400</w:t>
                  </w:r>
                </w:p>
              </w:tc>
              <w:tc>
                <w:tcPr>
                  <w:tcW w:w="1078"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博罗县城生活污水处理厂排放口</w:t>
                  </w:r>
                </w:p>
              </w:tc>
              <w:tc>
                <w:tcPr>
                  <w:tcW w:w="23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（GB18918-2002）一级A标准</w:t>
                  </w:r>
                </w:p>
              </w:tc>
              <w:tc>
                <w:tcPr>
                  <w:tcW w:w="8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07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5（8）</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continue"/>
                </w:tcPr>
                <w:p>
                  <w:pPr>
                    <w:jc w:val="center"/>
                    <w:rPr>
                      <w:color w:val="000000" w:themeColor="text1"/>
                      <w14:textFill>
                        <w14:solidFill>
                          <w14:schemeClr w14:val="tx1"/>
                        </w14:solidFill>
                      </w14:textFill>
                    </w:rPr>
                  </w:pPr>
                </w:p>
              </w:tc>
              <w:tc>
                <w:tcPr>
                  <w:tcW w:w="23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（DB44/26-2001）第二时段一级标准</w:t>
                  </w:r>
                </w:p>
              </w:tc>
              <w:tc>
                <w:tcPr>
                  <w:tcW w:w="8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107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0.5（以磷酸盐计）</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continue"/>
                </w:tcPr>
                <w:p>
                  <w:pPr>
                    <w:jc w:val="center"/>
                    <w:rPr>
                      <w:color w:val="000000" w:themeColor="text1"/>
                      <w14:textFill>
                        <w14:solidFill>
                          <w14:schemeClr w14:val="tx1"/>
                        </w14:solidFill>
                      </w14:textFill>
                    </w:rPr>
                  </w:pPr>
                </w:p>
              </w:tc>
              <w:tc>
                <w:tcPr>
                  <w:tcW w:w="2335"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（GB3838-2002）V类水标准</w:t>
                  </w:r>
                </w:p>
              </w:tc>
              <w:tc>
                <w:tcPr>
                  <w:tcW w:w="89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1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07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1001"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79" w:type="dxa"/>
                  <w:vMerge w:val="continue"/>
                </w:tcPr>
                <w:p>
                  <w:pPr>
                    <w:jc w:val="center"/>
                    <w:rPr>
                      <w:color w:val="000000" w:themeColor="text1"/>
                      <w14:textFill>
                        <w14:solidFill>
                          <w14:schemeClr w14:val="tx1"/>
                        </w14:solidFill>
                      </w14:textFill>
                    </w:rPr>
                  </w:pPr>
                </w:p>
              </w:tc>
              <w:tc>
                <w:tcPr>
                  <w:tcW w:w="2335"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污水处理厂出水标准</w:t>
                  </w:r>
                </w:p>
              </w:tc>
              <w:tc>
                <w:tcPr>
                  <w:tcW w:w="89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40</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10</w:t>
                  </w:r>
                </w:p>
              </w:tc>
              <w:tc>
                <w:tcPr>
                  <w:tcW w:w="101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10</w:t>
                  </w:r>
                </w:p>
              </w:tc>
              <w:tc>
                <w:tcPr>
                  <w:tcW w:w="1078"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2.0</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0.4</w:t>
                  </w:r>
                </w:p>
              </w:tc>
              <w:tc>
                <w:tcPr>
                  <w:tcW w:w="100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2.0</w:t>
                  </w:r>
                </w:p>
              </w:tc>
            </w:tr>
          </w:tbl>
          <w:p>
            <w:pPr>
              <w:rPr>
                <w:color w:val="000000" w:themeColor="text1"/>
                <w14:textFill>
                  <w14:solidFill>
                    <w14:schemeClr w14:val="tx1"/>
                  </w14:solidFill>
                </w14:textFill>
              </w:rPr>
            </w:pPr>
            <w:r>
              <w:rPr>
                <w:color w:val="000000" w:themeColor="text1"/>
                <w14:textFill>
                  <w14:solidFill>
                    <w14:schemeClr w14:val="tx1"/>
                  </w14:solidFill>
                </w14:textFill>
              </w:rPr>
              <w:t>注：括号外数值为水温&gt;12℃时的控制指标，括号内数值为水温≤12℃时的控制指标。</w:t>
            </w:r>
          </w:p>
          <w:p>
            <w:pPr>
              <w:spacing w:line="360" w:lineRule="auto"/>
              <w:rPr>
                <w:b/>
                <w:bCs w:val="0"/>
                <w:color w:val="000000" w:themeColor="text1"/>
                <w14:textFill>
                  <w14:solidFill>
                    <w14:schemeClr w14:val="tx1"/>
                  </w14:solidFill>
                </w14:textFill>
              </w:rPr>
            </w:pPr>
          </w:p>
          <w:p>
            <w:pPr>
              <w:spacing w:line="360" w:lineRule="auto"/>
              <w:rPr>
                <w:b/>
                <w:bCs w:val="0"/>
                <w:color w:val="000000" w:themeColor="text1"/>
                <w14:textFill>
                  <w14:solidFill>
                    <w14:schemeClr w14:val="tx1"/>
                  </w14:solidFill>
                </w14:textFill>
              </w:rPr>
            </w:pPr>
            <w:r>
              <w:rPr>
                <w:b/>
                <w:bCs w:val="0"/>
                <w:color w:val="000000" w:themeColor="text1"/>
                <w14:textFill>
                  <w14:solidFill>
                    <w14:schemeClr w14:val="tx1"/>
                  </w14:solidFill>
                </w14:textFill>
              </w:rPr>
              <w:t>三、噪声</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项目所在区域执行《工业企业厂界环境噪声排放标准》（GB12348-2008）2类标准（昼间≤60dB（A））。</w:t>
            </w:r>
          </w:p>
          <w:p>
            <w:pPr>
              <w:spacing w:line="360" w:lineRule="auto"/>
              <w:rPr>
                <w:b/>
                <w:bCs w:val="0"/>
                <w:color w:val="000000" w:themeColor="text1"/>
                <w14:textFill>
                  <w14:solidFill>
                    <w14:schemeClr w14:val="tx1"/>
                  </w14:solidFill>
                </w14:textFill>
              </w:rPr>
            </w:pPr>
            <w:r>
              <w:rPr>
                <w:b/>
                <w:bCs w:val="0"/>
                <w:color w:val="000000" w:themeColor="text1"/>
                <w14:textFill>
                  <w14:solidFill>
                    <w14:schemeClr w14:val="tx1"/>
                  </w14:solidFill>
                </w14:textFill>
              </w:rPr>
              <w:t>四、固废</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固体废物的管理应遵照《中华人民共和国固体废物污染环境防治法》(2020年修订）与《广东省固体废物污染环境防治条例》（2020年11月30日修正），一般工业固体废物的临时贮存应满足相应防渗漏、防雨淋、防扬尘等环节保护要求。危险废物执行《危险废物贮存污染控制标准》（GB18597-2023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3" w:hRule="atLeast"/>
          <w:jc w:val="center"/>
        </w:trPr>
        <w:tc>
          <w:tcPr>
            <w:tcW w:w="426" w:type="dxa"/>
            <w:tcMar>
              <w:left w:w="28" w:type="dxa"/>
              <w:right w:w="28" w:type="dxa"/>
            </w:tcMar>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总   量</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控   制</w:t>
            </w:r>
          </w:p>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指   标</w:t>
            </w:r>
          </w:p>
        </w:tc>
        <w:tc>
          <w:tcPr>
            <w:tcW w:w="10160" w:type="dxa"/>
            <w:vAlign w:val="center"/>
          </w:tcPr>
          <w:p>
            <w:pPr>
              <w:adjustRightInd w:val="0"/>
              <w:snapToGrid w:val="0"/>
              <w:ind w:firstLine="420" w:firstLineChars="200"/>
              <w:rPr>
                <w:bCs w:val="0"/>
                <w:color w:val="000000" w:themeColor="text1"/>
                <w:spacing w:val="10"/>
                <w14:textFill>
                  <w14:solidFill>
                    <w14:schemeClr w14:val="tx1"/>
                  </w14:solidFill>
                </w14:textFill>
              </w:rPr>
            </w:pPr>
            <w:r>
              <w:rPr>
                <w:color w:val="000000" w:themeColor="text1"/>
                <w14:textFill>
                  <w14:solidFill>
                    <w14:schemeClr w14:val="tx1"/>
                  </w14:solidFill>
                </w14:textFill>
              </w:rPr>
              <w:t>项目污染物总量控制指标由惠州市生态环境局博罗分局统一调配，详见下表。</w:t>
            </w:r>
          </w:p>
          <w:p>
            <w:pPr>
              <w:adjustRightInd w:val="0"/>
              <w:snapToGrid w:val="0"/>
              <w:spacing w:before="120" w:beforeLines="50" w:line="360" w:lineRule="auto"/>
              <w:ind w:firstLine="422" w:firstLineChars="200"/>
              <w:jc w:val="center"/>
              <w:rPr>
                <w:b/>
                <w:color w:val="000000" w:themeColor="text1"/>
                <w14:textFill>
                  <w14:solidFill>
                    <w14:schemeClr w14:val="tx1"/>
                  </w14:solidFill>
                </w14:textFill>
              </w:rPr>
            </w:pPr>
            <w:r>
              <w:rPr>
                <w:b/>
                <w:bCs w:val="0"/>
                <w:color w:val="000000" w:themeColor="text1"/>
                <w14:textFill>
                  <w14:solidFill>
                    <w14:schemeClr w14:val="tx1"/>
                  </w14:solidFill>
                </w14:textFill>
              </w:rPr>
              <w:t>表3</w:t>
            </w:r>
            <w:r>
              <w:rPr>
                <w:b/>
                <w:bCs w:val="0"/>
                <w:color w:val="000000" w:themeColor="text1"/>
                <w14:textFill>
                  <w14:solidFill>
                    <w14:schemeClr w14:val="tx1"/>
                  </w14:solidFill>
                </w14:textFill>
              </w:rPr>
              <w:noBreakHyphen/>
            </w:r>
            <w:r>
              <w:rPr>
                <w:b/>
                <w:bCs w:val="0"/>
                <w:color w:val="000000" w:themeColor="text1"/>
                <w14:textFill>
                  <w14:solidFill>
                    <w14:schemeClr w14:val="tx1"/>
                  </w14:solidFill>
                </w14:textFill>
              </w:rPr>
              <w:t xml:space="preserve">9 </w:t>
            </w:r>
            <w:r>
              <w:rPr>
                <w:b/>
                <w:color w:val="000000" w:themeColor="text1"/>
                <w14:textFill>
                  <w14:solidFill>
                    <w14:schemeClr w14:val="tx1"/>
                  </w14:solidFill>
                </w14:textFill>
              </w:rPr>
              <w:t xml:space="preserve"> 项目污染物总量控制指标 单位：t/a</w:t>
            </w:r>
          </w:p>
          <w:tbl>
            <w:tblPr>
              <w:tblStyle w:val="30"/>
              <w:tblW w:w="9934"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47"/>
              <w:gridCol w:w="2521"/>
              <w:gridCol w:w="1778"/>
              <w:gridCol w:w="2188"/>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shd w:val="clear" w:color="auto" w:fill="FFFFFF"/>
                  <w:vAlign w:val="center"/>
                </w:tcPr>
                <w:p>
                  <w:pPr>
                    <w:adjustRightInd w:val="0"/>
                    <w:snapToGrid w:val="0"/>
                    <w:jc w:val="center"/>
                    <w:rPr>
                      <w:b/>
                      <w:color w:val="000000" w:themeColor="text1"/>
                      <w14:textFill>
                        <w14:solidFill>
                          <w14:schemeClr w14:val="tx1"/>
                        </w14:solidFill>
                      </w14:textFill>
                    </w:rPr>
                  </w:pPr>
                  <w:r>
                    <w:rPr>
                      <w:b/>
                      <w:bCs w:val="0"/>
                      <w:color w:val="000000" w:themeColor="text1"/>
                      <w14:textFill>
                        <w14:solidFill>
                          <w14:schemeClr w14:val="tx1"/>
                        </w14:solidFill>
                      </w14:textFill>
                    </w:rPr>
                    <w:t>类别</w:t>
                  </w:r>
                </w:p>
              </w:tc>
              <w:tc>
                <w:tcPr>
                  <w:tcW w:w="2521" w:type="dxa"/>
                  <w:shd w:val="clear" w:color="auto" w:fill="FFFFFF"/>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控制指标</w:t>
                  </w:r>
                </w:p>
              </w:tc>
              <w:tc>
                <w:tcPr>
                  <w:tcW w:w="3966" w:type="dxa"/>
                  <w:gridSpan w:val="2"/>
                  <w:shd w:val="clear" w:color="auto" w:fill="FFFFFF"/>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排放量（t/a）</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restart"/>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废气</w:t>
                  </w:r>
                </w:p>
              </w:tc>
              <w:tc>
                <w:tcPr>
                  <w:tcW w:w="2521" w:type="dxa"/>
                  <w:vMerge w:val="restart"/>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VOCs</w:t>
                  </w:r>
                </w:p>
              </w:tc>
              <w:tc>
                <w:tcPr>
                  <w:tcW w:w="1778" w:type="dxa"/>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有组织</w:t>
                  </w:r>
                </w:p>
              </w:tc>
              <w:tc>
                <w:tcPr>
                  <w:tcW w:w="2188" w:type="dxa"/>
                  <w:shd w:val="clear" w:color="auto" w:fill="FFFFFF"/>
                  <w:vAlign w:val="center"/>
                </w:tcPr>
                <w:p>
                  <w:pPr>
                    <w:adjustRightInd w:val="0"/>
                    <w:snapToGrid w:val="0"/>
                    <w:jc w:val="center"/>
                    <w:rPr>
                      <w:rFonts w:hint="eastAsia" w:eastAsia="宋体"/>
                      <w:bCs w:val="0"/>
                      <w:color w:val="000000" w:themeColor="text1"/>
                      <w:lang w:val="en-US" w:eastAsia="zh-CN"/>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4</w:t>
                  </w:r>
                  <w:r>
                    <w:rPr>
                      <w:rFonts w:hint="eastAsia"/>
                      <w:color w:val="000000" w:themeColor="text1"/>
                      <w:lang w:val="en-US" w:eastAsia="zh-CN"/>
                      <w14:textFill>
                        <w14:solidFill>
                          <w14:schemeClr w14:val="tx1"/>
                        </w14:solidFill>
                      </w14:textFill>
                    </w:rPr>
                    <w:t>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2521"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1778" w:type="dxa"/>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无组织</w:t>
                  </w:r>
                </w:p>
              </w:tc>
              <w:tc>
                <w:tcPr>
                  <w:tcW w:w="2188" w:type="dxa"/>
                  <w:shd w:val="clear" w:color="auto" w:fill="FFFFFF"/>
                  <w:vAlign w:val="center"/>
                </w:tcPr>
                <w:p>
                  <w:pPr>
                    <w:adjustRightInd w:val="0"/>
                    <w:snapToGrid w:val="0"/>
                    <w:jc w:val="center"/>
                    <w:rPr>
                      <w:rFonts w:hint="default" w:eastAsia="宋体"/>
                      <w:bCs w:val="0"/>
                      <w:color w:val="000000" w:themeColor="text1"/>
                      <w:lang w:val="en-US"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33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2521"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1778" w:type="dxa"/>
                  <w:shd w:val="clear" w:color="auto" w:fill="FFFFFF"/>
                  <w:vAlign w:val="center"/>
                </w:tcPr>
                <w:p>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总计</w:t>
                  </w:r>
                </w:p>
              </w:tc>
              <w:tc>
                <w:tcPr>
                  <w:tcW w:w="2188" w:type="dxa"/>
                  <w:shd w:val="clear" w:color="auto" w:fill="FFFFFF"/>
                  <w:vAlign w:val="center"/>
                </w:tcPr>
                <w:p>
                  <w:pPr>
                    <w:adjustRightInd w:val="0"/>
                    <w:snapToGrid w:val="0"/>
                    <w:jc w:val="center"/>
                    <w:rPr>
                      <w:rFonts w:hint="default" w:eastAsia="宋体"/>
                      <w:b/>
                      <w:color w:val="000000" w:themeColor="text1"/>
                      <w:lang w:val="en-US" w:eastAsia="zh-CN"/>
                      <w14:textFill>
                        <w14:solidFill>
                          <w14:schemeClr w14:val="tx1"/>
                        </w14:solidFill>
                      </w14:textFill>
                    </w:rPr>
                  </w:pPr>
                  <w:r>
                    <w:rPr>
                      <w:b/>
                      <w:color w:val="000000" w:themeColor="text1"/>
                      <w14:textFill>
                        <w14:solidFill>
                          <w14:schemeClr w14:val="tx1"/>
                        </w14:solidFill>
                      </w14:textFill>
                    </w:rPr>
                    <w:t>0.</w:t>
                  </w:r>
                  <w:r>
                    <w:rPr>
                      <w:rFonts w:hint="eastAsia"/>
                      <w:b/>
                      <w:color w:val="000000" w:themeColor="text1"/>
                      <w14:textFill>
                        <w14:solidFill>
                          <w14:schemeClr w14:val="tx1"/>
                        </w14:solidFill>
                      </w14:textFill>
                    </w:rPr>
                    <w:t>0</w:t>
                  </w:r>
                  <w:r>
                    <w:rPr>
                      <w:rFonts w:hint="eastAsia"/>
                      <w:b/>
                      <w:color w:val="000000" w:themeColor="text1"/>
                      <w:lang w:val="en-US" w:eastAsia="zh-CN"/>
                      <w14:textFill>
                        <w14:solidFill>
                          <w14:schemeClr w14:val="tx1"/>
                        </w14:solidFill>
                      </w14:textFill>
                    </w:rPr>
                    <w:t>77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restart"/>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废水</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（生活污水）</w:t>
                  </w:r>
                </w:p>
              </w:tc>
              <w:tc>
                <w:tcPr>
                  <w:tcW w:w="2521" w:type="dxa"/>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废水量</w:t>
                  </w:r>
                </w:p>
              </w:tc>
              <w:tc>
                <w:tcPr>
                  <w:tcW w:w="3966" w:type="dxa"/>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2521" w:type="dxa"/>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CODcr</w:t>
                  </w:r>
                </w:p>
              </w:tc>
              <w:tc>
                <w:tcPr>
                  <w:tcW w:w="3966" w:type="dxa"/>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0.0038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47" w:type="dxa"/>
                  <w:vMerge w:val="continue"/>
                  <w:shd w:val="clear" w:color="auto" w:fill="FFFFFF"/>
                  <w:vAlign w:val="center"/>
                </w:tcPr>
                <w:p>
                  <w:pPr>
                    <w:adjustRightInd w:val="0"/>
                    <w:snapToGrid w:val="0"/>
                    <w:jc w:val="center"/>
                    <w:rPr>
                      <w:bCs w:val="0"/>
                      <w:color w:val="000000" w:themeColor="text1"/>
                      <w14:textFill>
                        <w14:solidFill>
                          <w14:schemeClr w14:val="tx1"/>
                        </w14:solidFill>
                      </w14:textFill>
                    </w:rPr>
                  </w:pPr>
                </w:p>
              </w:tc>
              <w:tc>
                <w:tcPr>
                  <w:tcW w:w="2521" w:type="dxa"/>
                  <w:shd w:val="clear" w:color="auto" w:fill="FFFFFF"/>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NH</w:t>
                  </w:r>
                  <w:r>
                    <w:rPr>
                      <w:bCs w:val="0"/>
                      <w:color w:val="000000" w:themeColor="text1"/>
                      <w:vertAlign w:val="subscript"/>
                      <w14:textFill>
                        <w14:solidFill>
                          <w14:schemeClr w14:val="tx1"/>
                        </w14:solidFill>
                      </w14:textFill>
                    </w:rPr>
                    <w:t>3</w:t>
                  </w:r>
                  <w:r>
                    <w:rPr>
                      <w:bCs w:val="0"/>
                      <w:color w:val="000000" w:themeColor="text1"/>
                      <w14:textFill>
                        <w14:solidFill>
                          <w14:schemeClr w14:val="tx1"/>
                        </w14:solidFill>
                      </w14:textFill>
                    </w:rPr>
                    <w:t>-H</w:t>
                  </w:r>
                </w:p>
              </w:tc>
              <w:tc>
                <w:tcPr>
                  <w:tcW w:w="3966" w:type="dxa"/>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0.0002</w:t>
                  </w:r>
                </w:p>
              </w:tc>
            </w:tr>
          </w:tbl>
          <w:p>
            <w:pPr>
              <w:keepLines/>
              <w:widowControl/>
              <w:adjustRightInd w:val="0"/>
              <w:textAlignment w:val="baseline"/>
              <w:outlineLvl w:val="2"/>
              <w:rPr>
                <w:color w:val="000000" w:themeColor="text1"/>
                <w:spacing w:val="10"/>
                <w:kern w:val="18"/>
                <w14:textFill>
                  <w14:solidFill>
                    <w14:schemeClr w14:val="tx1"/>
                  </w14:solidFill>
                </w14:textFill>
              </w:rPr>
            </w:pPr>
            <w:r>
              <w:rPr>
                <w:color w:val="000000" w:themeColor="text1"/>
                <w14:textFill>
                  <w14:solidFill>
                    <w14:schemeClr w14:val="tx1"/>
                  </w14:solidFill>
                </w14:textFill>
              </w:rPr>
              <w:t>注：本项目生活污水最终纳入</w:t>
            </w:r>
            <w:r>
              <w:rPr>
                <w:color w:val="000000" w:themeColor="text1"/>
                <w:kern w:val="0"/>
                <w14:textFill>
                  <w14:solidFill>
                    <w14:schemeClr w14:val="tx1"/>
                  </w14:solidFill>
                </w14:textFill>
              </w:rPr>
              <w:t>博罗县城生活污水处理厂</w:t>
            </w:r>
            <w:r>
              <w:rPr>
                <w:color w:val="000000" w:themeColor="text1"/>
                <w14:textFill>
                  <w14:solidFill>
                    <w14:schemeClr w14:val="tx1"/>
                  </w14:solidFill>
                </w14:textFill>
              </w:rPr>
              <w:t>统一处理，其总量控制指标在</w:t>
            </w:r>
            <w:r>
              <w:rPr>
                <w:color w:val="000000" w:themeColor="text1"/>
                <w:kern w:val="0"/>
                <w14:textFill>
                  <w14:solidFill>
                    <w14:schemeClr w14:val="tx1"/>
                  </w14:solidFill>
                </w14:textFill>
              </w:rPr>
              <w:t>博罗县城生活污水处理厂</w:t>
            </w:r>
            <w:r>
              <w:rPr>
                <w:color w:val="000000" w:themeColor="text1"/>
                <w:spacing w:val="10"/>
                <w:kern w:val="18"/>
                <w14:textFill>
                  <w14:solidFill>
                    <w14:schemeClr w14:val="tx1"/>
                  </w14:solidFill>
                </w14:textFill>
              </w:rPr>
              <w:t>。</w:t>
            </w:r>
          </w:p>
          <w:p>
            <w:pPr>
              <w:pStyle w:val="37"/>
              <w:ind w:firstLine="199" w:firstLineChars="95"/>
              <w:rPr>
                <w:rFonts w:hAnsi="Times New Roman"/>
                <w:color w:val="000000" w:themeColor="text1"/>
                <w14:textFill>
                  <w14:solidFill>
                    <w14:schemeClr w14:val="tx1"/>
                  </w14:solidFill>
                </w14:textFill>
              </w:rPr>
            </w:pPr>
          </w:p>
        </w:tc>
      </w:tr>
    </w:tbl>
    <w:p>
      <w:pPr>
        <w:pStyle w:val="27"/>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br w:type="page"/>
      </w:r>
      <w:r>
        <w:rPr>
          <w:rFonts w:ascii="Times New Roman" w:hAnsi="Times New Roman" w:eastAsia="黑体"/>
          <w:snapToGrid w:val="0"/>
          <w:color w:val="000000" w:themeColor="text1"/>
          <w:sz w:val="30"/>
          <w:szCs w:val="30"/>
          <w14:textFill>
            <w14:solidFill>
              <w14:schemeClr w14:val="tx1"/>
            </w14:solidFill>
          </w14:textFill>
        </w:rPr>
        <w:t>四、主要环境影响和保护措施</w:t>
      </w:r>
    </w:p>
    <w:tbl>
      <w:tblPr>
        <w:tblStyle w:val="30"/>
        <w:tblW w:w="106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0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2" w:hRule="atLeast"/>
          <w:jc w:val="center"/>
        </w:trPr>
        <w:tc>
          <w:tcPr>
            <w:tcW w:w="438" w:type="dxa"/>
            <w:tcMar>
              <w:left w:w="28" w:type="dxa"/>
              <w:right w:w="28" w:type="dxa"/>
            </w:tcMar>
            <w:vAlign w:val="center"/>
          </w:tcPr>
          <w:p>
            <w:pPr>
              <w:pStyle w:val="27"/>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施  工</w:t>
            </w:r>
          </w:p>
          <w:p>
            <w:pPr>
              <w:pStyle w:val="27"/>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期  环</w:t>
            </w:r>
          </w:p>
          <w:p>
            <w:pPr>
              <w:pStyle w:val="27"/>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境  保</w:t>
            </w:r>
          </w:p>
          <w:p>
            <w:pPr>
              <w:pStyle w:val="27"/>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护  措</w:t>
            </w:r>
          </w:p>
          <w:p>
            <w:pPr>
              <w:pStyle w:val="27"/>
              <w:adjustRightInd w:val="0"/>
              <w:snapToGrid w:val="0"/>
              <w:spacing w:before="0" w:beforeAutospacing="0" w:after="0" w:afterAutospacing="0"/>
              <w:jc w:val="center"/>
              <w:rPr>
                <w:rFonts w:ascii="Times New Roman" w:hAnsi="Times New Roman"/>
                <w:bCs w:val="0"/>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施</w:t>
            </w:r>
          </w:p>
        </w:tc>
        <w:tc>
          <w:tcPr>
            <w:tcW w:w="10245" w:type="dxa"/>
            <w:vAlign w:val="center"/>
          </w:tcPr>
          <w:p>
            <w:pPr>
              <w:spacing w:line="520" w:lineRule="exact"/>
              <w:ind w:firstLine="480"/>
              <w:rPr>
                <w:color w:val="000000" w:themeColor="text1"/>
                <w14:textFill>
                  <w14:solidFill>
                    <w14:schemeClr w14:val="tx1"/>
                  </w14:solidFill>
                </w14:textFill>
              </w:rPr>
            </w:pPr>
            <w:r>
              <w:rPr>
                <w:color w:val="000000" w:themeColor="text1"/>
                <w14:textFill>
                  <w14:solidFill>
                    <w14:schemeClr w14:val="tx1"/>
                  </w14:solidFill>
                </w14:textFill>
              </w:rPr>
              <w:t>根据现场踏勘，项目租用现有厂房进行生产，其他附属设施已经建成，施工期仅需进行设备安装及调试，施工期环境影响不明显。</w:t>
            </w:r>
          </w:p>
        </w:tc>
      </w:tr>
    </w:tbl>
    <w:p>
      <w:pPr>
        <w:adjustRightInd w:val="0"/>
        <w:snapToGrid w:val="0"/>
        <w:spacing w:line="360" w:lineRule="auto"/>
        <w:rPr>
          <w:b/>
          <w:color w:val="000000" w:themeColor="text1"/>
          <w:kern w:val="0"/>
          <w:sz w:val="28"/>
          <w:szCs w:val="28"/>
          <w14:textFill>
            <w14:solidFill>
              <w14:schemeClr w14:val="tx1"/>
            </w14:solidFill>
          </w14:textFill>
        </w:rPr>
      </w:pPr>
    </w:p>
    <w:p>
      <w:pPr>
        <w:tabs>
          <w:tab w:val="left" w:pos="1909"/>
        </w:tabs>
        <w:rPr>
          <w:color w:val="000000" w:themeColor="text1"/>
          <w:sz w:val="28"/>
          <w:szCs w:val="28"/>
          <w14:textFill>
            <w14:solidFill>
              <w14:schemeClr w14:val="tx1"/>
            </w14:solidFill>
          </w14:textFill>
        </w:rPr>
        <w:sectPr>
          <w:pgSz w:w="11906" w:h="16838"/>
          <w:pgMar w:top="720" w:right="720" w:bottom="720" w:left="720" w:header="851" w:footer="851" w:gutter="0"/>
          <w:cols w:space="720" w:num="1"/>
          <w:docGrid w:linePitch="312" w:charSpace="0"/>
        </w:sectPr>
      </w:pPr>
      <w:r>
        <w:rPr>
          <w:color w:val="000000" w:themeColor="text1"/>
          <w:sz w:val="28"/>
          <w:szCs w:val="28"/>
          <w14:textFill>
            <w14:solidFill>
              <w14:schemeClr w14:val="tx1"/>
            </w14:solidFill>
          </w14:textFill>
        </w:rPr>
        <w:tab/>
      </w:r>
    </w:p>
    <w:tbl>
      <w:tblPr>
        <w:tblStyle w:val="30"/>
        <w:tblW w:w="222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3"/>
        <w:gridCol w:w="217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70" w:hRule="atLeast"/>
          <w:jc w:val="center"/>
        </w:trPr>
        <w:tc>
          <w:tcPr>
            <w:tcW w:w="493" w:type="dxa"/>
            <w:tcMar>
              <w:left w:w="28" w:type="dxa"/>
              <w:right w:w="28" w:type="dxa"/>
            </w:tcMar>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运  营</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期  环</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境  影</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响  和</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保  护</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措  施</w:t>
            </w:r>
          </w:p>
        </w:tc>
        <w:tc>
          <w:tcPr>
            <w:tcW w:w="21708" w:type="dxa"/>
          </w:tcPr>
          <w:p>
            <w:pPr>
              <w:adjustRightInd w:val="0"/>
              <w:snapToGrid w:val="0"/>
              <w:spacing w:line="360" w:lineRule="auto"/>
              <w:jc w:val="left"/>
              <w:rPr>
                <w:b/>
                <w:bCs w:val="0"/>
                <w:color w:val="000000" w:themeColor="text1"/>
                <w:spacing w:val="-10"/>
                <w14:textFill>
                  <w14:solidFill>
                    <w14:schemeClr w14:val="tx1"/>
                  </w14:solidFill>
                </w14:textFill>
              </w:rPr>
            </w:pPr>
            <w:r>
              <w:rPr>
                <w:b/>
                <w:bCs w:val="0"/>
                <w:color w:val="000000" w:themeColor="text1"/>
                <w:spacing w:val="-10"/>
                <w14:textFill>
                  <w14:solidFill>
                    <w14:schemeClr w14:val="tx1"/>
                  </w14:solidFill>
                </w14:textFill>
              </w:rPr>
              <w:t>一、大气污染源及环保措施分析</w:t>
            </w:r>
          </w:p>
          <w:p>
            <w:pPr>
              <w:adjustRightInd w:val="0"/>
              <w:snapToGrid w:val="0"/>
              <w:ind w:firstLine="382" w:firstLineChars="200"/>
              <w:rPr>
                <w:b/>
                <w:bCs w:val="0"/>
                <w:color w:val="000000" w:themeColor="text1"/>
                <w:spacing w:val="-10"/>
                <w14:textFill>
                  <w14:solidFill>
                    <w14:schemeClr w14:val="tx1"/>
                  </w14:solidFill>
                </w14:textFill>
              </w:rPr>
            </w:pPr>
            <w:r>
              <w:rPr>
                <w:b/>
                <w:bCs w:val="0"/>
                <w:color w:val="000000" w:themeColor="text1"/>
                <w:spacing w:val="-10"/>
                <w14:textFill>
                  <w14:solidFill>
                    <w14:schemeClr w14:val="tx1"/>
                  </w14:solidFill>
                </w14:textFill>
              </w:rPr>
              <w:t>1、废气源强核算</w:t>
            </w:r>
          </w:p>
          <w:p>
            <w:pPr>
              <w:autoSpaceDE w:val="0"/>
              <w:autoSpaceDN w:val="0"/>
              <w:adjustRightInd w:val="0"/>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表4-1  废气产排源强核算一览表</w:t>
            </w:r>
          </w:p>
          <w:tbl>
            <w:tblPr>
              <w:tblStyle w:val="30"/>
              <w:tblW w:w="21464" w:type="dxa"/>
              <w:jc w:val="center"/>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3"/>
              <w:gridCol w:w="1336"/>
              <w:gridCol w:w="1482"/>
              <w:gridCol w:w="1486"/>
              <w:gridCol w:w="1602"/>
              <w:gridCol w:w="2100"/>
              <w:gridCol w:w="1039"/>
              <w:gridCol w:w="1052"/>
              <w:gridCol w:w="1323"/>
              <w:gridCol w:w="1770"/>
              <w:gridCol w:w="1641"/>
              <w:gridCol w:w="1344"/>
              <w:gridCol w:w="1323"/>
              <w:gridCol w:w="1581"/>
              <w:gridCol w:w="1062"/>
            </w:tblGrid>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40" w:hRule="atLeast"/>
                <w:jc w:val="center"/>
              </w:trPr>
              <w:tc>
                <w:tcPr>
                  <w:tcW w:w="1323"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产排污环节</w:t>
                  </w:r>
                </w:p>
              </w:tc>
              <w:tc>
                <w:tcPr>
                  <w:tcW w:w="1336"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污染物种类</w:t>
                  </w:r>
                </w:p>
              </w:tc>
              <w:tc>
                <w:tcPr>
                  <w:tcW w:w="4570" w:type="dxa"/>
                  <w:gridSpan w:val="3"/>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产生情况</w:t>
                  </w:r>
                </w:p>
              </w:tc>
              <w:tc>
                <w:tcPr>
                  <w:tcW w:w="2100"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治理设施</w:t>
                  </w:r>
                </w:p>
              </w:tc>
              <w:tc>
                <w:tcPr>
                  <w:tcW w:w="1039"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收集率</w:t>
                  </w:r>
                  <w:r>
                    <w:rPr>
                      <w:color w:val="000000" w:themeColor="text1"/>
                      <w:kern w:val="0"/>
                      <w14:textFill>
                        <w14:solidFill>
                          <w14:schemeClr w14:val="tx1"/>
                        </w14:solidFill>
                      </w14:textFill>
                    </w:rPr>
                    <w:t>%</w:t>
                  </w:r>
                </w:p>
              </w:tc>
              <w:tc>
                <w:tcPr>
                  <w:tcW w:w="1052"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处理效率</w:t>
                  </w:r>
                  <w:r>
                    <w:rPr>
                      <w:color w:val="000000" w:themeColor="text1"/>
                      <w:kern w:val="0"/>
                      <w14:textFill>
                        <w14:solidFill>
                          <w14:schemeClr w14:val="tx1"/>
                        </w14:solidFill>
                      </w14:textFill>
                    </w:rPr>
                    <w:t>%</w:t>
                  </w:r>
                </w:p>
              </w:tc>
              <w:tc>
                <w:tcPr>
                  <w:tcW w:w="1323"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是否为可行技术</w:t>
                  </w:r>
                </w:p>
              </w:tc>
              <w:tc>
                <w:tcPr>
                  <w:tcW w:w="4755" w:type="dxa"/>
                  <w:gridSpan w:val="3"/>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排放情况</w:t>
                  </w:r>
                </w:p>
              </w:tc>
              <w:tc>
                <w:tcPr>
                  <w:tcW w:w="1323"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排气筒风量m</w:t>
                  </w:r>
                  <w:r>
                    <w:rPr>
                      <w:b/>
                      <w:color w:val="000000" w:themeColor="text1"/>
                      <w:kern w:val="0"/>
                      <w:vertAlign w:val="superscript"/>
                      <w14:textFill>
                        <w14:solidFill>
                          <w14:schemeClr w14:val="tx1"/>
                        </w14:solidFill>
                      </w14:textFill>
                    </w:rPr>
                    <w:t>3</w:t>
                  </w:r>
                  <w:r>
                    <w:rPr>
                      <w:b/>
                      <w:color w:val="000000" w:themeColor="text1"/>
                      <w:kern w:val="0"/>
                      <w14:textFill>
                        <w14:solidFill>
                          <w14:schemeClr w14:val="tx1"/>
                        </w14:solidFill>
                      </w14:textFill>
                    </w:rPr>
                    <w:t>/h</w:t>
                  </w:r>
                </w:p>
              </w:tc>
              <w:tc>
                <w:tcPr>
                  <w:tcW w:w="1581"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排放标准限值</w:t>
                  </w:r>
                </w:p>
              </w:tc>
              <w:tc>
                <w:tcPr>
                  <w:tcW w:w="1062" w:type="dxa"/>
                  <w:vMerge w:val="restart"/>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排放方式</w:t>
                  </w: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9" w:hRule="atLeast"/>
                <w:jc w:val="center"/>
              </w:trPr>
              <w:tc>
                <w:tcPr>
                  <w:tcW w:w="1323" w:type="dxa"/>
                  <w:vMerge w:val="continue"/>
                  <w:vAlign w:val="center"/>
                </w:tcPr>
                <w:p>
                  <w:pPr>
                    <w:widowControl/>
                    <w:jc w:val="left"/>
                    <w:rPr>
                      <w:b/>
                      <w:color w:val="000000" w:themeColor="text1"/>
                      <w:kern w:val="0"/>
                      <w14:textFill>
                        <w14:solidFill>
                          <w14:schemeClr w14:val="tx1"/>
                        </w14:solidFill>
                      </w14:textFill>
                    </w:rPr>
                  </w:pPr>
                </w:p>
              </w:tc>
              <w:tc>
                <w:tcPr>
                  <w:tcW w:w="1336" w:type="dxa"/>
                  <w:vMerge w:val="continue"/>
                  <w:vAlign w:val="center"/>
                </w:tcPr>
                <w:p>
                  <w:pPr>
                    <w:widowControl/>
                    <w:jc w:val="left"/>
                    <w:rPr>
                      <w:b/>
                      <w:color w:val="000000" w:themeColor="text1"/>
                      <w:kern w:val="0"/>
                      <w14:textFill>
                        <w14:solidFill>
                          <w14:schemeClr w14:val="tx1"/>
                        </w14:solidFill>
                      </w14:textFill>
                    </w:rPr>
                  </w:pPr>
                </w:p>
              </w:tc>
              <w:tc>
                <w:tcPr>
                  <w:tcW w:w="1482"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产生浓度</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mg/m</w:t>
                  </w:r>
                  <w:r>
                    <w:rPr>
                      <w:b/>
                      <w:color w:val="000000" w:themeColor="text1"/>
                      <w:kern w:val="0"/>
                      <w:vertAlign w:val="superscript"/>
                      <w14:textFill>
                        <w14:solidFill>
                          <w14:schemeClr w14:val="tx1"/>
                        </w14:solidFill>
                      </w14:textFill>
                    </w:rPr>
                    <w:t>3</w:t>
                  </w:r>
                </w:p>
              </w:tc>
              <w:tc>
                <w:tcPr>
                  <w:tcW w:w="1486"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产生速率</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（kg/h）</w:t>
                  </w:r>
                </w:p>
              </w:tc>
              <w:tc>
                <w:tcPr>
                  <w:tcW w:w="1602"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产生量</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（t/a）</w:t>
                  </w:r>
                </w:p>
              </w:tc>
              <w:tc>
                <w:tcPr>
                  <w:tcW w:w="2100" w:type="dxa"/>
                  <w:vMerge w:val="continue"/>
                  <w:vAlign w:val="center"/>
                </w:tcPr>
                <w:p>
                  <w:pPr>
                    <w:widowControl/>
                    <w:jc w:val="left"/>
                    <w:rPr>
                      <w:b/>
                      <w:color w:val="000000" w:themeColor="text1"/>
                      <w:kern w:val="0"/>
                      <w14:textFill>
                        <w14:solidFill>
                          <w14:schemeClr w14:val="tx1"/>
                        </w14:solidFill>
                      </w14:textFill>
                    </w:rPr>
                  </w:pPr>
                </w:p>
              </w:tc>
              <w:tc>
                <w:tcPr>
                  <w:tcW w:w="1039" w:type="dxa"/>
                  <w:vMerge w:val="continue"/>
                  <w:vAlign w:val="center"/>
                </w:tcPr>
                <w:p>
                  <w:pPr>
                    <w:widowControl/>
                    <w:jc w:val="left"/>
                    <w:rPr>
                      <w:b/>
                      <w:color w:val="000000" w:themeColor="text1"/>
                      <w:kern w:val="0"/>
                      <w14:textFill>
                        <w14:solidFill>
                          <w14:schemeClr w14:val="tx1"/>
                        </w14:solidFill>
                      </w14:textFill>
                    </w:rPr>
                  </w:pPr>
                </w:p>
              </w:tc>
              <w:tc>
                <w:tcPr>
                  <w:tcW w:w="1052" w:type="dxa"/>
                  <w:vMerge w:val="continue"/>
                  <w:shd w:val="clear" w:color="auto" w:fill="auto"/>
                  <w:vAlign w:val="center"/>
                </w:tcPr>
                <w:p>
                  <w:pPr>
                    <w:widowControl/>
                    <w:jc w:val="center"/>
                    <w:rPr>
                      <w:color w:val="000000" w:themeColor="text1"/>
                      <w:kern w:val="0"/>
                      <w14:textFill>
                        <w14:solidFill>
                          <w14:schemeClr w14:val="tx1"/>
                        </w14:solidFill>
                      </w14:textFill>
                    </w:rPr>
                  </w:pPr>
                </w:p>
              </w:tc>
              <w:tc>
                <w:tcPr>
                  <w:tcW w:w="1323" w:type="dxa"/>
                  <w:vMerge w:val="continue"/>
                  <w:vAlign w:val="center"/>
                </w:tcPr>
                <w:p>
                  <w:pPr>
                    <w:widowControl/>
                    <w:jc w:val="left"/>
                    <w:rPr>
                      <w:b/>
                      <w:color w:val="000000" w:themeColor="text1"/>
                      <w:kern w:val="0"/>
                      <w14:textFill>
                        <w14:solidFill>
                          <w14:schemeClr w14:val="tx1"/>
                        </w14:solidFill>
                      </w14:textFill>
                    </w:rPr>
                  </w:pPr>
                </w:p>
              </w:tc>
              <w:tc>
                <w:tcPr>
                  <w:tcW w:w="1770"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排放浓度</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mg/m</w:t>
                  </w:r>
                  <w:r>
                    <w:rPr>
                      <w:b/>
                      <w:color w:val="000000" w:themeColor="text1"/>
                      <w:kern w:val="0"/>
                      <w:vertAlign w:val="superscript"/>
                      <w14:textFill>
                        <w14:solidFill>
                          <w14:schemeClr w14:val="tx1"/>
                        </w14:solidFill>
                      </w14:textFill>
                    </w:rPr>
                    <w:t>3</w:t>
                  </w:r>
                </w:p>
              </w:tc>
              <w:tc>
                <w:tcPr>
                  <w:tcW w:w="1641"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排放速率</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kg/h</w:t>
                  </w:r>
                </w:p>
              </w:tc>
              <w:tc>
                <w:tcPr>
                  <w:tcW w:w="1344"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排放量</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（t/a）</w:t>
                  </w:r>
                </w:p>
              </w:tc>
              <w:tc>
                <w:tcPr>
                  <w:tcW w:w="1323" w:type="dxa"/>
                  <w:vMerge w:val="continue"/>
                  <w:shd w:val="clear" w:color="auto" w:fill="auto"/>
                  <w:vAlign w:val="center"/>
                </w:tcPr>
                <w:p>
                  <w:pPr>
                    <w:widowControl/>
                    <w:jc w:val="center"/>
                    <w:rPr>
                      <w:b/>
                      <w:color w:val="000000" w:themeColor="text1"/>
                      <w:kern w:val="0"/>
                      <w14:textFill>
                        <w14:solidFill>
                          <w14:schemeClr w14:val="tx1"/>
                        </w14:solidFill>
                      </w14:textFill>
                    </w:rPr>
                  </w:pPr>
                </w:p>
              </w:tc>
              <w:tc>
                <w:tcPr>
                  <w:tcW w:w="1581" w:type="dxa"/>
                  <w:shd w:val="clear" w:color="auto" w:fill="auto"/>
                  <w:vAlign w:val="center"/>
                </w:tcPr>
                <w:p>
                  <w:pPr>
                    <w:widowControl/>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排放浓度</w:t>
                  </w:r>
                </w:p>
                <w:p>
                  <w:pPr>
                    <w:jc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（mg/m</w:t>
                  </w:r>
                  <w:r>
                    <w:rPr>
                      <w:b/>
                      <w:color w:val="000000" w:themeColor="text1"/>
                      <w:kern w:val="0"/>
                      <w:vertAlign w:val="superscript"/>
                      <w14:textFill>
                        <w14:solidFill>
                          <w14:schemeClr w14:val="tx1"/>
                        </w14:solidFill>
                      </w14:textFill>
                    </w:rPr>
                    <w:t>3</w:t>
                  </w:r>
                  <w:r>
                    <w:rPr>
                      <w:b/>
                      <w:color w:val="000000" w:themeColor="text1"/>
                      <w:kern w:val="0"/>
                      <w14:textFill>
                        <w14:solidFill>
                          <w14:schemeClr w14:val="tx1"/>
                        </w14:solidFill>
                      </w14:textFill>
                    </w:rPr>
                    <w:t>）</w:t>
                  </w:r>
                </w:p>
              </w:tc>
              <w:tc>
                <w:tcPr>
                  <w:tcW w:w="1062" w:type="dxa"/>
                  <w:vMerge w:val="continue"/>
                  <w:vAlign w:val="center"/>
                </w:tcPr>
                <w:p>
                  <w:pPr>
                    <w:widowControl/>
                    <w:jc w:val="left"/>
                    <w:rPr>
                      <w:b/>
                      <w:color w:val="000000" w:themeColor="text1"/>
                      <w:kern w:val="0"/>
                      <w14:textFill>
                        <w14:solidFill>
                          <w14:schemeClr w14:val="tx1"/>
                        </w14:solidFill>
                      </w14:textFill>
                    </w:rPr>
                  </w:pP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1323" w:type="dxa"/>
                  <w:vMerge w:val="restart"/>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组立</w:t>
                  </w:r>
                  <w:r>
                    <w:rPr>
                      <w:rFonts w:hint="eastAsia"/>
                      <w:color w:val="000000" w:themeColor="text1"/>
                      <w:lang w:eastAsia="zh-CN"/>
                      <w14:textFill>
                        <w14:solidFill>
                          <w14:schemeClr w14:val="tx1"/>
                        </w14:solidFill>
                      </w14:textFill>
                    </w:rPr>
                    <w:t>、</w:t>
                  </w:r>
                  <w:r>
                    <w:rPr>
                      <w:color w:val="000000" w:themeColor="text1"/>
                      <w:kern w:val="0"/>
                      <w14:textFill>
                        <w14:solidFill>
                          <w14:schemeClr w14:val="tx1"/>
                        </w14:solidFill>
                      </w14:textFill>
                    </w:rPr>
                    <w:t>真空含浸、烘干</w:t>
                  </w:r>
                </w:p>
              </w:tc>
              <w:tc>
                <w:tcPr>
                  <w:tcW w:w="1336" w:type="dxa"/>
                  <w:vMerge w:val="restart"/>
                  <w:shd w:val="clear" w:color="auto" w:fill="auto"/>
                  <w:vAlign w:val="center"/>
                </w:tcPr>
                <w:p>
                  <w:pPr>
                    <w:widowControl/>
                    <w:jc w:val="center"/>
                    <w:rPr>
                      <w:color w:val="000000" w:themeColor="text1"/>
                      <w:kern w:val="0"/>
                      <w14:textFill>
                        <w14:solidFill>
                          <w14:schemeClr w14:val="tx1"/>
                        </w14:solidFill>
                      </w14:textFill>
                    </w:rPr>
                  </w:pPr>
                  <w:r>
                    <w:rPr>
                      <w:bCs w:val="0"/>
                      <w:color w:val="000000" w:themeColor="text1"/>
                      <w14:textFill>
                        <w14:solidFill>
                          <w14:schemeClr w14:val="tx1"/>
                        </w14:solidFill>
                      </w14:textFill>
                    </w:rPr>
                    <w:t>VOCs</w:t>
                  </w:r>
                </w:p>
              </w:tc>
              <w:tc>
                <w:tcPr>
                  <w:tcW w:w="1482"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6.266</w:t>
                  </w:r>
                </w:p>
              </w:tc>
              <w:tc>
                <w:tcPr>
                  <w:tcW w:w="1486"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88</w:t>
                  </w:r>
                </w:p>
              </w:tc>
              <w:tc>
                <w:tcPr>
                  <w:tcW w:w="1602"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74</w:t>
                  </w:r>
                </w:p>
              </w:tc>
              <w:tc>
                <w:tcPr>
                  <w:tcW w:w="210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水喷淋塔+干式过滤器+二级活性炭吸附装置</w:t>
                  </w:r>
                </w:p>
              </w:tc>
              <w:tc>
                <w:tcPr>
                  <w:tcW w:w="1039" w:type="dxa"/>
                  <w:shd w:val="clear" w:color="auto" w:fill="auto"/>
                  <w:vAlign w:val="center"/>
                </w:tcPr>
                <w:p>
                  <w:pPr>
                    <w:widowControl/>
                    <w:jc w:val="center"/>
                    <w:rPr>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40/</w:t>
                  </w:r>
                  <w:r>
                    <w:rPr>
                      <w:rFonts w:hint="eastAsia"/>
                      <w:color w:val="000000" w:themeColor="text1"/>
                      <w:kern w:val="0"/>
                      <w14:textFill>
                        <w14:solidFill>
                          <w14:schemeClr w14:val="tx1"/>
                        </w14:solidFill>
                      </w14:textFill>
                    </w:rPr>
                    <w:t>95</w:t>
                  </w:r>
                </w:p>
              </w:tc>
              <w:tc>
                <w:tcPr>
                  <w:tcW w:w="105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75</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是</w:t>
                  </w:r>
                </w:p>
              </w:tc>
              <w:tc>
                <w:tcPr>
                  <w:tcW w:w="1770"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color w:val="000000" w:themeColor="text1"/>
                      <w:kern w:val="0"/>
                      <w14:textFill>
                        <w14:solidFill>
                          <w14:schemeClr w14:val="tx1"/>
                        </w14:solidFill>
                      </w14:textFill>
                    </w:rPr>
                    <w:t>1.</w:t>
                  </w:r>
                  <w:r>
                    <w:rPr>
                      <w:rFonts w:hint="eastAsia"/>
                      <w:color w:val="000000" w:themeColor="text1"/>
                      <w:kern w:val="0"/>
                      <w:lang w:val="en-US" w:eastAsia="zh-CN"/>
                      <w14:textFill>
                        <w14:solidFill>
                          <w14:schemeClr w14:val="tx1"/>
                        </w14:solidFill>
                      </w14:textFill>
                    </w:rPr>
                    <w:t>566</w:t>
                  </w:r>
                </w:p>
              </w:tc>
              <w:tc>
                <w:tcPr>
                  <w:tcW w:w="1641"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47</w:t>
                  </w:r>
                </w:p>
              </w:tc>
              <w:tc>
                <w:tcPr>
                  <w:tcW w:w="1344" w:type="dxa"/>
                  <w:shd w:val="clear" w:color="auto" w:fill="auto"/>
                  <w:vAlign w:val="center"/>
                </w:tcPr>
                <w:p>
                  <w:pPr>
                    <w:widowControl/>
                    <w:jc w:val="center"/>
                    <w:rPr>
                      <w:rFonts w:hint="eastAsia" w:eastAsia="宋体"/>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14:textFill>
                        <w14:solidFill>
                          <w14:schemeClr w14:val="tx1"/>
                        </w14:solidFill>
                      </w14:textFill>
                    </w:rPr>
                    <w:t>4</w:t>
                  </w:r>
                  <w:r>
                    <w:rPr>
                      <w:rFonts w:hint="eastAsia"/>
                      <w:color w:val="000000" w:themeColor="text1"/>
                      <w:lang w:val="en-US" w:eastAsia="zh-CN"/>
                      <w14:textFill>
                        <w14:solidFill>
                          <w14:schemeClr w14:val="tx1"/>
                        </w14:solidFill>
                      </w14:textFill>
                    </w:rPr>
                    <w:t>4</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30</w:t>
                  </w:r>
                  <w:r>
                    <w:rPr>
                      <w:color w:val="000000" w:themeColor="text1"/>
                      <w:kern w:val="0"/>
                      <w14:textFill>
                        <w14:solidFill>
                          <w14:schemeClr w14:val="tx1"/>
                        </w14:solidFill>
                      </w14:textFill>
                    </w:rPr>
                    <w:t>000</w:t>
                  </w:r>
                </w:p>
              </w:tc>
              <w:tc>
                <w:tcPr>
                  <w:tcW w:w="158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80</w:t>
                  </w:r>
                </w:p>
              </w:tc>
              <w:tc>
                <w:tcPr>
                  <w:tcW w:w="106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有组织</w:t>
                  </w: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1323" w:type="dxa"/>
                  <w:vMerge w:val="continue"/>
                  <w:vAlign w:val="center"/>
                </w:tcPr>
                <w:p>
                  <w:pPr>
                    <w:widowControl/>
                    <w:jc w:val="left"/>
                    <w:rPr>
                      <w:color w:val="000000" w:themeColor="text1"/>
                      <w:kern w:val="0"/>
                      <w14:textFill>
                        <w14:solidFill>
                          <w14:schemeClr w14:val="tx1"/>
                        </w14:solidFill>
                      </w14:textFill>
                    </w:rPr>
                  </w:pPr>
                </w:p>
              </w:tc>
              <w:tc>
                <w:tcPr>
                  <w:tcW w:w="1336" w:type="dxa"/>
                  <w:vMerge w:val="continue"/>
                  <w:vAlign w:val="center"/>
                </w:tcPr>
                <w:p>
                  <w:pPr>
                    <w:widowControl/>
                    <w:jc w:val="left"/>
                    <w:rPr>
                      <w:color w:val="000000" w:themeColor="text1"/>
                      <w:kern w:val="0"/>
                      <w14:textFill>
                        <w14:solidFill>
                          <w14:schemeClr w14:val="tx1"/>
                        </w14:solidFill>
                      </w14:textFill>
                    </w:rPr>
                  </w:pPr>
                </w:p>
              </w:tc>
              <w:tc>
                <w:tcPr>
                  <w:tcW w:w="148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486" w:type="dxa"/>
                  <w:shd w:val="clear" w:color="auto" w:fill="auto"/>
                  <w:vAlign w:val="center"/>
                </w:tcPr>
                <w:p>
                  <w:pPr>
                    <w:widowControl/>
                    <w:jc w:val="center"/>
                    <w:rPr>
                      <w:rFonts w:hint="eastAsia" w:eastAsia="宋体"/>
                      <w:color w:val="000000" w:themeColor="text1"/>
                      <w:kern w:val="0"/>
                      <w:lang w:eastAsia="zh-CN"/>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9</w:t>
                  </w:r>
                </w:p>
              </w:tc>
              <w:tc>
                <w:tcPr>
                  <w:tcW w:w="1602" w:type="dxa"/>
                  <w:shd w:val="clear" w:color="auto" w:fill="auto"/>
                  <w:vAlign w:val="center"/>
                </w:tcPr>
                <w:p>
                  <w:pPr>
                    <w:widowControl/>
                    <w:jc w:val="center"/>
                    <w:rPr>
                      <w:rFonts w:hint="default" w:eastAsia="宋体"/>
                      <w:color w:val="000000" w:themeColor="text1"/>
                      <w:kern w:val="0"/>
                      <w:lang w:val="en-US" w:eastAsia="zh-CN"/>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33</w:t>
                  </w:r>
                </w:p>
              </w:tc>
              <w:tc>
                <w:tcPr>
                  <w:tcW w:w="210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加强车间通风</w:t>
                  </w:r>
                </w:p>
              </w:tc>
              <w:tc>
                <w:tcPr>
                  <w:tcW w:w="1039"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05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77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4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9</w:t>
                  </w:r>
                </w:p>
              </w:tc>
              <w:tc>
                <w:tcPr>
                  <w:tcW w:w="1344"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33</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58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2.0</w:t>
                  </w:r>
                </w:p>
              </w:tc>
              <w:tc>
                <w:tcPr>
                  <w:tcW w:w="106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无组织</w:t>
                  </w: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1323" w:type="dxa"/>
                  <w:vMerge w:val="continue"/>
                  <w:shd w:val="clear" w:color="auto" w:fill="auto"/>
                  <w:vAlign w:val="center"/>
                </w:tcPr>
                <w:p>
                  <w:pPr>
                    <w:widowControl/>
                    <w:jc w:val="center"/>
                    <w:rPr>
                      <w:color w:val="000000" w:themeColor="text1"/>
                      <w:kern w:val="0"/>
                      <w14:textFill>
                        <w14:solidFill>
                          <w14:schemeClr w14:val="tx1"/>
                        </w14:solidFill>
                      </w14:textFill>
                    </w:rPr>
                  </w:pPr>
                </w:p>
              </w:tc>
              <w:tc>
                <w:tcPr>
                  <w:tcW w:w="1336" w:type="dxa"/>
                  <w:vMerge w:val="restart"/>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臭气浓度</w:t>
                  </w:r>
                </w:p>
              </w:tc>
              <w:tc>
                <w:tcPr>
                  <w:tcW w:w="148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486"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0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210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水喷淋塔+干式过滤器+二级活性炭吸附装置</w:t>
                  </w:r>
                </w:p>
              </w:tc>
              <w:tc>
                <w:tcPr>
                  <w:tcW w:w="1039" w:type="dxa"/>
                  <w:shd w:val="clear" w:color="auto" w:fill="auto"/>
                  <w:vAlign w:val="center"/>
                </w:tcPr>
                <w:p>
                  <w:pPr>
                    <w:widowControl/>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95</w:t>
                  </w:r>
                </w:p>
              </w:tc>
              <w:tc>
                <w:tcPr>
                  <w:tcW w:w="105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75</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是</w:t>
                  </w:r>
                </w:p>
              </w:tc>
              <w:tc>
                <w:tcPr>
                  <w:tcW w:w="177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4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344"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30</w:t>
                  </w:r>
                  <w:r>
                    <w:rPr>
                      <w:color w:val="000000" w:themeColor="text1"/>
                      <w:kern w:val="0"/>
                      <w14:textFill>
                        <w14:solidFill>
                          <w14:schemeClr w14:val="tx1"/>
                        </w14:solidFill>
                      </w14:textFill>
                    </w:rPr>
                    <w:t>000</w:t>
                  </w:r>
                </w:p>
              </w:tc>
              <w:tc>
                <w:tcPr>
                  <w:tcW w:w="158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2000（无量纲）</w:t>
                  </w:r>
                </w:p>
              </w:tc>
              <w:tc>
                <w:tcPr>
                  <w:tcW w:w="106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有组织</w:t>
                  </w: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1323" w:type="dxa"/>
                  <w:vMerge w:val="continue"/>
                  <w:vAlign w:val="center"/>
                </w:tcPr>
                <w:p>
                  <w:pPr>
                    <w:widowControl/>
                    <w:jc w:val="left"/>
                    <w:rPr>
                      <w:color w:val="000000" w:themeColor="text1"/>
                      <w:kern w:val="0"/>
                      <w14:textFill>
                        <w14:solidFill>
                          <w14:schemeClr w14:val="tx1"/>
                        </w14:solidFill>
                      </w14:textFill>
                    </w:rPr>
                  </w:pPr>
                </w:p>
              </w:tc>
              <w:tc>
                <w:tcPr>
                  <w:tcW w:w="1336" w:type="dxa"/>
                  <w:vMerge w:val="continue"/>
                  <w:vAlign w:val="center"/>
                </w:tcPr>
                <w:p>
                  <w:pPr>
                    <w:widowControl/>
                    <w:jc w:val="left"/>
                    <w:rPr>
                      <w:color w:val="000000" w:themeColor="text1"/>
                      <w:kern w:val="0"/>
                      <w14:textFill>
                        <w14:solidFill>
                          <w14:schemeClr w14:val="tx1"/>
                        </w14:solidFill>
                      </w14:textFill>
                    </w:rPr>
                  </w:pPr>
                </w:p>
              </w:tc>
              <w:tc>
                <w:tcPr>
                  <w:tcW w:w="148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486"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0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210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加强车间通风</w:t>
                  </w:r>
                </w:p>
              </w:tc>
              <w:tc>
                <w:tcPr>
                  <w:tcW w:w="1039"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05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77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4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344"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58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20（无量纲）</w:t>
                  </w:r>
                </w:p>
              </w:tc>
              <w:tc>
                <w:tcPr>
                  <w:tcW w:w="106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无组织</w:t>
                  </w:r>
                </w:p>
              </w:tc>
            </w:tr>
            <w:tr>
              <w:tblPrEx>
                <w:tblBorders>
                  <w:top w:val="single" w:color="000000" w:sz="18" w:space="0"/>
                  <w:left w:val="single" w:color="000000" w:sz="6" w:space="0"/>
                  <w:bottom w:val="single" w:color="000000" w:sz="18"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配组</w:t>
                  </w:r>
                </w:p>
              </w:tc>
              <w:tc>
                <w:tcPr>
                  <w:tcW w:w="1336"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颗粒物</w:t>
                  </w:r>
                </w:p>
              </w:tc>
              <w:tc>
                <w:tcPr>
                  <w:tcW w:w="148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486"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0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少量</w:t>
                  </w:r>
                </w:p>
              </w:tc>
              <w:tc>
                <w:tcPr>
                  <w:tcW w:w="2100" w:type="dxa"/>
                  <w:shd w:val="clear" w:color="auto" w:fill="auto"/>
                  <w:vAlign w:val="center"/>
                </w:tcPr>
                <w:p>
                  <w:pPr>
                    <w:widowControl/>
                    <w:jc w:val="center"/>
                    <w:rPr>
                      <w:color w:val="000000" w:themeColor="text1"/>
                      <w:kern w:val="0"/>
                      <w14:textFill>
                        <w14:solidFill>
                          <w14:schemeClr w14:val="tx1"/>
                        </w14:solidFill>
                      </w14:textFill>
                    </w:rPr>
                  </w:pPr>
                  <w:r>
                    <w:rPr>
                      <w:rFonts w:hint="eastAsia"/>
                      <w:color w:val="000000" w:themeColor="text1"/>
                      <w:kern w:val="0"/>
                      <w:lang w:val="en-US" w:eastAsia="zh-CN"/>
                      <w14:textFill>
                        <w14:solidFill>
                          <w14:schemeClr w14:val="tx1"/>
                        </w14:solidFill>
                      </w14:textFill>
                    </w:rPr>
                    <w:t>移动式除尘器+</w:t>
                  </w:r>
                  <w:r>
                    <w:rPr>
                      <w:color w:val="000000" w:themeColor="text1"/>
                      <w:kern w:val="0"/>
                      <w14:textFill>
                        <w14:solidFill>
                          <w14:schemeClr w14:val="tx1"/>
                        </w14:solidFill>
                      </w14:textFill>
                    </w:rPr>
                    <w:t>加强车间通风</w:t>
                  </w:r>
                </w:p>
              </w:tc>
              <w:tc>
                <w:tcPr>
                  <w:tcW w:w="1039"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40</w:t>
                  </w:r>
                </w:p>
              </w:tc>
              <w:tc>
                <w:tcPr>
                  <w:tcW w:w="1052" w:type="dxa"/>
                  <w:shd w:val="clear" w:color="auto" w:fill="auto"/>
                  <w:vAlign w:val="center"/>
                </w:tcPr>
                <w:p>
                  <w:pPr>
                    <w:widowControl/>
                    <w:jc w:val="center"/>
                    <w:rPr>
                      <w:rFonts w:hint="eastAsia" w:eastAsia="宋体"/>
                      <w:color w:val="000000" w:themeColor="text1"/>
                      <w:kern w:val="0"/>
                      <w:lang w:eastAsia="zh-CN"/>
                      <w14:textFill>
                        <w14:solidFill>
                          <w14:schemeClr w14:val="tx1"/>
                        </w14:solidFill>
                      </w14:textFill>
                    </w:rPr>
                  </w:pPr>
                  <w:r>
                    <w:rPr>
                      <w:color w:val="000000" w:themeColor="text1"/>
                      <w:kern w:val="0"/>
                      <w14:textFill>
                        <w14:solidFill>
                          <w14:schemeClr w14:val="tx1"/>
                        </w14:solidFill>
                      </w14:textFill>
                    </w:rPr>
                    <w:t>9</w:t>
                  </w:r>
                  <w:r>
                    <w:rPr>
                      <w:rFonts w:hint="eastAsia"/>
                      <w:color w:val="000000" w:themeColor="text1"/>
                      <w:kern w:val="0"/>
                      <w:lang w:val="en-US" w:eastAsia="zh-CN"/>
                      <w14:textFill>
                        <w14:solidFill>
                          <w14:schemeClr w14:val="tx1"/>
                        </w14:solidFill>
                      </w14:textFill>
                    </w:rPr>
                    <w:t>0</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是</w:t>
                  </w:r>
                </w:p>
              </w:tc>
              <w:tc>
                <w:tcPr>
                  <w:tcW w:w="1770"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64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w:t>
                  </w:r>
                </w:p>
              </w:tc>
              <w:tc>
                <w:tcPr>
                  <w:tcW w:w="1344"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14:textFill>
                        <w14:solidFill>
                          <w14:schemeClr w14:val="tx1"/>
                        </w14:solidFill>
                      </w14:textFill>
                    </w:rPr>
                    <w:t>少量</w:t>
                  </w:r>
                </w:p>
              </w:tc>
              <w:tc>
                <w:tcPr>
                  <w:tcW w:w="1323"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w:t>
                  </w:r>
                </w:p>
              </w:tc>
              <w:tc>
                <w:tcPr>
                  <w:tcW w:w="1581"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1.0</w:t>
                  </w:r>
                </w:p>
              </w:tc>
              <w:tc>
                <w:tcPr>
                  <w:tcW w:w="1062" w:type="dxa"/>
                  <w:shd w:val="clear" w:color="auto" w:fill="auto"/>
                  <w:vAlign w:val="center"/>
                </w:tcPr>
                <w:p>
                  <w:pPr>
                    <w:widowControl/>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无组织</w:t>
                  </w:r>
                </w:p>
              </w:tc>
            </w:tr>
          </w:tbl>
          <w:p>
            <w:pPr>
              <w:pStyle w:val="45"/>
              <w:ind w:firstLine="0" w:firstLineChars="0"/>
              <w:jc w:val="left"/>
              <w:rPr>
                <w:rFonts w:cs="Times New Roman"/>
                <w:bCs w:val="0"/>
                <w:color w:val="000000" w:themeColor="text1"/>
                <w:spacing w:val="-10"/>
                <w14:textFill>
                  <w14:solidFill>
                    <w14:schemeClr w14:val="tx1"/>
                  </w14:solidFill>
                </w14:textFill>
              </w:rPr>
            </w:pPr>
          </w:p>
        </w:tc>
      </w:tr>
    </w:tbl>
    <w:p>
      <w:pPr>
        <w:tabs>
          <w:tab w:val="left" w:pos="1909"/>
        </w:tabs>
        <w:rPr>
          <w:color w:val="000000" w:themeColor="text1"/>
          <w:sz w:val="28"/>
          <w:szCs w:val="28"/>
          <w14:textFill>
            <w14:solidFill>
              <w14:schemeClr w14:val="tx1"/>
            </w14:solidFill>
          </w14:textFill>
        </w:rPr>
        <w:sectPr>
          <w:pgSz w:w="23811" w:h="16838" w:orient="landscape"/>
          <w:pgMar w:top="720" w:right="720" w:bottom="720" w:left="720" w:header="851" w:footer="851" w:gutter="0"/>
          <w:cols w:space="720" w:num="1"/>
          <w:docGrid w:linePitch="312" w:charSpace="0"/>
        </w:sectPr>
      </w:pPr>
    </w:p>
    <w:tbl>
      <w:tblPr>
        <w:tblStyle w:val="30"/>
        <w:tblW w:w="104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0"/>
        <w:gridCol w:w="100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56" w:hRule="atLeast"/>
          <w:jc w:val="center"/>
        </w:trPr>
        <w:tc>
          <w:tcPr>
            <w:tcW w:w="400" w:type="dxa"/>
            <w:tcMar>
              <w:left w:w="28" w:type="dxa"/>
              <w:right w:w="28" w:type="dxa"/>
            </w:tcMar>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运营</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期环</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境影</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响和</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保护</w:t>
            </w:r>
          </w:p>
          <w:p>
            <w:pPr>
              <w:pStyle w:val="27"/>
              <w:adjustRightInd w:val="0"/>
              <w:snapToGrid w:val="0"/>
              <w:spacing w:before="0" w:beforeAutospacing="0" w:after="0" w:afterAutospacing="0"/>
              <w:jc w:val="center"/>
              <w:rPr>
                <w:rFonts w:ascii="Times New Roman" w:hAnsi="Times New Roman"/>
                <w:bCs w:val="0"/>
                <w:color w:val="000000" w:themeColor="text1"/>
                <w:kern w:val="2"/>
                <w:sz w:val="21"/>
                <w:szCs w:val="21"/>
                <w14:textFill>
                  <w14:solidFill>
                    <w14:schemeClr w14:val="tx1"/>
                  </w14:solidFill>
                </w14:textFill>
              </w:rPr>
            </w:pPr>
            <w:r>
              <w:rPr>
                <w:rFonts w:ascii="Times New Roman" w:hAnsi="Times New Roman"/>
                <w:bCs w:val="0"/>
                <w:color w:val="000000" w:themeColor="text1"/>
                <w:sz w:val="21"/>
                <w:szCs w:val="21"/>
                <w14:textFill>
                  <w14:solidFill>
                    <w14:schemeClr w14:val="tx1"/>
                  </w14:solidFill>
                </w14:textFill>
              </w:rPr>
              <w:t>措施</w:t>
            </w:r>
          </w:p>
        </w:tc>
        <w:tc>
          <w:tcPr>
            <w:tcW w:w="10015" w:type="dxa"/>
            <w:vAlign w:val="center"/>
          </w:tcPr>
          <w:p>
            <w:pPr>
              <w:adjustRightInd w:val="0"/>
              <w:snapToGrid w:val="0"/>
              <w:spacing w:line="360" w:lineRule="auto"/>
              <w:ind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（1）产生源强核算：</w:t>
            </w:r>
          </w:p>
          <w:p>
            <w:pPr>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①组立工序中的</w:t>
            </w:r>
            <w:r>
              <w:rPr>
                <w:b/>
                <w:color w:val="000000" w:themeColor="text1"/>
                <w14:textFill>
                  <w14:solidFill>
                    <w14:schemeClr w14:val="tx1"/>
                  </w14:solidFill>
                </w14:textFill>
              </w:rPr>
              <w:t>VOCs</w:t>
            </w:r>
            <w:r>
              <w:rPr>
                <w:b/>
                <w:bCs w:val="0"/>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项目组立工序中</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14:textFill>
                  <w14:solidFill>
                    <w14:schemeClr w14:val="tx1"/>
                  </w14:solidFill>
                </w14:textFill>
              </w:rPr>
              <w:t>的年用量为0.</w:t>
            </w:r>
            <w:r>
              <w:rPr>
                <w:rFonts w:hint="eastAsia"/>
                <w:color w:val="000000" w:themeColor="text1"/>
                <w14:textFill>
                  <w14:solidFill>
                    <w14:schemeClr w14:val="tx1"/>
                  </w14:solidFill>
                </w14:textFill>
              </w:rPr>
              <w:t>8</w:t>
            </w:r>
            <w:r>
              <w:rPr>
                <w:color w:val="000000" w:themeColor="text1"/>
                <w14:textFill>
                  <w14:solidFill>
                    <w14:schemeClr w14:val="tx1"/>
                  </w14:solidFill>
                </w14:textFill>
              </w:rPr>
              <w:t>8t/a，密度为1.15g/cm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其VOCs检测报告结果显示VOC含量为</w:t>
            </w:r>
            <w:r>
              <w:rPr>
                <w:rFonts w:hint="eastAsia"/>
                <w:color w:val="000000" w:themeColor="text1"/>
                <w14:textFill>
                  <w14:solidFill>
                    <w14:schemeClr w14:val="tx1"/>
                  </w14:solidFill>
                </w14:textFill>
              </w:rPr>
              <w:t>48</w:t>
            </w:r>
            <w:r>
              <w:rPr>
                <w:color w:val="000000" w:themeColor="text1"/>
                <w:kern w:val="0"/>
                <w:lang w:bidi="ar"/>
                <w14:textFill>
                  <w14:solidFill>
                    <w14:schemeClr w14:val="tx1"/>
                  </w14:solidFill>
                </w14:textFill>
              </w:rPr>
              <w:t>g/</w:t>
            </w:r>
            <w:r>
              <w:rPr>
                <w:rFonts w:hint="eastAsia"/>
                <w:color w:val="000000" w:themeColor="text1"/>
                <w:kern w:val="0"/>
                <w:lang w:val="en-US" w:eastAsia="zh-CN" w:bidi="ar"/>
                <w14:textFill>
                  <w14:solidFill>
                    <w14:schemeClr w14:val="tx1"/>
                  </w14:solidFill>
                </w14:textFill>
              </w:rPr>
              <w:t>kg</w:t>
            </w:r>
            <w:r>
              <w:rPr>
                <w:color w:val="000000" w:themeColor="text1"/>
                <w14:textFill>
                  <w14:solidFill>
                    <w14:schemeClr w14:val="tx1"/>
                  </w14:solidFill>
                </w14:textFill>
              </w:rPr>
              <w:t>，则组立工序中VOCs的产生量为</w:t>
            </w: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42</w:t>
            </w:r>
            <w:r>
              <w:rPr>
                <w:color w:val="000000" w:themeColor="text1"/>
                <w14:textFill>
                  <w14:solidFill>
                    <w14:schemeClr w14:val="tx1"/>
                  </w14:solidFill>
                </w14:textFill>
              </w:rPr>
              <w:t>t/a。</w:t>
            </w:r>
          </w:p>
          <w:p>
            <w:pPr>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②真空含浸和烘干工序中的</w:t>
            </w:r>
            <w:r>
              <w:rPr>
                <w:b/>
                <w:color w:val="000000" w:themeColor="text1"/>
                <w14:textFill>
                  <w14:solidFill>
                    <w14:schemeClr w14:val="tx1"/>
                  </w14:solidFill>
                </w14:textFill>
              </w:rPr>
              <w:t>VOCs</w:t>
            </w:r>
            <w:r>
              <w:rPr>
                <w:b/>
                <w:bCs w:val="0"/>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项目绝缘漆的年用量为6.66t/a，相对密度为1.09g/cm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，VOCs含量为27g/L，</w:t>
            </w:r>
            <w:r>
              <w:rPr>
                <w:bCs w:val="0"/>
                <w:color w:val="000000" w:themeColor="text1"/>
                <w14:textFill>
                  <w14:solidFill>
                    <w14:schemeClr w14:val="tx1"/>
                  </w14:solidFill>
                </w14:textFill>
              </w:rPr>
              <w:t>因此，项目真空含浸、烘干工序</w:t>
            </w:r>
            <w:r>
              <w:rPr>
                <w:color w:val="000000" w:themeColor="text1"/>
                <w14:textFill>
                  <w14:solidFill>
                    <w14:schemeClr w14:val="tx1"/>
                  </w14:solidFill>
                </w14:textFill>
              </w:rPr>
              <w:t>中VOCs</w:t>
            </w:r>
            <w:r>
              <w:rPr>
                <w:bCs w:val="0"/>
                <w:color w:val="000000" w:themeColor="text1"/>
                <w14:textFill>
                  <w14:solidFill>
                    <w14:schemeClr w14:val="tx1"/>
                  </w14:solidFill>
                </w14:textFill>
              </w:rPr>
              <w:t>的总产生量为0.165t/a。参考《污染源源强核算技术指南 汽车制造》（HJ 1097-2020）附录E中“溶剂型涂料浸涂”的物料中挥发性有机物挥发量占比，浸涂占比35%，烘干占比65%，则真空含浸工序挥发量为0.058t/a，烘干工序挥发量为0.107t/a。</w:t>
            </w:r>
          </w:p>
          <w:p>
            <w:pPr>
              <w:pStyle w:val="37"/>
              <w:ind w:firstLine="422"/>
              <w:jc w:val="left"/>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③真空含浸、烘干工序中的臭气浓度：</w:t>
            </w:r>
          </w:p>
          <w:p>
            <w:pPr>
              <w:adjustRightInd w:val="0"/>
              <w:snapToGrid w:val="0"/>
              <w:spacing w:line="360" w:lineRule="auto"/>
              <w:ind w:firstLine="420" w:firstLineChars="200"/>
              <w:rPr>
                <w:b/>
                <w:bCs w:val="0"/>
                <w:color w:val="000000" w:themeColor="text1"/>
                <w14:textFill>
                  <w14:solidFill>
                    <w14:schemeClr w14:val="tx1"/>
                  </w14:solidFill>
                </w14:textFill>
              </w:rPr>
            </w:pPr>
            <w:r>
              <w:rPr>
                <w:color w:val="000000" w:themeColor="text1"/>
                <w14:textFill>
                  <w14:solidFill>
                    <w14:schemeClr w14:val="tx1"/>
                  </w14:solidFill>
                </w14:textFill>
              </w:rPr>
              <w:t>含浸、烘干工序除了产生有机废气外，还会伴有异味，需要作为恶臭进行管理和控制，本评价统一以臭气浓度进行表征。该恶臭物质覆盖范围仅限于生产设备至生产车间边界，且产生量较少，恶臭物质通过废气收集系统经“水喷淋塔+干式过滤器+二级活性炭吸附装置”治理后与有机废气一同排放，少部分未被收集的恶臭物质以无组织形式排放，通过加强车间通风，恶臭物质的排放量极少，该类异味对周边环境的影响不大，故本环评不作定量分析，建议企业后续通过跟踪监测进行日常管理。</w:t>
            </w:r>
          </w:p>
          <w:p>
            <w:pPr>
              <w:adjustRightInd w:val="0"/>
              <w:snapToGrid w:val="0"/>
              <w:spacing w:line="360" w:lineRule="auto"/>
              <w:ind w:firstLine="422" w:firstLineChars="200"/>
              <w:rPr>
                <w:color w:val="000000" w:themeColor="text1"/>
                <w14:textFill>
                  <w14:solidFill>
                    <w14:schemeClr w14:val="tx1"/>
                  </w14:solidFill>
                </w14:textFill>
              </w:rPr>
            </w:pPr>
            <w:r>
              <w:rPr>
                <w:b/>
                <w:bCs w:val="0"/>
                <w:color w:val="000000" w:themeColor="text1"/>
                <w14:textFill>
                  <w14:solidFill>
                    <w14:schemeClr w14:val="tx1"/>
                  </w14:solidFill>
                </w14:textFill>
              </w:rPr>
              <w:t>④配组工序中的颗粒物</w:t>
            </w:r>
            <w:r>
              <w:rPr>
                <w:color w:val="000000" w:themeColor="text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配组工序中将铜线与配绕在铝箔上的铝端子使用电焊机进行焊接，该过程会产生颗粒物。已从《排放源统计调查产排污核算方法和系数手册》中进行查阅未找到相关合适的产污系数，且未找到相关文献和验收报告用以说明颗粒物的产生量占比原辅料（铜线、铝端子）用量的多少，但由于焊接面积极小，且电焊机系采用双面双点过流焊接的原理，工作时两个电极加压工件使两层金属在两电极的压力下形成一定的接触电阻，而焊接电流从一电极流经另一电极时在两接触电阻点形成瞬间的热熔接，且焊接电流瞬间从另一电极沿两工件流至此电极形成回路，并且不会伤及被焊工件的内部结构，无需耗材。因此，该焊接过程中一般产生的颗粒物少，且经过移动式除尘器收集处理，少部分未被收集的颗粒物以无组织形式排放，通过加强车间通风，颗粒物的排放量极少，故本环评对该配组过程产生的颗粒物不做定量分析，建议企业后续通过跟踪监测进行日常管理。</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（2）风量核算</w:t>
            </w:r>
          </w:p>
          <w:p>
            <w:pPr>
              <w:autoSpaceDE w:val="0"/>
              <w:autoSpaceDN w:val="0"/>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组立工序VOCs顶吸集气罩收集，</w:t>
            </w:r>
            <w:r>
              <w:rPr>
                <w:color w:val="000000" w:themeColor="text1"/>
                <w14:textFill>
                  <w14:solidFill>
                    <w14:schemeClr w14:val="tx1"/>
                  </w14:solidFill>
                </w14:textFill>
              </w:rPr>
              <w:t>真空含浸、烘干</w:t>
            </w:r>
            <w:r>
              <w:rPr>
                <w:rFonts w:hint="eastAsia"/>
                <w:color w:val="000000" w:themeColor="text1"/>
                <w:lang w:val="en-US" w:eastAsia="zh-CN"/>
                <w14:textFill>
                  <w14:solidFill>
                    <w14:schemeClr w14:val="tx1"/>
                  </w14:solidFill>
                </w14:textFill>
              </w:rPr>
              <w:t>工序VOCs密闭负压车间</w:t>
            </w:r>
            <w:r>
              <w:rPr>
                <w:color w:val="000000" w:themeColor="text1"/>
                <w14:textFill>
                  <w14:solidFill>
                    <w14:schemeClr w14:val="tx1"/>
                  </w14:solidFill>
                </w14:textFill>
              </w:rPr>
              <w:t>收集</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汇集至同一套“水喷淋塔+干式过滤器+二级活性炭吸附装置”处理，通过同一排放口（DA001）排放。</w:t>
            </w:r>
          </w:p>
          <w:p>
            <w:pPr>
              <w:autoSpaceDE w:val="0"/>
              <w:autoSpaceDN w:val="0"/>
              <w:adjustRightInd w:val="0"/>
              <w:snapToGrid w:val="0"/>
              <w:spacing w:line="360" w:lineRule="auto"/>
              <w:ind w:firstLine="420" w:firstLineChars="20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组立工序共设2个工位，分别设置1个1.5m*0.8m的顶吸集气罩，</w:t>
            </w:r>
            <w:r>
              <w:rPr>
                <w:rFonts w:cs="Times New Roman"/>
                <w:color w:val="000000" w:themeColor="text1"/>
                <w14:textFill>
                  <w14:solidFill>
                    <w14:schemeClr w14:val="tx1"/>
                  </w14:solidFill>
                </w14:textFill>
              </w:rPr>
              <w:t>共</w:t>
            </w:r>
            <w:r>
              <w:rPr>
                <w:rFonts w:hint="eastAsia" w:cs="Times New Roman"/>
                <w:color w:val="000000" w:themeColor="text1"/>
                <w:lang w:val="en-US" w:eastAsia="zh-CN"/>
                <w14:textFill>
                  <w14:solidFill>
                    <w14:schemeClr w14:val="tx1"/>
                  </w14:solidFill>
                </w14:textFill>
              </w:rPr>
              <w:t>2</w:t>
            </w:r>
            <w:r>
              <w:rPr>
                <w:rFonts w:cs="Times New Roman"/>
                <w:color w:val="000000" w:themeColor="text1"/>
                <w14:textFill>
                  <w14:solidFill>
                    <w14:schemeClr w14:val="tx1"/>
                  </w14:solidFill>
                </w14:textFill>
              </w:rPr>
              <w:t>个集气罩</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集气罩距污染源距离0.5m；控制风速为0.5m/s</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顶吸</w:t>
            </w:r>
            <w:r>
              <w:rPr>
                <w:rFonts w:cs="Times New Roman"/>
                <w:color w:val="000000" w:themeColor="text1"/>
                <w:szCs w:val="21"/>
                <w14:textFill>
                  <w14:solidFill>
                    <w14:schemeClr w14:val="tx1"/>
                  </w14:solidFill>
                </w14:textFill>
              </w:rPr>
              <w:t>集气罩风量核算</w:t>
            </w:r>
            <w:r>
              <w:rPr>
                <w:rFonts w:cs="Times New Roman"/>
                <w:color w:val="000000" w:themeColor="text1"/>
                <w14:textFill>
                  <w14:solidFill>
                    <w14:schemeClr w14:val="tx1"/>
                  </w14:solidFill>
                </w14:textFill>
              </w:rPr>
              <w:t>参照王纯、张殿印主编的《废气处理工程技术手册》推荐的适用于上部伞形罩的风量计算公式：Q=BHv</w:t>
            </w:r>
            <w:r>
              <w:rPr>
                <w:rFonts w:cs="Times New Roman"/>
                <w:color w:val="000000" w:themeColor="text1"/>
                <w:vertAlign w:val="subscript"/>
                <w14:textFill>
                  <w14:solidFill>
                    <w14:schemeClr w14:val="tx1"/>
                  </w14:solidFill>
                </w14:textFill>
              </w:rPr>
              <w:t>x</w:t>
            </w:r>
            <w:r>
              <w:rPr>
                <w:rFonts w:cs="Times New Roman"/>
                <w:color w:val="000000" w:themeColor="text1"/>
                <w14:textFill>
                  <w14:solidFill>
                    <w14:schemeClr w14:val="tx1"/>
                  </w14:solidFill>
                </w14:textFill>
              </w:rPr>
              <w:t>，式中B为罩口宽度，m；H为污染源至罩口距离，m；v</w:t>
            </w:r>
            <w:r>
              <w:rPr>
                <w:rFonts w:cs="Times New Roman"/>
                <w:color w:val="000000" w:themeColor="text1"/>
                <w:vertAlign w:val="subscript"/>
                <w14:textFill>
                  <w14:solidFill>
                    <w14:schemeClr w14:val="tx1"/>
                  </w14:solidFill>
                </w14:textFill>
              </w:rPr>
              <w:t>x</w:t>
            </w:r>
            <w:r>
              <w:rPr>
                <w:rFonts w:cs="Times New Roman"/>
                <w:color w:val="000000" w:themeColor="text1"/>
                <w14:textFill>
                  <w14:solidFill>
                    <w14:schemeClr w14:val="tx1"/>
                  </w14:solidFill>
                </w14:textFill>
              </w:rPr>
              <w:t>为控制风速</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计算的组立工序VOCs理论需要收集风量为1440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lang w:eastAsia="zh-CN"/>
                <w14:textFill>
                  <w14:solidFill>
                    <w14:schemeClr w14:val="tx1"/>
                  </w14:solidFill>
                </w14:textFill>
              </w:rPr>
              <w:t>。</w:t>
            </w:r>
          </w:p>
          <w:p>
            <w:pPr>
              <w:autoSpaceDE w:val="0"/>
              <w:autoSpaceDN w:val="0"/>
              <w:adjustRightInd w:val="0"/>
              <w:snapToGrid w:val="0"/>
              <w:spacing w:line="360" w:lineRule="auto"/>
              <w:ind w:firstLine="420" w:firstLineChars="200"/>
              <w:rPr>
                <w:rFonts w:hint="eastAsia"/>
                <w:color w:val="000000" w:themeColor="text1"/>
                <w:lang w:eastAsia="zh-CN"/>
                <w14:textFill>
                  <w14:solidFill>
                    <w14:schemeClr w14:val="tx1"/>
                  </w14:solidFill>
                </w14:textFill>
              </w:rPr>
            </w:pPr>
            <w:r>
              <w:rPr>
                <w:color w:val="000000" w:themeColor="text1"/>
                <w14:textFill>
                  <w14:solidFill>
                    <w14:schemeClr w14:val="tx1"/>
                  </w14:solidFill>
                </w14:textFill>
              </w:rPr>
              <w:t>含浸房1#（包含含浸区1#和烘干区1#）占地面积110m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，高4m，容积440m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；含浸房2#（包含含浸区2#和烘干区2#）占地面积170m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，高4m，容积680m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参照《废气处理工程技术手册》（王纯、张殿印主编）表17-1每小时各种场所换气次数和《广东省家具制造行业挥发性有机化合物废气治理技术指南》（广东省环保厅2014-12）废气捕集率评价方法：本环评的喷涂室每小时换风次数取20次。则真空含浸、烘干废气理论需要收集风量为（440+680）×20=22400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lang w:eastAsia="zh-CN"/>
                <w14:textFill>
                  <w14:solidFill>
                    <w14:schemeClr w14:val="tx1"/>
                  </w14:solidFill>
                </w14:textFill>
              </w:rPr>
              <w:t>。</w:t>
            </w:r>
          </w:p>
          <w:p>
            <w:pPr>
              <w:autoSpaceDE w:val="0"/>
              <w:autoSpaceDN w:val="0"/>
              <w:adjustRightInd w:val="0"/>
              <w:snapToGrid w:val="0"/>
              <w:spacing w:line="360" w:lineRule="auto"/>
              <w:ind w:firstLine="420" w:firstLineChars="200"/>
              <w:rPr>
                <w:b/>
                <w:bCs w:val="0"/>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组立、</w:t>
            </w:r>
            <w:r>
              <w:rPr>
                <w:color w:val="000000" w:themeColor="text1"/>
                <w14:textFill>
                  <w14:solidFill>
                    <w14:schemeClr w14:val="tx1"/>
                  </w14:solidFill>
                </w14:textFill>
              </w:rPr>
              <w:t>真空含浸、烘干</w:t>
            </w:r>
            <w:r>
              <w:rPr>
                <w:rFonts w:hint="eastAsia"/>
                <w:color w:val="000000" w:themeColor="text1"/>
                <w:lang w:val="en-US" w:eastAsia="zh-CN"/>
                <w14:textFill>
                  <w14:solidFill>
                    <w14:schemeClr w14:val="tx1"/>
                  </w14:solidFill>
                </w14:textFill>
              </w:rPr>
              <w:t>工序VOCs收集后汇集至同一套治理设施处理，合计理论需要风量为1440+22400=23840</w:t>
            </w:r>
            <w:r>
              <w:rPr>
                <w:color w:val="000000" w:themeColor="text1"/>
                <w14:textFill>
                  <w14:solidFill>
                    <w14:schemeClr w14:val="tx1"/>
                  </w14:solidFill>
                </w14:textFill>
              </w:rPr>
              <w:t>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考虑风量损失，设计风量为</w:t>
            </w:r>
            <w:r>
              <w:rPr>
                <w:rFonts w:hint="eastAsia"/>
                <w:b/>
                <w:bCs w:val="0"/>
                <w:color w:val="000000" w:themeColor="text1"/>
                <w:lang w:val="en-US" w:eastAsia="zh-CN"/>
                <w14:textFill>
                  <w14:solidFill>
                    <w14:schemeClr w14:val="tx1"/>
                  </w14:solidFill>
                </w14:textFill>
              </w:rPr>
              <w:t>30</w:t>
            </w:r>
            <w:r>
              <w:rPr>
                <w:b/>
                <w:bCs w:val="0"/>
                <w:color w:val="000000" w:themeColor="text1"/>
                <w14:textFill>
                  <w14:solidFill>
                    <w14:schemeClr w14:val="tx1"/>
                  </w14:solidFill>
                </w14:textFill>
              </w:rPr>
              <w:t>000m</w:t>
            </w:r>
            <w:r>
              <w:rPr>
                <w:b/>
                <w:bCs w:val="0"/>
                <w:color w:val="000000" w:themeColor="text1"/>
                <w:vertAlign w:val="superscript"/>
                <w14:textFill>
                  <w14:solidFill>
                    <w14:schemeClr w14:val="tx1"/>
                  </w14:solidFill>
                </w14:textFill>
              </w:rPr>
              <w:t>3</w:t>
            </w:r>
            <w:r>
              <w:rPr>
                <w:b/>
                <w:bCs w:val="0"/>
                <w:color w:val="000000" w:themeColor="text1"/>
                <w14:textFill>
                  <w14:solidFill>
                    <w14:schemeClr w14:val="tx1"/>
                  </w14:solidFill>
                </w14:textFill>
              </w:rPr>
              <w:t>/h。</w:t>
            </w:r>
          </w:p>
          <w:p>
            <w:pPr>
              <w:autoSpaceDE w:val="0"/>
              <w:autoSpaceDN w:val="0"/>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3）收集效率</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参考《广东省工业源挥发性有机物减排量核算方法（试行）》中表4.5-1 废气收集效率参考值，见下表。</w: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表4-6  废气收集集气效率参考值</w:t>
            </w:r>
          </w:p>
          <w:tbl>
            <w:tblPr>
              <w:tblStyle w:val="31"/>
              <w:tblW w:w="9642"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7"/>
              <w:gridCol w:w="2977"/>
              <w:gridCol w:w="3119"/>
              <w:gridCol w:w="179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废气收集类型</w:t>
                  </w:r>
                </w:p>
              </w:tc>
              <w:tc>
                <w:tcPr>
                  <w:tcW w:w="2977"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废气收集方式</w:t>
                  </w:r>
                </w:p>
              </w:tc>
              <w:tc>
                <w:tcPr>
                  <w:tcW w:w="3119"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情况说明</w:t>
                  </w:r>
                </w:p>
              </w:tc>
              <w:tc>
                <w:tcPr>
                  <w:tcW w:w="1799" w:type="dxa"/>
                  <w:vAlign w:val="center"/>
                </w:tcPr>
                <w:p>
                  <w:pPr>
                    <w:pStyle w:val="37"/>
                    <w:spacing w:line="240" w:lineRule="auto"/>
                    <w:ind w:firstLine="0"/>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集气效率（%）</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747" w:type="dxa"/>
                  <w:vMerge w:val="restart"/>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全密封设备/空间</w:t>
                  </w:r>
                </w:p>
              </w:tc>
              <w:tc>
                <w:tcPr>
                  <w:tcW w:w="2977"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单层密闭负压</w:t>
                  </w: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总VOCs产生源设置在密闭车间、密闭设备（含反应釜）、密闭管道内，所有开口处，包括人员或物料进出口处呈负压</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95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747"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2977"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设备废气排口直连</w:t>
                  </w: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设备有固定排放管(或口)直接与风管连接，设备整体密闭只留产品进出口，且进出口处有废气收集措施，收集系统运行时周边基本无VOCs散发。</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95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747" w:type="dxa"/>
                  <w:vMerge w:val="restart"/>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包围型集气设备</w:t>
                  </w:r>
                </w:p>
              </w:tc>
              <w:tc>
                <w:tcPr>
                  <w:tcW w:w="2977" w:type="dxa"/>
                  <w:vMerge w:val="restart"/>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通过软质垂帘四周围挡（偶有部分敞开）</w:t>
                  </w: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敞开面控制风速不小于0.5m/s</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60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747"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2977"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敞开面控制风速在0.3~0.5m/s之间</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747"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2977" w:type="dxa"/>
                  <w:vMerge w:val="continue"/>
                  <w:vAlign w:val="center"/>
                </w:tcPr>
                <w:p>
                  <w:pPr>
                    <w:pStyle w:val="37"/>
                    <w:spacing w:line="240" w:lineRule="auto"/>
                    <w:ind w:firstLine="0"/>
                    <w:rPr>
                      <w:rFonts w:hAnsi="Times New Roman"/>
                      <w:color w:val="000000" w:themeColor="text1"/>
                      <w14:textFill>
                        <w14:solidFill>
                          <w14:schemeClr w14:val="tx1"/>
                        </w14:solidFill>
                      </w14:textFill>
                    </w:rPr>
                  </w:pP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敞开面控制风速小于0.3m/s</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747"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外部型集气设备</w:t>
                  </w:r>
                </w:p>
              </w:tc>
              <w:tc>
                <w:tcPr>
                  <w:tcW w:w="2977"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顶式集气罩、槽边抽风、侧式集气罩等</w:t>
                  </w:r>
                </w:p>
              </w:tc>
              <w:tc>
                <w:tcPr>
                  <w:tcW w:w="311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相应工位所有VOCs逸散点控制风速不小于0.5m/s</w:t>
                  </w:r>
                </w:p>
              </w:tc>
              <w:tc>
                <w:tcPr>
                  <w:tcW w:w="1799" w:type="dxa"/>
                  <w:vAlign w:val="center"/>
                </w:tcPr>
                <w:p>
                  <w:pPr>
                    <w:pStyle w:val="37"/>
                    <w:spacing w:line="240" w:lineRule="auto"/>
                    <w:ind w:firstLine="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40</w:t>
                  </w:r>
                </w:p>
              </w:tc>
            </w:tr>
          </w:tbl>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w:t>
            </w:r>
            <w:r>
              <w:rPr>
                <w:rFonts w:hint="eastAsia" w:hAnsi="Times New Roman"/>
                <w:color w:val="000000" w:themeColor="text1"/>
                <w:lang w:val="en-US" w:eastAsia="zh-CN"/>
                <w14:textFill>
                  <w14:solidFill>
                    <w14:schemeClr w14:val="tx1"/>
                  </w14:solidFill>
                </w14:textFill>
              </w:rPr>
              <w:t>组立工序VOCs采用顶式集气罩收集，</w:t>
            </w:r>
            <w:r>
              <w:rPr>
                <w:rFonts w:hAnsi="Times New Roman"/>
                <w:color w:val="000000" w:themeColor="text1"/>
                <w14:textFill>
                  <w14:solidFill>
                    <w14:schemeClr w14:val="tx1"/>
                  </w14:solidFill>
                </w14:textFill>
              </w:rPr>
              <w:t>相应工位所有VOCs逸散点控制风速不小于0.5m/s</w:t>
            </w:r>
            <w:r>
              <w:rPr>
                <w:rFonts w:hint="eastAsia" w:hAnsi="Times New Roman"/>
                <w:color w:val="000000" w:themeColor="text1"/>
                <w:lang w:eastAsia="zh-CN"/>
                <w14:textFill>
                  <w14:solidFill>
                    <w14:schemeClr w14:val="tx1"/>
                  </w14:solidFill>
                </w14:textFill>
              </w:rPr>
              <w:t>，</w:t>
            </w:r>
            <w:r>
              <w:rPr>
                <w:rFonts w:hint="eastAsia" w:hAnsi="Times New Roman"/>
                <w:color w:val="000000" w:themeColor="text1"/>
                <w:lang w:val="en-US" w:eastAsia="zh-CN"/>
                <w14:textFill>
                  <w14:solidFill>
                    <w14:schemeClr w14:val="tx1"/>
                  </w14:solidFill>
                </w14:textFill>
              </w:rPr>
              <w:t>收集效率取40%；</w:t>
            </w:r>
            <w:r>
              <w:rPr>
                <w:rFonts w:hAnsi="Times New Roman"/>
                <w:color w:val="000000" w:themeColor="text1"/>
                <w14:textFill>
                  <w14:solidFill>
                    <w14:schemeClr w14:val="tx1"/>
                  </w14:solidFill>
                </w14:textFill>
              </w:rPr>
              <w:t>真空含浸、</w:t>
            </w:r>
            <w:r>
              <w:rPr>
                <w:rFonts w:hAnsi="Times New Roman"/>
                <w:color w:val="000000" w:themeColor="text1"/>
                <w:kern w:val="0"/>
                <w14:textFill>
                  <w14:solidFill>
                    <w14:schemeClr w14:val="tx1"/>
                  </w14:solidFill>
                </w14:textFill>
              </w:rPr>
              <w:t>烘干工序</w:t>
            </w:r>
            <w:r>
              <w:rPr>
                <w:rFonts w:hAnsi="Times New Roman"/>
                <w:color w:val="000000" w:themeColor="text1"/>
                <w14:textFill>
                  <w14:solidFill>
                    <w14:schemeClr w14:val="tx1"/>
                  </w14:solidFill>
                </w14:textFill>
              </w:rPr>
              <w:t>VOCs</w:t>
            </w:r>
            <w:r>
              <w:rPr>
                <w:rFonts w:hAnsi="Times New Roman"/>
                <w:color w:val="000000" w:themeColor="text1"/>
                <w:kern w:val="0"/>
                <w14:textFill>
                  <w14:solidFill>
                    <w14:schemeClr w14:val="tx1"/>
                  </w14:solidFill>
                </w14:textFill>
              </w:rPr>
              <w:t>采用单层密闭负压车间收集，</w:t>
            </w:r>
            <w:r>
              <w:rPr>
                <w:rFonts w:hAnsi="Times New Roman"/>
                <w:color w:val="000000" w:themeColor="text1"/>
                <w14:textFill>
                  <w14:solidFill>
                    <w14:schemeClr w14:val="tx1"/>
                  </w14:solidFill>
                </w14:textFill>
              </w:rPr>
              <w:t>集气效率取95%；配组工序中的焊接过程产生的烟尘采用移动式除尘器进行收集处理，相当于外部型集气设备，且满足“相应工位所有VOCs逸散点控制风速不小于0.5m/s”的要求，因此本项目焊接过程中烟尘的收集率取40%。</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4）处理效率</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参考《深圳市典型行业工艺废气排污量核算方法（试行）》，活性炭吸附装置的处理率为70%，考虑到停留时间及活性炭更换频率，其无法长期达到70%的处理率，因此本项目活性炭吸附处理率保守取50%。因此，“二级活性炭吸附装置”对VOCs的去除率为：50%+（1-50%）×50%=75%；</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参照《三废处理工程技术手册 废气卷》（化工出版社）第二篇第五章第四节中对过滤除尘器的除尘效率分析可知，其除尘效率一般在90%～99%，为了保守起见，本评价拟对其移动式除尘器的除尘效率取90%。</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5）达标性分析</w:t>
            </w:r>
          </w:p>
          <w:p>
            <w:pPr>
              <w:pStyle w:val="37"/>
              <w:ind w:firstLine="420"/>
              <w:jc w:val="both"/>
              <w:rPr>
                <w:b/>
                <w:bCs w:val="0"/>
                <w:color w:val="000000" w:themeColor="text1"/>
                <w14:textFill>
                  <w14:solidFill>
                    <w14:schemeClr w14:val="tx1"/>
                  </w14:solidFill>
                </w14:textFill>
              </w:rPr>
            </w:pPr>
            <w:r>
              <w:rPr>
                <w:b/>
                <w:bCs w:val="0"/>
                <w:color w:val="000000" w:themeColor="text1"/>
                <w14:textFill>
                  <w14:solidFill>
                    <w14:schemeClr w14:val="tx1"/>
                  </w14:solidFill>
                </w14:textFill>
              </w:rPr>
              <w:t>①</w:t>
            </w:r>
            <w:r>
              <w:rPr>
                <w:rFonts w:hint="eastAsia"/>
                <w:b/>
                <w:bCs w:val="0"/>
                <w:color w:val="000000" w:themeColor="text1"/>
                <w:lang w:val="en-US" w:eastAsia="zh-CN"/>
                <w14:textFill>
                  <w14:solidFill>
                    <w14:schemeClr w14:val="tx1"/>
                  </w14:solidFill>
                </w14:textFill>
              </w:rPr>
              <w:t>组立、</w:t>
            </w:r>
            <w:r>
              <w:rPr>
                <w:b/>
                <w:bCs w:val="0"/>
                <w:color w:val="000000" w:themeColor="text1"/>
                <w14:textFill>
                  <w14:solidFill>
                    <w14:schemeClr w14:val="tx1"/>
                  </w14:solidFill>
                </w14:textFill>
              </w:rPr>
              <w:t>真空含浸和烘干工序的VOCs：</w:t>
            </w:r>
          </w:p>
          <w:p>
            <w:pPr>
              <w:pStyle w:val="37"/>
              <w:ind w:firstLine="420"/>
              <w:jc w:val="both"/>
              <w:rPr>
                <w:rFonts w:hAnsi="Times New Roman"/>
                <w:color w:val="000000" w:themeColor="text1"/>
                <w14:textFill>
                  <w14:solidFill>
                    <w14:schemeClr w14:val="tx1"/>
                  </w14:solidFill>
                </w14:textFill>
              </w:rPr>
            </w:pPr>
            <w:r>
              <w:rPr>
                <w:rFonts w:hint="eastAsia" w:hAnsi="Times New Roman"/>
                <w:color w:val="000000" w:themeColor="text1"/>
                <w:lang w:val="en-US" w:eastAsia="zh-CN"/>
                <w14:textFill>
                  <w14:solidFill>
                    <w14:schemeClr w14:val="tx1"/>
                  </w14:solidFill>
                </w14:textFill>
              </w:rPr>
              <w:t>组立、</w:t>
            </w:r>
            <w:r>
              <w:rPr>
                <w:rFonts w:hAnsi="Times New Roman"/>
                <w:color w:val="000000" w:themeColor="text1"/>
                <w14:textFill>
                  <w14:solidFill>
                    <w14:schemeClr w14:val="tx1"/>
                  </w14:solidFill>
                </w14:textFill>
              </w:rPr>
              <w:t>真空含浸和烘干工序VOCs有组织排放量合计为0.0</w:t>
            </w:r>
            <w:r>
              <w:rPr>
                <w:rFonts w:hint="eastAsia" w:hAnsi="Times New Roman"/>
                <w:color w:val="000000" w:themeColor="text1"/>
                <w14:textFill>
                  <w14:solidFill>
                    <w14:schemeClr w14:val="tx1"/>
                  </w14:solidFill>
                </w14:textFill>
              </w:rPr>
              <w:t>4</w:t>
            </w:r>
            <w:r>
              <w:rPr>
                <w:rFonts w:hint="eastAsia" w:hAnsi="Times New Roman"/>
                <w:color w:val="000000" w:themeColor="text1"/>
                <w:lang w:val="en-US" w:eastAsia="zh-CN"/>
                <w14:textFill>
                  <w14:solidFill>
                    <w14:schemeClr w14:val="tx1"/>
                  </w14:solidFill>
                </w14:textFill>
              </w:rPr>
              <w:t>4</w:t>
            </w:r>
            <w:r>
              <w:rPr>
                <w:rFonts w:hAnsi="Times New Roman"/>
                <w:color w:val="000000" w:themeColor="text1"/>
                <w14:textFill>
                  <w14:solidFill>
                    <w14:schemeClr w14:val="tx1"/>
                  </w14:solidFill>
                </w14:textFill>
              </w:rPr>
              <w:t>t/a，有组织排放速率合计为0.0</w:t>
            </w:r>
            <w:r>
              <w:rPr>
                <w:rFonts w:hint="eastAsia" w:hAnsi="Times New Roman"/>
                <w:color w:val="000000" w:themeColor="text1"/>
                <w:lang w:val="en-US" w:eastAsia="zh-CN"/>
                <w14:textFill>
                  <w14:solidFill>
                    <w14:schemeClr w14:val="tx1"/>
                  </w14:solidFill>
                </w14:textFill>
              </w:rPr>
              <w:t>47</w:t>
            </w:r>
            <w:r>
              <w:rPr>
                <w:rFonts w:hAnsi="Times New Roman"/>
                <w:color w:val="000000" w:themeColor="text1"/>
                <w14:textFill>
                  <w14:solidFill>
                    <w14:schemeClr w14:val="tx1"/>
                  </w14:solidFill>
                </w14:textFill>
              </w:rPr>
              <w:t>kg/h，有组织排放浓度合计1.</w:t>
            </w:r>
            <w:r>
              <w:rPr>
                <w:rFonts w:hint="eastAsia" w:hAnsi="Times New Roman"/>
                <w:color w:val="000000" w:themeColor="text1"/>
                <w:lang w:val="en-US" w:eastAsia="zh-CN"/>
                <w14:textFill>
                  <w14:solidFill>
                    <w14:schemeClr w14:val="tx1"/>
                  </w14:solidFill>
                </w14:textFill>
              </w:rPr>
              <w:t>566</w:t>
            </w:r>
            <w:r>
              <w:rPr>
                <w:rFonts w:hAnsi="Times New Roman"/>
                <w:color w:val="000000" w:themeColor="text1"/>
                <w14:textFill>
                  <w14:solidFill>
                    <w14:schemeClr w14:val="tx1"/>
                  </w14:solidFill>
                </w14:textFill>
              </w:rPr>
              <w:t>m</w:t>
            </w:r>
            <w:r>
              <w:rPr>
                <w:rFonts w:hAnsi="Times New Roman"/>
                <w:color w:val="000000" w:themeColor="text1"/>
                <w:vertAlign w:val="superscript"/>
                <w14:textFill>
                  <w14:solidFill>
                    <w14:schemeClr w14:val="tx1"/>
                  </w14:solidFill>
                </w14:textFill>
              </w:rPr>
              <w:t>3</w:t>
            </w:r>
            <w:r>
              <w:rPr>
                <w:rFonts w:hAnsi="Times New Roman"/>
                <w:color w:val="000000" w:themeColor="text1"/>
                <w14:textFill>
                  <w14:solidFill>
                    <w14:schemeClr w14:val="tx1"/>
                  </w14:solidFill>
                </w14:textFill>
              </w:rPr>
              <w:t>/h＜80m</w:t>
            </w:r>
            <w:r>
              <w:rPr>
                <w:rFonts w:hAnsi="Times New Roman"/>
                <w:color w:val="000000" w:themeColor="text1"/>
                <w:vertAlign w:val="superscript"/>
                <w14:textFill>
                  <w14:solidFill>
                    <w14:schemeClr w14:val="tx1"/>
                  </w14:solidFill>
                </w14:textFill>
              </w:rPr>
              <w:t>3</w:t>
            </w:r>
            <w:r>
              <w:rPr>
                <w:rFonts w:hAnsi="Times New Roman"/>
                <w:color w:val="000000" w:themeColor="text1"/>
                <w14:textFill>
                  <w14:solidFill>
                    <w14:schemeClr w14:val="tx1"/>
                  </w14:solidFill>
                </w14:textFill>
              </w:rPr>
              <w:t>/h，可达到</w:t>
            </w:r>
            <w:r>
              <w:rPr>
                <w:rFonts w:hAnsi="Times New Roman"/>
                <w:bCs w:val="0"/>
                <w:color w:val="000000" w:themeColor="text1"/>
                <w14:textFill>
                  <w14:solidFill>
                    <w14:schemeClr w14:val="tx1"/>
                  </w14:solidFill>
                </w14:textFill>
              </w:rPr>
              <w:t>广东省《固定污染源挥发性有机物综合排放标准》（DB44/2367-2022）</w:t>
            </w:r>
            <w:r>
              <w:rPr>
                <w:rFonts w:hAnsi="Times New Roman"/>
                <w:color w:val="000000" w:themeColor="text1"/>
                <w14:textFill>
                  <w14:solidFill>
                    <w14:schemeClr w14:val="tx1"/>
                  </w14:solidFill>
                </w14:textFill>
              </w:rPr>
              <w:t>表1限值要求。</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未被收集的VOCs在加强车间密闭的情况下作无组织排放，无组织排放量为0.0</w:t>
            </w:r>
            <w:r>
              <w:rPr>
                <w:rFonts w:hint="eastAsia" w:hAnsi="Times New Roman"/>
                <w:color w:val="000000" w:themeColor="text1"/>
                <w:lang w:val="en-US" w:eastAsia="zh-CN"/>
                <w14:textFill>
                  <w14:solidFill>
                    <w14:schemeClr w14:val="tx1"/>
                  </w14:solidFill>
                </w14:textFill>
              </w:rPr>
              <w:t>33</w:t>
            </w:r>
            <w:r>
              <w:rPr>
                <w:rFonts w:hAnsi="Times New Roman"/>
                <w:color w:val="000000" w:themeColor="text1"/>
                <w14:textFill>
                  <w14:solidFill>
                    <w14:schemeClr w14:val="tx1"/>
                  </w14:solidFill>
                </w14:textFill>
              </w:rPr>
              <w:t>t/a，排放速率为0.0</w:t>
            </w:r>
            <w:r>
              <w:rPr>
                <w:rFonts w:hint="eastAsia" w:hAnsi="Times New Roman"/>
                <w:color w:val="000000" w:themeColor="text1"/>
                <w14:textFill>
                  <w14:solidFill>
                    <w14:schemeClr w14:val="tx1"/>
                  </w14:solidFill>
                </w14:textFill>
              </w:rPr>
              <w:t>0</w:t>
            </w:r>
            <w:r>
              <w:rPr>
                <w:rFonts w:hint="eastAsia" w:hAnsi="Times New Roman"/>
                <w:color w:val="000000" w:themeColor="text1"/>
                <w:lang w:val="en-US" w:eastAsia="zh-CN"/>
                <w14:textFill>
                  <w14:solidFill>
                    <w14:schemeClr w14:val="tx1"/>
                  </w14:solidFill>
                </w14:textFill>
              </w:rPr>
              <w:t>9</w:t>
            </w:r>
            <w:r>
              <w:rPr>
                <w:rFonts w:hAnsi="Times New Roman"/>
                <w:color w:val="000000" w:themeColor="text1"/>
                <w14:textFill>
                  <w14:solidFill>
                    <w14:schemeClr w14:val="tx1"/>
                  </w14:solidFill>
                </w14:textFill>
              </w:rPr>
              <w:t>kg/h。预计排放浓度可达到</w:t>
            </w:r>
            <w:r>
              <w:rPr>
                <w:rFonts w:hAnsi="Times New Roman"/>
                <w:bCs w:val="0"/>
                <w:color w:val="000000" w:themeColor="text1"/>
                <w14:textFill>
                  <w14:solidFill>
                    <w14:schemeClr w14:val="tx1"/>
                  </w14:solidFill>
                </w14:textFill>
              </w:rPr>
              <w:t>《家具制造行业挥发性有机化合物排放标准》（DB44/814-2010）表2无组织排放监控点浓度限值</w:t>
            </w:r>
            <w:r>
              <w:rPr>
                <w:rFonts w:hAnsi="Times New Roman"/>
                <w:color w:val="000000" w:themeColor="text1"/>
                <w14:textFill>
                  <w14:solidFill>
                    <w14:schemeClr w14:val="tx1"/>
                  </w14:solidFill>
                </w14:textFill>
              </w:rPr>
              <w:t>。</w:t>
            </w:r>
          </w:p>
          <w:p>
            <w:pPr>
              <w:spacing w:line="360" w:lineRule="auto"/>
              <w:ind w:firstLine="422" w:firstLineChars="200"/>
              <w:rPr>
                <w:b/>
                <w:bCs w:val="0"/>
                <w:color w:val="000000" w:themeColor="text1"/>
                <w14:textFill>
                  <w14:solidFill>
                    <w14:schemeClr w14:val="tx1"/>
                  </w14:solidFill>
                </w14:textFill>
              </w:rPr>
            </w:pPr>
            <w:r>
              <w:rPr>
                <w:rFonts w:hint="eastAsia"/>
                <w:b/>
                <w:bCs w:val="0"/>
                <w:color w:val="000000" w:themeColor="text1"/>
                <w:lang w:val="en-US" w:eastAsia="zh-CN"/>
                <w14:textFill>
                  <w14:solidFill>
                    <w14:schemeClr w14:val="tx1"/>
                  </w14:solidFill>
                </w14:textFill>
              </w:rPr>
              <w:t>②</w:t>
            </w:r>
            <w:r>
              <w:rPr>
                <w:b/>
                <w:bCs w:val="0"/>
                <w:color w:val="000000" w:themeColor="text1"/>
                <w14:textFill>
                  <w14:solidFill>
                    <w14:schemeClr w14:val="tx1"/>
                  </w14:solidFill>
                </w14:textFill>
              </w:rPr>
              <w:t>厂区内VOCs：</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预计本项目VOCs厂区内无组织排放浓度能满足</w:t>
            </w:r>
            <w:r>
              <w:rPr>
                <w:rFonts w:hAnsi="Times New Roman"/>
                <w:bCs w:val="0"/>
                <w:color w:val="000000" w:themeColor="text1"/>
                <w14:textFill>
                  <w14:solidFill>
                    <w14:schemeClr w14:val="tx1"/>
                  </w14:solidFill>
                </w14:textFill>
              </w:rPr>
              <w:t>《家具制造行业挥发性有机化合物排放标准》（DB44/814-2010）表2无组织排放监控点浓度限值</w:t>
            </w:r>
            <w:r>
              <w:rPr>
                <w:rFonts w:hAnsi="Times New Roman"/>
                <w:color w:val="000000" w:themeColor="text1"/>
                <w14:textFill>
                  <w14:solidFill>
                    <w14:schemeClr w14:val="tx1"/>
                  </w14:solidFill>
                </w14:textFill>
              </w:rPr>
              <w:t>要求。</w:t>
            </w:r>
          </w:p>
          <w:p>
            <w:pPr>
              <w:spacing w:line="360" w:lineRule="auto"/>
              <w:ind w:firstLine="422" w:firstLineChars="200"/>
              <w:rPr>
                <w:b/>
                <w:bCs w:val="0"/>
                <w:color w:val="000000" w:themeColor="text1"/>
                <w14:textFill>
                  <w14:solidFill>
                    <w14:schemeClr w14:val="tx1"/>
                  </w14:solidFill>
                </w14:textFill>
              </w:rPr>
            </w:pPr>
            <w:r>
              <w:rPr>
                <w:rFonts w:hint="eastAsia"/>
                <w:b/>
                <w:bCs w:val="0"/>
                <w:color w:val="000000" w:themeColor="text1"/>
                <w:lang w:val="en-US" w:eastAsia="zh-CN"/>
                <w14:textFill>
                  <w14:solidFill>
                    <w14:schemeClr w14:val="tx1"/>
                  </w14:solidFill>
                </w14:textFill>
              </w:rPr>
              <w:t>③</w:t>
            </w:r>
            <w:r>
              <w:rPr>
                <w:b/>
                <w:bCs w:val="0"/>
                <w:color w:val="000000" w:themeColor="text1"/>
                <w14:textFill>
                  <w14:solidFill>
                    <w14:schemeClr w14:val="tx1"/>
                  </w14:solidFill>
                </w14:textFill>
              </w:rPr>
              <w:t>真空含浸、烘干工序的臭气浓度：</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含浸、烘干工序除了产生有机废气外，还会伴有异味，以臭气浓度计。恶臭物质经密闭负压车间收集后引入废气处理设施“水喷淋塔+干式过滤器+二级活性炭吸附装置”处理。由于项目臭气浓度产生量较少，且经过废气处理设施“水喷淋塔+干式过滤器+二级活性炭吸附装置”处理后，少部分未被收集的恶臭物质以无组织形式排放，通过加强车间通风，恶臭物质的排放量极少，故本环评不作定量分析。其排放预计可达到《恶臭污染物排放标准》（GB14554-93）表2恶臭污染物排放限值：≤2000（无量纲）；经过加强车间密闭后无组织排放预计可达到《恶臭污染物排放标准》（GB14554-93）表1中的二级新扩改建项目厂界标准值：≤20（无量纲）。</w:t>
            </w:r>
          </w:p>
          <w:p>
            <w:pPr>
              <w:adjustRightInd w:val="0"/>
              <w:snapToGrid w:val="0"/>
              <w:spacing w:line="360" w:lineRule="auto"/>
              <w:ind w:firstLine="422" w:firstLineChars="200"/>
              <w:rPr>
                <w:color w:val="000000" w:themeColor="text1"/>
                <w14:textFill>
                  <w14:solidFill>
                    <w14:schemeClr w14:val="tx1"/>
                  </w14:solidFill>
                </w14:textFill>
              </w:rPr>
            </w:pPr>
            <w:r>
              <w:rPr>
                <w:rFonts w:hint="eastAsia"/>
                <w:b/>
                <w:bCs w:val="0"/>
                <w:color w:val="000000" w:themeColor="text1"/>
                <w:lang w:val="en-US" w:eastAsia="zh-CN"/>
                <w14:textFill>
                  <w14:solidFill>
                    <w14:schemeClr w14:val="tx1"/>
                  </w14:solidFill>
                </w14:textFill>
              </w:rPr>
              <w:t>④</w:t>
            </w:r>
            <w:r>
              <w:rPr>
                <w:b/>
                <w:bCs w:val="0"/>
                <w:color w:val="000000" w:themeColor="text1"/>
                <w14:textFill>
                  <w14:solidFill>
                    <w14:schemeClr w14:val="tx1"/>
                  </w14:solidFill>
                </w14:textFill>
              </w:rPr>
              <w:t>配组工序中的颗粒物</w:t>
            </w:r>
            <w:r>
              <w:rPr>
                <w:color w:val="000000" w:themeColor="text1"/>
                <w14:textFill>
                  <w14:solidFill>
                    <w14:schemeClr w14:val="tx1"/>
                  </w14:solidFill>
                </w14:textFill>
              </w:rPr>
              <w:t>：</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配组工序中将铜线与配绕在铝箔上的铝端子使用电焊机进行焊接，该过程会产生颗粒物。但由于焊接面积极小，且电焊机系采用双面双点过流焊接的原理，工作时两个电极加压工件使两层金属在两电极的压力下形成一定的接触电阻，而焊接电流从一电极流经另一电极时在两接触电阻点形成瞬间的热熔接，且焊接电流瞬间从另一电极沿两工件流至此电极形成回路，并且不会伤及被焊工件的内部结构，无需耗材。因此，该焊接过程中一般产生的颗粒物少，且经过移动式除尘器收集处理，少部分未被收集的颗粒物以无组织形式排放，通过加强车间通风，颗粒物的排放量极少，故本环评对该配组过程产生的颗粒物不做详细的定量分析。其排放预计可达到广东省《大气污染排放限值》（DB44/27-2001）第二时段无组织排放监控浓度限值：≤1.0mg/m</w:t>
            </w:r>
            <w:r>
              <w:rPr>
                <w:rFonts w:hAnsi="Times New Roman"/>
                <w:color w:val="000000" w:themeColor="text1"/>
                <w:vertAlign w:val="superscript"/>
                <w14:textFill>
                  <w14:solidFill>
                    <w14:schemeClr w14:val="tx1"/>
                  </w14:solidFill>
                </w14:textFill>
              </w:rPr>
              <w:t>3</w:t>
            </w:r>
            <w:r>
              <w:rPr>
                <w:rFonts w:hAnsi="Times New Roman"/>
                <w:color w:val="000000" w:themeColor="text1"/>
                <w14:textFill>
                  <w14:solidFill>
                    <w14:schemeClr w14:val="tx1"/>
                  </w14:solidFill>
                </w14:textFill>
              </w:rPr>
              <w:t>。</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2、排放口情况</w:t>
            </w: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表4-7  项目排气筒基本情况一览表</w:t>
            </w:r>
          </w:p>
          <w:tbl>
            <w:tblPr>
              <w:tblStyle w:val="30"/>
              <w:tblW w:w="9784"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1123"/>
              <w:gridCol w:w="1657"/>
              <w:gridCol w:w="1457"/>
              <w:gridCol w:w="1255"/>
              <w:gridCol w:w="814"/>
              <w:gridCol w:w="860"/>
              <w:gridCol w:w="953"/>
              <w:gridCol w:w="799"/>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67"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排放口编号</w:t>
                  </w:r>
                </w:p>
              </w:tc>
              <w:tc>
                <w:tcPr>
                  <w:tcW w:w="1136"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排放口名称</w:t>
                  </w:r>
                </w:p>
              </w:tc>
              <w:tc>
                <w:tcPr>
                  <w:tcW w:w="1670"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污染物种类</w:t>
                  </w:r>
                </w:p>
              </w:tc>
              <w:tc>
                <w:tcPr>
                  <w:tcW w:w="2716" w:type="dxa"/>
                  <w:gridSpan w:val="2"/>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排放口地理坐标</w:t>
                  </w:r>
                </w:p>
              </w:tc>
              <w:tc>
                <w:tcPr>
                  <w:tcW w:w="814" w:type="dxa"/>
                  <w:vMerge w:val="restart"/>
                  <w:vAlign w:val="center"/>
                </w:tcPr>
                <w:p>
                  <w:pPr>
                    <w:jc w:val="center"/>
                    <w:rPr>
                      <w:color w:val="000000" w:themeColor="text1"/>
                      <w14:textFill>
                        <w14:solidFill>
                          <w14:schemeClr w14:val="tx1"/>
                        </w14:solidFill>
                      </w14:textFill>
                    </w:rPr>
                  </w:pPr>
                  <w:r>
                    <w:rPr>
                      <w:b/>
                      <w:bCs w:val="0"/>
                      <w:color w:val="000000" w:themeColor="text1"/>
                      <w14:textFill>
                        <w14:solidFill>
                          <w14:schemeClr w14:val="tx1"/>
                        </w14:solidFill>
                      </w14:textFill>
                    </w:rPr>
                    <w:t>排气筒高度（m）</w:t>
                  </w:r>
                </w:p>
              </w:tc>
              <w:tc>
                <w:tcPr>
                  <w:tcW w:w="861" w:type="dxa"/>
                  <w:vMerge w:val="restart"/>
                  <w:vAlign w:val="center"/>
                </w:tcPr>
                <w:p>
                  <w:pPr>
                    <w:jc w:val="center"/>
                    <w:rPr>
                      <w:b/>
                      <w:bCs w:val="0"/>
                      <w:color w:val="000000" w:themeColor="text1"/>
                      <w14:textFill>
                        <w14:solidFill>
                          <w14:schemeClr w14:val="tx1"/>
                        </w14:solidFill>
                      </w14:textFill>
                    </w:rPr>
                  </w:pPr>
                  <w:bookmarkStart w:id="1" w:name="_Hlk96006414"/>
                  <w:r>
                    <w:rPr>
                      <w:b/>
                      <w:bCs w:val="0"/>
                      <w:color w:val="000000" w:themeColor="text1"/>
                      <w14:textFill>
                        <w14:solidFill>
                          <w14:schemeClr w14:val="tx1"/>
                        </w14:solidFill>
                      </w14:textFill>
                    </w:rPr>
                    <w:t>排气筒出口</w:t>
                  </w:r>
                </w:p>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内径</w:t>
                  </w:r>
                  <w:bookmarkEnd w:id="1"/>
                  <w:r>
                    <w:rPr>
                      <w:b/>
                      <w:bCs w:val="0"/>
                      <w:color w:val="000000" w:themeColor="text1"/>
                      <w14:textFill>
                        <w14:solidFill>
                          <w14:schemeClr w14:val="tx1"/>
                        </w14:solidFill>
                      </w14:textFill>
                    </w:rPr>
                    <w:t>（m）</w:t>
                  </w:r>
                </w:p>
              </w:tc>
              <w:tc>
                <w:tcPr>
                  <w:tcW w:w="918"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烟气</w:t>
                  </w:r>
                </w:p>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流速（m/s）</w:t>
                  </w:r>
                </w:p>
              </w:tc>
              <w:tc>
                <w:tcPr>
                  <w:tcW w:w="802"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排气</w:t>
                  </w:r>
                </w:p>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温度</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67" w:type="dxa"/>
                  <w:vMerge w:val="continue"/>
                  <w:vAlign w:val="center"/>
                </w:tcPr>
                <w:p>
                  <w:pPr>
                    <w:widowControl/>
                    <w:jc w:val="left"/>
                    <w:rPr>
                      <w:b/>
                      <w:bCs w:val="0"/>
                      <w:color w:val="000000" w:themeColor="text1"/>
                      <w14:textFill>
                        <w14:solidFill>
                          <w14:schemeClr w14:val="tx1"/>
                        </w14:solidFill>
                      </w14:textFill>
                    </w:rPr>
                  </w:pPr>
                </w:p>
              </w:tc>
              <w:tc>
                <w:tcPr>
                  <w:tcW w:w="1136" w:type="dxa"/>
                  <w:vMerge w:val="continue"/>
                  <w:vAlign w:val="center"/>
                </w:tcPr>
                <w:p>
                  <w:pPr>
                    <w:widowControl/>
                    <w:jc w:val="left"/>
                    <w:rPr>
                      <w:b/>
                      <w:bCs w:val="0"/>
                      <w:color w:val="000000" w:themeColor="text1"/>
                      <w14:textFill>
                        <w14:solidFill>
                          <w14:schemeClr w14:val="tx1"/>
                        </w14:solidFill>
                      </w14:textFill>
                    </w:rPr>
                  </w:pPr>
                </w:p>
              </w:tc>
              <w:tc>
                <w:tcPr>
                  <w:tcW w:w="1670" w:type="dxa"/>
                  <w:vMerge w:val="continue"/>
                  <w:vAlign w:val="center"/>
                </w:tcPr>
                <w:p>
                  <w:pPr>
                    <w:widowControl/>
                    <w:jc w:val="left"/>
                    <w:rPr>
                      <w:b/>
                      <w:bCs w:val="0"/>
                      <w:color w:val="000000" w:themeColor="text1"/>
                      <w14:textFill>
                        <w14:solidFill>
                          <w14:schemeClr w14:val="tx1"/>
                        </w14:solidFill>
                      </w14:textFill>
                    </w:rPr>
                  </w:pPr>
                </w:p>
              </w:tc>
              <w:tc>
                <w:tcPr>
                  <w:tcW w:w="146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经度（E）</w:t>
                  </w:r>
                </w:p>
              </w:tc>
              <w:tc>
                <w:tcPr>
                  <w:tcW w:w="1256"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纬度（N）</w:t>
                  </w:r>
                </w:p>
              </w:tc>
              <w:tc>
                <w:tcPr>
                  <w:tcW w:w="814" w:type="dxa"/>
                  <w:vMerge w:val="continue"/>
                  <w:vAlign w:val="center"/>
                </w:tcPr>
                <w:p>
                  <w:pPr>
                    <w:widowControl/>
                    <w:jc w:val="left"/>
                    <w:rPr>
                      <w:color w:val="000000" w:themeColor="text1"/>
                      <w14:textFill>
                        <w14:solidFill>
                          <w14:schemeClr w14:val="tx1"/>
                        </w14:solidFill>
                      </w14:textFill>
                    </w:rPr>
                  </w:pPr>
                </w:p>
              </w:tc>
              <w:tc>
                <w:tcPr>
                  <w:tcW w:w="861" w:type="dxa"/>
                  <w:vMerge w:val="continue"/>
                  <w:vAlign w:val="center"/>
                </w:tcPr>
                <w:p>
                  <w:pPr>
                    <w:widowControl/>
                    <w:jc w:val="left"/>
                    <w:rPr>
                      <w:b/>
                      <w:bCs w:val="0"/>
                      <w:color w:val="000000" w:themeColor="text1"/>
                      <w14:textFill>
                        <w14:solidFill>
                          <w14:schemeClr w14:val="tx1"/>
                        </w14:solidFill>
                      </w14:textFill>
                    </w:rPr>
                  </w:pPr>
                </w:p>
              </w:tc>
              <w:tc>
                <w:tcPr>
                  <w:tcW w:w="918" w:type="dxa"/>
                  <w:vMerge w:val="continue"/>
                  <w:vAlign w:val="center"/>
                </w:tcPr>
                <w:p>
                  <w:pPr>
                    <w:widowControl/>
                    <w:jc w:val="left"/>
                    <w:rPr>
                      <w:b/>
                      <w:bCs w:val="0"/>
                      <w:color w:val="000000" w:themeColor="text1"/>
                      <w14:textFill>
                        <w14:solidFill>
                          <w14:schemeClr w14:val="tx1"/>
                        </w14:solidFill>
                      </w14:textFill>
                    </w:rPr>
                  </w:pPr>
                </w:p>
              </w:tc>
              <w:tc>
                <w:tcPr>
                  <w:tcW w:w="802" w:type="dxa"/>
                  <w:vMerge w:val="continue"/>
                  <w:vAlign w:val="center"/>
                </w:tcPr>
                <w:p>
                  <w:pPr>
                    <w:widowControl/>
                    <w:jc w:val="left"/>
                    <w:rPr>
                      <w:b/>
                      <w:bCs w:val="0"/>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6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DA001</w:t>
                  </w:r>
                </w:p>
              </w:tc>
              <w:tc>
                <w:tcPr>
                  <w:tcW w:w="1136"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有机废气排放口</w:t>
                  </w:r>
                </w:p>
              </w:tc>
              <w:tc>
                <w:tcPr>
                  <w:tcW w:w="1670"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VOCs、臭气浓度</w:t>
                  </w:r>
                </w:p>
              </w:tc>
              <w:tc>
                <w:tcPr>
                  <w:tcW w:w="1460" w:type="dxa"/>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114.265939°</w:t>
                  </w:r>
                </w:p>
              </w:tc>
              <w:tc>
                <w:tcPr>
                  <w:tcW w:w="1256" w:type="dxa"/>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23.186991°</w:t>
                  </w:r>
                </w:p>
              </w:tc>
              <w:tc>
                <w:tcPr>
                  <w:tcW w:w="814"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861" w:type="dxa"/>
                  <w:vAlign w:val="center"/>
                </w:tcPr>
                <w:p>
                  <w:pPr>
                    <w:jc w:val="center"/>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9</w:t>
                  </w:r>
                </w:p>
              </w:tc>
              <w:tc>
                <w:tcPr>
                  <w:tcW w:w="918" w:type="dxa"/>
                  <w:vAlign w:val="center"/>
                </w:tcPr>
                <w:p>
                  <w:pPr>
                    <w:jc w:val="center"/>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3.1</w:t>
                  </w:r>
                </w:p>
              </w:tc>
              <w:tc>
                <w:tcPr>
                  <w:tcW w:w="8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w:t>
                  </w:r>
                </w:p>
              </w:tc>
            </w:tr>
          </w:tbl>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3、监测要求</w:t>
            </w:r>
          </w:p>
          <w:p>
            <w:pPr>
              <w:pStyle w:val="87"/>
              <w:spacing w:line="360" w:lineRule="auto"/>
              <w:ind w:firstLine="422" w:firstLineChars="0"/>
              <w:rPr>
                <w:color w:val="000000" w:themeColor="text1"/>
                <w14:textFill>
                  <w14:solidFill>
                    <w14:schemeClr w14:val="tx1"/>
                  </w14:solidFill>
                </w14:textFill>
              </w:rPr>
            </w:pPr>
            <w:r>
              <w:rPr>
                <w:color w:val="000000" w:themeColor="text1"/>
                <w14:textFill>
                  <w14:solidFill>
                    <w14:schemeClr w14:val="tx1"/>
                  </w14:solidFill>
                </w14:textFill>
              </w:rPr>
              <w:t>参照《排污单位自行监测技术指南 电子工业》（HJ1253-2022），制定本项目废气监测计划。</w:t>
            </w:r>
          </w:p>
          <w:p>
            <w:pPr>
              <w:pStyle w:val="4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表4-8  项目废气监测一览表</w:t>
            </w:r>
          </w:p>
          <w:tbl>
            <w:tblPr>
              <w:tblStyle w:val="30"/>
              <w:tblW w:w="9789"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637"/>
              <w:gridCol w:w="1276"/>
              <w:gridCol w:w="1264"/>
              <w:gridCol w:w="1170"/>
              <w:gridCol w:w="3343"/>
              <w:gridCol w:w="163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106" w:type="dxa"/>
                  <w:gridSpan w:val="2"/>
                  <w:shd w:val="clear" w:color="auto" w:fill="auto"/>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项目</w:t>
                  </w:r>
                </w:p>
              </w:tc>
              <w:tc>
                <w:tcPr>
                  <w:tcW w:w="1276" w:type="dxa"/>
                  <w:shd w:val="clear" w:color="auto" w:fill="auto"/>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监测点位</w:t>
                  </w:r>
                </w:p>
              </w:tc>
              <w:tc>
                <w:tcPr>
                  <w:tcW w:w="1264" w:type="dxa"/>
                  <w:shd w:val="clear" w:color="auto" w:fill="auto"/>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监测指标</w:t>
                  </w:r>
                </w:p>
              </w:tc>
              <w:tc>
                <w:tcPr>
                  <w:tcW w:w="1170" w:type="dxa"/>
                  <w:shd w:val="clear" w:color="auto" w:fill="auto"/>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监测频次</w:t>
                  </w:r>
                </w:p>
              </w:tc>
              <w:tc>
                <w:tcPr>
                  <w:tcW w:w="3343" w:type="dxa"/>
                  <w:shd w:val="clear" w:color="auto" w:fill="auto"/>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执行排放标准</w:t>
                  </w:r>
                </w:p>
              </w:tc>
              <w:tc>
                <w:tcPr>
                  <w:tcW w:w="1630" w:type="dxa"/>
                  <w:vAlign w:val="center"/>
                </w:tcPr>
                <w:p>
                  <w:pPr>
                    <w:pStyle w:val="76"/>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排放限值mg/m</w:t>
                  </w:r>
                  <w:r>
                    <w:rPr>
                      <w:rFonts w:eastAsia="宋体"/>
                      <w:b/>
                      <w:color w:val="000000" w:themeColor="text1"/>
                      <w:sz w:val="21"/>
                      <w:vertAlign w:val="superscript"/>
                      <w14:textFill>
                        <w14:solidFill>
                          <w14:schemeClr w14:val="tx1"/>
                        </w14:solidFill>
                      </w14:textFill>
                    </w:rPr>
                    <w:t>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restart"/>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废气</w:t>
                  </w:r>
                </w:p>
              </w:tc>
              <w:tc>
                <w:tcPr>
                  <w:tcW w:w="637" w:type="dxa"/>
                  <w:vMerge w:val="restart"/>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有组织废气</w:t>
                  </w:r>
                </w:p>
              </w:tc>
              <w:tc>
                <w:tcPr>
                  <w:tcW w:w="1276" w:type="dxa"/>
                  <w:vMerge w:val="restart"/>
                  <w:shd w:val="clear" w:color="auto" w:fill="auto"/>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排气筒（DA001）</w:t>
                  </w:r>
                </w:p>
              </w:tc>
              <w:tc>
                <w:tcPr>
                  <w:tcW w:w="1264" w:type="dxa"/>
                  <w:shd w:val="clear" w:color="auto" w:fill="auto"/>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TVOC</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vMerge w:val="restart"/>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广东省《固定污染源挥发性有机物综合排放标准》（DB44/2367-2022）表1限值要求</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100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637"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76"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1264" w:type="dxa"/>
                  <w:shd w:val="clear" w:color="auto" w:fill="auto"/>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vMerge w:val="continue"/>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80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637"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76"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1264" w:type="dxa"/>
                  <w:shd w:val="clear" w:color="auto" w:fill="auto"/>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臭气浓度</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《恶臭污染物排放标准》（GB14554-93）表1二级（新扩改建）标准限值</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2000</w:t>
                  </w:r>
                </w:p>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（无量纲）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637" w:type="dxa"/>
                  <w:vMerge w:val="restart"/>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无组织废气</w:t>
                  </w:r>
                </w:p>
              </w:tc>
              <w:tc>
                <w:tcPr>
                  <w:tcW w:w="1276" w:type="dxa"/>
                  <w:vMerge w:val="restart"/>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企业边界</w:t>
                  </w:r>
                </w:p>
              </w:tc>
              <w:tc>
                <w:tcPr>
                  <w:tcW w:w="1264"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总VOCs</w:t>
                  </w:r>
                </w:p>
              </w:tc>
              <w:tc>
                <w:tcPr>
                  <w:tcW w:w="1170"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1次/年</w:t>
                  </w:r>
                </w:p>
              </w:tc>
              <w:tc>
                <w:tcPr>
                  <w:tcW w:w="3343"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《家具制造行业挥发性有机化合物排放标准》（DB44/814-2010）表2无组织排放监控点浓度限值</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637"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76"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64"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颗粒物</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广东省《大气污染物排放限值》（DB44/27-2001）第二时段无组织排放监控浓度限值</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1.0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637"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76" w:type="dxa"/>
                  <w:vMerge w:val="continue"/>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p>
              </w:tc>
              <w:tc>
                <w:tcPr>
                  <w:tcW w:w="1264"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臭气浓度</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《恶臭污染物排放标准》（GB14554-93）表2标准限值</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20（无量纲）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69"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637" w:type="dxa"/>
                  <w:vMerge w:val="continue"/>
                  <w:shd w:val="clear" w:color="auto" w:fill="auto"/>
                  <w:vAlign w:val="center"/>
                </w:tcPr>
                <w:p>
                  <w:pPr>
                    <w:adjustRightInd w:val="0"/>
                    <w:jc w:val="center"/>
                    <w:rPr>
                      <w:color w:val="000000" w:themeColor="text1"/>
                      <w14:textFill>
                        <w14:solidFill>
                          <w14:schemeClr w14:val="tx1"/>
                        </w14:solidFill>
                      </w14:textFill>
                    </w:rPr>
                  </w:pPr>
                </w:p>
              </w:tc>
              <w:tc>
                <w:tcPr>
                  <w:tcW w:w="1276"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在厂房外设置监控点</w:t>
                  </w:r>
                </w:p>
              </w:tc>
              <w:tc>
                <w:tcPr>
                  <w:tcW w:w="1264"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NMHC</w:t>
                  </w:r>
                </w:p>
              </w:tc>
              <w:tc>
                <w:tcPr>
                  <w:tcW w:w="1170" w:type="dxa"/>
                  <w:shd w:val="clear" w:color="auto" w:fill="auto"/>
                  <w:vAlign w:val="center"/>
                </w:tcPr>
                <w:p>
                  <w:pPr>
                    <w:pStyle w:val="76"/>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1次/年</w:t>
                  </w:r>
                </w:p>
              </w:tc>
              <w:tc>
                <w:tcPr>
                  <w:tcW w:w="3343" w:type="dxa"/>
                  <w:shd w:val="clear" w:color="auto" w:fill="auto"/>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广东省《固定污染源挥发性有机物综合排放标准》（DB44/2367—2022）中的表3限值</w:t>
                  </w:r>
                </w:p>
              </w:tc>
              <w:tc>
                <w:tcPr>
                  <w:tcW w:w="1630" w:type="dxa"/>
                  <w:vAlign w:val="center"/>
                </w:tcPr>
                <w:p>
                  <w:pPr>
                    <w:pStyle w:val="76"/>
                    <w:spacing w:line="240" w:lineRule="auto"/>
                    <w:ind w:firstLine="0"/>
                    <w:jc w:val="center"/>
                    <w:rPr>
                      <w:rFonts w:eastAsia="宋体"/>
                      <w:color w:val="000000" w:themeColor="text1"/>
                      <w:sz w:val="21"/>
                      <w:szCs w:val="18"/>
                      <w14:textFill>
                        <w14:solidFill>
                          <w14:schemeClr w14:val="tx1"/>
                        </w14:solidFill>
                      </w14:textFill>
                    </w:rPr>
                  </w:pPr>
                  <w:r>
                    <w:rPr>
                      <w:rFonts w:eastAsia="宋体"/>
                      <w:color w:val="000000" w:themeColor="text1"/>
                      <w:sz w:val="21"/>
                      <w:szCs w:val="18"/>
                      <w14:textFill>
                        <w14:solidFill>
                          <w14:schemeClr w14:val="tx1"/>
                        </w14:solidFill>
                      </w14:textFill>
                    </w:rPr>
                    <w:t>6（监控点处1h平均浓度值）；20（监控点处任意一次浓度值）</w:t>
                  </w:r>
                </w:p>
              </w:tc>
            </w:tr>
          </w:tbl>
          <w:p>
            <w:pPr>
              <w:autoSpaceDE w:val="0"/>
              <w:autoSpaceDN w:val="0"/>
              <w:adjustRightInd w:val="0"/>
              <w:snapToGrid w:val="0"/>
              <w:spacing w:line="360" w:lineRule="auto"/>
              <w:ind w:firstLine="382" w:firstLineChars="200"/>
              <w:jc w:val="left"/>
              <w:rPr>
                <w:bCs w:val="0"/>
                <w:color w:val="000000" w:themeColor="text1"/>
                <w:spacing w:val="-10"/>
                <w14:textFill>
                  <w14:solidFill>
                    <w14:schemeClr w14:val="tx1"/>
                  </w14:solidFill>
                </w14:textFill>
              </w:rPr>
            </w:pPr>
            <w:r>
              <w:rPr>
                <w:b/>
                <w:bCs w:val="0"/>
                <w:color w:val="000000" w:themeColor="text1"/>
                <w:spacing w:val="-10"/>
                <w14:textFill>
                  <w14:solidFill>
                    <w14:schemeClr w14:val="tx1"/>
                  </w14:solidFill>
                </w14:textFill>
              </w:rPr>
              <w:t>4、非正常工况源强分析</w:t>
            </w:r>
          </w:p>
          <w:p>
            <w:pPr>
              <w:autoSpaceDE w:val="0"/>
              <w:autoSpaceDN w:val="0"/>
              <w:adjustRightInd w:val="0"/>
              <w:snapToGrid w:val="0"/>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表4-9  本项目涉及污染源（有组织）排放一览表（非正常工况）</w:t>
            </w:r>
          </w:p>
          <w:tbl>
            <w:tblPr>
              <w:tblStyle w:val="30"/>
              <w:tblW w:w="9782"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163"/>
              <w:gridCol w:w="1081"/>
              <w:gridCol w:w="1081"/>
              <w:gridCol w:w="1077"/>
              <w:gridCol w:w="1157"/>
              <w:gridCol w:w="1134"/>
              <w:gridCol w:w="1136"/>
              <w:gridCol w:w="818"/>
              <w:gridCol w:w="1135"/>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163"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污染源</w:t>
                  </w:r>
                </w:p>
              </w:tc>
              <w:tc>
                <w:tcPr>
                  <w:tcW w:w="1081"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非正常排放原因</w:t>
                  </w:r>
                </w:p>
              </w:tc>
              <w:tc>
                <w:tcPr>
                  <w:tcW w:w="1081"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污染因子</w:t>
                  </w:r>
                </w:p>
              </w:tc>
              <w:tc>
                <w:tcPr>
                  <w:tcW w:w="1077" w:type="dxa"/>
                  <w:vAlign w:val="center"/>
                </w:tcPr>
                <w:p>
                  <w:pPr>
                    <w:topLinePunct/>
                    <w:jc w:val="center"/>
                    <w:rPr>
                      <w:b/>
                      <w:color w:val="000000" w:themeColor="text1"/>
                      <w14:textFill>
                        <w14:solidFill>
                          <w14:schemeClr w14:val="tx1"/>
                        </w14:solidFill>
                      </w14:textFill>
                    </w:rPr>
                  </w:pPr>
                  <w:r>
                    <w:rPr>
                      <w:b/>
                      <w:color w:val="000000" w:themeColor="text1"/>
                      <w14:textFill>
                        <w14:solidFill>
                          <w14:schemeClr w14:val="tx1"/>
                        </w14:solidFill>
                      </w14:textFill>
                    </w:rPr>
                    <w:t>非正常排放浓度</w:t>
                  </w:r>
                </w:p>
                <w:p>
                  <w:pPr>
                    <w:pStyle w:val="79"/>
                    <w:rPr>
                      <w:b/>
                      <w:color w:val="000000" w:themeColor="text1"/>
                      <w14:textFill>
                        <w14:solidFill>
                          <w14:schemeClr w14:val="tx1"/>
                        </w14:solidFill>
                      </w14:textFill>
                    </w:rPr>
                  </w:pPr>
                  <w:r>
                    <w:rPr>
                      <w:b/>
                      <w:color w:val="000000" w:themeColor="text1"/>
                      <w14:textFill>
                        <w14:solidFill>
                          <w14:schemeClr w14:val="tx1"/>
                        </w14:solidFill>
                      </w14:textFill>
                    </w:rPr>
                    <w:t>mg/m</w:t>
                  </w:r>
                  <w:r>
                    <w:rPr>
                      <w:b/>
                      <w:color w:val="000000" w:themeColor="text1"/>
                      <w:vertAlign w:val="superscript"/>
                      <w14:textFill>
                        <w14:solidFill>
                          <w14:schemeClr w14:val="tx1"/>
                        </w14:solidFill>
                      </w14:textFill>
                    </w:rPr>
                    <w:t>3</w:t>
                  </w:r>
                </w:p>
              </w:tc>
              <w:tc>
                <w:tcPr>
                  <w:tcW w:w="1157"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非正常排放速率</w:t>
                  </w:r>
                </w:p>
                <w:p>
                  <w:pPr>
                    <w:pStyle w:val="79"/>
                    <w:rPr>
                      <w:b/>
                      <w:color w:val="000000" w:themeColor="text1"/>
                      <w14:textFill>
                        <w14:solidFill>
                          <w14:schemeClr w14:val="tx1"/>
                        </w14:solidFill>
                      </w14:textFill>
                    </w:rPr>
                  </w:pPr>
                  <w:r>
                    <w:rPr>
                      <w:b/>
                      <w:color w:val="000000" w:themeColor="text1"/>
                      <w14:textFill>
                        <w14:solidFill>
                          <w14:schemeClr w14:val="tx1"/>
                        </w14:solidFill>
                      </w14:textFill>
                    </w:rPr>
                    <w:t>（kg/h）</w:t>
                  </w:r>
                </w:p>
              </w:tc>
              <w:tc>
                <w:tcPr>
                  <w:tcW w:w="1134"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年发生频次（次）</w:t>
                  </w:r>
                </w:p>
              </w:tc>
              <w:tc>
                <w:tcPr>
                  <w:tcW w:w="1136"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单次持续时间（h）</w:t>
                  </w:r>
                </w:p>
              </w:tc>
              <w:tc>
                <w:tcPr>
                  <w:tcW w:w="818"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非正常排放量（kg/a）</w:t>
                  </w:r>
                </w:p>
              </w:tc>
              <w:tc>
                <w:tcPr>
                  <w:tcW w:w="1135" w:type="dxa"/>
                  <w:vAlign w:val="center"/>
                </w:tcPr>
                <w:p>
                  <w:pPr>
                    <w:pStyle w:val="79"/>
                    <w:rPr>
                      <w:b/>
                      <w:color w:val="000000" w:themeColor="text1"/>
                      <w14:textFill>
                        <w14:solidFill>
                          <w14:schemeClr w14:val="tx1"/>
                        </w14:solidFill>
                      </w14:textFill>
                    </w:rPr>
                  </w:pPr>
                  <w:r>
                    <w:rPr>
                      <w:b/>
                      <w:color w:val="000000" w:themeColor="text1"/>
                      <w14:textFill>
                        <w14:solidFill>
                          <w14:schemeClr w14:val="tx1"/>
                        </w14:solidFill>
                      </w14:textFill>
                    </w:rPr>
                    <w:t>应对措施</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cantSplit/>
                <w:trHeight w:val="653" w:hRule="atLeast"/>
                <w:jc w:val="center"/>
              </w:trPr>
              <w:tc>
                <w:tcPr>
                  <w:tcW w:w="1163" w:type="dxa"/>
                  <w:vAlign w:val="center"/>
                </w:tcPr>
                <w:p>
                  <w:pPr>
                    <w:topLinePunct/>
                    <w:jc w:val="center"/>
                    <w:rPr>
                      <w:color w:val="000000" w:themeColor="text1"/>
                      <w14:textFill>
                        <w14:solidFill>
                          <w14:schemeClr w14:val="tx1"/>
                        </w14:solidFill>
                      </w14:textFill>
                    </w:rPr>
                  </w:pPr>
                  <w:r>
                    <w:rPr>
                      <w:color w:val="000000" w:themeColor="text1"/>
                      <w14:textFill>
                        <w14:solidFill>
                          <w14:schemeClr w14:val="tx1"/>
                        </w14:solidFill>
                      </w14:textFill>
                    </w:rPr>
                    <w:t>排气筒（DA001）</w:t>
                  </w:r>
                </w:p>
              </w:tc>
              <w:tc>
                <w:tcPr>
                  <w:tcW w:w="1081" w:type="dxa"/>
                  <w:vAlign w:val="center"/>
                </w:tcPr>
                <w:p>
                  <w:pPr>
                    <w:pStyle w:val="79"/>
                    <w:rPr>
                      <w:color w:val="000000" w:themeColor="text1"/>
                      <w14:textFill>
                        <w14:solidFill>
                          <w14:schemeClr w14:val="tx1"/>
                        </w14:solidFill>
                      </w14:textFill>
                    </w:rPr>
                  </w:pPr>
                  <w:r>
                    <w:rPr>
                      <w:color w:val="000000" w:themeColor="text1"/>
                      <w14:textFill>
                        <w14:solidFill>
                          <w14:schemeClr w14:val="tx1"/>
                        </w14:solidFill>
                      </w14:textFill>
                    </w:rPr>
                    <w:t>处理设施故障（剩余约20%的处理能力）</w:t>
                  </w:r>
                </w:p>
              </w:tc>
              <w:tc>
                <w:tcPr>
                  <w:tcW w:w="1081" w:type="dxa"/>
                  <w:vAlign w:val="center"/>
                </w:tcPr>
                <w:p>
                  <w:pPr>
                    <w:pStyle w:val="79"/>
                    <w:rPr>
                      <w:color w:val="000000" w:themeColor="text1"/>
                      <w14:textFill>
                        <w14:solidFill>
                          <w14:schemeClr w14:val="tx1"/>
                        </w14:solidFill>
                      </w14:textFill>
                    </w:rPr>
                  </w:pPr>
                  <w:r>
                    <w:rPr>
                      <w:color w:val="000000" w:themeColor="text1"/>
                      <w14:textFill>
                        <w14:solidFill>
                          <w14:schemeClr w14:val="tx1"/>
                        </w14:solidFill>
                      </w14:textFill>
                    </w:rPr>
                    <w:t>VOCs</w:t>
                  </w:r>
                </w:p>
              </w:tc>
              <w:tc>
                <w:tcPr>
                  <w:tcW w:w="1077" w:type="dxa"/>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5.01</w:t>
                  </w:r>
                </w:p>
              </w:tc>
              <w:tc>
                <w:tcPr>
                  <w:tcW w:w="1157" w:type="dxa"/>
                  <w:vAlign w:val="center"/>
                </w:tcPr>
                <w:p>
                  <w:pPr>
                    <w:jc w:val="center"/>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5</w:t>
                  </w:r>
                </w:p>
              </w:tc>
              <w:tc>
                <w:tcPr>
                  <w:tcW w:w="1134" w:type="dxa"/>
                  <w:vAlign w:val="center"/>
                </w:tcPr>
                <w:p>
                  <w:pPr>
                    <w:pStyle w:val="79"/>
                    <w:rPr>
                      <w:color w:val="000000" w:themeColor="text1"/>
                      <w14:textFill>
                        <w14:solidFill>
                          <w14:schemeClr w14:val="tx1"/>
                        </w14:solidFill>
                      </w14:textFill>
                    </w:rPr>
                  </w:pPr>
                  <w:r>
                    <w:rPr>
                      <w:color w:val="000000" w:themeColor="text1"/>
                      <w14:textFill>
                        <w14:solidFill>
                          <w14:schemeClr w14:val="tx1"/>
                        </w14:solidFill>
                      </w14:textFill>
                    </w:rPr>
                    <w:t>2</w:t>
                  </w:r>
                </w:p>
              </w:tc>
              <w:tc>
                <w:tcPr>
                  <w:tcW w:w="1136" w:type="dxa"/>
                  <w:vAlign w:val="center"/>
                </w:tcPr>
                <w:p>
                  <w:pPr>
                    <w:pStyle w:val="79"/>
                    <w:rPr>
                      <w:color w:val="000000" w:themeColor="text1"/>
                      <w14:textFill>
                        <w14:solidFill>
                          <w14:schemeClr w14:val="tx1"/>
                        </w14:solidFill>
                      </w14:textFill>
                    </w:rPr>
                  </w:pPr>
                  <w:r>
                    <w:rPr>
                      <w:color w:val="000000" w:themeColor="text1"/>
                      <w14:textFill>
                        <w14:solidFill>
                          <w14:schemeClr w14:val="tx1"/>
                        </w14:solidFill>
                      </w14:textFill>
                    </w:rPr>
                    <w:t>0.5</w:t>
                  </w:r>
                </w:p>
              </w:tc>
              <w:tc>
                <w:tcPr>
                  <w:tcW w:w="818" w:type="dxa"/>
                  <w:vAlign w:val="center"/>
                </w:tcPr>
                <w:p>
                  <w:pPr>
                    <w:pStyle w:val="79"/>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5</w:t>
                  </w:r>
                </w:p>
              </w:tc>
              <w:tc>
                <w:tcPr>
                  <w:tcW w:w="1135" w:type="dxa"/>
                  <w:vAlign w:val="center"/>
                </w:tcPr>
                <w:p>
                  <w:pPr>
                    <w:pStyle w:val="79"/>
                    <w:rPr>
                      <w:color w:val="000000" w:themeColor="text1"/>
                      <w14:textFill>
                        <w14:solidFill>
                          <w14:schemeClr w14:val="tx1"/>
                        </w14:solidFill>
                      </w14:textFill>
                    </w:rPr>
                  </w:pPr>
                  <w:r>
                    <w:rPr>
                      <w:color w:val="000000" w:themeColor="text1"/>
                      <w14:textFill>
                        <w14:solidFill>
                          <w14:schemeClr w14:val="tx1"/>
                        </w14:solidFill>
                      </w14:textFill>
                    </w:rPr>
                    <w:t>立即停止排放，并定期加强环保设施检查，台账记录等</w:t>
                  </w:r>
                </w:p>
              </w:tc>
            </w:tr>
          </w:tbl>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5、环保措施可行性分析</w:t>
            </w:r>
          </w:p>
          <w:p>
            <w:pPr>
              <w:pStyle w:val="45"/>
              <w:spacing w:line="360" w:lineRule="auto"/>
              <w:ind w:firstLine="420"/>
              <w:jc w:val="left"/>
              <w:rPr>
                <w:rFonts w:cs="Times New Roman"/>
                <w:bCs w:val="0"/>
                <w:color w:val="000000" w:themeColor="text1"/>
                <w:kern w:val="21"/>
                <w14:textFill>
                  <w14:solidFill>
                    <w14:schemeClr w14:val="tx1"/>
                  </w14:solidFill>
                </w14:textFill>
              </w:rPr>
            </w:pPr>
            <w:r>
              <w:rPr>
                <w:rFonts w:cs="Times New Roman"/>
                <w:bCs w:val="0"/>
                <w:color w:val="000000" w:themeColor="text1"/>
                <w:kern w:val="21"/>
                <w14:textFill>
                  <w14:solidFill>
                    <w14:schemeClr w14:val="tx1"/>
                  </w14:solidFill>
                </w14:textFill>
              </w:rPr>
              <w:t>参照《排污许可证申请与核发技术规范 电子工业》（HJ1031-2019）表B.1 电子工业排污单位废气防治可行技术参考表，可知本项目产生的有机废气采用活性炭吸附法为可行技术，产生的颗粒物采用移动式除尘器为可行技术。</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6、卫生防护距离</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（1）主要特征大气有害物质</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本项目产生废气主要为组立、真空含浸和烘干工序产生的VOCs。根据《大气有害物质无组织排放卫生防护距离推导技术导则》（GB/T39499-2020），本项目选取VOCs为企业无组织排放的主要特征大气有害物质。</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（2）卫生防护距离初值计算</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采用GB/T39499-2020中推荐的估算方法进行计算，具体计算公式如下：</w:t>
            </w:r>
          </w:p>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866900" cy="5238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866900" cy="523875"/>
                          </a:xfrm>
                          <a:prstGeom prst="rect">
                            <a:avLst/>
                          </a:prstGeom>
                          <a:noFill/>
                          <a:ln>
                            <a:noFill/>
                          </a:ln>
                        </pic:spPr>
                      </pic:pic>
                    </a:graphicData>
                  </a:graphic>
                </wp:inline>
              </w:drawing>
            </w:r>
            <w:r>
              <w:rPr>
                <w:bCs w:val="0"/>
                <w:color w:val="000000" w:themeColor="text1"/>
                <w14:textFill>
                  <w14:solidFill>
                    <w14:schemeClr w14:val="tx1"/>
                  </w14:solidFill>
                </w14:textFill>
              </w:rPr>
              <w:t xml:space="preserve"> </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式中：</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Q</w:t>
            </w:r>
            <w:r>
              <w:rPr>
                <w:rFonts w:hAnsi="Times New Roman"/>
                <w:color w:val="000000" w:themeColor="text1"/>
                <w:vertAlign w:val="subscript"/>
                <w14:textFill>
                  <w14:solidFill>
                    <w14:schemeClr w14:val="tx1"/>
                  </w14:solidFill>
                </w14:textFill>
              </w:rPr>
              <w:t>c</w:t>
            </w:r>
            <w:r>
              <w:rPr>
                <w:rFonts w:hAnsi="Times New Roman"/>
                <w:color w:val="000000" w:themeColor="text1"/>
                <w14:textFill>
                  <w14:solidFill>
                    <w14:schemeClr w14:val="tx1"/>
                  </w14:solidFill>
                </w14:textFill>
              </w:rPr>
              <w:t>——大气有害物质的无组织排放量，单位为千克每小时（kg/h）；</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C</w:t>
            </w:r>
            <w:r>
              <w:rPr>
                <w:rFonts w:hAnsi="Times New Roman"/>
                <w:color w:val="000000" w:themeColor="text1"/>
                <w:vertAlign w:val="subscript"/>
                <w14:textFill>
                  <w14:solidFill>
                    <w14:schemeClr w14:val="tx1"/>
                  </w14:solidFill>
                </w14:textFill>
              </w:rPr>
              <w:t>m</w:t>
            </w:r>
            <w:r>
              <w:rPr>
                <w:rFonts w:hAnsi="Times New Roman"/>
                <w:color w:val="000000" w:themeColor="text1"/>
                <w14:textFill>
                  <w14:solidFill>
                    <w14:schemeClr w14:val="tx1"/>
                  </w14:solidFill>
                </w14:textFill>
              </w:rPr>
              <w:t>——大气有害物质环境空气质量的标准限值，单位为毫克每立方米（mg/m</w:t>
            </w:r>
            <w:r>
              <w:rPr>
                <w:rFonts w:hAnsi="Times New Roman"/>
                <w:color w:val="000000" w:themeColor="text1"/>
                <w:vertAlign w:val="superscript"/>
                <w14:textFill>
                  <w14:solidFill>
                    <w14:schemeClr w14:val="tx1"/>
                  </w14:solidFill>
                </w14:textFill>
              </w:rPr>
              <w:t>3</w:t>
            </w:r>
            <w:r>
              <w:rPr>
                <w:rFonts w:hAnsi="Times New Roman"/>
                <w:color w:val="000000" w:themeColor="text1"/>
                <w14:textFill>
                  <w14:solidFill>
                    <w14:schemeClr w14:val="tx1"/>
                  </w14:solidFill>
                </w14:textFill>
              </w:rPr>
              <w:t>）；</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L——大气有害物质卫生防护距离初值，单位为米（m）；</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r——大气有害物质无组织排放源所在生产单元的等效半径，单位为米（m）；</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A、B、C、D——卫生防护距离初值计算系数，无因次，根据工业企业所在地区近5年平均风速及大气污染源构成类别从下表查取。</w:t>
            </w:r>
          </w:p>
          <w:p>
            <w:pPr>
              <w:pStyle w:val="88"/>
              <w:spacing w:line="360" w:lineRule="auto"/>
              <w:ind w:firstLine="42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表4-11  卫生防护距离初值计算系数</w:t>
            </w:r>
          </w:p>
          <w:tbl>
            <w:tblPr>
              <w:tblStyle w:val="30"/>
              <w:tblW w:w="9785"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336"/>
              <w:gridCol w:w="842"/>
              <w:gridCol w:w="842"/>
              <w:gridCol w:w="853"/>
              <w:gridCol w:w="842"/>
              <w:gridCol w:w="842"/>
              <w:gridCol w:w="853"/>
              <w:gridCol w:w="842"/>
              <w:gridCol w:w="843"/>
              <w:gridCol w:w="85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restart"/>
                  <w:tcBorders>
                    <w:top w:val="single" w:color="auto" w:sz="12" w:space="0"/>
                    <w:left w:val="single" w:color="auto" w:sz="4" w:space="0"/>
                    <w:bottom w:val="single" w:color="auto" w:sz="4" w:space="0"/>
                    <w:right w:val="single" w:color="auto" w:sz="4" w:space="0"/>
                  </w:tcBorders>
                  <w:vAlign w:val="center"/>
                </w:tcPr>
                <w:p>
                  <w:pPr>
                    <w:pStyle w:val="88"/>
                    <w:jc w:val="center"/>
                    <w:rPr>
                      <w:b/>
                      <w:color w:val="000000" w:themeColor="text1"/>
                      <w14:textFill>
                        <w14:solidFill>
                          <w14:schemeClr w14:val="tx1"/>
                        </w14:solidFill>
                      </w14:textFill>
                    </w:rPr>
                  </w:pPr>
                  <w:r>
                    <w:rPr>
                      <w:rStyle w:val="59"/>
                      <w:b/>
                      <w:color w:val="000000" w:themeColor="text1"/>
                      <w14:textFill>
                        <w14:solidFill>
                          <w14:schemeClr w14:val="tx1"/>
                        </w14:solidFill>
                      </w14:textFill>
                    </w:rPr>
                    <w:t>卫生防护距离初值计算系数</w:t>
                  </w:r>
                </w:p>
              </w:tc>
              <w:tc>
                <w:tcPr>
                  <w:tcW w:w="1336" w:type="dxa"/>
                  <w:vMerge w:val="restart"/>
                  <w:tcBorders>
                    <w:top w:val="single" w:color="auto" w:sz="12"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工业企业所在地区近5年平均风速m/s</w:t>
                  </w:r>
                </w:p>
              </w:tc>
              <w:tc>
                <w:tcPr>
                  <w:tcW w:w="7618" w:type="dxa"/>
                  <w:gridSpan w:val="9"/>
                  <w:tcBorders>
                    <w:top w:val="single" w:color="auto" w:sz="12" w:space="0"/>
                    <w:left w:val="nil"/>
                    <w:bottom w:val="single" w:color="auto" w:sz="4" w:space="0"/>
                    <w:right w:val="single" w:color="auto" w:sz="4" w:space="0"/>
                  </w:tcBorders>
                  <w:vAlign w:val="center"/>
                </w:tcPr>
                <w:p>
                  <w:pPr>
                    <w:pStyle w:val="88"/>
                    <w:ind w:firstLine="422"/>
                    <w:jc w:val="center"/>
                    <w:rPr>
                      <w:b/>
                      <w:color w:val="000000" w:themeColor="text1"/>
                      <w14:textFill>
                        <w14:solidFill>
                          <w14:schemeClr w14:val="tx1"/>
                        </w14:solidFill>
                      </w14:textFill>
                    </w:rPr>
                  </w:pPr>
                  <w:r>
                    <w:rPr>
                      <w:rStyle w:val="59"/>
                      <w:b/>
                      <w:color w:val="000000" w:themeColor="text1"/>
                      <w14:textFill>
                        <w14:solidFill>
                          <w14:schemeClr w14:val="tx1"/>
                        </w14:solidFill>
                      </w14:textFill>
                    </w:rPr>
                    <w:t>卫生防护距离L,m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1336"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L≤1000</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1000＜L≤2000</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L＞2000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1336"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7618" w:type="dxa"/>
                  <w:gridSpan w:val="9"/>
                  <w:tcBorders>
                    <w:top w:val="single" w:color="auto" w:sz="4" w:space="0"/>
                    <w:left w:val="nil"/>
                    <w:bottom w:val="single" w:color="auto" w:sz="4" w:space="0"/>
                    <w:right w:val="single" w:color="auto" w:sz="4" w:space="0"/>
                  </w:tcBorders>
                  <w:vAlign w:val="center"/>
                </w:tcPr>
                <w:p>
                  <w:pPr>
                    <w:pStyle w:val="88"/>
                    <w:ind w:firstLine="420"/>
                    <w:jc w:val="center"/>
                    <w:rPr>
                      <w:b/>
                      <w:color w:val="000000" w:themeColor="text1"/>
                      <w14:textFill>
                        <w14:solidFill>
                          <w14:schemeClr w14:val="tx1"/>
                        </w14:solidFill>
                      </w14:textFill>
                    </w:rPr>
                  </w:pPr>
                  <w:r>
                    <w:rPr>
                      <w:rStyle w:val="59"/>
                      <w:b/>
                      <w:color w:val="000000" w:themeColor="text1"/>
                      <w14:textFill>
                        <w14:solidFill>
                          <w14:schemeClr w14:val="tx1"/>
                        </w14:solidFill>
                      </w14:textFill>
                    </w:rPr>
                    <w:t>工业企业大气污染源构成类型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single" w:color="auto" w:sz="12" w:space="0"/>
                    <w:left w:val="single" w:color="auto" w:sz="4" w:space="0"/>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1336" w:type="dxa"/>
                  <w:vMerge w:val="continue"/>
                  <w:tcBorders>
                    <w:top w:val="single" w:color="auto" w:sz="12" w:space="0"/>
                    <w:left w:val="nil"/>
                    <w:bottom w:val="single" w:color="auto" w:sz="4" w:space="0"/>
                    <w:right w:val="single" w:color="auto" w:sz="4" w:space="0"/>
                  </w:tcBorders>
                  <w:vAlign w:val="center"/>
                </w:tcPr>
                <w:p>
                  <w:pPr>
                    <w:widowControl/>
                    <w:jc w:val="center"/>
                    <w:rPr>
                      <w:b/>
                      <w:bCs w:val="0"/>
                      <w:color w:val="000000" w:themeColor="text1"/>
                      <w14:textFill>
                        <w14:solidFill>
                          <w14:schemeClr w14:val="tx1"/>
                        </w14:solidFill>
                      </w14:textFill>
                    </w:rPr>
                  </w:pP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Ⅰ</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Ⅱ</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Ⅲ</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Ⅰ</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Ⅱ</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Ⅲ</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Ⅰ</w:t>
                  </w:r>
                </w:p>
              </w:tc>
              <w:tc>
                <w:tcPr>
                  <w:tcW w:w="84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Ⅱ</w:t>
                  </w:r>
                </w:p>
              </w:tc>
              <w:tc>
                <w:tcPr>
                  <w:tcW w:w="859"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b/>
                      <w:bCs w:val="0"/>
                      <w:color w:val="000000" w:themeColor="text1"/>
                      <w14:textFill>
                        <w14:solidFill>
                          <w14:schemeClr w14:val="tx1"/>
                        </w14:solidFill>
                      </w14:textFill>
                    </w:rPr>
                  </w:pPr>
                  <w:r>
                    <w:rPr>
                      <w:rStyle w:val="59"/>
                      <w:b/>
                      <w:bCs w:val="0"/>
                      <w:color w:val="000000" w:themeColor="text1"/>
                      <w14:textFill>
                        <w14:solidFill>
                          <w14:schemeClr w14:val="tx1"/>
                        </w14:solidFill>
                      </w14:textFill>
                    </w:rPr>
                    <w:t>Ⅲ</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restart"/>
                  <w:tcBorders>
                    <w:top w:val="nil"/>
                    <w:left w:val="single" w:color="auto" w:sz="4" w:space="0"/>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A</w:t>
                  </w: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&lt;</w:t>
                  </w:r>
                  <w:r>
                    <w:rPr>
                      <w:rFonts w:ascii="Times New Roman" w:hAnsi="Times New Roman" w:cs="Times New Roman"/>
                      <w:color w:val="000000" w:themeColor="text1"/>
                      <w14:textFill>
                        <w14:solidFill>
                          <w14:schemeClr w14:val="tx1"/>
                        </w14:solidFill>
                      </w14:textFill>
                    </w:rPr>
                    <w:t>2</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80</w:t>
                  </w:r>
                </w:p>
              </w:tc>
              <w:tc>
                <w:tcPr>
                  <w:tcW w:w="84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80</w:t>
                  </w:r>
                </w:p>
              </w:tc>
              <w:tc>
                <w:tcPr>
                  <w:tcW w:w="859"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2～4</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470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350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700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470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350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380</w:t>
                  </w:r>
                </w:p>
              </w:tc>
              <w:tc>
                <w:tcPr>
                  <w:tcW w:w="84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250</w:t>
                  </w:r>
                </w:p>
              </w:tc>
              <w:tc>
                <w:tcPr>
                  <w:tcW w:w="859"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190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&gt;4</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530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350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260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530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350</w:t>
                  </w:r>
                </w:p>
              </w:tc>
              <w:tc>
                <w:tcPr>
                  <w:tcW w:w="85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260</w:t>
                  </w:r>
                </w:p>
              </w:tc>
              <w:tc>
                <w:tcPr>
                  <w:tcW w:w="842"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290</w:t>
                  </w:r>
                </w:p>
              </w:tc>
              <w:tc>
                <w:tcPr>
                  <w:tcW w:w="843"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190</w:t>
                  </w:r>
                </w:p>
              </w:tc>
              <w:tc>
                <w:tcPr>
                  <w:tcW w:w="859"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140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restart"/>
                  <w:tcBorders>
                    <w:top w:val="nil"/>
                    <w:left w:val="single" w:color="auto" w:sz="4" w:space="0"/>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B</w:t>
                  </w: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&lt;2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0.01</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0.015</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0.015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&gt;2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0.021</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0.036</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0.036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restart"/>
                  <w:tcBorders>
                    <w:top w:val="nil"/>
                    <w:left w:val="single" w:color="auto" w:sz="4" w:space="0"/>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C</w:t>
                  </w: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&lt;2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1.85</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1.79</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1.79</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&gt;2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1.85</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1.77</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1.77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restart"/>
                  <w:tcBorders>
                    <w:top w:val="nil"/>
                    <w:left w:val="single" w:color="auto" w:sz="4" w:space="0"/>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D</w:t>
                  </w: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&lt;2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0.78</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0.78</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0.57</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1" w:type="dxa"/>
                  <w:vMerge w:val="continue"/>
                  <w:tcBorders>
                    <w:top w:val="nil"/>
                    <w:left w:val="single" w:color="auto" w:sz="4" w:space="0"/>
                    <w:bottom w:val="single" w:color="auto" w:sz="4" w:space="0"/>
                    <w:right w:val="single" w:color="auto" w:sz="4" w:space="0"/>
                  </w:tcBorders>
                  <w:vAlign w:val="center"/>
                </w:tcPr>
                <w:p>
                  <w:pPr>
                    <w:widowControl/>
                    <w:jc w:val="center"/>
                    <w:rPr>
                      <w:color w:val="000000" w:themeColor="text1"/>
                      <w14:textFill>
                        <w14:solidFill>
                          <w14:schemeClr w14:val="tx1"/>
                        </w14:solidFill>
                      </w14:textFill>
                    </w:rPr>
                  </w:pPr>
                </w:p>
              </w:tc>
              <w:tc>
                <w:tcPr>
                  <w:tcW w:w="1336" w:type="dxa"/>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Style w:val="59"/>
                      <w:color w:val="000000" w:themeColor="text1"/>
                      <w14:textFill>
                        <w14:solidFill>
                          <w14:schemeClr w14:val="tx1"/>
                        </w14:solidFill>
                      </w14:textFill>
                    </w:rPr>
                    <w:t>&gt;2</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0.84</w:t>
                  </w:r>
                </w:p>
              </w:tc>
              <w:tc>
                <w:tcPr>
                  <w:tcW w:w="2537"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0.84</w:t>
                  </w:r>
                </w:p>
              </w:tc>
              <w:tc>
                <w:tcPr>
                  <w:tcW w:w="2544" w:type="dxa"/>
                  <w:gridSpan w:val="3"/>
                  <w:tcBorders>
                    <w:top w:val="single" w:color="auto" w:sz="4" w:space="0"/>
                    <w:left w:val="nil"/>
                    <w:bottom w:val="single" w:color="auto" w:sz="4" w:space="0"/>
                    <w:right w:val="single" w:color="auto" w:sz="4" w:space="0"/>
                  </w:tcBorders>
                  <w:vAlign w:val="center"/>
                </w:tcPr>
                <w:p>
                  <w:pPr>
                    <w:pStyle w:val="18"/>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0.76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85" w:type="dxa"/>
                  <w:gridSpan w:val="11"/>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rPr>
                      <w:color w:val="000000" w:themeColor="text1"/>
                      <w14:textFill>
                        <w14:solidFill>
                          <w14:schemeClr w14:val="tx1"/>
                        </w14:solidFill>
                      </w14:textFill>
                    </w:rPr>
                  </w:pPr>
                  <w:r>
                    <w:rPr>
                      <w:color w:val="000000" w:themeColor="text1"/>
                      <w14:textFill>
                        <w14:solidFill>
                          <w14:schemeClr w14:val="tx1"/>
                        </w14:solidFill>
                      </w14:textFill>
                    </w:rPr>
                    <w:t>注：Ⅰ类：与无组织排放源共存的排放同种有害气体的排气筒的排放量，大于标准规定的允许排放量的三分之一者。</w:t>
                  </w:r>
                </w:p>
                <w:p>
                  <w:pPr>
                    <w:autoSpaceDE w:val="0"/>
                    <w:autoSpaceDN w:val="0"/>
                    <w:adjustRightInd w:val="0"/>
                    <w:rPr>
                      <w:color w:val="000000" w:themeColor="text1"/>
                      <w14:textFill>
                        <w14:solidFill>
                          <w14:schemeClr w14:val="tx1"/>
                        </w14:solidFill>
                      </w14:textFill>
                    </w:rPr>
                  </w:pPr>
                  <w:r>
                    <w:rPr>
                      <w:color w:val="000000" w:themeColor="text1"/>
                      <w14:textFill>
                        <w14:solidFill>
                          <w14:schemeClr w14:val="tx1"/>
                        </w14:solidFill>
                      </w14:textFill>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rPr>
                      <w:color w:val="000000" w:themeColor="text1"/>
                      <w14:textFill>
                        <w14:solidFill>
                          <w14:schemeClr w14:val="tx1"/>
                        </w14:solidFill>
                      </w14:textFill>
                    </w:rPr>
                  </w:pPr>
                  <w:r>
                    <w:rPr>
                      <w:color w:val="000000" w:themeColor="text1"/>
                      <w14:textFill>
                        <w14:solidFill>
                          <w14:schemeClr w14:val="tx1"/>
                        </w14:solidFill>
                      </w14:textFill>
                    </w:rPr>
                    <w:t>Ⅲ类：无排放同种有害物质的排气筒与无组织排放源共存，且无组织排放的有害物质的容许浓度是按慢性反应指标确定者。</w:t>
                  </w:r>
                </w:p>
              </w:tc>
            </w:tr>
          </w:tbl>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本项目生产车间的占地面积为3200m</w:t>
            </w:r>
            <w:r>
              <w:rPr>
                <w:rFonts w:hAnsi="Times New Roman"/>
                <w:color w:val="000000" w:themeColor="text1"/>
                <w:vertAlign w:val="superscript"/>
                <w14:textFill>
                  <w14:solidFill>
                    <w14:schemeClr w14:val="tx1"/>
                  </w14:solidFill>
                </w14:textFill>
              </w:rPr>
              <w:t>2</w:t>
            </w:r>
            <w:r>
              <w:rPr>
                <w:rFonts w:hAnsi="Times New Roman"/>
                <w:color w:val="000000" w:themeColor="text1"/>
                <w14:textFill>
                  <w14:solidFill>
                    <w14:schemeClr w14:val="tx1"/>
                  </w14:solidFill>
                </w14:textFill>
              </w:rPr>
              <w:t>，经计算得出等效半径（r）为31.92m。项目所在地区近5年平均风速为2.2m/s，卫生防护距离L≦1000m，且大气污染源构成类型为Ⅱ类，按上述卫生防护距离初值公式对本项目VOCs无组织排放的卫生防护距离初值进行计算，项目卫生防护距离初值计算参数取值及具体计算结果见下表：</w: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表4-12  本项目卫生防护距离计算参数表</w:t>
            </w:r>
          </w:p>
          <w:tbl>
            <w:tblPr>
              <w:tblStyle w:val="31"/>
              <w:tblW w:w="9789"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406"/>
              <w:gridCol w:w="1770"/>
              <w:gridCol w:w="1416"/>
              <w:gridCol w:w="1275"/>
              <w:gridCol w:w="1275"/>
              <w:gridCol w:w="125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bCs w:val="0"/>
                      <w:color w:val="000000" w:themeColor="text1"/>
                      <w14:textFill>
                        <w14:solidFill>
                          <w14:schemeClr w14:val="tx1"/>
                        </w14:solidFill>
                      </w14:textFill>
                    </w:rPr>
                    <w:t>计算系数</w:t>
                  </w:r>
                </w:p>
              </w:tc>
              <w:tc>
                <w:tcPr>
                  <w:tcW w:w="1406" w:type="dxa"/>
                  <w:tcBorders>
                    <w:top w:val="single" w:color="auto" w:sz="4" w:space="0"/>
                    <w:left w:val="single" w:color="auto" w:sz="4" w:space="0"/>
                    <w:bottom w:val="single" w:color="auto" w:sz="4" w:space="0"/>
                    <w:right w:val="single" w:color="auto" w:sz="4" w:space="0"/>
                  </w:tcBorders>
                  <w:vAlign w:val="center"/>
                </w:tcPr>
                <w:p>
                  <w:pPr>
                    <w:rPr>
                      <w:b/>
                      <w:bCs w:val="0"/>
                      <w:color w:val="000000" w:themeColor="text1"/>
                      <w14:textFill>
                        <w14:solidFill>
                          <w14:schemeClr w14:val="tx1"/>
                        </w14:solidFill>
                      </w14:textFill>
                    </w:rPr>
                  </w:pPr>
                  <w:r>
                    <w:rPr>
                      <w:b/>
                      <w:color w:val="000000" w:themeColor="text1"/>
                      <w14:textFill>
                        <w14:solidFill>
                          <w14:schemeClr w14:val="tx1"/>
                        </w14:solidFill>
                      </w14:textFill>
                    </w:rPr>
                    <w:t>近5年平均风速（m/s）</w:t>
                  </w:r>
                </w:p>
              </w:tc>
              <w:tc>
                <w:tcPr>
                  <w:tcW w:w="1770"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工业企业大气污染源构成类别</w:t>
                  </w:r>
                </w:p>
              </w:tc>
              <w:tc>
                <w:tcPr>
                  <w:tcW w:w="14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A</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B</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C</w:t>
                  </w:r>
                </w:p>
              </w:tc>
              <w:tc>
                <w:tcPr>
                  <w:tcW w:w="12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D</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77" w:hRule="atLeast"/>
              </w:trPr>
              <w:tc>
                <w:tcPr>
                  <w:tcW w:w="13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2.2</w:t>
                  </w:r>
                </w:p>
              </w:tc>
              <w:tc>
                <w:tcPr>
                  <w:tcW w:w="1770"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Ⅱ</w:t>
                  </w:r>
                </w:p>
              </w:tc>
              <w:tc>
                <w:tcPr>
                  <w:tcW w:w="14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470</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0.021</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1.85</w:t>
                  </w:r>
                </w:p>
              </w:tc>
              <w:tc>
                <w:tcPr>
                  <w:tcW w:w="12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0.84</w:t>
                  </w:r>
                </w:p>
              </w:tc>
            </w:tr>
          </w:tbl>
          <w:p>
            <w:pPr>
              <w:pStyle w:val="37"/>
              <w:ind w:firstLine="422"/>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表4-13  本项目卫生防护距离计算初值</w:t>
            </w:r>
          </w:p>
          <w:tbl>
            <w:tblPr>
              <w:tblStyle w:val="31"/>
              <w:tblW w:w="9789"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631"/>
              <w:gridCol w:w="1637"/>
              <w:gridCol w:w="1641"/>
              <w:gridCol w:w="1631"/>
              <w:gridCol w:w="162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620"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污染源</w:t>
                  </w:r>
                </w:p>
              </w:tc>
              <w:tc>
                <w:tcPr>
                  <w:tcW w:w="1631"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1637"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污染物源强（kg/h）</w:t>
                  </w:r>
                </w:p>
              </w:tc>
              <w:tc>
                <w:tcPr>
                  <w:tcW w:w="1641"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评价标准（mg/m</w:t>
                  </w:r>
                  <w:r>
                    <w:rPr>
                      <w:b/>
                      <w:color w:val="000000" w:themeColor="text1"/>
                      <w:vertAlign w:val="superscript"/>
                      <w14:textFill>
                        <w14:solidFill>
                          <w14:schemeClr w14:val="tx1"/>
                        </w14:solidFill>
                      </w14:textFill>
                    </w:rPr>
                    <w:t>3</w:t>
                  </w:r>
                  <w:r>
                    <w:rPr>
                      <w:b/>
                      <w:color w:val="000000" w:themeColor="text1"/>
                      <w14:textFill>
                        <w14:solidFill>
                          <w14:schemeClr w14:val="tx1"/>
                        </w14:solidFill>
                      </w14:textFill>
                    </w:rPr>
                    <w:t>）</w:t>
                  </w:r>
                </w:p>
              </w:tc>
              <w:tc>
                <w:tcPr>
                  <w:tcW w:w="1631"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等效半径（m）</w:t>
                  </w:r>
                </w:p>
              </w:tc>
              <w:tc>
                <w:tcPr>
                  <w:tcW w:w="1629" w:type="dxa"/>
                  <w:tcBorders>
                    <w:top w:val="single" w:color="auto" w:sz="12"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b/>
                      <w:color w:val="000000" w:themeColor="text1"/>
                      <w14:textFill>
                        <w14:solidFill>
                          <w14:schemeClr w14:val="tx1"/>
                        </w14:solidFill>
                      </w14:textFill>
                    </w:rPr>
                    <w:t>计算结果（m）</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项目生产车间</w:t>
                  </w:r>
                </w:p>
              </w:tc>
              <w:tc>
                <w:tcPr>
                  <w:tcW w:w="163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TVOC</w:t>
                  </w:r>
                </w:p>
              </w:tc>
              <w:tc>
                <w:tcPr>
                  <w:tcW w:w="1637"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09</w:t>
                  </w:r>
                </w:p>
              </w:tc>
              <w:tc>
                <w:tcPr>
                  <w:tcW w:w="164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1.2</w:t>
                  </w:r>
                </w:p>
              </w:tc>
              <w:tc>
                <w:tcPr>
                  <w:tcW w:w="163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31.92</w:t>
                  </w:r>
                </w:p>
              </w:tc>
              <w:tc>
                <w:tcPr>
                  <w:tcW w:w="1629"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57</w:t>
                  </w:r>
                </w:p>
              </w:tc>
            </w:tr>
          </w:tbl>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（3）卫生防护距离终值的确定</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根据《大气有害物质无组织排放卫生防护距离推导技术导则》（GB/T39499-2020），如计算初值小于50m，卫生防护距离终值取50m，因此本项目卫生防护距离为50米。</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根据现场踏勘，本项目产污车间距福鑫公馆（最近敏感点）距离约8</w:t>
            </w:r>
            <w:r>
              <w:rPr>
                <w:rFonts w:hint="eastAsia" w:hAnsi="Times New Roman"/>
                <w:color w:val="000000" w:themeColor="text1"/>
                <w14:textFill>
                  <w14:solidFill>
                    <w14:schemeClr w14:val="tx1"/>
                  </w14:solidFill>
                </w14:textFill>
              </w:rPr>
              <w:t>0</w:t>
            </w:r>
            <w:r>
              <w:rPr>
                <w:rFonts w:hAnsi="Times New Roman"/>
                <w:color w:val="000000" w:themeColor="text1"/>
                <w14:textFill>
                  <w14:solidFill>
                    <w14:schemeClr w14:val="tx1"/>
                  </w14:solidFill>
                </w14:textFill>
              </w:rPr>
              <w:t>米，符合卫生防护距离要求。本项目卫生防护距离包络线图详见</w:t>
            </w:r>
            <w:r>
              <w:rPr>
                <w:rFonts w:hAnsi="Times New Roman"/>
                <w:b/>
                <w:bCs w:val="0"/>
                <w:color w:val="000000" w:themeColor="text1"/>
                <w14:textFill>
                  <w14:solidFill>
                    <w14:schemeClr w14:val="tx1"/>
                  </w14:solidFill>
                </w14:textFill>
              </w:rPr>
              <w:t>附图5</w:t>
            </w:r>
            <w:r>
              <w:rPr>
                <w:rFonts w:hAnsi="Times New Roman"/>
                <w:color w:val="000000" w:themeColor="text1"/>
                <w14:textFill>
                  <w14:solidFill>
                    <w14:schemeClr w14:val="tx1"/>
                  </w14:solidFill>
                </w14:textFill>
              </w:rPr>
              <w:t>。</w:t>
            </w:r>
          </w:p>
          <w:p>
            <w:pPr>
              <w:autoSpaceDE w:val="0"/>
              <w:autoSpaceDN w:val="0"/>
              <w:adjustRightInd w:val="0"/>
              <w:snapToGrid w:val="0"/>
              <w:spacing w:before="120" w:beforeLines="50" w:line="360" w:lineRule="auto"/>
              <w:ind w:firstLine="382" w:firstLineChars="200"/>
              <w:jc w:val="left"/>
              <w:rPr>
                <w:bCs w:val="0"/>
                <w:color w:val="000000" w:themeColor="text1"/>
                <w:spacing w:val="-10"/>
                <w:sz w:val="24"/>
                <w14:textFill>
                  <w14:solidFill>
                    <w14:schemeClr w14:val="tx1"/>
                  </w14:solidFill>
                </w14:textFill>
              </w:rPr>
            </w:pPr>
            <w:r>
              <w:rPr>
                <w:b/>
                <w:bCs w:val="0"/>
                <w:color w:val="000000" w:themeColor="text1"/>
                <w:spacing w:val="-10"/>
                <w14:textFill>
                  <w14:solidFill>
                    <w14:schemeClr w14:val="tx1"/>
                  </w14:solidFill>
                </w14:textFill>
              </w:rPr>
              <w:t>7、大气环境影响分析</w:t>
            </w:r>
          </w:p>
          <w:p>
            <w:pPr>
              <w:autoSpaceDE w:val="0"/>
              <w:autoSpaceDN w:val="0"/>
              <w:adjustRightInd w:val="0"/>
              <w:spacing w:line="360" w:lineRule="auto"/>
              <w:ind w:firstLine="420" w:firstLineChars="200"/>
              <w:rPr>
                <w:bCs w:val="0"/>
                <w:color w:val="000000" w:themeColor="text1"/>
                <w:kern w:val="21"/>
                <w14:textFill>
                  <w14:solidFill>
                    <w14:schemeClr w14:val="tx1"/>
                  </w14:solidFill>
                </w14:textFill>
              </w:rPr>
            </w:pPr>
            <w:r>
              <w:rPr>
                <w:bCs w:val="0"/>
                <w:color w:val="000000" w:themeColor="text1"/>
                <w:kern w:val="21"/>
                <w14:textFill>
                  <w14:solidFill>
                    <w14:schemeClr w14:val="tx1"/>
                  </w14:solidFill>
                </w14:textFill>
              </w:rPr>
              <w:t>本项目评价区域环境质量现状良好，特征因子T</w:t>
            </w:r>
            <w:r>
              <w:rPr>
                <w:color w:val="000000" w:themeColor="text1"/>
                <w14:textFill>
                  <w14:solidFill>
                    <w14:schemeClr w14:val="tx1"/>
                  </w14:solidFill>
                </w14:textFill>
              </w:rPr>
              <w:t>VOC能够满足《环境影响评价技术导则大气环境》（HJ2.2-2018）附录D浓度参考限值，TSP满足《环境空气质量标准》（GB3095-2012）及其修改单中其他污染物空气质量浓度参考限值，则项目所在区</w:t>
            </w:r>
            <w:r>
              <w:rPr>
                <w:bCs w:val="0"/>
                <w:color w:val="000000" w:themeColor="text1"/>
                <w:kern w:val="21"/>
                <w14:textFill>
                  <w14:solidFill>
                    <w14:schemeClr w14:val="tx1"/>
                  </w14:solidFill>
                </w14:textFill>
              </w:rPr>
              <w:t>域的大气环境质量较好。本项目废气有效收集，选取的污染防治设施属于排污许可技术规范认可的可行性技术，可以做到达标排放，本项目外排废气的区域环境影响较小。</w:t>
            </w:r>
          </w:p>
          <w:p>
            <w:pPr>
              <w:pStyle w:val="81"/>
              <w:spacing w:line="360" w:lineRule="auto"/>
              <w:ind w:firstLine="0" w:firstLineChars="0"/>
              <w:rPr>
                <w:b/>
                <w:color w:val="000000" w:themeColor="text1"/>
                <w:kern w:val="2"/>
                <w:sz w:val="21"/>
                <w14:textFill>
                  <w14:solidFill>
                    <w14:schemeClr w14:val="tx1"/>
                  </w14:solidFill>
                </w14:textFill>
              </w:rPr>
            </w:pPr>
            <w:r>
              <w:rPr>
                <w:b/>
                <w:color w:val="000000" w:themeColor="text1"/>
                <w:kern w:val="2"/>
                <w:sz w:val="21"/>
                <w14:textFill>
                  <w14:solidFill>
                    <w14:schemeClr w14:val="tx1"/>
                  </w14:solidFill>
                </w14:textFill>
              </w:rPr>
              <w:t>二、水污染源及环保措施分析</w:t>
            </w:r>
          </w:p>
          <w:p>
            <w:pPr>
              <w:spacing w:line="360" w:lineRule="auto"/>
              <w:ind w:firstLine="422" w:firstLineChars="200"/>
              <w:jc w:val="left"/>
              <w:rPr>
                <w:b/>
                <w:bCs w:val="0"/>
                <w:color w:val="000000" w:themeColor="text1"/>
                <w14:textFill>
                  <w14:solidFill>
                    <w14:schemeClr w14:val="tx1"/>
                  </w14:solidFill>
                </w14:textFill>
              </w:rPr>
            </w:pPr>
            <w:r>
              <w:rPr>
                <w:b/>
                <w:bCs w:val="0"/>
                <w:color w:val="000000" w:themeColor="text1"/>
                <w14:textFill>
                  <w14:solidFill>
                    <w14:schemeClr w14:val="tx1"/>
                  </w14:solidFill>
                </w14:textFill>
              </w:rPr>
              <w:t>1、生活污水</w:t>
            </w:r>
          </w:p>
          <w:p>
            <w:pPr>
              <w:spacing w:line="360" w:lineRule="auto"/>
              <w:ind w:firstLine="420" w:firstLineChars="200"/>
              <w:rPr>
                <w:b/>
                <w:bCs w:val="0"/>
                <w:color w:val="000000" w:themeColor="text1"/>
                <w14:textFill>
                  <w14:solidFill>
                    <w14:schemeClr w14:val="tx1"/>
                  </w14:solidFill>
                </w14:textFill>
              </w:rPr>
            </w:pPr>
            <w:r>
              <w:rPr>
                <w:color w:val="000000" w:themeColor="text1"/>
                <w14:textFill>
                  <w14:solidFill>
                    <w14:schemeClr w14:val="tx1"/>
                  </w14:solidFill>
                </w14:textFill>
              </w:rPr>
              <w:t>项目拟劳动定员为12人，均不在项目内食宿，年工作300d，根据广东省地方标准《用水定额 第3部分：生活用水》（DB44/T1461.3-2021），用水定额为10m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/人•a，则项目生活用水量为0.4m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/d（120m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/a），排污系数为0.8，因此员工生活污水排放量为0.32m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/d（96m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p>
          <w:p>
            <w:pPr>
              <w:spacing w:line="360" w:lineRule="auto"/>
              <w:ind w:firstLine="422" w:firstLineChars="200"/>
              <w:jc w:val="left"/>
              <w:rPr>
                <w:b/>
                <w:bCs w:val="0"/>
                <w:color w:val="000000" w:themeColor="text1"/>
                <w14:textFill>
                  <w14:solidFill>
                    <w14:schemeClr w14:val="tx1"/>
                  </w14:solidFill>
                </w14:textFill>
              </w:rPr>
            </w:pPr>
            <w:r>
              <w:rPr>
                <w:b/>
                <w:bCs w:val="0"/>
                <w:color w:val="000000" w:themeColor="text1"/>
                <w14:textFill>
                  <w14:solidFill>
                    <w14:schemeClr w14:val="tx1"/>
                  </w14:solidFill>
                </w14:textFill>
              </w:rPr>
              <w:t>（1）生活污水产生和排放情况</w:t>
            </w:r>
          </w:p>
          <w:p>
            <w:pPr>
              <w:spacing w:line="360" w:lineRule="auto"/>
              <w:jc w:val="center"/>
              <w:rPr>
                <w:color w:val="000000" w:themeColor="text1"/>
                <w14:textFill>
                  <w14:solidFill>
                    <w14:schemeClr w14:val="tx1"/>
                  </w14:solidFill>
                </w14:textFill>
              </w:rPr>
            </w:pPr>
            <w:r>
              <w:rPr>
                <w:b/>
                <w:bCs w:val="0"/>
                <w:color w:val="000000" w:themeColor="text1"/>
                <w14:textFill>
                  <w14:solidFill>
                    <w14:schemeClr w14:val="tx1"/>
                  </w14:solidFill>
                </w14:textFill>
              </w:rPr>
              <w:t>表4-14  废水污染物源强核算结果一览表</w:t>
            </w:r>
          </w:p>
          <w:tbl>
            <w:tblPr>
              <w:tblStyle w:val="30"/>
              <w:tblW w:w="9560"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619"/>
              <w:gridCol w:w="799"/>
              <w:gridCol w:w="851"/>
              <w:gridCol w:w="993"/>
              <w:gridCol w:w="690"/>
              <w:gridCol w:w="440"/>
              <w:gridCol w:w="440"/>
              <w:gridCol w:w="685"/>
              <w:gridCol w:w="859"/>
              <w:gridCol w:w="931"/>
              <w:gridCol w:w="461"/>
              <w:gridCol w:w="878"/>
              <w:gridCol w:w="914"/>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restart"/>
                  <w:vAlign w:val="center"/>
                </w:tcPr>
                <w:p>
                  <w:pPr>
                    <w:widowControl/>
                    <w:jc w:val="center"/>
                    <w:textAlignment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产排污环节</w:t>
                  </w:r>
                </w:p>
              </w:tc>
              <w:tc>
                <w:tcPr>
                  <w:tcW w:w="799"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污染物</w:t>
                  </w:r>
                  <w:r>
                    <w:rPr>
                      <w:rStyle w:val="59"/>
                      <w:b/>
                      <w:bCs w:val="0"/>
                      <w:color w:val="000000" w:themeColor="text1"/>
                      <w14:textFill>
                        <w14:solidFill>
                          <w14:schemeClr w14:val="tx1"/>
                        </w14:solidFill>
                      </w14:textFill>
                    </w:rPr>
                    <w:t>种类</w:t>
                  </w:r>
                </w:p>
              </w:tc>
              <w:tc>
                <w:tcPr>
                  <w:tcW w:w="1844" w:type="dxa"/>
                  <w:gridSpan w:val="2"/>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污染物产生情况</w:t>
                  </w:r>
                </w:p>
              </w:tc>
              <w:tc>
                <w:tcPr>
                  <w:tcW w:w="69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治理 措施</w:t>
                  </w:r>
                </w:p>
              </w:tc>
              <w:tc>
                <w:tcPr>
                  <w:tcW w:w="3355" w:type="dxa"/>
                  <w:gridSpan w:val="5"/>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污染物排放情况</w:t>
                  </w:r>
                </w:p>
              </w:tc>
              <w:tc>
                <w:tcPr>
                  <w:tcW w:w="461"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排放方式</w:t>
                  </w:r>
                </w:p>
              </w:tc>
              <w:tc>
                <w:tcPr>
                  <w:tcW w:w="878"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排放去向</w:t>
                  </w:r>
                </w:p>
              </w:tc>
              <w:tc>
                <w:tcPr>
                  <w:tcW w:w="914"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排放规律</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continue"/>
                  <w:vAlign w:val="center"/>
                </w:tcPr>
                <w:p>
                  <w:pPr>
                    <w:widowControl/>
                    <w:jc w:val="left"/>
                    <w:rPr>
                      <w:b/>
                      <w:color w:val="000000" w:themeColor="text1"/>
                      <w14:textFill>
                        <w14:solidFill>
                          <w14:schemeClr w14:val="tx1"/>
                        </w14:solidFill>
                      </w14:textFill>
                    </w:rPr>
                  </w:pPr>
                </w:p>
              </w:tc>
              <w:tc>
                <w:tcPr>
                  <w:tcW w:w="799" w:type="dxa"/>
                  <w:vMerge w:val="continue"/>
                  <w:vAlign w:val="center"/>
                </w:tcPr>
                <w:p>
                  <w:pPr>
                    <w:widowControl/>
                    <w:jc w:val="left"/>
                    <w:rPr>
                      <w:b/>
                      <w:color w:val="000000" w:themeColor="text1"/>
                      <w14:textFill>
                        <w14:solidFill>
                          <w14:schemeClr w14:val="tx1"/>
                        </w14:solidFill>
                      </w14:textFill>
                    </w:rPr>
                  </w:pPr>
                </w:p>
              </w:tc>
              <w:tc>
                <w:tcPr>
                  <w:tcW w:w="851"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产生量</w:t>
                  </w:r>
                  <w:r>
                    <w:rPr>
                      <w:rStyle w:val="47"/>
                      <w:b/>
                      <w:color w:val="000000" w:themeColor="text1"/>
                      <w14:textFill>
                        <w14:solidFill>
                          <w14:schemeClr w14:val="tx1"/>
                        </w14:solidFill>
                      </w14:textFill>
                    </w:rPr>
                    <w:t>（t/a</w:t>
                  </w:r>
                  <w:r>
                    <w:rPr>
                      <w:rStyle w:val="58"/>
                      <w:rFonts w:hint="default" w:ascii="Times New Roman" w:hAnsi="Times New Roman"/>
                      <w:b/>
                      <w:color w:val="000000" w:themeColor="text1"/>
                      <w14:textFill>
                        <w14:solidFill>
                          <w14:schemeClr w14:val="tx1"/>
                        </w14:solidFill>
                      </w14:textFill>
                    </w:rPr>
                    <w:t>）</w:t>
                  </w:r>
                </w:p>
              </w:tc>
              <w:tc>
                <w:tcPr>
                  <w:tcW w:w="993"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产生浓度</w:t>
                  </w:r>
                  <w:r>
                    <w:rPr>
                      <w:rStyle w:val="58"/>
                      <w:rFonts w:hint="default" w:ascii="Times New Roman" w:hAnsi="Times New Roman"/>
                      <w:b/>
                      <w:color w:val="000000" w:themeColor="text1"/>
                      <w14:textFill>
                        <w14:solidFill>
                          <w14:schemeClr w14:val="tx1"/>
                        </w14:solidFill>
                      </w14:textFill>
                    </w:rPr>
                    <w:t>（</w:t>
                  </w:r>
                  <w:r>
                    <w:rPr>
                      <w:rStyle w:val="47"/>
                      <w:b/>
                      <w:color w:val="000000" w:themeColor="text1"/>
                      <w14:textFill>
                        <w14:solidFill>
                          <w14:schemeClr w14:val="tx1"/>
                        </w14:solidFill>
                      </w14:textFill>
                    </w:rPr>
                    <w:t>mg/L</w:t>
                  </w:r>
                  <w:r>
                    <w:rPr>
                      <w:rStyle w:val="58"/>
                      <w:rFonts w:hint="default" w:ascii="Times New Roman" w:hAnsi="Times New Roman"/>
                      <w:b/>
                      <w:color w:val="000000" w:themeColor="text1"/>
                      <w14:textFill>
                        <w14:solidFill>
                          <w14:schemeClr w14:val="tx1"/>
                        </w14:solidFill>
                      </w14:textFill>
                    </w:rPr>
                    <w:t>）</w:t>
                  </w:r>
                </w:p>
              </w:tc>
              <w:tc>
                <w:tcPr>
                  <w:tcW w:w="69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工艺</w:t>
                  </w:r>
                </w:p>
              </w:tc>
              <w:tc>
                <w:tcPr>
                  <w:tcW w:w="44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治理效率</w:t>
                  </w:r>
                  <w:r>
                    <w:rPr>
                      <w:rStyle w:val="47"/>
                      <w:b/>
                      <w:color w:val="000000" w:themeColor="text1"/>
                      <w14:textFill>
                        <w14:solidFill>
                          <w14:schemeClr w14:val="tx1"/>
                        </w14:solidFill>
                      </w14:textFill>
                    </w:rPr>
                    <w:t>/%</w:t>
                  </w:r>
                </w:p>
              </w:tc>
              <w:tc>
                <w:tcPr>
                  <w:tcW w:w="44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是否为可行技术</w:t>
                  </w:r>
                </w:p>
              </w:tc>
              <w:tc>
                <w:tcPr>
                  <w:tcW w:w="685" w:type="dxa"/>
                  <w:tcMar>
                    <w:top w:w="15" w:type="dxa"/>
                    <w:left w:w="15" w:type="dxa"/>
                    <w:bottom w:w="0" w:type="dxa"/>
                    <w:right w:w="15" w:type="dxa"/>
                  </w:tcMar>
                  <w:vAlign w:val="center"/>
                </w:tcPr>
                <w:p>
                  <w:pPr>
                    <w:widowControl/>
                    <w:jc w:val="center"/>
                    <w:rPr>
                      <w:b/>
                      <w:color w:val="000000" w:themeColor="text1"/>
                      <w14:textFill>
                        <w14:solidFill>
                          <w14:schemeClr w14:val="tx1"/>
                        </w14:solidFill>
                      </w14:textFill>
                    </w:rPr>
                  </w:pPr>
                  <w:r>
                    <w:rPr>
                      <w:b/>
                      <w:color w:val="000000" w:themeColor="text1"/>
                      <w:kern w:val="0"/>
                      <w14:textFill>
                        <w14:solidFill>
                          <w14:schemeClr w14:val="tx1"/>
                        </w14:solidFill>
                      </w14:textFill>
                    </w:rPr>
                    <w:t>废水排放量（t/a）</w:t>
                  </w:r>
                </w:p>
              </w:tc>
              <w:tc>
                <w:tcPr>
                  <w:tcW w:w="859"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排放量</w:t>
                  </w:r>
                  <w:r>
                    <w:rPr>
                      <w:rStyle w:val="58"/>
                      <w:rFonts w:hint="default" w:ascii="Times New Roman" w:hAnsi="Times New Roman"/>
                      <w:b/>
                      <w:color w:val="000000" w:themeColor="text1"/>
                      <w14:textFill>
                        <w14:solidFill>
                          <w14:schemeClr w14:val="tx1"/>
                        </w14:solidFill>
                      </w14:textFill>
                    </w:rPr>
                    <w:t>（</w:t>
                  </w:r>
                  <w:r>
                    <w:rPr>
                      <w:rStyle w:val="47"/>
                      <w:b/>
                      <w:color w:val="000000" w:themeColor="text1"/>
                      <w14:textFill>
                        <w14:solidFill>
                          <w14:schemeClr w14:val="tx1"/>
                        </w14:solidFill>
                      </w14:textFill>
                    </w:rPr>
                    <w:t>t/a</w:t>
                  </w:r>
                  <w:r>
                    <w:rPr>
                      <w:rStyle w:val="58"/>
                      <w:rFonts w:hint="default" w:ascii="Times New Roman" w:hAnsi="Times New Roman"/>
                      <w:b/>
                      <w:color w:val="000000" w:themeColor="text1"/>
                      <w14:textFill>
                        <w14:solidFill>
                          <w14:schemeClr w14:val="tx1"/>
                        </w14:solidFill>
                      </w14:textFill>
                    </w:rPr>
                    <w:t>）</w:t>
                  </w:r>
                </w:p>
              </w:tc>
              <w:tc>
                <w:tcPr>
                  <w:tcW w:w="931"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排放浓度（mg/L）</w:t>
                  </w:r>
                </w:p>
              </w:tc>
              <w:tc>
                <w:tcPr>
                  <w:tcW w:w="461" w:type="dxa"/>
                  <w:vMerge w:val="continue"/>
                  <w:vAlign w:val="center"/>
                </w:tcPr>
                <w:p>
                  <w:pPr>
                    <w:widowControl/>
                    <w:jc w:val="left"/>
                    <w:rPr>
                      <w:b/>
                      <w:color w:val="000000" w:themeColor="text1"/>
                      <w14:textFill>
                        <w14:solidFill>
                          <w14:schemeClr w14:val="tx1"/>
                        </w14:solidFill>
                      </w14:textFill>
                    </w:rPr>
                  </w:pPr>
                </w:p>
              </w:tc>
              <w:tc>
                <w:tcPr>
                  <w:tcW w:w="878" w:type="dxa"/>
                  <w:vMerge w:val="continue"/>
                  <w:vAlign w:val="center"/>
                </w:tcPr>
                <w:p>
                  <w:pPr>
                    <w:widowControl/>
                    <w:jc w:val="left"/>
                    <w:rPr>
                      <w:b/>
                      <w:color w:val="000000" w:themeColor="text1"/>
                      <w14:textFill>
                        <w14:solidFill>
                          <w14:schemeClr w14:val="tx1"/>
                        </w14:solidFill>
                      </w14:textFill>
                    </w:rPr>
                  </w:pPr>
                </w:p>
              </w:tc>
              <w:tc>
                <w:tcPr>
                  <w:tcW w:w="914" w:type="dxa"/>
                  <w:vMerge w:val="continue"/>
                  <w:vAlign w:val="center"/>
                </w:tcPr>
                <w:p>
                  <w:pPr>
                    <w:widowControl/>
                    <w:jc w:val="left"/>
                    <w:rPr>
                      <w:b/>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restart"/>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生活污水</w:t>
                  </w:r>
                </w:p>
              </w:tc>
              <w:tc>
                <w:tcPr>
                  <w:tcW w:w="79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COD</w:t>
                  </w:r>
                  <w:r>
                    <w:rPr>
                      <w:rStyle w:val="52"/>
                      <w:color w:val="000000" w:themeColor="text1"/>
                      <w14:textFill>
                        <w14:solidFill>
                          <w14:schemeClr w14:val="tx1"/>
                        </w14:solidFill>
                      </w14:textFill>
                    </w:rPr>
                    <w:t>cr</w:t>
                  </w:r>
                </w:p>
              </w:tc>
              <w:tc>
                <w:tcPr>
                  <w:tcW w:w="85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0.0269</w:t>
                  </w:r>
                </w:p>
              </w:tc>
              <w:tc>
                <w:tcPr>
                  <w:tcW w:w="993"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280</w:t>
                  </w:r>
                </w:p>
              </w:tc>
              <w:tc>
                <w:tcPr>
                  <w:tcW w:w="690" w:type="dxa"/>
                  <w:vMerge w:val="restart"/>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三级化  粪池</w:t>
                  </w:r>
                </w:p>
              </w:tc>
              <w:tc>
                <w:tcPr>
                  <w:tcW w:w="440" w:type="dxa"/>
                  <w:vMerge w:val="restart"/>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w:t>
                  </w:r>
                </w:p>
              </w:tc>
              <w:tc>
                <w:tcPr>
                  <w:tcW w:w="440" w:type="dxa"/>
                  <w:vMerge w:val="restart"/>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是</w:t>
                  </w:r>
                </w:p>
              </w:tc>
              <w:tc>
                <w:tcPr>
                  <w:tcW w:w="685" w:type="dxa"/>
                  <w:vMerge w:val="restart"/>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96</w:t>
                  </w:r>
                </w:p>
              </w:tc>
              <w:tc>
                <w:tcPr>
                  <w:tcW w:w="85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0.0038 </w:t>
                  </w:r>
                </w:p>
              </w:tc>
              <w:tc>
                <w:tcPr>
                  <w:tcW w:w="93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461" w:type="dxa"/>
                  <w:vMerge w:val="restart"/>
                  <w:tcMar>
                    <w:top w:w="15" w:type="dxa"/>
                    <w:left w:w="15" w:type="dxa"/>
                    <w:bottom w:w="0" w:type="dxa"/>
                    <w:right w:w="15" w:type="dxa"/>
                  </w:tcMar>
                  <w:vAlign w:val="center"/>
                </w:tcPr>
                <w:p>
                  <w:pPr>
                    <w:widowControl/>
                    <w:jc w:val="center"/>
                    <w:textAlignment w:val="center"/>
                    <w:rPr>
                      <w:bCs w:val="0"/>
                      <w:color w:val="000000" w:themeColor="text1"/>
                      <w14:textFill>
                        <w14:solidFill>
                          <w14:schemeClr w14:val="tx1"/>
                        </w14:solidFill>
                      </w14:textFill>
                    </w:rPr>
                  </w:pPr>
                  <w:r>
                    <w:rPr>
                      <w:bCs w:val="0"/>
                      <w:color w:val="000000" w:themeColor="text1"/>
                      <w:kern w:val="0"/>
                      <w14:textFill>
                        <w14:solidFill>
                          <w14:schemeClr w14:val="tx1"/>
                        </w14:solidFill>
                      </w14:textFill>
                    </w:rPr>
                    <w:t>间接排放</w:t>
                  </w:r>
                </w:p>
              </w:tc>
              <w:tc>
                <w:tcPr>
                  <w:tcW w:w="878" w:type="dxa"/>
                  <w:vMerge w:val="restart"/>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博罗县城生活污水处理厂</w:t>
                  </w:r>
                </w:p>
              </w:tc>
              <w:tc>
                <w:tcPr>
                  <w:tcW w:w="914" w:type="dxa"/>
                  <w:vMerge w:val="restart"/>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间断排放、排放期间流量稳定</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continue"/>
                  <w:vAlign w:val="center"/>
                </w:tcPr>
                <w:p>
                  <w:pPr>
                    <w:widowControl/>
                    <w:jc w:val="center"/>
                    <w:textAlignment w:val="center"/>
                    <w:rPr>
                      <w:color w:val="000000" w:themeColor="text1"/>
                      <w:kern w:val="0"/>
                      <w14:textFill>
                        <w14:solidFill>
                          <w14:schemeClr w14:val="tx1"/>
                        </w14:solidFill>
                      </w14:textFill>
                    </w:rPr>
                  </w:pPr>
                </w:p>
              </w:tc>
              <w:tc>
                <w:tcPr>
                  <w:tcW w:w="79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BOD</w:t>
                  </w:r>
                  <w:r>
                    <w:rPr>
                      <w:rStyle w:val="52"/>
                      <w:color w:val="000000" w:themeColor="text1"/>
                      <w14:textFill>
                        <w14:solidFill>
                          <w14:schemeClr w14:val="tx1"/>
                        </w14:solidFill>
                      </w14:textFill>
                    </w:rPr>
                    <w:t>5</w:t>
                  </w:r>
                </w:p>
              </w:tc>
              <w:tc>
                <w:tcPr>
                  <w:tcW w:w="85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0.0154 </w:t>
                  </w:r>
                </w:p>
              </w:tc>
              <w:tc>
                <w:tcPr>
                  <w:tcW w:w="993"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160</w:t>
                  </w:r>
                </w:p>
              </w:tc>
              <w:tc>
                <w:tcPr>
                  <w:tcW w:w="69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685" w:type="dxa"/>
                  <w:vMerge w:val="continue"/>
                  <w:vAlign w:val="center"/>
                </w:tcPr>
                <w:p>
                  <w:pPr>
                    <w:widowControl/>
                    <w:jc w:val="left"/>
                    <w:rPr>
                      <w:color w:val="000000" w:themeColor="text1"/>
                      <w14:textFill>
                        <w14:solidFill>
                          <w14:schemeClr w14:val="tx1"/>
                        </w14:solidFill>
                      </w14:textFill>
                    </w:rPr>
                  </w:pPr>
                </w:p>
              </w:tc>
              <w:tc>
                <w:tcPr>
                  <w:tcW w:w="85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0.0010</w:t>
                  </w:r>
                </w:p>
              </w:tc>
              <w:tc>
                <w:tcPr>
                  <w:tcW w:w="93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461" w:type="dxa"/>
                  <w:vMerge w:val="continue"/>
                  <w:vAlign w:val="center"/>
                </w:tcPr>
                <w:p>
                  <w:pPr>
                    <w:widowControl/>
                    <w:jc w:val="left"/>
                    <w:rPr>
                      <w:bCs w:val="0"/>
                      <w:color w:val="000000" w:themeColor="text1"/>
                      <w14:textFill>
                        <w14:solidFill>
                          <w14:schemeClr w14:val="tx1"/>
                        </w14:solidFill>
                      </w14:textFill>
                    </w:rPr>
                  </w:pPr>
                </w:p>
              </w:tc>
              <w:tc>
                <w:tcPr>
                  <w:tcW w:w="878" w:type="dxa"/>
                  <w:vMerge w:val="continue"/>
                  <w:vAlign w:val="center"/>
                </w:tcPr>
                <w:p>
                  <w:pPr>
                    <w:widowControl/>
                    <w:jc w:val="left"/>
                    <w:rPr>
                      <w:color w:val="000000" w:themeColor="text1"/>
                      <w:kern w:val="0"/>
                      <w14:textFill>
                        <w14:solidFill>
                          <w14:schemeClr w14:val="tx1"/>
                        </w14:solidFill>
                      </w14:textFill>
                    </w:rPr>
                  </w:pPr>
                </w:p>
              </w:tc>
              <w:tc>
                <w:tcPr>
                  <w:tcW w:w="914" w:type="dxa"/>
                  <w:vMerge w:val="continue"/>
                  <w:vAlign w:val="center"/>
                </w:tcPr>
                <w:p>
                  <w:pPr>
                    <w:widowControl/>
                    <w:jc w:val="left"/>
                    <w:rPr>
                      <w:color w:val="000000" w:themeColor="text1"/>
                      <w:kern w:val="0"/>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continue"/>
                  <w:vAlign w:val="center"/>
                </w:tcPr>
                <w:p>
                  <w:pPr>
                    <w:widowControl/>
                    <w:jc w:val="center"/>
                    <w:textAlignment w:val="center"/>
                    <w:rPr>
                      <w:color w:val="000000" w:themeColor="text1"/>
                      <w:kern w:val="0"/>
                      <w14:textFill>
                        <w14:solidFill>
                          <w14:schemeClr w14:val="tx1"/>
                        </w14:solidFill>
                      </w14:textFill>
                    </w:rPr>
                  </w:pPr>
                </w:p>
              </w:tc>
              <w:tc>
                <w:tcPr>
                  <w:tcW w:w="79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SS</w:t>
                  </w:r>
                </w:p>
              </w:tc>
              <w:tc>
                <w:tcPr>
                  <w:tcW w:w="85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0.0144 </w:t>
                  </w:r>
                </w:p>
              </w:tc>
              <w:tc>
                <w:tcPr>
                  <w:tcW w:w="993"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150</w:t>
                  </w:r>
                </w:p>
              </w:tc>
              <w:tc>
                <w:tcPr>
                  <w:tcW w:w="69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685" w:type="dxa"/>
                  <w:vMerge w:val="continue"/>
                  <w:vAlign w:val="center"/>
                </w:tcPr>
                <w:p>
                  <w:pPr>
                    <w:widowControl/>
                    <w:jc w:val="left"/>
                    <w:rPr>
                      <w:color w:val="000000" w:themeColor="text1"/>
                      <w14:textFill>
                        <w14:solidFill>
                          <w14:schemeClr w14:val="tx1"/>
                        </w14:solidFill>
                      </w14:textFill>
                    </w:rPr>
                  </w:pPr>
                </w:p>
              </w:tc>
              <w:tc>
                <w:tcPr>
                  <w:tcW w:w="85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0.0010</w:t>
                  </w:r>
                </w:p>
              </w:tc>
              <w:tc>
                <w:tcPr>
                  <w:tcW w:w="93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461" w:type="dxa"/>
                  <w:vMerge w:val="continue"/>
                  <w:vAlign w:val="center"/>
                </w:tcPr>
                <w:p>
                  <w:pPr>
                    <w:widowControl/>
                    <w:jc w:val="left"/>
                    <w:rPr>
                      <w:bCs w:val="0"/>
                      <w:color w:val="000000" w:themeColor="text1"/>
                      <w14:textFill>
                        <w14:solidFill>
                          <w14:schemeClr w14:val="tx1"/>
                        </w14:solidFill>
                      </w14:textFill>
                    </w:rPr>
                  </w:pPr>
                </w:p>
              </w:tc>
              <w:tc>
                <w:tcPr>
                  <w:tcW w:w="878" w:type="dxa"/>
                  <w:vMerge w:val="continue"/>
                  <w:vAlign w:val="center"/>
                </w:tcPr>
                <w:p>
                  <w:pPr>
                    <w:widowControl/>
                    <w:jc w:val="left"/>
                    <w:rPr>
                      <w:color w:val="000000" w:themeColor="text1"/>
                      <w:kern w:val="0"/>
                      <w14:textFill>
                        <w14:solidFill>
                          <w14:schemeClr w14:val="tx1"/>
                        </w14:solidFill>
                      </w14:textFill>
                    </w:rPr>
                  </w:pPr>
                </w:p>
              </w:tc>
              <w:tc>
                <w:tcPr>
                  <w:tcW w:w="914" w:type="dxa"/>
                  <w:vMerge w:val="continue"/>
                  <w:vAlign w:val="center"/>
                </w:tcPr>
                <w:p>
                  <w:pPr>
                    <w:widowControl/>
                    <w:jc w:val="left"/>
                    <w:rPr>
                      <w:color w:val="000000" w:themeColor="text1"/>
                      <w:kern w:val="0"/>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continue"/>
                  <w:vAlign w:val="center"/>
                </w:tcPr>
                <w:p>
                  <w:pPr>
                    <w:widowControl/>
                    <w:jc w:val="center"/>
                    <w:textAlignment w:val="center"/>
                    <w:rPr>
                      <w:color w:val="000000" w:themeColor="text1"/>
                      <w:kern w:val="0"/>
                      <w14:textFill>
                        <w14:solidFill>
                          <w14:schemeClr w14:val="tx1"/>
                        </w14:solidFill>
                      </w14:textFill>
                    </w:rPr>
                  </w:pPr>
                </w:p>
              </w:tc>
              <w:tc>
                <w:tcPr>
                  <w:tcW w:w="79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NH</w:t>
                  </w:r>
                  <w:r>
                    <w:rPr>
                      <w:rStyle w:val="52"/>
                      <w:color w:val="000000" w:themeColor="text1"/>
                      <w14:textFill>
                        <w14:solidFill>
                          <w14:schemeClr w14:val="tx1"/>
                        </w14:solidFill>
                      </w14:textFill>
                    </w:rPr>
                    <w:t>3</w:t>
                  </w:r>
                  <w:r>
                    <w:rPr>
                      <w:rStyle w:val="70"/>
                      <w:color w:val="000000" w:themeColor="text1"/>
                      <w14:textFill>
                        <w14:solidFill>
                          <w14:schemeClr w14:val="tx1"/>
                        </w14:solidFill>
                      </w14:textFill>
                    </w:rPr>
                    <w:t>-N</w:t>
                  </w:r>
                </w:p>
              </w:tc>
              <w:tc>
                <w:tcPr>
                  <w:tcW w:w="85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0.0024 </w:t>
                  </w:r>
                </w:p>
              </w:tc>
              <w:tc>
                <w:tcPr>
                  <w:tcW w:w="993"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kern w:val="0"/>
                      <w14:textFill>
                        <w14:solidFill>
                          <w14:schemeClr w14:val="tx1"/>
                        </w14:solidFill>
                      </w14:textFill>
                    </w:rPr>
                    <w:t>25</w:t>
                  </w:r>
                </w:p>
              </w:tc>
              <w:tc>
                <w:tcPr>
                  <w:tcW w:w="69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685" w:type="dxa"/>
                  <w:vMerge w:val="continue"/>
                  <w:vAlign w:val="center"/>
                </w:tcPr>
                <w:p>
                  <w:pPr>
                    <w:widowControl/>
                    <w:jc w:val="left"/>
                    <w:rPr>
                      <w:color w:val="000000" w:themeColor="text1"/>
                      <w14:textFill>
                        <w14:solidFill>
                          <w14:schemeClr w14:val="tx1"/>
                        </w14:solidFill>
                      </w14:textFill>
                    </w:rPr>
                  </w:pPr>
                </w:p>
              </w:tc>
              <w:tc>
                <w:tcPr>
                  <w:tcW w:w="85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0.0002 </w:t>
                  </w:r>
                </w:p>
              </w:tc>
              <w:tc>
                <w:tcPr>
                  <w:tcW w:w="93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61" w:type="dxa"/>
                  <w:vMerge w:val="continue"/>
                  <w:vAlign w:val="center"/>
                </w:tcPr>
                <w:p>
                  <w:pPr>
                    <w:widowControl/>
                    <w:jc w:val="left"/>
                    <w:rPr>
                      <w:bCs w:val="0"/>
                      <w:color w:val="000000" w:themeColor="text1"/>
                      <w14:textFill>
                        <w14:solidFill>
                          <w14:schemeClr w14:val="tx1"/>
                        </w14:solidFill>
                      </w14:textFill>
                    </w:rPr>
                  </w:pPr>
                </w:p>
              </w:tc>
              <w:tc>
                <w:tcPr>
                  <w:tcW w:w="878" w:type="dxa"/>
                  <w:vMerge w:val="continue"/>
                  <w:vAlign w:val="center"/>
                </w:tcPr>
                <w:p>
                  <w:pPr>
                    <w:widowControl/>
                    <w:jc w:val="left"/>
                    <w:rPr>
                      <w:color w:val="000000" w:themeColor="text1"/>
                      <w:kern w:val="0"/>
                      <w14:textFill>
                        <w14:solidFill>
                          <w14:schemeClr w14:val="tx1"/>
                        </w14:solidFill>
                      </w14:textFill>
                    </w:rPr>
                  </w:pPr>
                </w:p>
              </w:tc>
              <w:tc>
                <w:tcPr>
                  <w:tcW w:w="914" w:type="dxa"/>
                  <w:vMerge w:val="continue"/>
                  <w:vAlign w:val="center"/>
                </w:tcPr>
                <w:p>
                  <w:pPr>
                    <w:widowControl/>
                    <w:jc w:val="left"/>
                    <w:rPr>
                      <w:color w:val="000000" w:themeColor="text1"/>
                      <w:kern w:val="0"/>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19" w:type="dxa"/>
                  <w:vMerge w:val="continue"/>
                  <w:vAlign w:val="center"/>
                </w:tcPr>
                <w:p>
                  <w:pPr>
                    <w:widowControl/>
                    <w:jc w:val="center"/>
                    <w:textAlignment w:val="center"/>
                    <w:rPr>
                      <w:color w:val="000000" w:themeColor="text1"/>
                      <w:kern w:val="0"/>
                      <w14:textFill>
                        <w14:solidFill>
                          <w14:schemeClr w14:val="tx1"/>
                        </w14:solidFill>
                      </w14:textFill>
                    </w:rPr>
                  </w:pPr>
                </w:p>
              </w:tc>
              <w:tc>
                <w:tcPr>
                  <w:tcW w:w="799" w:type="dxa"/>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TP</w:t>
                  </w:r>
                </w:p>
              </w:tc>
              <w:tc>
                <w:tcPr>
                  <w:tcW w:w="85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0.0005 </w:t>
                  </w:r>
                </w:p>
              </w:tc>
              <w:tc>
                <w:tcPr>
                  <w:tcW w:w="993" w:type="dxa"/>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5</w:t>
                  </w:r>
                </w:p>
              </w:tc>
              <w:tc>
                <w:tcPr>
                  <w:tcW w:w="69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440" w:type="dxa"/>
                  <w:vMerge w:val="continue"/>
                  <w:vAlign w:val="center"/>
                </w:tcPr>
                <w:p>
                  <w:pPr>
                    <w:widowControl/>
                    <w:jc w:val="left"/>
                    <w:rPr>
                      <w:color w:val="000000" w:themeColor="text1"/>
                      <w14:textFill>
                        <w14:solidFill>
                          <w14:schemeClr w14:val="tx1"/>
                        </w14:solidFill>
                      </w14:textFill>
                    </w:rPr>
                  </w:pPr>
                </w:p>
              </w:tc>
              <w:tc>
                <w:tcPr>
                  <w:tcW w:w="685" w:type="dxa"/>
                  <w:vMerge w:val="continue"/>
                  <w:vAlign w:val="center"/>
                </w:tcPr>
                <w:p>
                  <w:pPr>
                    <w:widowControl/>
                    <w:jc w:val="left"/>
                    <w:rPr>
                      <w:color w:val="000000" w:themeColor="text1"/>
                      <w14:textFill>
                        <w14:solidFill>
                          <w14:schemeClr w14:val="tx1"/>
                        </w14:solidFill>
                      </w14:textFill>
                    </w:rPr>
                  </w:pPr>
                </w:p>
              </w:tc>
              <w:tc>
                <w:tcPr>
                  <w:tcW w:w="859"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 xml:space="preserve">0.00004 </w:t>
                  </w:r>
                </w:p>
              </w:tc>
              <w:tc>
                <w:tcPr>
                  <w:tcW w:w="931"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461" w:type="dxa"/>
                  <w:vMerge w:val="continue"/>
                  <w:vAlign w:val="center"/>
                </w:tcPr>
                <w:p>
                  <w:pPr>
                    <w:widowControl/>
                    <w:jc w:val="left"/>
                    <w:rPr>
                      <w:bCs w:val="0"/>
                      <w:color w:val="000000" w:themeColor="text1"/>
                      <w14:textFill>
                        <w14:solidFill>
                          <w14:schemeClr w14:val="tx1"/>
                        </w14:solidFill>
                      </w14:textFill>
                    </w:rPr>
                  </w:pPr>
                </w:p>
              </w:tc>
              <w:tc>
                <w:tcPr>
                  <w:tcW w:w="878" w:type="dxa"/>
                  <w:vMerge w:val="continue"/>
                  <w:vAlign w:val="center"/>
                </w:tcPr>
                <w:p>
                  <w:pPr>
                    <w:widowControl/>
                    <w:jc w:val="left"/>
                    <w:rPr>
                      <w:color w:val="000000" w:themeColor="text1"/>
                      <w:kern w:val="0"/>
                      <w14:textFill>
                        <w14:solidFill>
                          <w14:schemeClr w14:val="tx1"/>
                        </w14:solidFill>
                      </w14:textFill>
                    </w:rPr>
                  </w:pPr>
                </w:p>
              </w:tc>
              <w:tc>
                <w:tcPr>
                  <w:tcW w:w="914" w:type="dxa"/>
                  <w:vMerge w:val="continue"/>
                  <w:vAlign w:val="center"/>
                </w:tcPr>
                <w:p>
                  <w:pPr>
                    <w:widowControl/>
                    <w:jc w:val="left"/>
                    <w:rPr>
                      <w:color w:val="000000" w:themeColor="text1"/>
                      <w:kern w:val="0"/>
                      <w14:textFill>
                        <w14:solidFill>
                          <w14:schemeClr w14:val="tx1"/>
                        </w14:solidFill>
                      </w14:textFill>
                    </w:rPr>
                  </w:pPr>
                </w:p>
              </w:tc>
            </w:tr>
          </w:tbl>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注：生活污水中的各污染物浓度根据惠州市五大排污口的水质调查结果进行评价，主要污 染物为 CODCr（280mg/L）、BOD</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（160mg/L）、SS（150mg/L）、NH3-N（25mg/L）、总磷 （5mg/L）。</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（2）生活污水排放口信息及监测要求</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根据《排污单位自行监测技术指南 总则》（HJ 819-2017）自行监测管理要求中对单独排入城镇污水集中处理设施的生活污水不作监测要求。</w:t>
            </w:r>
          </w:p>
          <w:p>
            <w:pPr>
              <w:spacing w:line="360" w:lineRule="auto"/>
              <w:jc w:val="center"/>
              <w:rPr>
                <w:color w:val="000000" w:themeColor="text1"/>
                <w14:textFill>
                  <w14:solidFill>
                    <w14:schemeClr w14:val="tx1"/>
                  </w14:solidFill>
                </w14:textFill>
              </w:rPr>
            </w:pPr>
            <w:r>
              <w:rPr>
                <w:b/>
                <w:bCs w:val="0"/>
                <w:color w:val="000000" w:themeColor="text1"/>
                <w14:textFill>
                  <w14:solidFill>
                    <w14:schemeClr w14:val="tx1"/>
                  </w14:solidFill>
                </w14:textFill>
              </w:rPr>
              <w:t>表4-15  废水排放口基本情况</w:t>
            </w:r>
          </w:p>
          <w:tbl>
            <w:tblPr>
              <w:tblStyle w:val="30"/>
              <w:tblW w:w="9784"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106"/>
              <w:gridCol w:w="1160"/>
              <w:gridCol w:w="1160"/>
              <w:gridCol w:w="1305"/>
              <w:gridCol w:w="1016"/>
              <w:gridCol w:w="2487"/>
              <w:gridCol w:w="1550"/>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trPr>
              <w:tc>
                <w:tcPr>
                  <w:tcW w:w="1106" w:type="dxa"/>
                  <w:vMerge w:val="restart"/>
                  <w:vAlign w:val="center"/>
                </w:tcPr>
                <w:p>
                  <w:pPr>
                    <w:widowControl/>
                    <w:jc w:val="center"/>
                    <w:textAlignment w:val="center"/>
                    <w:rPr>
                      <w:b/>
                      <w:color w:val="000000" w:themeColor="text1"/>
                      <w:kern w:val="0"/>
                      <w14:textFill>
                        <w14:solidFill>
                          <w14:schemeClr w14:val="tx1"/>
                        </w14:solidFill>
                      </w14:textFill>
                    </w:rPr>
                  </w:pPr>
                  <w:r>
                    <w:rPr>
                      <w:b/>
                      <w:color w:val="000000" w:themeColor="text1"/>
                      <w:kern w:val="0"/>
                      <w14:textFill>
                        <w14:solidFill>
                          <w14:schemeClr w14:val="tx1"/>
                        </w14:solidFill>
                      </w14:textFill>
                    </w:rPr>
                    <w:t>排放口编号</w:t>
                  </w:r>
                </w:p>
              </w:tc>
              <w:tc>
                <w:tcPr>
                  <w:tcW w:w="2320" w:type="dxa"/>
                  <w:gridSpan w:val="2"/>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经纬度</w:t>
                  </w:r>
                </w:p>
              </w:tc>
              <w:tc>
                <w:tcPr>
                  <w:tcW w:w="1305"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排放去向</w:t>
                  </w:r>
                </w:p>
              </w:tc>
              <w:tc>
                <w:tcPr>
                  <w:tcW w:w="1016"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排放规律</w:t>
                  </w:r>
                </w:p>
              </w:tc>
              <w:tc>
                <w:tcPr>
                  <w:tcW w:w="2487" w:type="dxa"/>
                  <w:vMerge w:val="restart"/>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排放标准</w:t>
                  </w:r>
                </w:p>
              </w:tc>
              <w:tc>
                <w:tcPr>
                  <w:tcW w:w="1550" w:type="dxa"/>
                  <w:vMerge w:val="restart"/>
                  <w:tcMar>
                    <w:top w:w="15" w:type="dxa"/>
                    <w:left w:w="15" w:type="dxa"/>
                    <w:bottom w:w="0" w:type="dxa"/>
                    <w:right w:w="15" w:type="dxa"/>
                  </w:tcMar>
                  <w:vAlign w:val="center"/>
                </w:tcPr>
                <w:p>
                  <w:pPr>
                    <w:widowControl/>
                    <w:jc w:val="center"/>
                    <w:textAlignment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浓度限值（mg/L）</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106" w:type="dxa"/>
                  <w:vMerge w:val="continue"/>
                  <w:vAlign w:val="center"/>
                </w:tcPr>
                <w:p>
                  <w:pPr>
                    <w:widowControl/>
                    <w:jc w:val="center"/>
                    <w:textAlignment w:val="center"/>
                    <w:rPr>
                      <w:b/>
                      <w:color w:val="000000" w:themeColor="text1"/>
                      <w:kern w:val="0"/>
                      <w14:textFill>
                        <w14:solidFill>
                          <w14:schemeClr w14:val="tx1"/>
                        </w14:solidFill>
                      </w14:textFill>
                    </w:rPr>
                  </w:pPr>
                </w:p>
              </w:tc>
              <w:tc>
                <w:tcPr>
                  <w:tcW w:w="116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经度</w:t>
                  </w:r>
                </w:p>
              </w:tc>
              <w:tc>
                <w:tcPr>
                  <w:tcW w:w="1160" w:type="dxa"/>
                  <w:tcMar>
                    <w:top w:w="15" w:type="dxa"/>
                    <w:left w:w="15" w:type="dxa"/>
                    <w:bottom w:w="0" w:type="dxa"/>
                    <w:right w:w="15" w:type="dxa"/>
                  </w:tcMar>
                  <w:vAlign w:val="center"/>
                </w:tcPr>
                <w:p>
                  <w:pPr>
                    <w:widowControl/>
                    <w:jc w:val="center"/>
                    <w:textAlignment w:val="center"/>
                    <w:rPr>
                      <w:b/>
                      <w:color w:val="000000" w:themeColor="text1"/>
                      <w14:textFill>
                        <w14:solidFill>
                          <w14:schemeClr w14:val="tx1"/>
                        </w14:solidFill>
                      </w14:textFill>
                    </w:rPr>
                  </w:pPr>
                  <w:r>
                    <w:rPr>
                      <w:b/>
                      <w:color w:val="000000" w:themeColor="text1"/>
                      <w:kern w:val="0"/>
                      <w14:textFill>
                        <w14:solidFill>
                          <w14:schemeClr w14:val="tx1"/>
                        </w14:solidFill>
                      </w14:textFill>
                    </w:rPr>
                    <w:t>纬度</w:t>
                  </w:r>
                </w:p>
              </w:tc>
              <w:tc>
                <w:tcPr>
                  <w:tcW w:w="1305" w:type="dxa"/>
                  <w:vMerge w:val="continue"/>
                  <w:vAlign w:val="center"/>
                </w:tcPr>
                <w:p>
                  <w:pPr>
                    <w:widowControl/>
                    <w:jc w:val="left"/>
                    <w:rPr>
                      <w:b/>
                      <w:color w:val="000000" w:themeColor="text1"/>
                      <w14:textFill>
                        <w14:solidFill>
                          <w14:schemeClr w14:val="tx1"/>
                        </w14:solidFill>
                      </w14:textFill>
                    </w:rPr>
                  </w:pPr>
                </w:p>
              </w:tc>
              <w:tc>
                <w:tcPr>
                  <w:tcW w:w="1016" w:type="dxa"/>
                  <w:vMerge w:val="continue"/>
                  <w:vAlign w:val="center"/>
                </w:tcPr>
                <w:p>
                  <w:pPr>
                    <w:widowControl/>
                    <w:jc w:val="left"/>
                    <w:rPr>
                      <w:b/>
                      <w:color w:val="000000" w:themeColor="text1"/>
                      <w14:textFill>
                        <w14:solidFill>
                          <w14:schemeClr w14:val="tx1"/>
                        </w14:solidFill>
                      </w14:textFill>
                    </w:rPr>
                  </w:pPr>
                </w:p>
              </w:tc>
              <w:tc>
                <w:tcPr>
                  <w:tcW w:w="2487" w:type="dxa"/>
                  <w:vMerge w:val="continue"/>
                  <w:vAlign w:val="center"/>
                </w:tcPr>
                <w:p>
                  <w:pPr>
                    <w:widowControl/>
                    <w:jc w:val="left"/>
                    <w:rPr>
                      <w:b/>
                      <w:color w:val="000000" w:themeColor="text1"/>
                      <w14:textFill>
                        <w14:solidFill>
                          <w14:schemeClr w14:val="tx1"/>
                        </w14:solidFill>
                      </w14:textFill>
                    </w:rPr>
                  </w:pPr>
                </w:p>
              </w:tc>
              <w:tc>
                <w:tcPr>
                  <w:tcW w:w="1550" w:type="dxa"/>
                  <w:vMerge w:val="continue"/>
                  <w:vAlign w:val="center"/>
                </w:tcPr>
                <w:p>
                  <w:pPr>
                    <w:widowControl/>
                    <w:jc w:val="left"/>
                    <w:rPr>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106" w:type="dxa"/>
                  <w:vAlign w:val="center"/>
                </w:tcPr>
                <w:p>
                  <w:pPr>
                    <w:pStyle w:val="27"/>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DW001</w:t>
                  </w:r>
                </w:p>
              </w:tc>
              <w:tc>
                <w:tcPr>
                  <w:tcW w:w="1160" w:type="dxa"/>
                  <w:tcMar>
                    <w:top w:w="15" w:type="dxa"/>
                    <w:left w:w="15" w:type="dxa"/>
                    <w:bottom w:w="0" w:type="dxa"/>
                    <w:right w:w="15" w:type="dxa"/>
                  </w:tcMar>
                  <w:vAlign w:val="center"/>
                </w:tcPr>
                <w:p>
                  <w:pPr>
                    <w:pStyle w:val="27"/>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w:t>
                  </w:r>
                </w:p>
              </w:tc>
              <w:tc>
                <w:tcPr>
                  <w:tcW w:w="1160" w:type="dxa"/>
                  <w:tcMar>
                    <w:top w:w="15" w:type="dxa"/>
                    <w:left w:w="15" w:type="dxa"/>
                    <w:bottom w:w="0" w:type="dxa"/>
                    <w:right w:w="15" w:type="dxa"/>
                  </w:tcMar>
                  <w:vAlign w:val="center"/>
                </w:tcPr>
                <w:p>
                  <w:pPr>
                    <w:pStyle w:val="27"/>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w:t>
                  </w:r>
                </w:p>
              </w:tc>
              <w:tc>
                <w:tcPr>
                  <w:tcW w:w="1305" w:type="dxa"/>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博罗县城生活污水处理厂</w:t>
                  </w:r>
                </w:p>
              </w:tc>
              <w:tc>
                <w:tcPr>
                  <w:tcW w:w="1016" w:type="dxa"/>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间断排放、排放期间流量稳定</w:t>
                  </w:r>
                </w:p>
              </w:tc>
              <w:tc>
                <w:tcPr>
                  <w:tcW w:w="2487" w:type="dxa"/>
                  <w:tcMar>
                    <w:top w:w="15" w:type="dxa"/>
                    <w:left w:w="15" w:type="dxa"/>
                    <w:bottom w:w="0" w:type="dxa"/>
                    <w:right w:w="15" w:type="dxa"/>
                  </w:tcMar>
                  <w:vAlign w:val="center"/>
                </w:tcPr>
                <w:p>
                  <w:pPr>
                    <w:widowControl/>
                    <w:jc w:val="center"/>
                    <w:textAlignment w:val="center"/>
                    <w:rPr>
                      <w:color w:val="000000" w:themeColor="text1"/>
                      <w14:textFill>
                        <w14:solidFill>
                          <w14:schemeClr w14:val="tx1"/>
                        </w14:solidFill>
                      </w14:textFill>
                    </w:rPr>
                  </w:pPr>
                  <w:r>
                    <w:rPr>
                      <w:color w:val="000000" w:themeColor="text1"/>
                      <w14:textFill>
                        <w14:solidFill>
                          <w14:schemeClr w14:val="tx1"/>
                        </w14:solidFill>
                      </w14:textFill>
                    </w:rPr>
                    <w:t>（DB44/26-2001）第二时段三级标准</w:t>
                  </w:r>
                </w:p>
              </w:tc>
              <w:tc>
                <w:tcPr>
                  <w:tcW w:w="1550" w:type="dxa"/>
                  <w:tcMar>
                    <w:top w:w="15" w:type="dxa"/>
                    <w:left w:w="15" w:type="dxa"/>
                    <w:bottom w:w="0" w:type="dxa"/>
                    <w:right w:w="15" w:type="dxa"/>
                  </w:tcMar>
                  <w:vAlign w:val="center"/>
                </w:tcPr>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COD</w:t>
                  </w:r>
                  <w:r>
                    <w:rPr>
                      <w:color w:val="000000" w:themeColor="text1"/>
                      <w:kern w:val="0"/>
                      <w:vertAlign w:val="subscript"/>
                      <w14:textFill>
                        <w14:solidFill>
                          <w14:schemeClr w14:val="tx1"/>
                        </w14:solidFill>
                      </w14:textFill>
                    </w:rPr>
                    <w:t>Cr</w:t>
                  </w:r>
                  <w:r>
                    <w:rPr>
                      <w:color w:val="000000" w:themeColor="text1"/>
                      <w:kern w:val="0"/>
                      <w14:textFill>
                        <w14:solidFill>
                          <w14:schemeClr w14:val="tx1"/>
                        </w14:solidFill>
                      </w14:textFill>
                    </w:rPr>
                    <w:t>:500</w:t>
                  </w:r>
                </w:p>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BOD</w:t>
                  </w:r>
                  <w:r>
                    <w:rPr>
                      <w:color w:val="000000" w:themeColor="text1"/>
                      <w:kern w:val="0"/>
                      <w:vertAlign w:val="subscript"/>
                      <w14:textFill>
                        <w14:solidFill>
                          <w14:schemeClr w14:val="tx1"/>
                        </w14:solidFill>
                      </w14:textFill>
                    </w:rPr>
                    <w:t>5</w:t>
                  </w:r>
                  <w:r>
                    <w:rPr>
                      <w:color w:val="000000" w:themeColor="text1"/>
                      <w:kern w:val="0"/>
                      <w14:textFill>
                        <w14:solidFill>
                          <w14:schemeClr w14:val="tx1"/>
                        </w14:solidFill>
                      </w14:textFill>
                    </w:rPr>
                    <w:t>:300</w:t>
                  </w:r>
                </w:p>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SS:400</w:t>
                  </w:r>
                </w:p>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NH</w:t>
                  </w:r>
                  <w:r>
                    <w:rPr>
                      <w:color w:val="000000" w:themeColor="text1"/>
                      <w:kern w:val="0"/>
                      <w:vertAlign w:val="subscript"/>
                      <w14:textFill>
                        <w14:solidFill>
                          <w14:schemeClr w14:val="tx1"/>
                        </w14:solidFill>
                      </w14:textFill>
                    </w:rPr>
                    <w:t>3</w:t>
                  </w:r>
                  <w:r>
                    <w:rPr>
                      <w:color w:val="000000" w:themeColor="text1"/>
                      <w:kern w:val="0"/>
                      <w14:textFill>
                        <w14:solidFill>
                          <w14:schemeClr w14:val="tx1"/>
                        </w14:solidFill>
                      </w14:textFill>
                    </w:rPr>
                    <w:t>-N:/</w:t>
                  </w:r>
                </w:p>
                <w:p>
                  <w:pPr>
                    <w:widowControl/>
                    <w:jc w:val="center"/>
                    <w:textAlignment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TP:/</w:t>
                  </w:r>
                </w:p>
              </w:tc>
            </w:tr>
          </w:tbl>
          <w:p>
            <w:pPr>
              <w:pStyle w:val="81"/>
              <w:spacing w:line="360" w:lineRule="auto"/>
              <w:ind w:firstLine="422"/>
              <w:rPr>
                <w:b/>
                <w:color w:val="000000" w:themeColor="text1"/>
                <w:kern w:val="2"/>
                <w:sz w:val="21"/>
                <w14:textFill>
                  <w14:solidFill>
                    <w14:schemeClr w14:val="tx1"/>
                  </w14:solidFill>
                </w14:textFill>
              </w:rPr>
            </w:pPr>
            <w:r>
              <w:rPr>
                <w:b/>
                <w:color w:val="000000" w:themeColor="text1"/>
                <w:kern w:val="2"/>
                <w:sz w:val="21"/>
                <w14:textFill>
                  <w14:solidFill>
                    <w14:schemeClr w14:val="tx1"/>
                  </w14:solidFill>
                </w14:textFill>
              </w:rPr>
              <w:t>（3）生活污水依托博罗县城生活污水处理厂</w:t>
            </w:r>
            <w:r>
              <w:rPr>
                <w:b/>
                <w:bCs w:val="0"/>
                <w:color w:val="000000" w:themeColor="text1"/>
                <w:kern w:val="2"/>
                <w:sz w:val="21"/>
                <w14:textFill>
                  <w14:solidFill>
                    <w14:schemeClr w14:val="tx1"/>
                  </w14:solidFill>
                </w14:textFill>
              </w:rPr>
              <w:t>可行性分析</w:t>
            </w:r>
          </w:p>
          <w:p>
            <w:pPr>
              <w:pStyle w:val="18"/>
              <w:spacing w:line="360" w:lineRule="auto"/>
              <w:ind w:firstLine="422" w:firstLineChars="200"/>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val="0"/>
                <w:color w:val="000000" w:themeColor="text1"/>
                <w14:textFill>
                  <w14:solidFill>
                    <w14:schemeClr w14:val="tx1"/>
                  </w14:solidFill>
                </w14:textFill>
              </w:rPr>
              <w:t>①污水处理厂概况：</w:t>
            </w:r>
            <w:r>
              <w:rPr>
                <w:rFonts w:ascii="Times New Roman" w:hAnsi="Times New Roman" w:cs="Times New Roman"/>
                <w:color w:val="000000" w:themeColor="text1"/>
                <w14:textFill>
                  <w14:solidFill>
                    <w14:schemeClr w14:val="tx1"/>
                  </w14:solidFill>
                </w14:textFill>
              </w:rPr>
              <w:t>博罗县城生活污水处理厂位于博罗县罗阳镇水西综合小区，占地总面积5.1万m</w:t>
            </w:r>
            <w:r>
              <w:rPr>
                <w:rFonts w:ascii="Times New Roman" w:hAnsi="Times New Roman" w:cs="Times New Roman"/>
                <w:color w:val="000000" w:themeColor="text1"/>
                <w:vertAlign w:val="super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。服务范围为博罗县城新区、老城区、商业街及行政文化广场片区、义和片区、新博中片区等污水，该污水厂设计规模为6万m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/d，分两期建设，其中首期工程3万m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/d，二期为3万m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目前首、二期工程均已建成运行。博罗县城生活污水处理厂采用CASS工艺，处理后的尾水排放执行《城镇污水处理厂污染物排放标准》（GB18918-2002）一级A标准、广东省地方标准《水污染物排放限值》（DB44/26-2001）第二时段一级标准较严值（其中氨氮、总磷指标优于《地表水环境质量标准》（GB3838-2002）Ⅴ类标准）项目建成后拟将生活污水预处理达到博罗县城生活污水处理厂的接管标准，通过市政污水管网排入博罗县城生活污水处理厂进行深度处理，其尾水排到排入新角排渠后汇入东江。</w:t>
            </w:r>
          </w:p>
          <w:p>
            <w:pPr>
              <w:pStyle w:val="18"/>
              <w:spacing w:line="360" w:lineRule="auto"/>
              <w:ind w:firstLine="422" w:firstLineChars="200"/>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val="0"/>
                <w:color w:val="000000" w:themeColor="text1"/>
                <w14:textFill>
                  <w14:solidFill>
                    <w14:schemeClr w14:val="tx1"/>
                  </w14:solidFill>
                </w14:textFill>
              </w:rPr>
              <w:t>②可行性：</w:t>
            </w:r>
            <w:r>
              <w:rPr>
                <w:rFonts w:ascii="Times New Roman" w:hAnsi="Times New Roman" w:cs="Times New Roman"/>
                <w:color w:val="000000" w:themeColor="text1"/>
                <w14:textFill>
                  <w14:solidFill>
                    <w14:schemeClr w14:val="tx1"/>
                  </w14:solidFill>
                </w14:textFill>
              </w:rPr>
              <w:t>本项目位于博罗县城生活污水处理厂的服务范围，生活污水经预处理达标后可满足广东省《水污染物排放限值》(DB44/26-2001）第二时段三级标准，排放水质符合博罗县城生活污水处理厂接纳要求。根据调查，博罗县城生活污水处理厂两期处理能力为6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/d，目前实际收集处理量约5.4万m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/d，剩余处理能力为0.6万m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/d。本项目生活污水排放量为0.32m</w:t>
            </w:r>
            <w:r>
              <w:rPr>
                <w:rFonts w:ascii="Times New Roman" w:hAnsi="Times New Roman" w:cs="Times New Roman"/>
                <w:color w:val="000000" w:themeColor="text1"/>
                <w:vertAlign w:val="superscript"/>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/d，占博罗县城生活污水处理厂剩余处理能力的0.005%，因此博罗县城生活污水处理厂是有容量接收处理本项目生活污水的。</w:t>
            </w:r>
          </w:p>
          <w:p>
            <w:pPr>
              <w:pStyle w:val="18"/>
              <w:spacing w:line="360" w:lineRule="auto"/>
              <w:ind w:firstLine="420" w:firstLineChars="200"/>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因此，从水质、水量、接驳条件等来看，本项目生活污水排入博罗县城生活污水处理厂处理是可行的。</w:t>
            </w:r>
          </w:p>
          <w:p>
            <w:pPr>
              <w:pStyle w:val="81"/>
              <w:spacing w:line="360" w:lineRule="auto"/>
              <w:ind w:firstLine="422"/>
              <w:rPr>
                <w:b/>
                <w:color w:val="000000" w:themeColor="text1"/>
                <w:kern w:val="2"/>
                <w:sz w:val="21"/>
                <w14:textFill>
                  <w14:solidFill>
                    <w14:schemeClr w14:val="tx1"/>
                  </w14:solidFill>
                </w14:textFill>
              </w:rPr>
            </w:pPr>
            <w:r>
              <w:rPr>
                <w:b/>
                <w:color w:val="000000" w:themeColor="text1"/>
                <w:kern w:val="2"/>
                <w:sz w:val="21"/>
                <w14:textFill>
                  <w14:solidFill>
                    <w14:schemeClr w14:val="tx1"/>
                  </w14:solidFill>
                </w14:textFill>
              </w:rPr>
              <w:t>2、环境影响性分析</w:t>
            </w:r>
          </w:p>
          <w:p>
            <w:pPr>
              <w:pStyle w:val="81"/>
              <w:spacing w:line="360" w:lineRule="auto"/>
              <w:ind w:firstLine="420"/>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本项目生产过程中无生产废水产生及排放，外排废水主要为员工生活污水，排放量为96t/a。主要污染物为COD</w:t>
            </w:r>
            <w:r>
              <w:rPr>
                <w:color w:val="000000" w:themeColor="text1"/>
                <w:kern w:val="2"/>
                <w:sz w:val="21"/>
                <w:vertAlign w:val="subscript"/>
                <w14:textFill>
                  <w14:solidFill>
                    <w14:schemeClr w14:val="tx1"/>
                  </w14:solidFill>
                </w14:textFill>
              </w:rPr>
              <w:t>Cr</w:t>
            </w:r>
            <w:r>
              <w:rPr>
                <w:color w:val="000000" w:themeColor="text1"/>
                <w:kern w:val="2"/>
                <w:sz w:val="21"/>
                <w14:textFill>
                  <w14:solidFill>
                    <w14:schemeClr w14:val="tx1"/>
                  </w14:solidFill>
                </w14:textFill>
              </w:rPr>
              <w:t>、BOD</w:t>
            </w:r>
            <w:r>
              <w:rPr>
                <w:color w:val="000000" w:themeColor="text1"/>
                <w:kern w:val="2"/>
                <w:sz w:val="21"/>
                <w:vertAlign w:val="subscript"/>
                <w14:textFill>
                  <w14:solidFill>
                    <w14:schemeClr w14:val="tx1"/>
                  </w14:solidFill>
                </w14:textFill>
              </w:rPr>
              <w:t>5</w:t>
            </w:r>
            <w:r>
              <w:rPr>
                <w:color w:val="000000" w:themeColor="text1"/>
                <w:kern w:val="2"/>
                <w:sz w:val="21"/>
                <w14:textFill>
                  <w14:solidFill>
                    <w14:schemeClr w14:val="tx1"/>
                  </w14:solidFill>
                </w14:textFill>
              </w:rPr>
              <w:t>、氨氮、SS、总磷等。项目生活污水经“三级化粪池”预处理后，达到广东省地方标准《水污染物排放限值》（DB44/26-2001）第二时段三级标准后，经市政污水管网引至</w:t>
            </w:r>
            <w:r>
              <w:rPr>
                <w:color w:val="000000" w:themeColor="text1"/>
                <w:sz w:val="21"/>
                <w14:textFill>
                  <w14:solidFill>
                    <w14:schemeClr w14:val="tx1"/>
                  </w14:solidFill>
                </w14:textFill>
              </w:rPr>
              <w:t>博罗县城生活污水处理厂</w:t>
            </w:r>
            <w:r>
              <w:rPr>
                <w:color w:val="000000" w:themeColor="text1"/>
                <w:kern w:val="2"/>
                <w:sz w:val="21"/>
                <w14:textFill>
                  <w14:solidFill>
                    <w14:schemeClr w14:val="tx1"/>
                  </w14:solidFill>
                </w14:textFill>
              </w:rPr>
              <w:t>进行进一步处理。出水排放达到《城镇污水处理厂污染物排放标准》（GB18918-2002）一级A标准及《广东省水污染物排放限值》（DB44/26-2001）第二时段一级标准中的较严者（其中氨氮、总磷指标执行《地表水环境质量标准》（GB3838-2002）V类标准），经处理达标后，尾水排入新角排渠后汇入东江，废水各污染物排放满足相应的废水排放要求，</w:t>
            </w:r>
            <w:r>
              <w:rPr>
                <w:color w:val="000000" w:themeColor="text1"/>
                <w:sz w:val="21"/>
                <w14:textFill>
                  <w14:solidFill>
                    <w14:schemeClr w14:val="tx1"/>
                  </w14:solidFill>
                </w14:textFill>
              </w:rPr>
              <w:t>对受纳水体影响很小</w:t>
            </w:r>
            <w:r>
              <w:rPr>
                <w:color w:val="000000" w:themeColor="text1"/>
                <w:kern w:val="2"/>
                <w:sz w:val="21"/>
                <w14:textFill>
                  <w14:solidFill>
                    <w14:schemeClr w14:val="tx1"/>
                  </w14:solidFill>
                </w14:textFill>
              </w:rPr>
              <w:t>。</w:t>
            </w:r>
          </w:p>
          <w:p>
            <w:pPr>
              <w:spacing w:line="360" w:lineRule="auto"/>
              <w:rPr>
                <w:b/>
                <w:bCs w:val="0"/>
                <w:color w:val="000000" w:themeColor="text1"/>
                <w14:textFill>
                  <w14:solidFill>
                    <w14:schemeClr w14:val="tx1"/>
                  </w14:solidFill>
                </w14:textFill>
              </w:rPr>
            </w:pPr>
            <w:r>
              <w:rPr>
                <w:b/>
                <w:bCs w:val="0"/>
                <w:color w:val="000000" w:themeColor="text1"/>
                <w14:textFill>
                  <w14:solidFill>
                    <w14:schemeClr w14:val="tx1"/>
                  </w14:solidFill>
                </w14:textFill>
              </w:rPr>
              <w:t>三、噪声</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1、源强分析</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本项目营运期最主要的噪声污染源为各生产车间生产设施等生产设备运行产生的噪声，生产设备采用降噪措施、厂房隔声、厂区围墙。</w:t>
            </w:r>
          </w:p>
          <w:p>
            <w:pPr>
              <w:adjustRightInd w:val="0"/>
              <w:snapToGrid w:val="0"/>
              <w:spacing w:line="360" w:lineRule="auto"/>
              <w:rPr>
                <w:b/>
                <w:color w:val="000000" w:themeColor="text1"/>
                <w:spacing w:val="-10"/>
                <w14:textFill>
                  <w14:solidFill>
                    <w14:schemeClr w14:val="tx1"/>
                  </w14:solidFill>
                </w14:textFill>
              </w:rPr>
            </w:pPr>
          </w:p>
        </w:tc>
      </w:tr>
    </w:tbl>
    <w:p>
      <w:pPr>
        <w:rPr>
          <w:color w:val="000000" w:themeColor="text1"/>
          <w:sz w:val="28"/>
          <w:szCs w:val="28"/>
          <w14:textFill>
            <w14:solidFill>
              <w14:schemeClr w14:val="tx1"/>
            </w14:solidFill>
          </w14:textFill>
        </w:rPr>
        <w:sectPr>
          <w:pgSz w:w="11906" w:h="16838"/>
          <w:pgMar w:top="720" w:right="720" w:bottom="720" w:left="720" w:header="851" w:footer="851" w:gutter="0"/>
          <w:cols w:space="720" w:num="1"/>
          <w:docGrid w:linePitch="312" w:charSpace="0"/>
        </w:sectPr>
      </w:pPr>
    </w:p>
    <w:tbl>
      <w:tblPr>
        <w:tblStyle w:val="31"/>
        <w:tblW w:w="156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trPr>
        <w:tc>
          <w:tcPr>
            <w:tcW w:w="42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运  营</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期  环</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境  影</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响  和保  护措  施</w:t>
            </w:r>
          </w:p>
        </w:tc>
        <w:tc>
          <w:tcPr>
            <w:tcW w:w="15188" w:type="dxa"/>
            <w:vAlign w:val="center"/>
          </w:tcPr>
          <w:p>
            <w:pPr>
              <w:adjustRightInd w:val="0"/>
              <w:snapToGrid w:val="0"/>
              <w:spacing w:line="360" w:lineRule="auto"/>
              <w:jc w:val="center"/>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表4-16  本项目主要设备噪声情况一览表（室内声源）</w:t>
            </w:r>
          </w:p>
          <w:tbl>
            <w:tblPr>
              <w:tblStyle w:val="30"/>
              <w:tblW w:w="14957"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47"/>
              <w:gridCol w:w="903"/>
              <w:gridCol w:w="1322"/>
              <w:gridCol w:w="796"/>
              <w:gridCol w:w="1059"/>
              <w:gridCol w:w="1062"/>
              <w:gridCol w:w="870"/>
              <w:gridCol w:w="1002"/>
              <w:gridCol w:w="1002"/>
              <w:gridCol w:w="859"/>
              <w:gridCol w:w="1457"/>
              <w:gridCol w:w="1149"/>
              <w:gridCol w:w="1316"/>
              <w:gridCol w:w="1313"/>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7"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序号</w:t>
                  </w:r>
                </w:p>
              </w:tc>
              <w:tc>
                <w:tcPr>
                  <w:tcW w:w="903"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建筑物名称</w:t>
                  </w:r>
                </w:p>
              </w:tc>
              <w:tc>
                <w:tcPr>
                  <w:tcW w:w="1322"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声源名称</w:t>
                  </w:r>
                </w:p>
              </w:tc>
              <w:tc>
                <w:tcPr>
                  <w:tcW w:w="796"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型号</w:t>
                  </w:r>
                </w:p>
              </w:tc>
              <w:tc>
                <w:tcPr>
                  <w:tcW w:w="2121" w:type="dxa"/>
                  <w:gridSpan w:val="2"/>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声源源强</w:t>
                  </w:r>
                </w:p>
              </w:tc>
              <w:tc>
                <w:tcPr>
                  <w:tcW w:w="870" w:type="dxa"/>
                  <w:vMerge w:val="restart"/>
                  <w:vAlign w:val="center"/>
                </w:tcPr>
                <w:p>
                  <w:pPr>
                    <w:jc w:val="center"/>
                    <w:rPr>
                      <w:b/>
                      <w:bCs w:val="0"/>
                      <w:color w:val="000000" w:themeColor="text1"/>
                      <w14:textFill>
                        <w14:solidFill>
                          <w14:schemeClr w14:val="tx1"/>
                        </w14:solidFill>
                      </w14:textFill>
                    </w:rPr>
                  </w:pPr>
                  <w:r>
                    <w:rPr>
                      <w:b/>
                      <w:bCs w:val="0"/>
                      <w:color w:val="000000" w:themeColor="text1"/>
                      <w:kern w:val="28"/>
                      <w14:textFill>
                        <w14:solidFill>
                          <w14:schemeClr w14:val="tx1"/>
                        </w14:solidFill>
                      </w14:textFill>
                    </w:rPr>
                    <w:t>声源控制措施</w:t>
                  </w:r>
                </w:p>
              </w:tc>
              <w:tc>
                <w:tcPr>
                  <w:tcW w:w="2863" w:type="dxa"/>
                  <w:gridSpan w:val="3"/>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空间相对位置（m）</w:t>
                  </w:r>
                </w:p>
              </w:tc>
              <w:tc>
                <w:tcPr>
                  <w:tcW w:w="1457"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运行时段</w:t>
                  </w:r>
                </w:p>
              </w:tc>
              <w:tc>
                <w:tcPr>
                  <w:tcW w:w="1149" w:type="dxa"/>
                  <w:vMerge w:val="restart"/>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建筑物插入损失/dB（A）</w:t>
                  </w:r>
                </w:p>
              </w:tc>
              <w:tc>
                <w:tcPr>
                  <w:tcW w:w="2629" w:type="dxa"/>
                  <w:gridSpan w:val="2"/>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建筑物外噪声</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7" w:type="dxa"/>
                  <w:vMerge w:val="continue"/>
                  <w:vAlign w:val="center"/>
                </w:tcPr>
                <w:p>
                  <w:pPr>
                    <w:jc w:val="center"/>
                    <w:rPr>
                      <w:b/>
                      <w:bCs w:val="0"/>
                      <w:color w:val="000000" w:themeColor="text1"/>
                      <w14:textFill>
                        <w14:solidFill>
                          <w14:schemeClr w14:val="tx1"/>
                        </w14:solidFill>
                      </w14:textFill>
                    </w:rPr>
                  </w:pPr>
                </w:p>
              </w:tc>
              <w:tc>
                <w:tcPr>
                  <w:tcW w:w="903" w:type="dxa"/>
                  <w:vMerge w:val="continue"/>
                  <w:vAlign w:val="center"/>
                </w:tcPr>
                <w:p>
                  <w:pPr>
                    <w:jc w:val="center"/>
                    <w:rPr>
                      <w:b/>
                      <w:bCs w:val="0"/>
                      <w:color w:val="000000" w:themeColor="text1"/>
                      <w14:textFill>
                        <w14:solidFill>
                          <w14:schemeClr w14:val="tx1"/>
                        </w14:solidFill>
                      </w14:textFill>
                    </w:rPr>
                  </w:pPr>
                </w:p>
              </w:tc>
              <w:tc>
                <w:tcPr>
                  <w:tcW w:w="1322" w:type="dxa"/>
                  <w:vMerge w:val="continue"/>
                  <w:vAlign w:val="center"/>
                </w:tcPr>
                <w:p>
                  <w:pPr>
                    <w:jc w:val="center"/>
                    <w:rPr>
                      <w:b/>
                      <w:bCs w:val="0"/>
                      <w:color w:val="000000" w:themeColor="text1"/>
                      <w14:textFill>
                        <w14:solidFill>
                          <w14:schemeClr w14:val="tx1"/>
                        </w14:solidFill>
                      </w14:textFill>
                    </w:rPr>
                  </w:pPr>
                </w:p>
              </w:tc>
              <w:tc>
                <w:tcPr>
                  <w:tcW w:w="796" w:type="dxa"/>
                  <w:vMerge w:val="continue"/>
                  <w:vAlign w:val="center"/>
                </w:tcPr>
                <w:p>
                  <w:pPr>
                    <w:jc w:val="center"/>
                    <w:rPr>
                      <w:b/>
                      <w:bCs w:val="0"/>
                      <w:color w:val="000000" w:themeColor="text1"/>
                      <w14:textFill>
                        <w14:solidFill>
                          <w14:schemeClr w14:val="tx1"/>
                        </w14:solidFill>
                      </w14:textFill>
                    </w:rPr>
                  </w:pPr>
                </w:p>
              </w:tc>
              <w:tc>
                <w:tcPr>
                  <w:tcW w:w="1059" w:type="dxa"/>
                  <w:vAlign w:val="center"/>
                </w:tcPr>
                <w:p>
                  <w:pPr>
                    <w:jc w:val="center"/>
                    <w:rPr>
                      <w:b/>
                      <w:bCs w:val="0"/>
                      <w:color w:val="000000" w:themeColor="text1"/>
                      <w14:textFill>
                        <w14:solidFill>
                          <w14:schemeClr w14:val="tx1"/>
                        </w14:solidFill>
                      </w14:textFill>
                    </w:rPr>
                  </w:pPr>
                  <w:r>
                    <w:rPr>
                      <w:b/>
                      <w:bCs w:val="0"/>
                      <w:color w:val="000000" w:themeColor="text1"/>
                      <w:kern w:val="28"/>
                      <w14:textFill>
                        <w14:solidFill>
                          <w14:schemeClr w14:val="tx1"/>
                        </w14:solidFill>
                      </w14:textFill>
                    </w:rPr>
                    <w:t>声压级/dB（A）</w:t>
                  </w:r>
                </w:p>
              </w:tc>
              <w:tc>
                <w:tcPr>
                  <w:tcW w:w="1062" w:type="dxa"/>
                  <w:vAlign w:val="center"/>
                </w:tcPr>
                <w:p>
                  <w:pPr>
                    <w:jc w:val="center"/>
                    <w:rPr>
                      <w:color w:val="000000" w:themeColor="text1"/>
                      <w14:textFill>
                        <w14:solidFill>
                          <w14:schemeClr w14:val="tx1"/>
                        </w14:solidFill>
                      </w14:textFill>
                    </w:rPr>
                  </w:pPr>
                  <w:r>
                    <w:rPr>
                      <w:b/>
                      <w:bCs w:val="0"/>
                      <w:color w:val="000000" w:themeColor="text1"/>
                      <w:kern w:val="28"/>
                      <w14:textFill>
                        <w14:solidFill>
                          <w14:schemeClr w14:val="tx1"/>
                        </w14:solidFill>
                      </w14:textFill>
                    </w:rPr>
                    <w:t>距声源距离（m）</w:t>
                  </w:r>
                </w:p>
              </w:tc>
              <w:tc>
                <w:tcPr>
                  <w:tcW w:w="870" w:type="dxa"/>
                  <w:vMerge w:val="continue"/>
                  <w:vAlign w:val="center"/>
                </w:tcPr>
                <w:p>
                  <w:pPr>
                    <w:jc w:val="center"/>
                    <w:rPr>
                      <w:b/>
                      <w:bCs w:val="0"/>
                      <w:color w:val="000000" w:themeColor="text1"/>
                      <w:kern w:val="28"/>
                      <w14:textFill>
                        <w14:solidFill>
                          <w14:schemeClr w14:val="tx1"/>
                        </w14:solidFill>
                      </w14:textFill>
                    </w:rPr>
                  </w:pPr>
                </w:p>
              </w:tc>
              <w:tc>
                <w:tcPr>
                  <w:tcW w:w="1002" w:type="dxa"/>
                  <w:vAlign w:val="center"/>
                </w:tcPr>
                <w:p>
                  <w:pPr>
                    <w:jc w:val="center"/>
                    <w:rPr>
                      <w:b/>
                      <w:bCs w:val="0"/>
                      <w:color w:val="000000" w:themeColor="text1"/>
                      <w:kern w:val="28"/>
                      <w14:textFill>
                        <w14:solidFill>
                          <w14:schemeClr w14:val="tx1"/>
                        </w14:solidFill>
                      </w14:textFill>
                    </w:rPr>
                  </w:pPr>
                  <w:r>
                    <w:rPr>
                      <w:b/>
                      <w:bCs w:val="0"/>
                      <w:color w:val="000000" w:themeColor="text1"/>
                      <w:kern w:val="28"/>
                      <w14:textFill>
                        <w14:solidFill>
                          <w14:schemeClr w14:val="tx1"/>
                        </w14:solidFill>
                      </w14:textFill>
                    </w:rPr>
                    <w:t>X</w:t>
                  </w:r>
                </w:p>
              </w:tc>
              <w:tc>
                <w:tcPr>
                  <w:tcW w:w="1002" w:type="dxa"/>
                  <w:vAlign w:val="center"/>
                </w:tcPr>
                <w:p>
                  <w:pPr>
                    <w:jc w:val="center"/>
                    <w:rPr>
                      <w:b/>
                      <w:bCs w:val="0"/>
                      <w:color w:val="000000" w:themeColor="text1"/>
                      <w:kern w:val="28"/>
                      <w14:textFill>
                        <w14:solidFill>
                          <w14:schemeClr w14:val="tx1"/>
                        </w14:solidFill>
                      </w14:textFill>
                    </w:rPr>
                  </w:pPr>
                  <w:r>
                    <w:rPr>
                      <w:b/>
                      <w:bCs w:val="0"/>
                      <w:color w:val="000000" w:themeColor="text1"/>
                      <w:kern w:val="28"/>
                      <w14:textFill>
                        <w14:solidFill>
                          <w14:schemeClr w14:val="tx1"/>
                        </w14:solidFill>
                      </w14:textFill>
                    </w:rPr>
                    <w:t>Y</w:t>
                  </w:r>
                </w:p>
              </w:tc>
              <w:tc>
                <w:tcPr>
                  <w:tcW w:w="859" w:type="dxa"/>
                  <w:vAlign w:val="center"/>
                </w:tcPr>
                <w:p>
                  <w:pPr>
                    <w:jc w:val="center"/>
                    <w:rPr>
                      <w:b/>
                      <w:bCs w:val="0"/>
                      <w:color w:val="000000" w:themeColor="text1"/>
                      <w:kern w:val="28"/>
                      <w14:textFill>
                        <w14:solidFill>
                          <w14:schemeClr w14:val="tx1"/>
                        </w14:solidFill>
                      </w14:textFill>
                    </w:rPr>
                  </w:pPr>
                  <w:r>
                    <w:rPr>
                      <w:b/>
                      <w:bCs w:val="0"/>
                      <w:color w:val="000000" w:themeColor="text1"/>
                      <w:kern w:val="28"/>
                      <w14:textFill>
                        <w14:solidFill>
                          <w14:schemeClr w14:val="tx1"/>
                        </w14:solidFill>
                      </w14:textFill>
                    </w:rPr>
                    <w:t>H</w:t>
                  </w:r>
                </w:p>
              </w:tc>
              <w:tc>
                <w:tcPr>
                  <w:tcW w:w="1457" w:type="dxa"/>
                  <w:vMerge w:val="continue"/>
                  <w:vAlign w:val="center"/>
                </w:tcPr>
                <w:p>
                  <w:pPr>
                    <w:jc w:val="center"/>
                    <w:rPr>
                      <w:b/>
                      <w:bCs w:val="0"/>
                      <w:color w:val="000000" w:themeColor="text1"/>
                      <w14:textFill>
                        <w14:solidFill>
                          <w14:schemeClr w14:val="tx1"/>
                        </w14:solidFill>
                      </w14:textFill>
                    </w:rPr>
                  </w:pPr>
                </w:p>
              </w:tc>
              <w:tc>
                <w:tcPr>
                  <w:tcW w:w="1149" w:type="dxa"/>
                  <w:vMerge w:val="continue"/>
                  <w:vAlign w:val="center"/>
                </w:tcPr>
                <w:p>
                  <w:pPr>
                    <w:jc w:val="center"/>
                    <w:rPr>
                      <w:b/>
                      <w:bCs w:val="0"/>
                      <w:color w:val="000000" w:themeColor="text1"/>
                      <w14:textFill>
                        <w14:solidFill>
                          <w14:schemeClr w14:val="tx1"/>
                        </w14:solidFill>
                      </w14:textFill>
                    </w:rPr>
                  </w:pPr>
                </w:p>
              </w:tc>
              <w:tc>
                <w:tcPr>
                  <w:tcW w:w="1316"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声压级/dB（A）</w:t>
                  </w:r>
                </w:p>
              </w:tc>
              <w:tc>
                <w:tcPr>
                  <w:tcW w:w="1313"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建筑物外距离（m）</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903"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项目生产车间</w:t>
                  </w: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箔绕机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restart"/>
                  <w:vAlign w:val="center"/>
                </w:tcPr>
                <w:p>
                  <w:pPr>
                    <w:rPr>
                      <w:color w:val="000000" w:themeColor="text1"/>
                      <w:kern w:val="28"/>
                      <w14:textFill>
                        <w14:solidFill>
                          <w14:schemeClr w14:val="tx1"/>
                        </w14:solidFill>
                      </w14:textFill>
                    </w:rPr>
                  </w:pPr>
                  <w:r>
                    <w:rPr>
                      <w:color w:val="000000" w:themeColor="text1"/>
                      <w14:textFill>
                        <w14:solidFill>
                          <w14:schemeClr w14:val="tx1"/>
                        </w14:solidFill>
                      </w14:textFill>
                    </w:rPr>
                    <w:t>设备减震隔声，厂房隔声、厂区围墙、厂区绿化等</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15</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44</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restart"/>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变化声源，2个时段，昼夜不同。</w:t>
                  </w: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37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箔绕机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kern w:val="28"/>
                      <w14:textFill>
                        <w14:solidFill>
                          <w14:schemeClr w14:val="tx1"/>
                        </w14:solidFill>
                      </w14:textFill>
                    </w:rPr>
                  </w:pPr>
                  <w:r>
                    <w:rPr>
                      <w:color w:val="000000" w:themeColor="text1"/>
                      <w:kern w:val="28"/>
                      <w14:textFill>
                        <w14:solidFill>
                          <w14:schemeClr w14:val="tx1"/>
                        </w14:solidFill>
                      </w14:textFill>
                    </w:rPr>
                    <w:t>70</w:t>
                  </w:r>
                </w:p>
              </w:tc>
              <w:tc>
                <w:tcPr>
                  <w:tcW w:w="106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15</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39</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37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箔绕机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kern w:val="28"/>
                      <w14:textFill>
                        <w14:solidFill>
                          <w14:schemeClr w14:val="tx1"/>
                        </w14:solidFill>
                      </w14:textFill>
                    </w:rPr>
                  </w:pPr>
                  <w:r>
                    <w:rPr>
                      <w:color w:val="000000" w:themeColor="text1"/>
                      <w:kern w:val="28"/>
                      <w14:textFill>
                        <w14:solidFill>
                          <w14:schemeClr w14:val="tx1"/>
                        </w14:solidFill>
                      </w14:textFill>
                    </w:rPr>
                    <w:t>70</w:t>
                  </w:r>
                </w:p>
              </w:tc>
              <w:tc>
                <w:tcPr>
                  <w:tcW w:w="106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20</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41</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37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14</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66</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14</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61</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14</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57</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14</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51</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23</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57</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widowControl/>
                    <w:jc w:val="center"/>
                    <w:rPr>
                      <w:bCs w:val="0"/>
                      <w:color w:val="000000" w:themeColor="text1"/>
                      <w:kern w:val="0"/>
                      <w:sz w:val="24"/>
                      <w:szCs w:val="24"/>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widowControl/>
                    <w:jc w:val="center"/>
                    <w:rPr>
                      <w:bCs w:val="0"/>
                      <w:color w:val="000000" w:themeColor="text1"/>
                      <w:kern w:val="0"/>
                      <w:sz w:val="24"/>
                      <w:szCs w:val="24"/>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卷线机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23</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51</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36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55</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51</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12</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41</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13</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电焊机</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43</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23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真空含浸槽真空抽压泵</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32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16</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真空含浸槽真空抽压泵</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32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真空含浸槽真空抽压泵</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39</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32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真空含浸槽真空抽压泵</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39</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32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精密型烤箱</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57</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67</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38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精密型烤箱</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57</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63</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38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精密型烤箱</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26</w:t>
                  </w:r>
                </w:p>
              </w:tc>
              <w:tc>
                <w:tcPr>
                  <w:tcW w:w="10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44</w:t>
                  </w:r>
                </w:p>
              </w:tc>
              <w:tc>
                <w:tcPr>
                  <w:tcW w:w="8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38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7"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22</w:t>
                  </w:r>
                </w:p>
              </w:tc>
              <w:tc>
                <w:tcPr>
                  <w:tcW w:w="903" w:type="dxa"/>
                  <w:vMerge w:val="continue"/>
                  <w:vAlign w:val="center"/>
                </w:tcPr>
                <w:p>
                  <w:pPr>
                    <w:jc w:val="center"/>
                    <w:rPr>
                      <w:color w:val="000000" w:themeColor="text1"/>
                      <w14:textFill>
                        <w14:solidFill>
                          <w14:schemeClr w14:val="tx1"/>
                        </w14:solidFill>
                      </w14:textFill>
                    </w:rPr>
                  </w:pPr>
                </w:p>
              </w:tc>
              <w:tc>
                <w:tcPr>
                  <w:tcW w:w="1322" w:type="dxa"/>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精密型烤箱</w:t>
                  </w:r>
                </w:p>
              </w:tc>
              <w:tc>
                <w:tcPr>
                  <w:tcW w:w="79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点源</w:t>
                  </w:r>
                </w:p>
              </w:tc>
              <w:tc>
                <w:tcPr>
                  <w:tcW w:w="105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106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70" w:type="dxa"/>
                  <w:vMerge w:val="continue"/>
                  <w:vAlign w:val="center"/>
                </w:tcPr>
                <w:p>
                  <w:pPr>
                    <w:jc w:val="center"/>
                    <w:rPr>
                      <w:color w:val="000000" w:themeColor="text1"/>
                      <w:kern w:val="28"/>
                      <w14:textFill>
                        <w14:solidFill>
                          <w14:schemeClr w14:val="tx1"/>
                        </w14:solidFill>
                      </w14:textFill>
                    </w:rPr>
                  </w:pP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26</w:t>
                  </w:r>
                </w:p>
              </w:tc>
              <w:tc>
                <w:tcPr>
                  <w:tcW w:w="1002"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40</w:t>
                  </w:r>
                </w:p>
              </w:tc>
              <w:tc>
                <w:tcPr>
                  <w:tcW w:w="859" w:type="dxa"/>
                  <w:vAlign w:val="center"/>
                </w:tcPr>
                <w:p>
                  <w:pPr>
                    <w:jc w:val="center"/>
                    <w:rPr>
                      <w:color w:val="000000" w:themeColor="text1"/>
                      <w:kern w:val="28"/>
                      <w14:textFill>
                        <w14:solidFill>
                          <w14:schemeClr w14:val="tx1"/>
                        </w14:solidFill>
                      </w14:textFill>
                    </w:rPr>
                  </w:pPr>
                  <w:r>
                    <w:rPr>
                      <w:color w:val="000000" w:themeColor="text1"/>
                      <w14:textFill>
                        <w14:solidFill>
                          <w14:schemeClr w14:val="tx1"/>
                        </w14:solidFill>
                      </w14:textFill>
                    </w:rPr>
                    <w:t>0</w:t>
                  </w:r>
                </w:p>
              </w:tc>
              <w:tc>
                <w:tcPr>
                  <w:tcW w:w="1457" w:type="dxa"/>
                  <w:vMerge w:val="continue"/>
                  <w:vAlign w:val="center"/>
                </w:tcPr>
                <w:p>
                  <w:pPr>
                    <w:jc w:val="center"/>
                    <w:rPr>
                      <w:color w:val="000000" w:themeColor="text1"/>
                      <w14:textFill>
                        <w14:solidFill>
                          <w14:schemeClr w14:val="tx1"/>
                        </w14:solidFill>
                      </w14:textFill>
                    </w:rPr>
                  </w:pPr>
                </w:p>
              </w:tc>
              <w:tc>
                <w:tcPr>
                  <w:tcW w:w="1149"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131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38 </w:t>
                  </w:r>
                </w:p>
              </w:tc>
              <w:tc>
                <w:tcPr>
                  <w:tcW w:w="13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957" w:type="dxa"/>
                  <w:gridSpan w:val="14"/>
                  <w:vAlign w:val="center"/>
                </w:tcPr>
                <w:p>
                  <w:pPr>
                    <w:rPr>
                      <w:color w:val="000000" w:themeColor="text1"/>
                      <w14:textFill>
                        <w14:solidFill>
                          <w14:schemeClr w14:val="tx1"/>
                        </w14:solidFill>
                      </w14:textFill>
                    </w:rPr>
                  </w:pPr>
                  <w:r>
                    <w:rPr>
                      <w:b/>
                      <w:bCs w:val="0"/>
                      <w:color w:val="000000" w:themeColor="text1"/>
                      <w14:textFill>
                        <w14:solidFill>
                          <w14:schemeClr w14:val="tx1"/>
                        </w14:solidFill>
                      </w14:textFill>
                    </w:rPr>
                    <w:t>备注：</w:t>
                  </w:r>
                  <w:r>
                    <w:rPr>
                      <w:color w:val="000000" w:themeColor="text1"/>
                      <w14:textFill>
                        <w14:solidFill>
                          <w14:schemeClr w14:val="tx1"/>
                        </w14:solidFill>
                      </w14:textFill>
                    </w:rPr>
                    <w:t>1、根据《环境影响评价技术导则声环境》（HJ2.4-2021）附录B，房间常数R＝Sα/（1－α）；S为房间内表面面积，m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；α为平均吸声系数（本项目取0.1）；</w:t>
                  </w:r>
                </w:p>
                <w:p>
                  <w:pPr>
                    <w:rPr>
                      <w:color w:val="000000" w:themeColor="text1"/>
                      <w:highlight w:val="yellow"/>
                      <w14:textFill>
                        <w14:solidFill>
                          <w14:schemeClr w14:val="tx1"/>
                        </w14:solidFill>
                      </w14:textFill>
                    </w:rPr>
                  </w:pPr>
                  <w:r>
                    <w:rPr>
                      <w:color w:val="000000" w:themeColor="text1"/>
                      <w14:textFill>
                        <w14:solidFill>
                          <w14:schemeClr w14:val="tx1"/>
                        </w14:solidFill>
                      </w14:textFill>
                    </w:rPr>
                    <w:t>本项目生产车间为L＝61m，W=61m，H＝8.5m的建筑物，经计算得项目房间内壁面积S=9516m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，房间常数R＝1507.33；</w:t>
                  </w:r>
                </w:p>
                <w:p>
                  <w:pPr>
                    <w:rPr>
                      <w:color w:val="000000" w:themeColor="text1"/>
                      <w14:textFill>
                        <w14:solidFill>
                          <w14:schemeClr w14:val="tx1"/>
                        </w14:solidFill>
                      </w14:textFill>
                    </w:rPr>
                  </w:pPr>
                  <w:r>
                    <w:rPr>
                      <w:color w:val="000000" w:themeColor="text1"/>
                      <w14:textFill>
                        <w14:solidFill>
                          <w14:schemeClr w14:val="tx1"/>
                        </w14:solidFill>
                      </w14:textFill>
                    </w:rPr>
                    <w:t>2、空间相对位置的H代表设备的离地高度；</w:t>
                  </w:r>
                </w:p>
                <w:p>
                  <w:pPr>
                    <w:rPr>
                      <w:color w:val="000000" w:themeColor="text1"/>
                      <w14:textFill>
                        <w14:solidFill>
                          <w14:schemeClr w14:val="tx1"/>
                        </w14:solidFill>
                      </w14:textFill>
                    </w:rPr>
                  </w:pPr>
                  <w:r>
                    <w:rPr>
                      <w:color w:val="000000" w:themeColor="text1"/>
                      <w14:textFill>
                        <w14:solidFill>
                          <w14:schemeClr w14:val="tx1"/>
                        </w14:solidFill>
                      </w14:textFill>
                    </w:rPr>
                    <w:t>3、设本项目厂界西南角为原点坐标（0.0）。</w:t>
                  </w:r>
                </w:p>
                <w:p>
                  <w:pPr>
                    <w:rPr>
                      <w:color w:val="000000" w:themeColor="text1"/>
                      <w14:textFill>
                        <w14:solidFill>
                          <w14:schemeClr w14:val="tx1"/>
                        </w14:solidFill>
                      </w14:textFill>
                    </w:rPr>
                  </w:pPr>
                  <w:r>
                    <w:rPr>
                      <w:color w:val="000000" w:themeColor="text1"/>
                      <w14:textFill>
                        <w14:solidFill>
                          <w14:schemeClr w14:val="tx1"/>
                        </w14:solidFill>
                      </w14:textFill>
                    </w:rPr>
                    <w:t>4、根据《环境影响评价技术导则声环境》（HJ2.4-2021）附录B中，B.1.3 室内声源等效室外声源声功率级计算方法：</w:t>
                  </w:r>
                </w:p>
                <w:p>
                  <w:pPr>
                    <w:rPr>
                      <w:color w:val="000000" w:themeColor="text1"/>
                      <w14:textFill>
                        <w14:solidFill>
                          <w14:schemeClr w14:val="tx1"/>
                        </w14:solidFill>
                      </w14:textFill>
                    </w:rPr>
                  </w:pPr>
                  <w:r>
                    <w:rPr>
                      <w:color w:val="000000" w:themeColor="text1"/>
                      <w14:textFill>
                        <w14:solidFill>
                          <w14:schemeClr w14:val="tx1"/>
                        </w14:solidFill>
                      </w14:textFill>
                    </w:rPr>
                    <w:t>声源位于室内，室内声源可采用等效室外声源声功率级法进行计算。设靠近开口处（或窗户）室内、室外某倍频带的声压级或 A 声级分别为 Lp1 和 Lp2。若声源所在室内声场为近似扩散声场，则室外的倍频带声压级可按式（B.1）近似求出：</w:t>
                  </w:r>
                </w:p>
                <w:p>
                  <w:pPr>
                    <w:jc w:val="center"/>
                    <w:rPr>
                      <w:color w:val="000000" w:themeColor="text1"/>
                      <w14:textFill>
                        <w14:solidFill>
                          <w14:schemeClr w14:val="tx1"/>
                        </w14:solidFill>
                      </w14:textFill>
                    </w:rPr>
                  </w:pPr>
                  <w:r>
                    <w:rPr>
                      <w:color w:val="000000" w:themeColor="text1"/>
                      <w14:textFill>
                        <w14:solidFill>
                          <w14:schemeClr w14:val="tx1"/>
                        </w14:solidFill>
                      </w14:textFill>
                    </w:rPr>
                    <w:t>Lp2 = Lp1 - (TL + 6)</w:t>
                  </w:r>
                </w:p>
                <w:p>
                  <w:pPr>
                    <w:rPr>
                      <w:bCs w:val="0"/>
                      <w:color w:val="000000" w:themeColor="text1"/>
                      <w14:textFill>
                        <w14:solidFill>
                          <w14:schemeClr w14:val="tx1"/>
                        </w14:solidFill>
                      </w14:textFill>
                    </w:rPr>
                  </w:pPr>
                  <w:r>
                    <w:rPr>
                      <w:color w:val="000000" w:themeColor="text1"/>
                      <w14:textFill>
                        <w14:solidFill>
                          <w14:schemeClr w14:val="tx1"/>
                        </w14:solidFill>
                      </w14:textFill>
                    </w:rPr>
                    <w:t>式中：</w:t>
                  </w:r>
                  <w:r>
                    <w:rPr>
                      <w:iCs/>
                      <w:color w:val="000000" w:themeColor="text1"/>
                      <w:position w:val="1"/>
                      <w14:textFill>
                        <w14:solidFill>
                          <w14:schemeClr w14:val="tx1"/>
                        </w14:solidFill>
                      </w14:textFill>
                    </w:rPr>
                    <w:t>L</w:t>
                  </w:r>
                  <w:r>
                    <w:rPr>
                      <w:iCs/>
                      <w:color w:val="000000" w:themeColor="text1"/>
                      <w:position w:val="1"/>
                      <w:vertAlign w:val="subscript"/>
                      <w14:textFill>
                        <w14:solidFill>
                          <w14:schemeClr w14:val="tx1"/>
                        </w14:solidFill>
                      </w14:textFill>
                    </w:rPr>
                    <w:t>p1</w:t>
                  </w:r>
                  <w:r>
                    <w:rPr>
                      <w:color w:val="000000" w:themeColor="text1"/>
                      <w:position w:val="1"/>
                      <w14:textFill>
                        <w14:solidFill>
                          <w14:schemeClr w14:val="tx1"/>
                        </w14:solidFill>
                      </w14:textFill>
                    </w:rPr>
                    <w:t>——</w:t>
                  </w:r>
                  <w:r>
                    <w:rPr>
                      <w:color w:val="000000" w:themeColor="text1"/>
                      <w:spacing w:val="-3"/>
                      <w14:textFill>
                        <w14:solidFill>
                          <w14:schemeClr w14:val="tx1"/>
                        </w14:solidFill>
                      </w14:textFill>
                    </w:rPr>
                    <w:t>靠近开口处</w:t>
                  </w:r>
                  <w:r>
                    <w:rPr>
                      <w:color w:val="000000" w:themeColor="text1"/>
                      <w14:textFill>
                        <w14:solidFill>
                          <w14:schemeClr w14:val="tx1"/>
                        </w14:solidFill>
                      </w14:textFill>
                    </w:rPr>
                    <w:t>（</w:t>
                  </w:r>
                  <w:r>
                    <w:rPr>
                      <w:color w:val="000000" w:themeColor="text1"/>
                      <w:spacing w:val="-2"/>
                      <w14:textFill>
                        <w14:solidFill>
                          <w14:schemeClr w14:val="tx1"/>
                        </w14:solidFill>
                      </w14:textFill>
                    </w:rPr>
                    <w:t>或窗户</w:t>
                  </w:r>
                  <w:r>
                    <w:rPr>
                      <w:color w:val="000000" w:themeColor="text1"/>
                      <w:spacing w:val="-3"/>
                      <w14:textFill>
                        <w14:solidFill>
                          <w14:schemeClr w14:val="tx1"/>
                        </w14:solidFill>
                      </w14:textFill>
                    </w:rPr>
                    <w:t>）</w:t>
                  </w:r>
                  <w:r>
                    <w:rPr>
                      <w:color w:val="000000" w:themeColor="text1"/>
                      <w:spacing w:val="1"/>
                      <w14:textFill>
                        <w14:solidFill>
                          <w14:schemeClr w14:val="tx1"/>
                        </w14:solidFill>
                      </w14:textFill>
                    </w:rPr>
                    <w:t>室内某倍频带的声压级或</w:t>
                  </w:r>
                  <w:r>
                    <w:rPr>
                      <w:color w:val="000000" w:themeColor="text1"/>
                      <w:position w:val="1"/>
                      <w14:textFill>
                        <w14:solidFill>
                          <w14:schemeClr w14:val="tx1"/>
                        </w14:solidFill>
                      </w14:textFill>
                    </w:rPr>
                    <w:t xml:space="preserve">A </w:t>
                  </w:r>
                  <w:r>
                    <w:rPr>
                      <w:color w:val="000000" w:themeColor="text1"/>
                      <w:spacing w:val="-2"/>
                      <w14:textFill>
                        <w14:solidFill>
                          <w14:schemeClr w14:val="tx1"/>
                        </w14:solidFill>
                      </w14:textFill>
                    </w:rPr>
                    <w:t>声级，</w:t>
                  </w:r>
                  <w:r>
                    <w:rPr>
                      <w:color w:val="000000" w:themeColor="text1"/>
                      <w:position w:val="1"/>
                      <w14:textFill>
                        <w14:solidFill>
                          <w14:schemeClr w14:val="tx1"/>
                        </w14:solidFill>
                      </w14:textFill>
                    </w:rPr>
                    <w:t>dB</w:t>
                  </w:r>
                  <w:r>
                    <w:rPr>
                      <w:color w:val="000000" w:themeColor="text1"/>
                      <w14:textFill>
                        <w14:solidFill>
                          <w14:schemeClr w14:val="tx1"/>
                        </w14:solidFill>
                      </w14:textFill>
                    </w:rPr>
                    <w:t xml:space="preserve">； </w:t>
                  </w:r>
                </w:p>
                <w:p>
                  <w:pPr>
                    <w:ind w:firstLine="630"/>
                    <w:rPr>
                      <w:color w:val="000000" w:themeColor="text1"/>
                      <w14:textFill>
                        <w14:solidFill>
                          <w14:schemeClr w14:val="tx1"/>
                        </w14:solidFill>
                      </w14:textFill>
                    </w:rPr>
                  </w:pPr>
                  <w:r>
                    <w:rPr>
                      <w:iCs/>
                      <w:color w:val="000000" w:themeColor="text1"/>
                      <w:position w:val="1"/>
                      <w14:textFill>
                        <w14:solidFill>
                          <w14:schemeClr w14:val="tx1"/>
                        </w14:solidFill>
                      </w14:textFill>
                    </w:rPr>
                    <w:t>L</w:t>
                  </w:r>
                  <w:r>
                    <w:rPr>
                      <w:iCs/>
                      <w:color w:val="000000" w:themeColor="text1"/>
                      <w:position w:val="1"/>
                      <w:vertAlign w:val="subscript"/>
                      <w14:textFill>
                        <w14:solidFill>
                          <w14:schemeClr w14:val="tx1"/>
                        </w14:solidFill>
                      </w14:textFill>
                    </w:rPr>
                    <w:t>p2</w:t>
                  </w:r>
                  <w:r>
                    <w:rPr>
                      <w:color w:val="000000" w:themeColor="text1"/>
                      <w:position w:val="1"/>
                      <w14:textFill>
                        <w14:solidFill>
                          <w14:schemeClr w14:val="tx1"/>
                        </w14:solidFill>
                      </w14:textFill>
                    </w:rPr>
                    <w:t>——</w:t>
                  </w:r>
                  <w:r>
                    <w:rPr>
                      <w:color w:val="000000" w:themeColor="text1"/>
                      <w:spacing w:val="-3"/>
                      <w14:textFill>
                        <w14:solidFill>
                          <w14:schemeClr w14:val="tx1"/>
                        </w14:solidFill>
                      </w14:textFill>
                    </w:rPr>
                    <w:t>靠近开口处</w:t>
                  </w:r>
                  <w:r>
                    <w:rPr>
                      <w:color w:val="000000" w:themeColor="text1"/>
                      <w14:textFill>
                        <w14:solidFill>
                          <w14:schemeClr w14:val="tx1"/>
                        </w14:solidFill>
                      </w14:textFill>
                    </w:rPr>
                    <w:t>（</w:t>
                  </w:r>
                  <w:r>
                    <w:rPr>
                      <w:color w:val="000000" w:themeColor="text1"/>
                      <w:spacing w:val="-2"/>
                      <w14:textFill>
                        <w14:solidFill>
                          <w14:schemeClr w14:val="tx1"/>
                        </w14:solidFill>
                      </w14:textFill>
                    </w:rPr>
                    <w:t>或窗户</w:t>
                  </w:r>
                  <w:r>
                    <w:rPr>
                      <w:color w:val="000000" w:themeColor="text1"/>
                      <w14:textFill>
                        <w14:solidFill>
                          <w14:schemeClr w14:val="tx1"/>
                        </w14:solidFill>
                      </w14:textFill>
                    </w:rPr>
                    <w:t>）</w:t>
                  </w:r>
                  <w:r>
                    <w:rPr>
                      <w:color w:val="000000" w:themeColor="text1"/>
                      <w:spacing w:val="-7"/>
                      <w14:textFill>
                        <w14:solidFill>
                          <w14:schemeClr w14:val="tx1"/>
                        </w14:solidFill>
                      </w14:textFill>
                    </w:rPr>
                    <w:t xml:space="preserve">室外某倍频带的声压级或 </w:t>
                  </w:r>
                  <w:r>
                    <w:rPr>
                      <w:color w:val="000000" w:themeColor="text1"/>
                      <w:position w:val="1"/>
                      <w14:textFill>
                        <w14:solidFill>
                          <w14:schemeClr w14:val="tx1"/>
                        </w14:solidFill>
                      </w14:textFill>
                    </w:rPr>
                    <w:t xml:space="preserve">A </w:t>
                  </w:r>
                  <w:r>
                    <w:rPr>
                      <w:color w:val="000000" w:themeColor="text1"/>
                      <w:spacing w:val="-2"/>
                      <w14:textFill>
                        <w14:solidFill>
                          <w14:schemeClr w14:val="tx1"/>
                        </w14:solidFill>
                      </w14:textFill>
                    </w:rPr>
                    <w:t>声级，</w:t>
                  </w:r>
                  <w:r>
                    <w:rPr>
                      <w:color w:val="000000" w:themeColor="text1"/>
                      <w:position w:val="1"/>
                      <w14:textFill>
                        <w14:solidFill>
                          <w14:schemeClr w14:val="tx1"/>
                        </w14:solidFill>
                      </w14:textFill>
                    </w:rPr>
                    <w:t>dB</w:t>
                  </w:r>
                  <w:r>
                    <w:rPr>
                      <w:color w:val="000000" w:themeColor="text1"/>
                      <w14:textFill>
                        <w14:solidFill>
                          <w14:schemeClr w14:val="tx1"/>
                        </w14:solidFill>
                      </w14:textFill>
                    </w:rPr>
                    <w:t xml:space="preserve">； </w:t>
                  </w:r>
                </w:p>
                <w:p>
                  <w:pPr>
                    <w:ind w:firstLine="630" w:firstLineChars="300"/>
                    <w:rPr>
                      <w:b/>
                      <w:bCs w:val="0"/>
                      <w:color w:val="000000" w:themeColor="text1"/>
                      <w14:textFill>
                        <w14:solidFill>
                          <w14:schemeClr w14:val="tx1"/>
                        </w14:solidFill>
                      </w14:textFill>
                    </w:rPr>
                  </w:pPr>
                  <w:r>
                    <w:rPr>
                      <w:iCs/>
                      <w:color w:val="000000" w:themeColor="text1"/>
                      <w:position w:val="1"/>
                      <w14:textFill>
                        <w14:solidFill>
                          <w14:schemeClr w14:val="tx1"/>
                        </w14:solidFill>
                      </w14:textFill>
                    </w:rPr>
                    <w:t>TL</w:t>
                  </w:r>
                  <w:r>
                    <w:rPr>
                      <w:color w:val="000000" w:themeColor="text1"/>
                      <w:position w:val="1"/>
                      <w14:textFill>
                        <w14:solidFill>
                          <w14:schemeClr w14:val="tx1"/>
                        </w14:solidFill>
                      </w14:textFill>
                    </w:rPr>
                    <w:t>——</w:t>
                  </w:r>
                  <w:r>
                    <w:rPr>
                      <w:color w:val="000000" w:themeColor="text1"/>
                      <w:spacing w:val="-2"/>
                      <w14:textFill>
                        <w14:solidFill>
                          <w14:schemeClr w14:val="tx1"/>
                        </w14:solidFill>
                      </w14:textFill>
                    </w:rPr>
                    <w:t>隔墙</w:t>
                  </w:r>
                  <w:r>
                    <w:rPr>
                      <w:color w:val="000000" w:themeColor="text1"/>
                      <w:spacing w:val="-3"/>
                      <w14:textFill>
                        <w14:solidFill>
                          <w14:schemeClr w14:val="tx1"/>
                        </w14:solidFill>
                      </w14:textFill>
                    </w:rPr>
                    <w:t>（</w:t>
                  </w:r>
                  <w:r>
                    <w:rPr>
                      <w:color w:val="000000" w:themeColor="text1"/>
                      <w:spacing w:val="-2"/>
                      <w14:textFill>
                        <w14:solidFill>
                          <w14:schemeClr w14:val="tx1"/>
                        </w14:solidFill>
                      </w14:textFill>
                    </w:rPr>
                    <w:t>或窗户</w:t>
                  </w:r>
                  <w:r>
                    <w:rPr>
                      <w:color w:val="000000" w:themeColor="text1"/>
                      <w:spacing w:val="-3"/>
                      <w14:textFill>
                        <w14:solidFill>
                          <w14:schemeClr w14:val="tx1"/>
                        </w14:solidFill>
                      </w14:textFill>
                    </w:rPr>
                    <w:t>）</w:t>
                  </w:r>
                  <w:r>
                    <w:rPr>
                      <w:color w:val="000000" w:themeColor="text1"/>
                      <w:spacing w:val="-14"/>
                      <w14:textFill>
                        <w14:solidFill>
                          <w14:schemeClr w14:val="tx1"/>
                        </w14:solidFill>
                      </w14:textFill>
                    </w:rPr>
                    <w:t xml:space="preserve">倍频带或 </w:t>
                  </w:r>
                  <w:r>
                    <w:rPr>
                      <w:color w:val="000000" w:themeColor="text1"/>
                      <w:position w:val="1"/>
                      <w14:textFill>
                        <w14:solidFill>
                          <w14:schemeClr w14:val="tx1"/>
                        </w14:solidFill>
                      </w14:textFill>
                    </w:rPr>
                    <w:t xml:space="preserve">A </w:t>
                  </w:r>
                  <w:r>
                    <w:rPr>
                      <w:color w:val="000000" w:themeColor="text1"/>
                      <w:spacing w:val="-3"/>
                      <w14:textFill>
                        <w14:solidFill>
                          <w14:schemeClr w14:val="tx1"/>
                        </w14:solidFill>
                      </w14:textFill>
                    </w:rPr>
                    <w:t>声级的隔声量，</w:t>
                  </w:r>
                  <w:r>
                    <w:rPr>
                      <w:color w:val="000000" w:themeColor="text1"/>
                      <w:position w:val="1"/>
                      <w14:textFill>
                        <w14:solidFill>
                          <w14:schemeClr w14:val="tx1"/>
                        </w14:solidFill>
                      </w14:textFill>
                    </w:rPr>
                    <w:t>dB</w:t>
                  </w:r>
                  <w:r>
                    <w:rPr>
                      <w:color w:val="000000" w:themeColor="text1"/>
                      <w14:textFill>
                        <w14:solidFill>
                          <w14:schemeClr w14:val="tx1"/>
                        </w14:solidFill>
                      </w14:textFill>
                    </w:rPr>
                    <w:t>。</w:t>
                  </w:r>
                </w:p>
              </w:tc>
            </w:tr>
          </w:tbl>
          <w:p>
            <w:pPr>
              <w:spacing w:line="360" w:lineRule="auto"/>
              <w:jc w:val="center"/>
              <w:rPr>
                <w:b/>
                <w:bCs w:val="0"/>
                <w:color w:val="000000" w:themeColor="text1"/>
                <w14:textFill>
                  <w14:solidFill>
                    <w14:schemeClr w14:val="tx1"/>
                  </w14:solidFill>
                </w14:textFill>
              </w:rPr>
            </w:pP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表4-17  本项目主要设备噪声源情况（室外声源）</w:t>
            </w:r>
          </w:p>
          <w:tbl>
            <w:tblPr>
              <w:tblStyle w:val="30"/>
              <w:tblW w:w="14962"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214"/>
              <w:gridCol w:w="936"/>
              <w:gridCol w:w="1050"/>
              <w:gridCol w:w="1050"/>
              <w:gridCol w:w="1050"/>
              <w:gridCol w:w="1574"/>
              <w:gridCol w:w="1797"/>
              <w:gridCol w:w="1429"/>
              <w:gridCol w:w="306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8" w:type="dxa"/>
                  <w:vMerge w:val="restart"/>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 xml:space="preserve">序号 </w:t>
                  </w:r>
                </w:p>
              </w:tc>
              <w:tc>
                <w:tcPr>
                  <w:tcW w:w="2214" w:type="dxa"/>
                  <w:vMerge w:val="restart"/>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 xml:space="preserve">声源名称 </w:t>
                  </w:r>
                </w:p>
              </w:tc>
              <w:tc>
                <w:tcPr>
                  <w:tcW w:w="936" w:type="dxa"/>
                  <w:vMerge w:val="restart"/>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 xml:space="preserve">型号 </w:t>
                  </w:r>
                </w:p>
              </w:tc>
              <w:tc>
                <w:tcPr>
                  <w:tcW w:w="3150" w:type="dxa"/>
                  <w:gridSpan w:val="3"/>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 xml:space="preserve">空间相对位置/m </w:t>
                  </w:r>
                </w:p>
              </w:tc>
              <w:tc>
                <w:tcPr>
                  <w:tcW w:w="3371" w:type="dxa"/>
                  <w:gridSpan w:val="2"/>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声源源强</w:t>
                  </w:r>
                </w:p>
              </w:tc>
              <w:tc>
                <w:tcPr>
                  <w:tcW w:w="1429" w:type="dxa"/>
                  <w:vMerge w:val="restart"/>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声源控制</w:t>
                  </w:r>
                </w:p>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措施</w:t>
                  </w:r>
                </w:p>
              </w:tc>
              <w:tc>
                <w:tcPr>
                  <w:tcW w:w="3064" w:type="dxa"/>
                  <w:vMerge w:val="restart"/>
                  <w:tcBorders>
                    <w:top w:val="single" w:color="auto" w:sz="12" w:space="0"/>
                    <w:left w:val="single" w:color="auto" w:sz="4" w:space="0"/>
                    <w:bottom w:val="single" w:color="auto" w:sz="4" w:space="0"/>
                    <w:right w:val="single" w:color="auto" w:sz="4" w:space="0"/>
                  </w:tcBorders>
                  <w:vAlign w:val="center"/>
                </w:tcPr>
                <w:p>
                  <w:pPr>
                    <w:adjustRightInd w:val="0"/>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运行时段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8"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2214"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936"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color w:val="000000" w:themeColor="text1"/>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X</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Y</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Z</w:t>
                  </w:r>
                </w:p>
              </w:tc>
              <w:tc>
                <w:tcPr>
                  <w:tcW w:w="1574" w:type="dxa"/>
                  <w:tcBorders>
                    <w:top w:val="single" w:color="auto" w:sz="4" w:space="0"/>
                    <w:left w:val="single" w:color="auto" w:sz="4" w:space="0"/>
                    <w:bottom w:val="single" w:color="auto" w:sz="4" w:space="0"/>
                    <w:right w:val="single" w:color="auto" w:sz="4" w:space="0"/>
                  </w:tcBorders>
                  <w:vAlign w:val="center"/>
                </w:tcPr>
                <w:p>
                  <w:pPr>
                    <w:adjustRightInd w:val="0"/>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声压级dB(A)</w:t>
                  </w:r>
                </w:p>
              </w:tc>
              <w:tc>
                <w:tcPr>
                  <w:tcW w:w="1797" w:type="dxa"/>
                  <w:tcBorders>
                    <w:top w:val="single" w:color="auto" w:sz="12" w:space="0"/>
                    <w:left w:val="single" w:color="auto" w:sz="4" w:space="0"/>
                    <w:bottom w:val="single" w:color="auto" w:sz="4" w:space="0"/>
                    <w:right w:val="single" w:color="auto" w:sz="4" w:space="0"/>
                  </w:tcBorders>
                  <w:vAlign w:val="center"/>
                </w:tcPr>
                <w:p>
                  <w:pPr>
                    <w:widowControl/>
                    <w:jc w:val="center"/>
                    <w:rPr>
                      <w:b/>
                      <w:color w:val="000000" w:themeColor="text1"/>
                      <w:kern w:val="0"/>
                      <w14:textFill>
                        <w14:solidFill>
                          <w14:schemeClr w14:val="tx1"/>
                        </w14:solidFill>
                      </w14:textFill>
                    </w:rPr>
                  </w:pPr>
                  <w:r>
                    <w:rPr>
                      <w:rStyle w:val="59"/>
                      <w:b/>
                      <w:bCs w:val="0"/>
                      <w:color w:val="000000" w:themeColor="text1"/>
                      <w14:textFill>
                        <w14:solidFill>
                          <w14:schemeClr w14:val="tx1"/>
                        </w14:solidFill>
                      </w14:textFill>
                    </w:rPr>
                    <w:t>距声源距离（m）</w:t>
                  </w:r>
                </w:p>
              </w:tc>
              <w:tc>
                <w:tcPr>
                  <w:tcW w:w="1429"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c>
                <w:tcPr>
                  <w:tcW w:w="3064"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color w:val="000000" w:themeColor="text1"/>
                      <w:kern w:val="0"/>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pStyle w:val="107"/>
                    <w:numPr>
                      <w:ilvl w:val="0"/>
                      <w:numId w:val="5"/>
                    </w:numPr>
                    <w:adjustRightInd w:val="0"/>
                    <w:ind w:firstLineChars="0"/>
                    <w:jc w:val="center"/>
                    <w:rPr>
                      <w:color w:val="000000" w:themeColor="text1"/>
                      <w14:textFill>
                        <w14:solidFill>
                          <w14:schemeClr w14:val="tx1"/>
                        </w14:solidFill>
                      </w14:textFill>
                    </w:rPr>
                  </w:pPr>
                </w:p>
              </w:tc>
              <w:tc>
                <w:tcPr>
                  <w:tcW w:w="221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废气处理设施风机（DA001）</w:t>
                  </w:r>
                </w:p>
              </w:tc>
              <w:tc>
                <w:tcPr>
                  <w:tcW w:w="936"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点源</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42</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73</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157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85</w:t>
                  </w:r>
                </w:p>
              </w:tc>
              <w:tc>
                <w:tcPr>
                  <w:tcW w:w="179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142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064" w:type="dxa"/>
                  <w:vMerge w:val="restart"/>
                  <w:tcBorders>
                    <w:top w:val="single" w:color="auto" w:sz="4" w:space="0"/>
                    <w:left w:val="single" w:color="auto" w:sz="4" w:space="0"/>
                    <w:right w:val="single" w:color="auto" w:sz="4" w:space="0"/>
                  </w:tcBorders>
                  <w:vAlign w:val="center"/>
                </w:tcPr>
                <w:p>
                  <w:pPr>
                    <w:adjustRightInd w:val="0"/>
                    <w:rPr>
                      <w:color w:val="000000" w:themeColor="text1"/>
                      <w14:textFill>
                        <w14:solidFill>
                          <w14:schemeClr w14:val="tx1"/>
                        </w14:solidFill>
                      </w14:textFill>
                    </w:rPr>
                  </w:pPr>
                  <w:r>
                    <w:rPr>
                      <w:color w:val="000000" w:themeColor="text1"/>
                      <w14:textFill>
                        <w14:solidFill>
                          <w14:schemeClr w14:val="tx1"/>
                        </w14:solidFill>
                      </w14:textFill>
                    </w:rPr>
                    <w:t>变化声源，2个时段，昼夜不同。</w:t>
                  </w:r>
                  <w:r>
                    <w:rPr>
                      <w:color w:val="000000" w:themeColor="text1"/>
                      <w:kern w:val="0"/>
                      <w14:textFill>
                        <w14:solidFill>
                          <w14:schemeClr w14:val="tx1"/>
                        </w14:solidFill>
                      </w14:textFill>
                    </w:rPr>
                    <w:t>废气处理设施风机年工作时间2400h。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pStyle w:val="107"/>
                    <w:numPr>
                      <w:ilvl w:val="0"/>
                      <w:numId w:val="5"/>
                    </w:numPr>
                    <w:adjustRightInd w:val="0"/>
                    <w:ind w:firstLineChars="0"/>
                    <w:jc w:val="center"/>
                    <w:rPr>
                      <w:color w:val="000000" w:themeColor="text1"/>
                      <w14:textFill>
                        <w14:solidFill>
                          <w14:schemeClr w14:val="tx1"/>
                        </w14:solidFill>
                      </w14:textFill>
                    </w:rPr>
                  </w:pPr>
                </w:p>
              </w:tc>
              <w:tc>
                <w:tcPr>
                  <w:tcW w:w="221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空压机</w:t>
                  </w:r>
                </w:p>
              </w:tc>
              <w:tc>
                <w:tcPr>
                  <w:tcW w:w="936"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点源</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37</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73</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57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85</w:t>
                  </w:r>
                </w:p>
              </w:tc>
              <w:tc>
                <w:tcPr>
                  <w:tcW w:w="179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142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064" w:type="dxa"/>
                  <w:vMerge w:val="continue"/>
                  <w:tcBorders>
                    <w:left w:val="single" w:color="auto" w:sz="4" w:space="0"/>
                    <w:right w:val="single" w:color="auto" w:sz="4" w:space="0"/>
                  </w:tcBorders>
                  <w:vAlign w:val="center"/>
                </w:tcPr>
                <w:p>
                  <w:pPr>
                    <w:adjustRightInd w:val="0"/>
                    <w:rPr>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pStyle w:val="107"/>
                    <w:numPr>
                      <w:ilvl w:val="0"/>
                      <w:numId w:val="5"/>
                    </w:numPr>
                    <w:adjustRightInd w:val="0"/>
                    <w:ind w:firstLineChars="0"/>
                    <w:jc w:val="center"/>
                    <w:rPr>
                      <w:color w:val="000000" w:themeColor="text1"/>
                      <w14:textFill>
                        <w14:solidFill>
                          <w14:schemeClr w14:val="tx1"/>
                        </w14:solidFill>
                      </w14:textFill>
                    </w:rPr>
                  </w:pPr>
                </w:p>
              </w:tc>
              <w:tc>
                <w:tcPr>
                  <w:tcW w:w="221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空压机</w:t>
                  </w:r>
                </w:p>
              </w:tc>
              <w:tc>
                <w:tcPr>
                  <w:tcW w:w="936"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点源</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37</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72</w:t>
                  </w:r>
                </w:p>
              </w:tc>
              <w:tc>
                <w:tcPr>
                  <w:tcW w:w="1050"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1574"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85</w:t>
                  </w:r>
                </w:p>
              </w:tc>
              <w:tc>
                <w:tcPr>
                  <w:tcW w:w="1797"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1429" w:type="dxa"/>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064" w:type="dxa"/>
                  <w:vMerge w:val="continue"/>
                  <w:tcBorders>
                    <w:left w:val="single" w:color="auto" w:sz="4" w:space="0"/>
                    <w:bottom w:val="single" w:color="auto" w:sz="4" w:space="0"/>
                    <w:right w:val="single" w:color="auto" w:sz="4" w:space="0"/>
                  </w:tcBorders>
                  <w:vAlign w:val="center"/>
                </w:tcPr>
                <w:p>
                  <w:pPr>
                    <w:adjustRightInd w:val="0"/>
                    <w:rPr>
                      <w:color w:val="000000" w:themeColor="text1"/>
                      <w14:textFill>
                        <w14:solidFill>
                          <w14:schemeClr w14:val="tx1"/>
                        </w14:solidFill>
                      </w14:textFill>
                    </w:rPr>
                  </w:pPr>
                </w:p>
              </w:tc>
            </w:tr>
          </w:tbl>
          <w:p>
            <w:pPr>
              <w:pStyle w:val="27"/>
              <w:jc w:val="center"/>
              <w:rPr>
                <w:rFonts w:ascii="Times New Roman" w:hAnsi="Times New Roman"/>
                <w:snapToGrid w:val="0"/>
                <w:color w:val="000000" w:themeColor="text1"/>
                <w14:textFill>
                  <w14:solidFill>
                    <w14:schemeClr w14:val="tx1"/>
                  </w14:solidFill>
                </w14:textFill>
              </w:rPr>
            </w:pPr>
          </w:p>
          <w:p>
            <w:pPr>
              <w:pStyle w:val="27"/>
              <w:jc w:val="center"/>
              <w:rPr>
                <w:rFonts w:ascii="Times New Roman" w:hAnsi="Times New Roman"/>
                <w:snapToGrid w:val="0"/>
                <w:color w:val="000000" w:themeColor="text1"/>
                <w14:textFill>
                  <w14:solidFill>
                    <w14:schemeClr w14:val="tx1"/>
                  </w14:solidFill>
                </w14:textFill>
              </w:rPr>
            </w:pPr>
          </w:p>
        </w:tc>
      </w:tr>
    </w:tbl>
    <w:p>
      <w:pPr>
        <w:pStyle w:val="27"/>
        <w:jc w:val="center"/>
        <w:rPr>
          <w:rFonts w:ascii="Times New Roman" w:hAnsi="Times New Roman"/>
          <w:snapToGrid w:val="0"/>
          <w:color w:val="000000" w:themeColor="text1"/>
          <w14:textFill>
            <w14:solidFill>
              <w14:schemeClr w14:val="tx1"/>
            </w14:solidFill>
          </w14:textFill>
        </w:rPr>
        <w:sectPr>
          <w:pgSz w:w="16838" w:h="11906" w:orient="landscape"/>
          <w:pgMar w:top="720" w:right="720" w:bottom="720" w:left="720" w:header="851" w:footer="851" w:gutter="0"/>
          <w:cols w:space="720" w:num="1"/>
          <w:docGrid w:linePitch="312" w:charSpace="0"/>
        </w:sectPr>
      </w:pPr>
    </w:p>
    <w:tbl>
      <w:tblPr>
        <w:tblStyle w:val="31"/>
        <w:tblW w:w="10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trPr>
        <w:tc>
          <w:tcPr>
            <w:tcW w:w="426" w:type="dxa"/>
            <w:vAlign w:val="center"/>
          </w:tcPr>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运  营</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期  环</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境  影</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响  和</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保  护</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措</w:t>
            </w:r>
          </w:p>
          <w:p>
            <w:pPr>
              <w:adjustRightInd w:val="0"/>
              <w:snapToGrid w:val="0"/>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 xml:space="preserve"> 施</w:t>
            </w:r>
          </w:p>
        </w:tc>
        <w:tc>
          <w:tcPr>
            <w:tcW w:w="10064" w:type="dxa"/>
            <w:vAlign w:val="center"/>
          </w:tcPr>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2、达标分析</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环境影响评价技术导则声环境》（HJ2.4-2021）附录B，声环境影响预测，一般采用声源的倍频带声功率级、A声功率级或靠近声源某一位置的倍频带声压级、A声级来预测计算距声源不同距离的声级。工业声源有室外和室内两种声源，本项目涉及室内声源，因此对室内声源进行计算。</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根据《环境影响评价技术导则声环境》（HJ2.4-2021）附录B，针对室内声源，可采用等效室外声源声功率级法进行计算，然后按照室外声源声传播衰减方式预测计算点的声级。</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本迁改扩建项目采用北京尚云环境有限公司针对《环境影响评价技术导则声环境》（HJ2.4-2021）开发的噪声预测软件-噪声专业EIAProN2021进行预测。</w:t>
            </w:r>
          </w:p>
          <w:p>
            <w:pPr>
              <w:pStyle w:val="41"/>
              <w:spacing w:line="360" w:lineRule="auto"/>
              <w:rPr>
                <w:color w:val="000000" w:themeColor="text1"/>
                <w14:textFill>
                  <w14:solidFill>
                    <w14:schemeClr w14:val="tx1"/>
                  </w14:solidFill>
                </w14:textFill>
              </w:rPr>
            </w:pPr>
            <w:r>
              <w:rPr>
                <w:color w:val="000000" w:themeColor="text1"/>
                <w14:textFill>
                  <w14:solidFill>
                    <w14:schemeClr w14:val="tx1"/>
                  </w14:solidFill>
                </w14:textFill>
              </w:rPr>
              <w:t>表4-18  本项目厂界及环境敏感点噪声预测结果 dB（A）</w:t>
            </w:r>
          </w:p>
          <w:tbl>
            <w:tblPr>
              <w:tblStyle w:val="30"/>
              <w:tblW w:w="4963" w:type="pct"/>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393"/>
              <w:gridCol w:w="1393"/>
              <w:gridCol w:w="1393"/>
              <w:gridCol w:w="1393"/>
              <w:gridCol w:w="1393"/>
              <w:gridCol w:w="1393"/>
              <w:gridCol w:w="1402"/>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245" w:hRule="atLeast"/>
                <w:jc w:val="center"/>
              </w:trPr>
              <w:tc>
                <w:tcPr>
                  <w:tcW w:w="713" w:type="pct"/>
                  <w:vMerge w:val="restart"/>
                  <w:tcMar>
                    <w:top w:w="15" w:type="dxa"/>
                    <w:left w:w="15" w:type="dxa"/>
                    <w:bottom w:w="0" w:type="dxa"/>
                    <w:right w:w="15" w:type="dxa"/>
                  </w:tcMar>
                  <w:vAlign w:val="center"/>
                </w:tcPr>
                <w:p>
                  <w:pPr>
                    <w:jc w:val="center"/>
                    <w:rPr>
                      <w:b/>
                      <w:bCs w:val="0"/>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713" w:type="pct"/>
                  <w:vMerge w:val="restart"/>
                  <w:tcMar>
                    <w:top w:w="15" w:type="dxa"/>
                    <w:left w:w="15" w:type="dxa"/>
                    <w:bottom w:w="0" w:type="dxa"/>
                    <w:right w:w="15" w:type="dxa"/>
                  </w:tcMar>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预测点位</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噪声标准值</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噪声背景值</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噪声贡献值</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噪声预测值</w:t>
                  </w:r>
                </w:p>
              </w:tc>
              <w:tc>
                <w:tcPr>
                  <w:tcW w:w="717"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超标和达标情况</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209" w:hRule="atLeast"/>
                <w:jc w:val="center"/>
              </w:trPr>
              <w:tc>
                <w:tcPr>
                  <w:tcW w:w="713" w:type="pct"/>
                  <w:vMerge w:val="continue"/>
                  <w:tcMar>
                    <w:top w:w="15" w:type="dxa"/>
                    <w:left w:w="15" w:type="dxa"/>
                    <w:bottom w:w="0" w:type="dxa"/>
                    <w:right w:w="15" w:type="dxa"/>
                  </w:tcMar>
                  <w:vAlign w:val="center"/>
                </w:tcPr>
                <w:p>
                  <w:pPr>
                    <w:jc w:val="center"/>
                    <w:rPr>
                      <w:b/>
                      <w:color w:val="000000" w:themeColor="text1"/>
                      <w14:textFill>
                        <w14:solidFill>
                          <w14:schemeClr w14:val="tx1"/>
                        </w14:solidFill>
                      </w14:textFill>
                    </w:rPr>
                  </w:pPr>
                </w:p>
              </w:tc>
              <w:tc>
                <w:tcPr>
                  <w:tcW w:w="713" w:type="pct"/>
                  <w:vMerge w:val="continue"/>
                  <w:tcMar>
                    <w:top w:w="15" w:type="dxa"/>
                    <w:left w:w="15" w:type="dxa"/>
                    <w:bottom w:w="0" w:type="dxa"/>
                    <w:right w:w="15" w:type="dxa"/>
                  </w:tcMar>
                  <w:vAlign w:val="center"/>
                </w:tcPr>
                <w:p>
                  <w:pPr>
                    <w:jc w:val="center"/>
                    <w:rPr>
                      <w:b/>
                      <w:color w:val="000000" w:themeColor="text1"/>
                      <w14:textFill>
                        <w14:solidFill>
                          <w14:schemeClr w14:val="tx1"/>
                        </w14:solidFill>
                      </w14:textFill>
                    </w:rPr>
                  </w:pP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昼间</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昼间</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昼间</w:t>
                  </w:r>
                </w:p>
              </w:tc>
              <w:tc>
                <w:tcPr>
                  <w:tcW w:w="71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昼间</w:t>
                  </w:r>
                </w:p>
              </w:tc>
              <w:tc>
                <w:tcPr>
                  <w:tcW w:w="717"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昼间</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 xml:space="preserve">厂界东面 </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44.58</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44.58</w:t>
                  </w:r>
                </w:p>
              </w:tc>
              <w:tc>
                <w:tcPr>
                  <w:tcW w:w="717"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厂界南面</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39.12</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39.12</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bCs w:val="0"/>
                      <w:color w:val="000000" w:themeColor="text1"/>
                      <w14:textFill>
                        <w14:solidFill>
                          <w14:schemeClr w14:val="tx1"/>
                        </w14:solidFill>
                      </w14:textFill>
                    </w:rPr>
                    <w:t>厂界西面</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39.25</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39.25</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厂界北面</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48.65</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48.65</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福鑫公馆1F</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45.9</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43.25</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47.78</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福鑫公馆3F</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45.3</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46.09</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48.72</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福鑫公馆5F</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44.9</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48.38</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49.99</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福鑫公馆10F</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44.5</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52.45</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53.10</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13" w:type="pct"/>
                  <w:tcMar>
                    <w:top w:w="15" w:type="dxa"/>
                    <w:left w:w="15" w:type="dxa"/>
                    <w:bottom w:w="0" w:type="dxa"/>
                    <w:right w:w="15"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w:t>
                  </w:r>
                </w:p>
              </w:tc>
              <w:tc>
                <w:tcPr>
                  <w:tcW w:w="713" w:type="pct"/>
                  <w:tcMar>
                    <w:top w:w="15" w:type="dxa"/>
                    <w:left w:w="15" w:type="dxa"/>
                    <w:bottom w:w="0" w:type="dxa"/>
                    <w:right w:w="15" w:type="dxa"/>
                  </w:tcMar>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福鑫公馆19F</w:t>
                  </w:r>
                </w:p>
              </w:tc>
              <w:tc>
                <w:tcPr>
                  <w:tcW w:w="713"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60</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44.7</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54.64</w:t>
                  </w:r>
                </w:p>
              </w:tc>
              <w:tc>
                <w:tcPr>
                  <w:tcW w:w="713" w:type="pct"/>
                  <w:vAlign w:val="center"/>
                </w:tcPr>
                <w:p>
                  <w:pPr>
                    <w:jc w:val="center"/>
                    <w:rPr>
                      <w:bCs w:val="0"/>
                      <w:color w:val="000000" w:themeColor="text1"/>
                      <w14:textFill>
                        <w14:solidFill>
                          <w14:schemeClr w14:val="tx1"/>
                        </w14:solidFill>
                      </w14:textFill>
                    </w:rPr>
                  </w:pPr>
                  <w:r>
                    <w:rPr>
                      <w:bCs w:val="0"/>
                      <w:color w:val="000000" w:themeColor="text1"/>
                      <w14:textFill>
                        <w14:solidFill>
                          <w14:schemeClr w14:val="tx1"/>
                        </w14:solidFill>
                      </w14:textFill>
                    </w:rPr>
                    <w:t>55.06</w:t>
                  </w:r>
                </w:p>
              </w:tc>
              <w:tc>
                <w:tcPr>
                  <w:tcW w:w="717" w:type="pc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达标</w:t>
                  </w:r>
                </w:p>
              </w:tc>
            </w:tr>
          </w:tbl>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由上表可知，项目四周厂界噪声能满足《工业企业厂界环境噪声排放标准》（GB12348-2008）中2类标准，因此项目运营期设备在采取相应措施后，噪声对声环境质量影响较小。</w:t>
            </w:r>
          </w:p>
          <w:p>
            <w:pPr>
              <w:adjustRightInd w:val="0"/>
              <w:snapToGrid w:val="0"/>
              <w:spacing w:line="360" w:lineRule="auto"/>
              <w:ind w:firstLine="382" w:firstLineChars="200"/>
              <w:rPr>
                <w:b/>
                <w:bCs w:val="0"/>
                <w:color w:val="000000" w:themeColor="text1"/>
                <w:spacing w:val="-10"/>
                <w14:textFill>
                  <w14:solidFill>
                    <w14:schemeClr w14:val="tx1"/>
                  </w14:solidFill>
                </w14:textFill>
              </w:rPr>
            </w:pPr>
            <w:r>
              <w:rPr>
                <w:b/>
                <w:bCs w:val="0"/>
                <w:color w:val="000000" w:themeColor="text1"/>
                <w:spacing w:val="-10"/>
                <w14:textFill>
                  <w14:solidFill>
                    <w14:schemeClr w14:val="tx1"/>
                  </w14:solidFill>
                </w14:textFill>
              </w:rPr>
              <w:t>3、噪声监测要求</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根据《</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"https://www.so.com/link?m=bs7JT9b2/gn4f+yA3uNVWkPSOW8f0GM1nfcgUceyr1DKRrLoLnCFUJfcC1agZW5p8Oavp01Ii8U6xwlCPqbIhHR96cDY7vNWLYEYlfRsCehqnaYI+LotQhEFfA0y+jjSBVu6/198J6kdbxmTaqeIzEb+y2r4wSBUY92tar7xSO6RubN5p3xDKTWt0UV/np3ls9p3nmg==" </w:instrText>
            </w:r>
            <w:r>
              <w:rPr>
                <w:color w:val="000000" w:themeColor="text1"/>
                <w14:textFill>
                  <w14:solidFill>
                    <w14:schemeClr w14:val="tx1"/>
                  </w14:solidFill>
                </w14:textFill>
              </w:rPr>
              <w:fldChar w:fldCharType="separate"/>
            </w:r>
            <w:r>
              <w:rPr>
                <w:rStyle w:val="35"/>
                <w:rFonts w:hAnsi="Times New Roman"/>
                <w:bCs w:val="0"/>
                <w:color w:val="000000" w:themeColor="text1"/>
                <w:u w:val="none"/>
                <w14:textFill>
                  <w14:solidFill>
                    <w14:schemeClr w14:val="tx1"/>
                  </w14:solidFill>
                </w14:textFill>
              </w:rPr>
              <w:t>排污单位自行监测技术指南 总则》（HJ 819-2017）</w:t>
            </w:r>
            <w:r>
              <w:rPr>
                <w:rStyle w:val="35"/>
                <w:rFonts w:hAnsi="Times New Roman"/>
                <w:bCs w:val="0"/>
                <w:color w:val="000000" w:themeColor="text1"/>
                <w:u w:val="none"/>
                <w14:textFill>
                  <w14:solidFill>
                    <w14:schemeClr w14:val="tx1"/>
                  </w14:solidFill>
                </w14:textFill>
              </w:rPr>
              <w:fldChar w:fldCharType="end"/>
            </w:r>
            <w:r>
              <w:rPr>
                <w:rFonts w:hAnsi="Times New Roman"/>
                <w:color w:val="000000" w:themeColor="text1"/>
                <w14:textFill>
                  <w14:solidFill>
                    <w14:schemeClr w14:val="tx1"/>
                  </w14:solidFill>
                </w14:textFill>
              </w:rPr>
              <w:t>自行监测管理要求，项目噪声监测计划如下：</w:t>
            </w:r>
          </w:p>
          <w:p>
            <w:pPr>
              <w:pStyle w:val="41"/>
              <w:spacing w:line="360" w:lineRule="auto"/>
              <w:rPr>
                <w:color w:val="000000" w:themeColor="text1"/>
                <w14:textFill>
                  <w14:solidFill>
                    <w14:schemeClr w14:val="tx1"/>
                  </w14:solidFill>
                </w14:textFill>
              </w:rPr>
            </w:pPr>
            <w:r>
              <w:rPr>
                <w:color w:val="000000" w:themeColor="text1"/>
                <w:sz w:val="20"/>
                <w:szCs w:val="20"/>
                <w14:textFill>
                  <w14:solidFill>
                    <w14:schemeClr w14:val="tx1"/>
                  </w14:solidFill>
                </w14:textFill>
              </w:rPr>
              <w:t>表</w:t>
            </w:r>
            <w:r>
              <w:rPr>
                <w:color w:val="000000" w:themeColor="text1"/>
                <w14:textFill>
                  <w14:solidFill>
                    <w14:schemeClr w14:val="tx1"/>
                  </w14:solidFill>
                </w14:textFill>
              </w:rPr>
              <w:t>4-19</w:t>
            </w:r>
            <w:r>
              <w:rPr>
                <w:color w:val="000000" w:themeColor="text1"/>
                <w:sz w:val="20"/>
                <w:szCs w:val="20"/>
                <w14:textFill>
                  <w14:solidFill>
                    <w14:schemeClr w14:val="tx1"/>
                  </w14:solidFill>
                </w14:textFill>
              </w:rPr>
              <w:t xml:space="preserve">  噪</w:t>
            </w:r>
            <w:r>
              <w:rPr>
                <w:color w:val="000000" w:themeColor="text1"/>
                <w14:textFill>
                  <w14:solidFill>
                    <w14:schemeClr w14:val="tx1"/>
                  </w14:solidFill>
                </w14:textFill>
              </w:rPr>
              <w:t>声监测一览表</w:t>
            </w:r>
          </w:p>
          <w:tbl>
            <w:tblPr>
              <w:tblStyle w:val="30"/>
              <w:tblW w:w="9833"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1105"/>
              <w:gridCol w:w="1528"/>
              <w:gridCol w:w="1141"/>
              <w:gridCol w:w="1141"/>
              <w:gridCol w:w="3957"/>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61"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项目</w:t>
                  </w:r>
                </w:p>
              </w:tc>
              <w:tc>
                <w:tcPr>
                  <w:tcW w:w="1105"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监测点位</w:t>
                  </w:r>
                </w:p>
              </w:tc>
              <w:tc>
                <w:tcPr>
                  <w:tcW w:w="1528"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监测时段</w:t>
                  </w:r>
                </w:p>
              </w:tc>
              <w:tc>
                <w:tcPr>
                  <w:tcW w:w="1141"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监测指标</w:t>
                  </w:r>
                </w:p>
              </w:tc>
              <w:tc>
                <w:tcPr>
                  <w:tcW w:w="1141"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监测频次</w:t>
                  </w:r>
                </w:p>
              </w:tc>
              <w:tc>
                <w:tcPr>
                  <w:tcW w:w="3957" w:type="dxa"/>
                  <w:vAlign w:val="center"/>
                </w:tcPr>
                <w:p>
                  <w:pPr>
                    <w:pStyle w:val="76"/>
                    <w:snapToGrid w:val="0"/>
                    <w:spacing w:line="240" w:lineRule="auto"/>
                    <w:ind w:firstLine="0"/>
                    <w:jc w:val="center"/>
                    <w:rPr>
                      <w:rFonts w:eastAsia="宋体"/>
                      <w:b/>
                      <w:color w:val="000000" w:themeColor="text1"/>
                      <w:sz w:val="21"/>
                      <w14:textFill>
                        <w14:solidFill>
                          <w14:schemeClr w14:val="tx1"/>
                        </w14:solidFill>
                      </w14:textFill>
                    </w:rPr>
                  </w:pPr>
                  <w:r>
                    <w:rPr>
                      <w:rFonts w:eastAsia="宋体"/>
                      <w:b/>
                      <w:color w:val="000000" w:themeColor="text1"/>
                      <w:sz w:val="21"/>
                      <w14:textFill>
                        <w14:solidFill>
                          <w14:schemeClr w14:val="tx1"/>
                        </w14:solidFill>
                      </w14:textFill>
                    </w:rPr>
                    <w:t>执行排放标准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61" w:type="dxa"/>
                  <w:vAlign w:val="center"/>
                </w:tcPr>
                <w:p>
                  <w:pPr>
                    <w:pStyle w:val="76"/>
                    <w:snapToGrid w:val="0"/>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噪声</w:t>
                  </w:r>
                </w:p>
              </w:tc>
              <w:tc>
                <w:tcPr>
                  <w:tcW w:w="1105" w:type="dxa"/>
                  <w:vAlign w:val="center"/>
                </w:tcPr>
                <w:p>
                  <w:pPr>
                    <w:pStyle w:val="76"/>
                    <w:snapToGrid w:val="0"/>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厂界</w:t>
                  </w:r>
                </w:p>
              </w:tc>
              <w:tc>
                <w:tcPr>
                  <w:tcW w:w="1528" w:type="dxa"/>
                  <w:vAlign w:val="center"/>
                </w:tcPr>
                <w:p>
                  <w:pPr>
                    <w:pStyle w:val="76"/>
                    <w:snapToGrid w:val="0"/>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昼间</w:t>
                  </w:r>
                </w:p>
              </w:tc>
              <w:tc>
                <w:tcPr>
                  <w:tcW w:w="1141" w:type="dxa"/>
                  <w:vAlign w:val="center"/>
                </w:tcPr>
                <w:p>
                  <w:pPr>
                    <w:pStyle w:val="76"/>
                    <w:snapToGrid w:val="0"/>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LAeq</w:t>
                  </w:r>
                </w:p>
              </w:tc>
              <w:tc>
                <w:tcPr>
                  <w:tcW w:w="1141" w:type="dxa"/>
                  <w:vAlign w:val="center"/>
                </w:tcPr>
                <w:p>
                  <w:pPr>
                    <w:pStyle w:val="76"/>
                    <w:snapToGrid w:val="0"/>
                    <w:spacing w:line="240" w:lineRule="auto"/>
                    <w:ind w:firstLine="0"/>
                    <w:jc w:val="center"/>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1次/季</w:t>
                  </w:r>
                </w:p>
              </w:tc>
              <w:tc>
                <w:tcPr>
                  <w:tcW w:w="3957" w:type="dxa"/>
                  <w:vAlign w:val="center"/>
                </w:tcPr>
                <w:p>
                  <w:pPr>
                    <w:pStyle w:val="76"/>
                    <w:snapToGrid w:val="0"/>
                    <w:spacing w:line="240" w:lineRule="auto"/>
                    <w:ind w:firstLine="0"/>
                    <w:rPr>
                      <w:rFonts w:eastAsia="宋体"/>
                      <w:color w:val="000000" w:themeColor="text1"/>
                      <w:sz w:val="21"/>
                      <w14:textFill>
                        <w14:solidFill>
                          <w14:schemeClr w14:val="tx1"/>
                        </w14:solidFill>
                      </w14:textFill>
                    </w:rPr>
                  </w:pPr>
                  <w:r>
                    <w:rPr>
                      <w:rFonts w:eastAsia="宋体"/>
                      <w:color w:val="000000" w:themeColor="text1"/>
                      <w:sz w:val="21"/>
                      <w14:textFill>
                        <w14:solidFill>
                          <w14:schemeClr w14:val="tx1"/>
                        </w14:solidFill>
                      </w14:textFill>
                    </w:rPr>
                    <w:t>《工业企业厂界环境噪声排放标准》（GB12348-2008）中的2类标准</w:t>
                  </w:r>
                </w:p>
              </w:tc>
            </w:tr>
          </w:tbl>
          <w:p>
            <w:pPr>
              <w:pStyle w:val="81"/>
              <w:adjustRightInd w:val="0"/>
              <w:snapToGrid w:val="0"/>
              <w:spacing w:line="360" w:lineRule="auto"/>
              <w:ind w:firstLine="422"/>
              <w:rPr>
                <w:b/>
                <w:color w:val="000000" w:themeColor="text1"/>
                <w:sz w:val="21"/>
                <w14:textFill>
                  <w14:solidFill>
                    <w14:schemeClr w14:val="tx1"/>
                  </w14:solidFill>
                </w14:textFill>
              </w:rPr>
            </w:pPr>
            <w:r>
              <w:rPr>
                <w:b/>
                <w:color w:val="000000" w:themeColor="text1"/>
                <w:sz w:val="21"/>
                <w14:textFill>
                  <w14:solidFill>
                    <w14:schemeClr w14:val="tx1"/>
                  </w14:solidFill>
                </w14:textFill>
              </w:rPr>
              <w:t>4、噪声防治措施</w:t>
            </w:r>
          </w:p>
          <w:p>
            <w:pPr>
              <w:pStyle w:val="81"/>
              <w:adjustRightInd w:val="0"/>
              <w:snapToGrid w:val="0"/>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为保证项目对周边声环境质量影响，建设单位采取以下防治措施：</w:t>
            </w:r>
          </w:p>
          <w:p>
            <w:pPr>
              <w:pStyle w:val="81"/>
              <w:adjustRightInd w:val="0"/>
              <w:snapToGrid w:val="0"/>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1）维持设备处于良好的运转状态，减少因零部件磨损产生的噪声；</w:t>
            </w:r>
          </w:p>
          <w:p>
            <w:pPr>
              <w:pStyle w:val="81"/>
              <w:adjustRightInd w:val="0"/>
              <w:snapToGrid w:val="0"/>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2）合理布设生产车间，通过厂房阻挡噪声传播，尽量把噪声影响限制在厂区范围内，降低噪声对外界的影响；</w:t>
            </w:r>
          </w:p>
          <w:p>
            <w:pPr>
              <w:pStyle w:val="81"/>
              <w:adjustRightInd w:val="0"/>
              <w:snapToGrid w:val="0"/>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3）强噪声设备底座设置防振装置，并设置适当的隔声屏障；</w:t>
            </w:r>
          </w:p>
          <w:p>
            <w:pPr>
              <w:pStyle w:val="81"/>
              <w:adjustRightInd w:val="0"/>
              <w:snapToGrid w:val="0"/>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4）加强作业管理，减少非正常噪声。生产时门窗紧闭，通过强制机械排风来加强车间通风换气，以减少噪声外传。</w:t>
            </w:r>
          </w:p>
          <w:p>
            <w:pPr>
              <w:pStyle w:val="81"/>
              <w:adjustRightInd w:val="0"/>
              <w:snapToGrid w:val="0"/>
              <w:spacing w:line="360" w:lineRule="auto"/>
              <w:ind w:firstLine="0" w:firstLineChars="0"/>
              <w:rPr>
                <w:b/>
                <w:color w:val="000000" w:themeColor="text1"/>
                <w:sz w:val="21"/>
                <w14:textFill>
                  <w14:solidFill>
                    <w14:schemeClr w14:val="tx1"/>
                  </w14:solidFill>
                </w14:textFill>
              </w:rPr>
            </w:pPr>
            <w:r>
              <w:rPr>
                <w:b/>
                <w:color w:val="000000" w:themeColor="text1"/>
                <w:sz w:val="21"/>
                <w14:textFill>
                  <w14:solidFill>
                    <w14:schemeClr w14:val="tx1"/>
                  </w14:solidFill>
                </w14:textFill>
              </w:rPr>
              <w:t>四、固体废物</w:t>
            </w:r>
          </w:p>
          <w:p>
            <w:pPr>
              <w:pStyle w:val="81"/>
              <w:adjustRightInd w:val="0"/>
              <w:snapToGrid w:val="0"/>
              <w:spacing w:line="360" w:lineRule="auto"/>
              <w:ind w:firstLine="422"/>
              <w:rPr>
                <w:b/>
                <w:color w:val="000000" w:themeColor="text1"/>
                <w:sz w:val="21"/>
                <w14:textFill>
                  <w14:solidFill>
                    <w14:schemeClr w14:val="tx1"/>
                  </w14:solidFill>
                </w14:textFill>
              </w:rPr>
            </w:pPr>
            <w:r>
              <w:rPr>
                <w:b/>
                <w:bCs w:val="0"/>
                <w:color w:val="000000" w:themeColor="text1"/>
                <w:sz w:val="21"/>
                <w14:textFill>
                  <w14:solidFill>
                    <w14:schemeClr w14:val="tx1"/>
                  </w14:solidFill>
                </w14:textFill>
              </w:rPr>
              <w:t>1、产生情况</w:t>
            </w:r>
          </w:p>
          <w:p>
            <w:pPr>
              <w:adjustRightInd w:val="0"/>
              <w:snapToGrid w:val="0"/>
              <w:spacing w:line="360" w:lineRule="auto"/>
              <w:ind w:firstLine="420" w:firstLineChars="200"/>
              <w:rPr>
                <w:rStyle w:val="35"/>
                <w:color w:val="000000" w:themeColor="text1"/>
                <w:u w:val="none"/>
                <w14:textFill>
                  <w14:solidFill>
                    <w14:schemeClr w14:val="tx1"/>
                  </w14:solidFill>
                </w14:textFill>
              </w:rPr>
            </w:pPr>
            <w:r>
              <w:rPr>
                <w:rStyle w:val="35"/>
                <w:color w:val="000000" w:themeColor="text1"/>
                <w:u w:val="none"/>
                <w14:textFill>
                  <w14:solidFill>
                    <w14:schemeClr w14:val="tx1"/>
                  </w14:solidFill>
                </w14:textFill>
              </w:rPr>
              <w:t>本项目运营期产生的固体废物垃圾包括一般固废、生活垃圾与危险废物。</w:t>
            </w:r>
          </w:p>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（1）一般工业固体废物</w:t>
            </w:r>
          </w:p>
          <w:p>
            <w:pPr>
              <w:adjustRightInd w:val="0"/>
              <w:snapToGrid w:val="0"/>
              <w:spacing w:line="360" w:lineRule="auto"/>
              <w:ind w:firstLine="420" w:firstLineChars="200"/>
              <w:rPr>
                <w:rStyle w:val="35"/>
                <w:color w:val="000000" w:themeColor="text1"/>
                <w:u w:val="none"/>
                <w14:textFill>
                  <w14:solidFill>
                    <w14:schemeClr w14:val="tx1"/>
                  </w14:solidFill>
                </w14:textFill>
              </w:rPr>
            </w:pPr>
            <w:r>
              <w:rPr>
                <w:rStyle w:val="35"/>
                <w:color w:val="000000" w:themeColor="text1"/>
                <w:u w:val="none"/>
                <w14:textFill>
                  <w14:solidFill>
                    <w14:schemeClr w14:val="tx1"/>
                  </w14:solidFill>
                </w14:textFill>
              </w:rPr>
              <w:t>运营期产生的一般工业固废包括次品和收集的粉尘。</w:t>
            </w:r>
          </w:p>
          <w:p>
            <w:pPr>
              <w:pStyle w:val="37"/>
              <w:ind w:firstLine="420"/>
              <w:jc w:val="both"/>
              <w:rPr>
                <w:rStyle w:val="35"/>
                <w:rFonts w:hAnsi="Times New Roman"/>
                <w:color w:val="000000" w:themeColor="text1"/>
                <w:u w:val="none"/>
                <w14:textFill>
                  <w14:solidFill>
                    <w14:schemeClr w14:val="tx1"/>
                  </w14:solidFill>
                </w14:textFill>
              </w:rPr>
            </w:pPr>
            <w:r>
              <w:rPr>
                <w:rStyle w:val="35"/>
                <w:rFonts w:hAnsi="Times New Roman"/>
                <w:color w:val="000000" w:themeColor="text1"/>
                <w:u w:val="none"/>
                <w14:textFill>
                  <w14:solidFill>
                    <w14:schemeClr w14:val="tx1"/>
                  </w14:solidFill>
                </w14:textFill>
              </w:rPr>
              <w:t>项目检测工序中会产生的次品，根据建设单位提供的资料，产生量约为1.0t/a；</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项目配组工序的焊接过程中产生的颗粒物经移动式除尘器收集后处理，根据建设单位提供的资料，</w:t>
            </w:r>
            <w:r>
              <w:rPr>
                <w:rStyle w:val="35"/>
                <w:color w:val="000000" w:themeColor="text1"/>
                <w:u w:val="none"/>
                <w14:textFill>
                  <w14:solidFill>
                    <w14:schemeClr w14:val="tx1"/>
                  </w14:solidFill>
                </w14:textFill>
              </w:rPr>
              <w:t>收集的粉尘产生量约为0.002t/a。</w:t>
            </w:r>
          </w:p>
          <w:p>
            <w:pPr>
              <w:adjustRightInd w:val="0"/>
              <w:snapToGrid w:val="0"/>
              <w:spacing w:line="360" w:lineRule="auto"/>
              <w:jc w:val="center"/>
              <w:rPr>
                <w:b/>
                <w:bCs w:val="0"/>
                <w:color w:val="000000" w:themeColor="text1"/>
                <w:sz w:val="20"/>
                <w:szCs w:val="20"/>
                <w14:textFill>
                  <w14:solidFill>
                    <w14:schemeClr w14:val="tx1"/>
                  </w14:solidFill>
                </w14:textFill>
              </w:rPr>
            </w:pPr>
            <w:r>
              <w:rPr>
                <w:b/>
                <w:bCs w:val="0"/>
                <w:color w:val="000000" w:themeColor="text1"/>
                <w14:textFill>
                  <w14:solidFill>
                    <w14:schemeClr w14:val="tx1"/>
                  </w14:solidFill>
                </w14:textFill>
              </w:rPr>
              <w:t>表4-20  本项目一般工业固体废物产生情况表</w:t>
            </w:r>
          </w:p>
          <w:tbl>
            <w:tblPr>
              <w:tblStyle w:val="30"/>
              <w:tblW w:w="9838"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1277"/>
              <w:gridCol w:w="1135"/>
              <w:gridCol w:w="1277"/>
              <w:gridCol w:w="994"/>
              <w:gridCol w:w="712"/>
              <w:gridCol w:w="708"/>
              <w:gridCol w:w="708"/>
              <w:gridCol w:w="708"/>
              <w:gridCol w:w="854"/>
              <w:gridCol w:w="75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vAlign w:val="center"/>
                </w:tcPr>
                <w:p>
                  <w:pPr>
                    <w:adjustRightInd w:val="0"/>
                    <w:snapToGrid w:val="0"/>
                    <w:jc w:val="center"/>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序号</w:t>
                  </w:r>
                </w:p>
              </w:tc>
              <w:tc>
                <w:tcPr>
                  <w:tcW w:w="1277" w:type="dxa"/>
                  <w:vAlign w:val="center"/>
                </w:tcPr>
                <w:p>
                  <w:pPr>
                    <w:adjustRightInd w:val="0"/>
                    <w:snapToGrid w:val="0"/>
                    <w:jc w:val="center"/>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名称</w:t>
                  </w:r>
                </w:p>
              </w:tc>
              <w:tc>
                <w:tcPr>
                  <w:tcW w:w="1135"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产生 环节</w:t>
                  </w:r>
                </w:p>
              </w:tc>
              <w:tc>
                <w:tcPr>
                  <w:tcW w:w="1277"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一般固体废物代码</w:t>
                  </w:r>
                </w:p>
              </w:tc>
              <w:tc>
                <w:tcPr>
                  <w:tcW w:w="994"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产生量（t/a）</w:t>
                  </w:r>
                </w:p>
              </w:tc>
              <w:tc>
                <w:tcPr>
                  <w:tcW w:w="712"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物理特性</w:t>
                  </w:r>
                </w:p>
              </w:tc>
              <w:tc>
                <w:tcPr>
                  <w:tcW w:w="708"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主要成分</w:t>
                  </w:r>
                </w:p>
              </w:tc>
              <w:tc>
                <w:tcPr>
                  <w:tcW w:w="708"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有害成分</w:t>
                  </w:r>
                </w:p>
              </w:tc>
              <w:tc>
                <w:tcPr>
                  <w:tcW w:w="708"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贮存方式</w:t>
                  </w:r>
                </w:p>
              </w:tc>
              <w:tc>
                <w:tcPr>
                  <w:tcW w:w="854" w:type="dxa"/>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利用处置方式</w:t>
                  </w:r>
                </w:p>
              </w:tc>
              <w:tc>
                <w:tcPr>
                  <w:tcW w:w="757" w:type="dxa"/>
                  <w:vAlign w:val="center"/>
                </w:tcPr>
                <w:p>
                  <w:pPr>
                    <w:adjustRightInd w:val="0"/>
                    <w:snapToGrid w:val="0"/>
                    <w:jc w:val="center"/>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去向</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1</w:t>
                  </w:r>
                </w:p>
              </w:tc>
              <w:tc>
                <w:tcPr>
                  <w:tcW w:w="1277" w:type="dxa"/>
                  <w:vAlign w:val="center"/>
                </w:tcPr>
                <w:p>
                  <w:pPr>
                    <w:pStyle w:val="39"/>
                    <w:jc w:val="center"/>
                    <w:rPr>
                      <w:color w:val="000000" w:themeColor="text1"/>
                      <w:kern w:val="21"/>
                      <w14:textFill>
                        <w14:solidFill>
                          <w14:schemeClr w14:val="tx1"/>
                        </w14:solidFill>
                      </w14:textFill>
                    </w:rPr>
                  </w:pPr>
                  <w:r>
                    <w:rPr>
                      <w:color w:val="000000" w:themeColor="text1"/>
                      <w:kern w:val="21"/>
                      <w14:textFill>
                        <w14:solidFill>
                          <w14:schemeClr w14:val="tx1"/>
                        </w14:solidFill>
                      </w14:textFill>
                    </w:rPr>
                    <w:t>次品</w:t>
                  </w:r>
                </w:p>
              </w:tc>
              <w:tc>
                <w:tcPr>
                  <w:tcW w:w="1135"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检测</w:t>
                  </w:r>
                </w:p>
              </w:tc>
              <w:tc>
                <w:tcPr>
                  <w:tcW w:w="1277" w:type="dxa"/>
                  <w:vAlign w:val="center"/>
                </w:tcPr>
                <w:p>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382-001-14</w:t>
                  </w:r>
                </w:p>
              </w:tc>
              <w:tc>
                <w:tcPr>
                  <w:tcW w:w="994"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1.0</w:t>
                  </w:r>
                </w:p>
              </w:tc>
              <w:tc>
                <w:tcPr>
                  <w:tcW w:w="712"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固态</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金属</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桶装</w:t>
                  </w:r>
                </w:p>
              </w:tc>
              <w:tc>
                <w:tcPr>
                  <w:tcW w:w="854" w:type="dxa"/>
                  <w:vMerge w:val="restart"/>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委外</w:t>
                  </w:r>
                </w:p>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利用</w:t>
                  </w:r>
                </w:p>
              </w:tc>
              <w:tc>
                <w:tcPr>
                  <w:tcW w:w="757" w:type="dxa"/>
                  <w:vMerge w:val="restart"/>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专业回收单位回收</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2</w:t>
                  </w:r>
                </w:p>
              </w:tc>
              <w:tc>
                <w:tcPr>
                  <w:tcW w:w="1277" w:type="dxa"/>
                  <w:vAlign w:val="center"/>
                </w:tcPr>
                <w:p>
                  <w:pPr>
                    <w:pStyle w:val="39"/>
                    <w:jc w:val="center"/>
                    <w:rPr>
                      <w:color w:val="000000" w:themeColor="text1"/>
                      <w:kern w:val="21"/>
                      <w14:textFill>
                        <w14:solidFill>
                          <w14:schemeClr w14:val="tx1"/>
                        </w14:solidFill>
                      </w14:textFill>
                    </w:rPr>
                  </w:pPr>
                  <w:r>
                    <w:rPr>
                      <w:color w:val="000000" w:themeColor="text1"/>
                      <w14:textFill>
                        <w14:solidFill>
                          <w14:schemeClr w14:val="tx1"/>
                        </w14:solidFill>
                      </w14:textFill>
                    </w:rPr>
                    <w:t>收集的粉尘</w:t>
                  </w:r>
                </w:p>
              </w:tc>
              <w:tc>
                <w:tcPr>
                  <w:tcW w:w="1135" w:type="dxa"/>
                  <w:vAlign w:val="center"/>
                </w:tcPr>
                <w:p>
                  <w:pPr>
                    <w:adjustRightInd w:val="0"/>
                    <w:snapToGrid w:val="0"/>
                    <w:jc w:val="center"/>
                    <w:rPr>
                      <w:bCs w:val="0"/>
                      <w:color w:val="000000" w:themeColor="text1"/>
                      <w:spacing w:val="-10"/>
                      <w14:textFill>
                        <w14:solidFill>
                          <w14:schemeClr w14:val="tx1"/>
                        </w14:solidFill>
                      </w14:textFill>
                    </w:rPr>
                  </w:pPr>
                  <w:r>
                    <w:rPr>
                      <w:color w:val="000000" w:themeColor="text1"/>
                      <w14:textFill>
                        <w14:solidFill>
                          <w14:schemeClr w14:val="tx1"/>
                        </w14:solidFill>
                      </w14:textFill>
                    </w:rPr>
                    <w:t>废气处理</w:t>
                  </w:r>
                </w:p>
              </w:tc>
              <w:tc>
                <w:tcPr>
                  <w:tcW w:w="1277" w:type="dxa"/>
                  <w:vAlign w:val="center"/>
                </w:tcPr>
                <w:p>
                  <w:pPr>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382-001-66</w:t>
                  </w:r>
                </w:p>
              </w:tc>
              <w:tc>
                <w:tcPr>
                  <w:tcW w:w="994"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0.002</w:t>
                  </w:r>
                </w:p>
              </w:tc>
              <w:tc>
                <w:tcPr>
                  <w:tcW w:w="712"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固态</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粉尘</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w:t>
                  </w:r>
                </w:p>
              </w:tc>
              <w:tc>
                <w:tcPr>
                  <w:tcW w:w="708" w:type="dxa"/>
                  <w:vAlign w:val="center"/>
                </w:tcPr>
                <w:p>
                  <w:pPr>
                    <w:adjustRightInd w:val="0"/>
                    <w:snapToGrid w:val="0"/>
                    <w:jc w:val="center"/>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桶装</w:t>
                  </w:r>
                </w:p>
              </w:tc>
              <w:tc>
                <w:tcPr>
                  <w:tcW w:w="854" w:type="dxa"/>
                  <w:vMerge w:val="continue"/>
                  <w:vAlign w:val="center"/>
                </w:tcPr>
                <w:p>
                  <w:pPr>
                    <w:adjustRightInd w:val="0"/>
                    <w:snapToGrid w:val="0"/>
                    <w:jc w:val="center"/>
                    <w:rPr>
                      <w:bCs w:val="0"/>
                      <w:color w:val="000000" w:themeColor="text1"/>
                      <w:spacing w:val="-10"/>
                      <w14:textFill>
                        <w14:solidFill>
                          <w14:schemeClr w14:val="tx1"/>
                        </w14:solidFill>
                      </w14:textFill>
                    </w:rPr>
                  </w:pPr>
                </w:p>
              </w:tc>
              <w:tc>
                <w:tcPr>
                  <w:tcW w:w="757" w:type="dxa"/>
                  <w:vMerge w:val="continue"/>
                  <w:vAlign w:val="center"/>
                </w:tcPr>
                <w:p>
                  <w:pPr>
                    <w:adjustRightInd w:val="0"/>
                    <w:snapToGrid w:val="0"/>
                    <w:jc w:val="center"/>
                    <w:rPr>
                      <w:bCs w:val="0"/>
                      <w:color w:val="000000" w:themeColor="text1"/>
                      <w:spacing w:val="-10"/>
                      <w14:textFill>
                        <w14:solidFill>
                          <w14:schemeClr w14:val="tx1"/>
                        </w14:solidFill>
                      </w14:textFill>
                    </w:rPr>
                  </w:pPr>
                </w:p>
              </w:tc>
            </w:tr>
          </w:tbl>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（2）生活垃圾</w:t>
            </w:r>
          </w:p>
          <w:p>
            <w:pPr>
              <w:pStyle w:val="37"/>
              <w:ind w:firstLine="400"/>
              <w:jc w:val="both"/>
              <w:rPr>
                <w:rFonts w:hAnsi="Times New Roman"/>
                <w:color w:val="000000" w:themeColor="text1"/>
                <w14:textFill>
                  <w14:solidFill>
                    <w14:schemeClr w14:val="tx1"/>
                  </w14:solidFill>
                </w14:textFill>
              </w:rPr>
            </w:pPr>
            <w:r>
              <w:rPr>
                <w:rFonts w:hAnsi="Times New Roman"/>
                <w:color w:val="000000" w:themeColor="text1"/>
                <w:spacing w:val="-10"/>
                <w14:textFill>
                  <w14:solidFill>
                    <w14:schemeClr w14:val="tx1"/>
                  </w14:solidFill>
                </w14:textFill>
              </w:rPr>
              <w:t>本项目员工12人，均不在项目内食宿。则生活垃圾取0.5</w:t>
            </w:r>
            <w:r>
              <w:rPr>
                <w:rFonts w:hAnsi="Times New Roman"/>
                <w:color w:val="000000" w:themeColor="text1"/>
                <w14:textFill>
                  <w14:solidFill>
                    <w14:schemeClr w14:val="tx1"/>
                  </w14:solidFill>
                </w14:textFill>
              </w:rPr>
              <w:t>kg/d人计，生活垃圾产生量为6kg/d（1.8t/a）。</w:t>
            </w:r>
          </w:p>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（3）危险废物</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本项目运营期产生的危险废物为废布碎/纸皮、废包装物、废绝缘漆渣、废机油、废机油桶、废抹布及手套、喷淋废水以及废活性炭。</w:t>
            </w:r>
          </w:p>
          <w:p>
            <w:pPr>
              <w:adjustRightInd w:val="0"/>
              <w:snapToGrid w:val="0"/>
              <w:spacing w:line="360" w:lineRule="auto"/>
              <w:ind w:firstLine="382" w:firstLineChars="200"/>
              <w:rPr>
                <w:b/>
                <w:bCs w:val="0"/>
                <w:color w:val="000000" w:themeColor="text1"/>
                <w:spacing w:val="-10"/>
                <w14:textFill>
                  <w14:solidFill>
                    <w14:schemeClr w14:val="tx1"/>
                  </w14:solidFill>
                </w14:textFill>
              </w:rPr>
            </w:pPr>
            <w:r>
              <w:rPr>
                <w:b/>
                <w:color w:val="000000" w:themeColor="text1"/>
                <w:spacing w:val="-10"/>
                <w14:textFill>
                  <w14:solidFill>
                    <w14:schemeClr w14:val="tx1"/>
                  </w14:solidFill>
                </w14:textFill>
              </w:rPr>
              <w:t>A.</w:t>
            </w:r>
            <w:r>
              <w:rPr>
                <w:b/>
                <w:bCs w:val="0"/>
                <w:color w:val="000000" w:themeColor="text1"/>
                <w14:textFill>
                  <w14:solidFill>
                    <w14:schemeClr w14:val="tx1"/>
                  </w14:solidFill>
                </w14:textFill>
              </w:rPr>
              <w:t>废布碎/纸皮</w:t>
            </w:r>
          </w:p>
          <w:p>
            <w:pPr>
              <w:adjustRightInd w:val="0"/>
              <w:snapToGrid w:val="0"/>
              <w:spacing w:line="360" w:lineRule="auto"/>
              <w:ind w:firstLine="380" w:firstLineChars="200"/>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本项目使用布碎对含浸工序中的铁盘进行清洁，或对</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spacing w:val="-10"/>
                <w14:textFill>
                  <w14:solidFill>
                    <w14:schemeClr w14:val="tx1"/>
                  </w14:solidFill>
                </w14:textFill>
              </w:rPr>
              <w:t>进行擦拭，产生废布碎，在转移至干燥室及干燥中会在铁盘下方放置纸皮，纸皮会粘附绝缘漆，产生废纸皮，根据建设单位提供的资料，产生量约为2.2218t/a，属于《国家危险废物名录》（2021年1月1日实施）“HW49其他废物-非特定行业-900-041-49-含有或沾染毒性、感染性危险废物的废弃包装物、容器、过滤吸附介质”，经统一收集后交由</w:t>
            </w:r>
            <w:r>
              <w:rPr>
                <w:color w:val="000000" w:themeColor="text1"/>
                <w14:textFill>
                  <w14:solidFill>
                    <w14:schemeClr w14:val="tx1"/>
                  </w14:solidFill>
                </w14:textFill>
              </w:rPr>
              <w:t>有危险废物资质单位处理</w:t>
            </w:r>
            <w:r>
              <w:rPr>
                <w:bCs w:val="0"/>
                <w:color w:val="000000" w:themeColor="text1"/>
                <w:spacing w:val="-10"/>
                <w14:textFill>
                  <w14:solidFill>
                    <w14:schemeClr w14:val="tx1"/>
                  </w14:solidFill>
                </w14:textFill>
              </w:rPr>
              <w:t>。</w:t>
            </w:r>
          </w:p>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B.</w:t>
            </w:r>
            <w:r>
              <w:rPr>
                <w:b/>
                <w:color w:val="000000" w:themeColor="text1"/>
                <w14:textFill>
                  <w14:solidFill>
                    <w14:schemeClr w14:val="tx1"/>
                  </w14:solidFill>
                </w14:textFill>
              </w:rPr>
              <w:t>废包装物</w:t>
            </w:r>
          </w:p>
          <w:p>
            <w:pPr>
              <w:adjustRightInd w:val="0"/>
              <w:snapToGrid w:val="0"/>
              <w:spacing w:line="360" w:lineRule="auto"/>
              <w:ind w:firstLine="380" w:firstLineChars="200"/>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本项目的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bCs w:val="0"/>
                <w:color w:val="000000" w:themeColor="text1"/>
                <w:spacing w:val="-10"/>
                <w14:textFill>
                  <w14:solidFill>
                    <w14:schemeClr w14:val="tx1"/>
                  </w14:solidFill>
                </w14:textFill>
              </w:rPr>
              <w:t>、绝缘漆采用的包装形式为桶装、瓶装，会产生废包装物，根据建设单位提供的资料，产生量约为0.025t/a，属于《国家危险废物名录》（2021年1月1日实施）“HW49其他废物-非特定行业-900-041-49-含有或沾染毒性、感染性危险废物的废弃包装物、容器、过滤吸附介质”，经统一收集后交由</w:t>
            </w:r>
            <w:r>
              <w:rPr>
                <w:color w:val="000000" w:themeColor="text1"/>
                <w14:textFill>
                  <w14:solidFill>
                    <w14:schemeClr w14:val="tx1"/>
                  </w14:solidFill>
                </w14:textFill>
              </w:rPr>
              <w:t>有危险废物资质单位处理</w:t>
            </w:r>
            <w:r>
              <w:rPr>
                <w:bCs w:val="0"/>
                <w:color w:val="000000" w:themeColor="text1"/>
                <w:spacing w:val="-10"/>
                <w14:textFill>
                  <w14:solidFill>
                    <w14:schemeClr w14:val="tx1"/>
                  </w14:solidFill>
                </w14:textFill>
              </w:rPr>
              <w:t>。</w:t>
            </w:r>
          </w:p>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C.废绝缘漆渣</w:t>
            </w:r>
          </w:p>
          <w:p>
            <w:pPr>
              <w:adjustRightInd w:val="0"/>
              <w:snapToGrid w:val="0"/>
              <w:spacing w:line="360" w:lineRule="auto"/>
              <w:ind w:firstLine="380" w:firstLineChars="200"/>
              <w:rPr>
                <w:bCs w:val="0"/>
                <w:color w:val="000000" w:themeColor="text1"/>
                <w:spacing w:val="-10"/>
                <w14:textFill>
                  <w14:solidFill>
                    <w14:schemeClr w14:val="tx1"/>
                  </w14:solidFill>
                </w14:textFill>
              </w:rPr>
            </w:pPr>
            <w:r>
              <w:rPr>
                <w:bCs w:val="0"/>
                <w:color w:val="000000" w:themeColor="text1"/>
                <w:spacing w:val="-10"/>
                <w14:textFill>
                  <w14:solidFill>
                    <w14:schemeClr w14:val="tx1"/>
                  </w14:solidFill>
                </w14:textFill>
              </w:rPr>
              <w:t>本项目在真空含浸、烘干工序中铁盘上、产品边缘会粘附绝缘漆，烘干后形成绝缘漆渣，人工对其进行清洁，产生废绝缘漆渣，参考《排放源统计调查产排污核算方法和系数手册》中的“38 电气机械和器材制造业”的“5.2固体废物系数表-树脂浇注（含固化）-8.3</w:t>
            </w:r>
            <w:r>
              <w:rPr>
                <w:color w:val="000000" w:themeColor="text1"/>
                <w14:textFill>
                  <w14:solidFill>
                    <w14:schemeClr w14:val="tx1"/>
                  </w14:solidFill>
                </w14:textFill>
              </w:rPr>
              <w:t>×10</w:t>
            </w:r>
            <w:r>
              <w:rPr>
                <w:color w:val="000000" w:themeColor="text1"/>
                <w:vertAlign w:val="superscript"/>
                <w14:textFill>
                  <w14:solidFill>
                    <w14:schemeClr w14:val="tx1"/>
                  </w14:solidFill>
                </w14:textFill>
              </w:rPr>
              <w:t>1</w:t>
            </w:r>
            <w:r>
              <w:rPr>
                <w:color w:val="000000" w:themeColor="text1"/>
                <w14:textFill>
                  <w14:solidFill>
                    <w14:schemeClr w14:val="tx1"/>
                  </w14:solidFill>
                </w14:textFill>
              </w:rPr>
              <w:t>克/千克（原料）</w:t>
            </w:r>
            <w:r>
              <w:rPr>
                <w:bCs w:val="0"/>
                <w:color w:val="000000" w:themeColor="text1"/>
                <w:spacing w:val="-10"/>
                <w14:textFill>
                  <w14:solidFill>
                    <w14:schemeClr w14:val="tx1"/>
                  </w14:solidFill>
                </w14:textFill>
              </w:rPr>
              <w:t>”，本项目的绝缘漆年用量约为6.66t/a，则项目废绝缘漆渣的产生量约为0.5528t/a。属于《国家危险废物名录》（2021年1月1日实施）“HW12染料、涂料废物-非特定行业-900-252-12-使用油漆（不包括水性漆）、有机溶剂进行喷漆、上期过程中产生的废物”，经统一收集后交由</w:t>
            </w:r>
            <w:r>
              <w:rPr>
                <w:color w:val="000000" w:themeColor="text1"/>
                <w14:textFill>
                  <w14:solidFill>
                    <w14:schemeClr w14:val="tx1"/>
                  </w14:solidFill>
                </w14:textFill>
              </w:rPr>
              <w:t>有危险废物资质单位处理</w:t>
            </w:r>
            <w:r>
              <w:rPr>
                <w:bCs w:val="0"/>
                <w:color w:val="000000" w:themeColor="text1"/>
                <w:spacing w:val="-10"/>
                <w14:textFill>
                  <w14:solidFill>
                    <w14:schemeClr w14:val="tx1"/>
                  </w14:solidFill>
                </w14:textFill>
              </w:rPr>
              <w:t>。</w:t>
            </w:r>
          </w:p>
          <w:p>
            <w:pPr>
              <w:adjustRightInd w:val="0"/>
              <w:snapToGrid w:val="0"/>
              <w:spacing w:line="360" w:lineRule="auto"/>
              <w:ind w:firstLine="382" w:firstLineChars="200"/>
              <w:rPr>
                <w:b/>
                <w:color w:val="000000" w:themeColor="text1"/>
                <w:spacing w:val="-10"/>
                <w14:textFill>
                  <w14:solidFill>
                    <w14:schemeClr w14:val="tx1"/>
                  </w14:solidFill>
                </w14:textFill>
              </w:rPr>
            </w:pPr>
            <w:r>
              <w:rPr>
                <w:b/>
                <w:color w:val="000000" w:themeColor="text1"/>
                <w:spacing w:val="-10"/>
                <w14:textFill>
                  <w14:solidFill>
                    <w14:schemeClr w14:val="tx1"/>
                  </w14:solidFill>
                </w14:textFill>
              </w:rPr>
              <w:t>D.废机油</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生产机械数量需要定期检修、保养，会产生少量更换的废机油，根据建设单位提供的资料，其年产生量约0.4t。废机油属于《国家危险废物名录（2021年版）》（2021年1月1日起施行）中“HW08废矿物油与含矿物油废物”-“非特定行业-900-249-08”-“其他生产、销售、使用过程中产生的废矿物油及沾染矿物油的废弃包装物”，</w:t>
            </w:r>
            <w:r>
              <w:rPr>
                <w:rFonts w:hAnsi="Times New Roman"/>
                <w:bCs w:val="0"/>
                <w:color w:val="000000" w:themeColor="text1"/>
                <w:spacing w:val="-10"/>
                <w14:textFill>
                  <w14:solidFill>
                    <w14:schemeClr w14:val="tx1"/>
                  </w14:solidFill>
                </w14:textFill>
              </w:rPr>
              <w:t>经统一收集后交由</w:t>
            </w:r>
            <w:r>
              <w:rPr>
                <w:rFonts w:hAnsi="Times New Roman"/>
                <w:color w:val="000000" w:themeColor="text1"/>
                <w14:textFill>
                  <w14:solidFill>
                    <w14:schemeClr w14:val="tx1"/>
                  </w14:solidFill>
                </w14:textFill>
              </w:rPr>
              <w:t>有危险废物资质单位处理。</w:t>
            </w:r>
          </w:p>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E.废机油桶</w:t>
            </w:r>
          </w:p>
          <w:p>
            <w:pPr>
              <w:pStyle w:val="37"/>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生产机械数量需要定期检修、保养，会产生少量废机油桶，根据建设单位提供的资料，其年产生量约0.01t。废机油桶属于《国家危险废物名录（2021年版）》（2021年1月1日起施行）中“HW08废矿物油与含矿物油废物”-“非特定行业-900-249-08”-“其他生产、销售、使用过程中产生的废矿物油及沾染矿物油的废弃包装物”，</w:t>
            </w:r>
            <w:r>
              <w:rPr>
                <w:rFonts w:hAnsi="Times New Roman"/>
                <w:bCs w:val="0"/>
                <w:color w:val="000000" w:themeColor="text1"/>
                <w:spacing w:val="-10"/>
                <w14:textFill>
                  <w14:solidFill>
                    <w14:schemeClr w14:val="tx1"/>
                  </w14:solidFill>
                </w14:textFill>
              </w:rPr>
              <w:t>经统一收集后交由</w:t>
            </w:r>
            <w:r>
              <w:rPr>
                <w:rFonts w:hAnsi="Times New Roman"/>
                <w:color w:val="000000" w:themeColor="text1"/>
                <w14:textFill>
                  <w14:solidFill>
                    <w14:schemeClr w14:val="tx1"/>
                  </w14:solidFill>
                </w14:textFill>
              </w:rPr>
              <w:t>有危险废物资质单位处理。</w:t>
            </w:r>
          </w:p>
          <w:p>
            <w:pPr>
              <w:spacing w:line="360" w:lineRule="auto"/>
              <w:ind w:firstLine="480"/>
              <w:rPr>
                <w:b/>
                <w:color w:val="000000" w:themeColor="text1"/>
                <w14:textFill>
                  <w14:solidFill>
                    <w14:schemeClr w14:val="tx1"/>
                  </w14:solidFill>
                </w14:textFill>
              </w:rPr>
            </w:pPr>
            <w:r>
              <w:rPr>
                <w:b/>
                <w:color w:val="000000" w:themeColor="text1"/>
                <w14:textFill>
                  <w14:solidFill>
                    <w14:schemeClr w14:val="tx1"/>
                  </w14:solidFill>
                </w14:textFill>
              </w:rPr>
              <w:t>F.废抹布及手套</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项目在生产和设备保养维修过程中会产生一定量含机油、</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w:t>
            </w:r>
            <w:r>
              <w:rPr>
                <w:color w:val="000000" w:themeColor="text1"/>
                <w14:textFill>
                  <w14:solidFill>
                    <w14:schemeClr w14:val="tx1"/>
                  </w14:solidFill>
                </w14:textFill>
              </w:rPr>
              <w:t>以及绝缘漆的废弃物，具体为废抹布及手套，根据建设单位提供资料，年产生量约0.1t/a，废物类别为“HW49其他废物“-“非特定行业900-041-49</w:t>
            </w:r>
            <w:r>
              <w:rPr>
                <w:color w:val="000000" w:themeColor="text1"/>
                <w:kern w:val="0"/>
                <w:lang w:bidi="ar"/>
                <w14:textFill>
                  <w14:solidFill>
                    <w14:schemeClr w14:val="tx1"/>
                  </w14:solidFill>
                </w14:textFill>
              </w:rPr>
              <w:t>含有或沾染毒性、感染性危险废物的废弃包装物、容器、过滤吸附介质</w:t>
            </w:r>
            <w:r>
              <w:rPr>
                <w:color w:val="000000" w:themeColor="text1"/>
                <w14:textFill>
                  <w14:solidFill>
                    <w14:schemeClr w14:val="tx1"/>
                  </w14:solidFill>
                </w14:textFill>
              </w:rPr>
              <w:t>”，</w:t>
            </w:r>
            <w:r>
              <w:rPr>
                <w:bCs w:val="0"/>
                <w:color w:val="000000" w:themeColor="text1"/>
                <w:spacing w:val="-10"/>
                <w14:textFill>
                  <w14:solidFill>
                    <w14:schemeClr w14:val="tx1"/>
                  </w14:solidFill>
                </w14:textFill>
              </w:rPr>
              <w:t>经统一收集后交由</w:t>
            </w:r>
            <w:r>
              <w:rPr>
                <w:color w:val="000000" w:themeColor="text1"/>
                <w14:textFill>
                  <w14:solidFill>
                    <w14:schemeClr w14:val="tx1"/>
                  </w14:solidFill>
                </w14:textFill>
              </w:rPr>
              <w:t>有危险废物资质单位处理。</w:t>
            </w:r>
          </w:p>
          <w:p>
            <w:pPr>
              <w:spacing w:line="360" w:lineRule="auto"/>
              <w:ind w:firstLine="480"/>
              <w:rPr>
                <w:b/>
                <w:bCs w:val="0"/>
                <w:color w:val="000000" w:themeColor="text1"/>
                <w14:textFill>
                  <w14:solidFill>
                    <w14:schemeClr w14:val="tx1"/>
                  </w14:solidFill>
                </w14:textFill>
              </w:rPr>
            </w:pPr>
            <w:r>
              <w:rPr>
                <w:b/>
                <w:bCs w:val="0"/>
                <w:color w:val="000000" w:themeColor="text1"/>
                <w14:textFill>
                  <w14:solidFill>
                    <w14:schemeClr w14:val="tx1"/>
                  </w14:solidFill>
                </w14:textFill>
              </w:rPr>
              <w:t>G.喷淋废水</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本项目拟采用“水喷淋塔+干式过滤器+二级活性炭吸附装置”处理有机废气、臭气浓度，建设单位拟每半年</w:t>
            </w:r>
            <w:r>
              <w:rPr>
                <w:rFonts w:hint="eastAsia"/>
                <w:color w:val="000000" w:themeColor="text1"/>
                <w14:textFill>
                  <w14:solidFill>
                    <w14:schemeClr w14:val="tx1"/>
                  </w14:solidFill>
                </w14:textFill>
              </w:rPr>
              <w:t>更</w:t>
            </w:r>
            <w:r>
              <w:rPr>
                <w:color w:val="000000" w:themeColor="text1"/>
                <w14:textFill>
                  <w14:solidFill>
                    <w14:schemeClr w14:val="tx1"/>
                  </w14:solidFill>
                </w14:textFill>
              </w:rPr>
              <w:t>换一次喷淋塔循环用水，则项目每年产生喷淋废水约为</w:t>
            </w:r>
            <w:r>
              <w:rPr>
                <w:rFonts w:hint="eastAsia"/>
                <w:color w:val="000000" w:themeColor="text1"/>
                <w:lang w:val="en-US" w:eastAsia="zh-CN"/>
                <w14:textFill>
                  <w14:solidFill>
                    <w14:schemeClr w14:val="tx1"/>
                  </w14:solidFill>
                </w14:textFill>
              </w:rPr>
              <w:t>7.5</w:t>
            </w:r>
            <w:r>
              <w:rPr>
                <w:color w:val="000000" w:themeColor="text1"/>
                <w14:textFill>
                  <w14:solidFill>
                    <w14:schemeClr w14:val="tx1"/>
                  </w14:solidFill>
                </w14:textFill>
              </w:rPr>
              <w:t>t/a，属于《国家危险废物名录》（2021年1月1日实施）“HW09油/水、烃/水混合物或乳化液-非特定行业-900-007-09-其他工艺过程中产生的油/水、烃/水混合物或乳化液”，</w:t>
            </w:r>
            <w:r>
              <w:rPr>
                <w:bCs w:val="0"/>
                <w:color w:val="000000" w:themeColor="text1"/>
                <w:spacing w:val="-10"/>
                <w14:textFill>
                  <w14:solidFill>
                    <w14:schemeClr w14:val="tx1"/>
                  </w14:solidFill>
                </w14:textFill>
              </w:rPr>
              <w:t>经统一收集后交由</w:t>
            </w:r>
            <w:r>
              <w:rPr>
                <w:color w:val="000000" w:themeColor="text1"/>
                <w14:textFill>
                  <w14:solidFill>
                    <w14:schemeClr w14:val="tx1"/>
                  </w14:solidFill>
                </w14:textFill>
              </w:rPr>
              <w:t>有危险废物资质单位处理。</w:t>
            </w:r>
          </w:p>
          <w:p>
            <w:pPr>
              <w:spacing w:line="360" w:lineRule="auto"/>
              <w:ind w:firstLine="480"/>
              <w:rPr>
                <w:b/>
                <w:bCs w:val="0"/>
                <w:color w:val="000000" w:themeColor="text1"/>
                <w14:textFill>
                  <w14:solidFill>
                    <w14:schemeClr w14:val="tx1"/>
                  </w14:solidFill>
                </w14:textFill>
              </w:rPr>
            </w:pPr>
            <w:r>
              <w:rPr>
                <w:b/>
                <w:bCs w:val="0"/>
                <w:color w:val="000000" w:themeColor="text1"/>
                <w14:textFill>
                  <w14:solidFill>
                    <w14:schemeClr w14:val="tx1"/>
                  </w14:solidFill>
                </w14:textFill>
              </w:rPr>
              <w:t>H.废滤芯</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干式过滤器的滤芯需要定期更换，拟3个月更换1次，产生量约0.01t/a，属于《国家危险废物名录》（2021年1月1日实施）“HW49其他废物-非特定行业-900-041-49-含有或沾染毒性、感染性危险废物的废弃包装物、容器、过滤吸附介质”，经统一收集后交由有危险废物资质单位处理。</w:t>
            </w:r>
          </w:p>
          <w:p>
            <w:pPr>
              <w:spacing w:line="360" w:lineRule="auto"/>
              <w:ind w:firstLine="480"/>
              <w:rPr>
                <w:b/>
                <w:color w:val="000000" w:themeColor="text1"/>
                <w14:textFill>
                  <w14:solidFill>
                    <w14:schemeClr w14:val="tx1"/>
                  </w14:solidFill>
                </w14:textFill>
              </w:rPr>
            </w:pPr>
            <w:r>
              <w:rPr>
                <w:b/>
                <w:color w:val="000000" w:themeColor="text1"/>
                <w14:textFill>
                  <w14:solidFill>
                    <w14:schemeClr w14:val="tx1"/>
                  </w14:solidFill>
                </w14:textFill>
              </w:rPr>
              <w:t>I.废活性炭</w:t>
            </w:r>
          </w:p>
          <w:p>
            <w:pPr>
              <w:pStyle w:val="37"/>
              <w:ind w:firstLine="420"/>
              <w:jc w:val="both"/>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项目生产车间产生的有机废气拟采用设计风量为</w:t>
            </w:r>
            <w:r>
              <w:rPr>
                <w:rFonts w:hint="eastAsia" w:hAnsi="Times New Roman"/>
                <w:color w:val="000000" w:themeColor="text1"/>
                <w:lang w:val="en-US" w:eastAsia="zh-CN"/>
                <w14:textFill>
                  <w14:solidFill>
                    <w14:schemeClr w14:val="tx1"/>
                  </w14:solidFill>
                </w14:textFill>
              </w:rPr>
              <w:t>300</w:t>
            </w:r>
            <w:r>
              <w:rPr>
                <w:rFonts w:hAnsi="Times New Roman"/>
                <w:color w:val="000000" w:themeColor="text1"/>
                <w14:textFill>
                  <w14:solidFill>
                    <w14:schemeClr w14:val="tx1"/>
                  </w14:solidFill>
                </w14:textFill>
              </w:rPr>
              <w:t>00m</w:t>
            </w:r>
            <w:r>
              <w:rPr>
                <w:rFonts w:hAnsi="Times New Roman"/>
                <w:color w:val="000000" w:themeColor="text1"/>
                <w:vertAlign w:val="superscript"/>
                <w14:textFill>
                  <w14:solidFill>
                    <w14:schemeClr w14:val="tx1"/>
                  </w14:solidFill>
                </w14:textFill>
              </w:rPr>
              <w:t>3</w:t>
            </w:r>
            <w:r>
              <w:rPr>
                <w:rFonts w:hAnsi="Times New Roman"/>
                <w:color w:val="000000" w:themeColor="text1"/>
                <w14:textFill>
                  <w14:solidFill>
                    <w14:schemeClr w14:val="tx1"/>
                  </w14:solidFill>
                </w14:textFill>
              </w:rPr>
              <w:t>/h的“水喷淋塔+干式过滤器+二级活性炭吸附装置”处理达标后由15米的排气筒（DA001）达标排放，则有机废气治理过程会产生废活性炭。由于活性炭填料量与设施风量、横截面面积等有关，活性炭吸附设备活性炭填料量计算公式为：M=LSρ。</w:t>
            </w:r>
          </w:p>
          <w:p>
            <w:pPr>
              <w:spacing w:line="360" w:lineRule="auto"/>
              <w:ind w:firstLine="480"/>
              <w:jc w:val="center"/>
              <w:rPr>
                <w:b/>
                <w:color w:val="000000" w:themeColor="text1"/>
                <w14:textFill>
                  <w14:solidFill>
                    <w14:schemeClr w14:val="tx1"/>
                  </w14:solidFill>
                </w14:textFill>
              </w:rPr>
            </w:pPr>
            <w:r>
              <w:rPr>
                <w:b/>
                <w:color w:val="000000" w:themeColor="text1"/>
                <w14:textFill>
                  <w14:solidFill>
                    <w14:schemeClr w14:val="tx1"/>
                  </w14:solidFill>
                </w14:textFill>
              </w:rPr>
              <w:t>表4-21  本项目有机废气处理设施主要技术参数</w:t>
            </w:r>
          </w:p>
          <w:tbl>
            <w:tblPr>
              <w:tblStyle w:val="30"/>
              <w:tblW w:w="9828"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4"/>
              <w:gridCol w:w="2220"/>
              <w:gridCol w:w="534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b/>
                      <w:bCs w:val="0"/>
                      <w:color w:val="000000" w:themeColor="text1"/>
                      <w14:textFill>
                        <w14:solidFill>
                          <w14:schemeClr w14:val="tx1"/>
                        </w14:solidFill>
                      </w14:textFill>
                    </w:rPr>
                    <w:t>参数</w:t>
                  </w:r>
                </w:p>
              </w:tc>
              <w:tc>
                <w:tcPr>
                  <w:tcW w:w="2220"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b/>
                      <w:bCs w:val="0"/>
                      <w:color w:val="000000" w:themeColor="text1"/>
                      <w14:textFill>
                        <w14:solidFill>
                          <w14:schemeClr w14:val="tx1"/>
                        </w14:solidFill>
                      </w14:textFill>
                    </w:rPr>
                    <w:t>排气筒（DA001）对应活性炭吸附设施1</w:t>
                  </w:r>
                  <w:r>
                    <w:rPr>
                      <w:rFonts w:cs="Times New Roman"/>
                      <w:b/>
                      <w:color w:val="000000" w:themeColor="text1"/>
                      <w14:textFill>
                        <w14:solidFill>
                          <w14:schemeClr w14:val="tx1"/>
                        </w14:solidFill>
                      </w14:textFill>
                    </w:rPr>
                    <w:t>#</w:t>
                  </w:r>
                </w:p>
              </w:tc>
              <w:tc>
                <w:tcPr>
                  <w:tcW w:w="534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b/>
                      <w:bCs w:val="0"/>
                      <w:color w:val="000000" w:themeColor="text1"/>
                      <w14:textFill>
                        <w14:solidFill>
                          <w14:schemeClr w14:val="tx1"/>
                        </w14:solidFill>
                      </w14:textFill>
                    </w:rPr>
                    <w:t>备注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炭层废气流向</w:t>
                  </w:r>
                </w:p>
              </w:tc>
              <w:tc>
                <w:tcPr>
                  <w:tcW w:w="2220"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纵向</w:t>
                  </w:r>
                </w:p>
              </w:tc>
              <w:tc>
                <w:tcPr>
                  <w:tcW w:w="534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废气进入活性炭箱，气流由炭箱入口进入后，会分流通过逐个单一炭层后由出口排出（箱内结构详见下图）</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设计总风量</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r>
                    <w:rPr>
                      <w:rFonts w:cs="Times New Roman"/>
                      <w:color w:val="000000" w:themeColor="text1"/>
                      <w14:textFill>
                        <w14:solidFill>
                          <w14:schemeClr w14:val="tx1"/>
                        </w14:solidFill>
                      </w14:textFill>
                    </w:rPr>
                    <w:t>000m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/h</w:t>
                  </w:r>
                </w:p>
              </w:tc>
              <w:tc>
                <w:tcPr>
                  <w:tcW w:w="534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采用变频风机</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单级活性炭箱设计炭层层数</w:t>
                  </w:r>
                </w:p>
              </w:tc>
              <w:tc>
                <w:tcPr>
                  <w:tcW w:w="2220" w:type="dxa"/>
                  <w:vAlign w:val="center"/>
                </w:tcPr>
                <w:p>
                  <w:pPr>
                    <w:pStyle w:val="45"/>
                    <w:ind w:firstLine="0" w:firstLineChars="0"/>
                    <w:jc w:val="center"/>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8</w:t>
                  </w:r>
                  <w:r>
                    <w:rPr>
                      <w:rFonts w:cs="Times New Roman"/>
                      <w:color w:val="000000" w:themeColor="text1"/>
                      <w14:textFill>
                        <w14:solidFill>
                          <w14:schemeClr w14:val="tx1"/>
                        </w14:solidFill>
                      </w14:textFill>
                    </w:rPr>
                    <w:t>层</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单炭层过滤风量</w:t>
                  </w:r>
                </w:p>
              </w:tc>
              <w:tc>
                <w:tcPr>
                  <w:tcW w:w="2220" w:type="dxa"/>
                  <w:vAlign w:val="center"/>
                </w:tcPr>
                <w:p>
                  <w:pPr>
                    <w:pStyle w:val="45"/>
                    <w:ind w:firstLine="0" w:firstLineChars="0"/>
                    <w:jc w:val="center"/>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w:t>
                  </w:r>
                  <w:r>
                    <w:rPr>
                      <w:rFonts w:hint="eastAsia" w:cs="Times New Roman"/>
                      <w:color w:val="000000" w:themeColor="text1"/>
                      <w:lang w:val="en-US" w:eastAsia="zh-CN"/>
                      <w14:textFill>
                        <w14:solidFill>
                          <w14:schemeClr w14:val="tx1"/>
                        </w14:solidFill>
                      </w14:textFill>
                    </w:rPr>
                    <w:t>750</w:t>
                  </w:r>
                  <w:r>
                    <w:rPr>
                      <w:rFonts w:cs="Times New Roman"/>
                      <w:color w:val="000000" w:themeColor="text1"/>
                      <w14:textFill>
                        <w14:solidFill>
                          <w14:schemeClr w14:val="tx1"/>
                        </w14:solidFill>
                      </w14:textFill>
                    </w:rPr>
                    <w:t xml:space="preserve"> 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/h</w:t>
                  </w:r>
                </w:p>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1.04</w:t>
                  </w:r>
                  <w:r>
                    <w:rPr>
                      <w:rFonts w:cs="Times New Roman"/>
                      <w:color w:val="000000" w:themeColor="text1"/>
                      <w14:textFill>
                        <w14:solidFill>
                          <w14:schemeClr w14:val="tx1"/>
                        </w14:solidFill>
                      </w14:textFill>
                    </w:rPr>
                    <w:t>m</w:t>
                  </w:r>
                  <w:r>
                    <w:rPr>
                      <w:rFonts w:cs="Times New Roman"/>
                      <w:color w:val="000000" w:themeColor="text1"/>
                      <w:vertAlign w:val="superscript"/>
                      <w14:textFill>
                        <w14:solidFill>
                          <w14:schemeClr w14:val="tx1"/>
                        </w14:solidFill>
                      </w14:textFill>
                    </w:rPr>
                    <w:t>3</w:t>
                  </w:r>
                  <w:r>
                    <w:rPr>
                      <w:rFonts w:cs="Times New Roman"/>
                      <w:color w:val="000000" w:themeColor="text1"/>
                      <w14:textFill>
                        <w14:solidFill>
                          <w14:schemeClr w14:val="tx1"/>
                        </w14:solidFill>
                      </w14:textFill>
                    </w:rPr>
                    <w:t>/s）</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活性炭箱体设计采用横向多层设计，多层设计主要为了平衡风压，减少单层气体流量，</w:t>
                  </w:r>
                  <w:r>
                    <w:rPr>
                      <w:rFonts w:cs="Times New Roman"/>
                      <w:b/>
                      <w:bCs w:val="0"/>
                      <w:color w:val="000000" w:themeColor="text1"/>
                      <w14:textFill>
                        <w14:solidFill>
                          <w14:schemeClr w14:val="tx1"/>
                        </w14:solidFill>
                      </w14:textFill>
                    </w:rPr>
                    <w:t>单炭层过滤风量=总风量/炭箱炭层数量</w:t>
                  </w:r>
                  <w:r>
                    <w:rPr>
                      <w:rFonts w:cs="Times New Roman"/>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设计过滤风速</w:t>
                  </w:r>
                </w:p>
              </w:tc>
              <w:tc>
                <w:tcPr>
                  <w:tcW w:w="2220"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1.20 m/s</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Style w:val="111"/>
                      <w:b w:val="0"/>
                      <w:bCs/>
                      <w:color w:val="000000" w:themeColor="text1"/>
                      <w14:textFill>
                        <w14:solidFill>
                          <w14:schemeClr w14:val="tx1"/>
                        </w14:solidFill>
                      </w14:textFill>
                    </w:rPr>
                    <w:t>根据《吸附法工业有机废气治理工程技术规范》（</w:t>
                  </w:r>
                  <w:r>
                    <w:rPr>
                      <w:rStyle w:val="112"/>
                      <w:color w:val="000000" w:themeColor="text1"/>
                      <w14:textFill>
                        <w14:solidFill>
                          <w14:schemeClr w14:val="tx1"/>
                        </w14:solidFill>
                      </w14:textFill>
                    </w:rPr>
                    <w:t>HJ2026-2013)</w:t>
                  </w:r>
                  <w:r>
                    <w:rPr>
                      <w:rStyle w:val="111"/>
                      <w:b w:val="0"/>
                      <w:bCs/>
                      <w:color w:val="000000" w:themeColor="text1"/>
                      <w14:textFill>
                        <w14:solidFill>
                          <w14:schemeClr w14:val="tx1"/>
                        </w14:solidFill>
                      </w14:textFill>
                    </w:rPr>
                    <w:t>中使用蜂窝活性炭风速小于</w:t>
                  </w:r>
                  <w:r>
                    <w:rPr>
                      <w:rStyle w:val="112"/>
                      <w:color w:val="000000" w:themeColor="text1"/>
                      <w14:textFill>
                        <w14:solidFill>
                          <w14:schemeClr w14:val="tx1"/>
                        </w14:solidFill>
                      </w14:textFill>
                    </w:rPr>
                    <w:t>1.2m/s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单炭层设计横截面积</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0.</w:t>
                  </w:r>
                  <w:r>
                    <w:rPr>
                      <w:rFonts w:hint="eastAsia" w:cs="Times New Roman"/>
                      <w:color w:val="000000" w:themeColor="text1"/>
                      <w:lang w:val="en-US" w:eastAsia="zh-CN"/>
                      <w14:textFill>
                        <w14:solidFill>
                          <w14:schemeClr w14:val="tx1"/>
                        </w14:solidFill>
                      </w14:textFill>
                    </w:rPr>
                    <w:t>87</w:t>
                  </w:r>
                  <w:r>
                    <w:rPr>
                      <w:rFonts w:cs="Times New Roman"/>
                      <w:color w:val="000000" w:themeColor="text1"/>
                      <w14:textFill>
                        <w14:solidFill>
                          <w14:schemeClr w14:val="tx1"/>
                        </w14:solidFill>
                      </w14:textFill>
                    </w:rPr>
                    <w:t>m</w:t>
                  </w:r>
                  <w:r>
                    <w:rPr>
                      <w:rFonts w:cs="Times New Roman"/>
                      <w:color w:val="000000" w:themeColor="text1"/>
                      <w:vertAlign w:val="superscript"/>
                      <w14:textFill>
                        <w14:solidFill>
                          <w14:schemeClr w14:val="tx1"/>
                        </w14:solidFill>
                      </w14:textFill>
                    </w:rPr>
                    <w:t>2</w:t>
                  </w:r>
                </w:p>
              </w:tc>
              <w:tc>
                <w:tcPr>
                  <w:tcW w:w="534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单级活性炭装置设计设置多层炭层，箱内气流只经过1层炭层，</w:t>
                  </w:r>
                  <w:r>
                    <w:rPr>
                      <w:rFonts w:cs="Times New Roman"/>
                      <w:b/>
                      <w:bCs w:val="0"/>
                      <w:color w:val="000000" w:themeColor="text1"/>
                      <w14:textFill>
                        <w14:solidFill>
                          <w14:schemeClr w14:val="tx1"/>
                        </w14:solidFill>
                      </w14:textFill>
                    </w:rPr>
                    <w:t>横截面积=单炭层过滤风量/设计过滤风速</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活性炭形态</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蜂窝状</w:t>
                  </w:r>
                </w:p>
              </w:tc>
              <w:tc>
                <w:tcPr>
                  <w:tcW w:w="534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设计活性炭停留时间</w:t>
                  </w:r>
                </w:p>
              </w:tc>
              <w:tc>
                <w:tcPr>
                  <w:tcW w:w="2220"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0.50s</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根据规范要求，</w:t>
                  </w:r>
                  <w:r>
                    <w:rPr>
                      <w:rStyle w:val="111"/>
                      <w:b w:val="0"/>
                      <w:bCs/>
                      <w:color w:val="000000" w:themeColor="text1"/>
                      <w14:textFill>
                        <w14:solidFill>
                          <w14:schemeClr w14:val="tx1"/>
                        </w14:solidFill>
                      </w14:textFill>
                    </w:rPr>
                    <w:t>污染物与活性炭接触停留时间大于0</w:t>
                  </w:r>
                  <w:r>
                    <w:rPr>
                      <w:rStyle w:val="111"/>
                      <w:bCs/>
                      <w:color w:val="000000" w:themeColor="text1"/>
                      <w14:textFill>
                        <w14:solidFill>
                          <w14:schemeClr w14:val="tx1"/>
                        </w14:solidFill>
                      </w14:textFill>
                    </w:rPr>
                    <w:t>.5</w:t>
                  </w:r>
                  <w:r>
                    <w:rPr>
                      <w:rStyle w:val="111"/>
                      <w:b w:val="0"/>
                      <w:bCs/>
                      <w:color w:val="000000" w:themeColor="text1"/>
                      <w14:textFill>
                        <w14:solidFill>
                          <w14:schemeClr w14:val="tx1"/>
                        </w14:solidFill>
                      </w14:textFill>
                    </w:rPr>
                    <w:t xml:space="preserve"> 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设计单炭层厚度</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0.3m</w:t>
                  </w:r>
                </w:p>
              </w:tc>
              <w:tc>
                <w:tcPr>
                  <w:tcW w:w="534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color w:val="000000" w:themeColor="text1"/>
                      <w14:textFill>
                        <w14:solidFill>
                          <w14:schemeClr w14:val="tx1"/>
                        </w14:solidFill>
                      </w14:textFill>
                    </w:rPr>
                    <w:t>本项目设计为两级活性炭箱，废气在每个炭箱会停留1个炭层，共停留2个炭层厚度，因此</w:t>
                  </w:r>
                  <w:r>
                    <w:rPr>
                      <w:rFonts w:cs="Times New Roman"/>
                      <w:b/>
                      <w:bCs w:val="0"/>
                      <w:color w:val="000000" w:themeColor="text1"/>
                      <w14:textFill>
                        <w14:solidFill>
                          <w14:schemeClr w14:val="tx1"/>
                        </w14:solidFill>
                      </w14:textFill>
                    </w:rPr>
                    <w:t>活性炭设计单炭层厚度=设计过滤风速×设计活性炭停留时间/2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两级活性炭炭层实际总体积</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hint="eastAsia" w:cs="Times New Roman"/>
                      <w:color w:val="000000" w:themeColor="text1"/>
                      <w:lang w:val="en-US" w:eastAsia="zh-CN"/>
                      <w14:textFill>
                        <w14:solidFill>
                          <w14:schemeClr w14:val="tx1"/>
                        </w14:solidFill>
                      </w14:textFill>
                    </w:rPr>
                    <w:t>4.176</w:t>
                  </w:r>
                  <w:r>
                    <w:rPr>
                      <w:rFonts w:cs="Times New Roman"/>
                      <w:color w:val="000000" w:themeColor="text1"/>
                      <w14:textFill>
                        <w14:solidFill>
                          <w14:schemeClr w14:val="tx1"/>
                        </w14:solidFill>
                      </w14:textFill>
                    </w:rPr>
                    <w:t>m</w:t>
                  </w:r>
                  <w:r>
                    <w:rPr>
                      <w:rFonts w:cs="Times New Roman"/>
                      <w:color w:val="000000" w:themeColor="text1"/>
                      <w:vertAlign w:val="superscript"/>
                      <w14:textFill>
                        <w14:solidFill>
                          <w14:schemeClr w14:val="tx1"/>
                        </w14:solidFill>
                      </w14:textFill>
                    </w:rPr>
                    <w:t>3</w:t>
                  </w:r>
                </w:p>
              </w:tc>
              <w:tc>
                <w:tcPr>
                  <w:tcW w:w="534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b/>
                      <w:bCs w:val="0"/>
                      <w:color w:val="000000" w:themeColor="text1"/>
                      <w14:textFill>
                        <w14:solidFill>
                          <w14:schemeClr w14:val="tx1"/>
                        </w14:solidFill>
                      </w14:textFill>
                    </w:rPr>
                    <w:t>总体积=设计单炭层厚度×单炭层设计横截面积×炭层数×2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设计堆积密度</w:t>
                  </w:r>
                </w:p>
              </w:tc>
              <w:tc>
                <w:tcPr>
                  <w:tcW w:w="2220" w:type="dxa"/>
                  <w:vAlign w:val="center"/>
                </w:tcPr>
                <w:p>
                  <w:pPr>
                    <w:pStyle w:val="39"/>
                    <w:jc w:val="center"/>
                    <w:rPr>
                      <w:color w:val="000000" w:themeColor="text1"/>
                      <w14:textFill>
                        <w14:solidFill>
                          <w14:schemeClr w14:val="tx1"/>
                        </w14:solidFill>
                      </w14:textFill>
                    </w:rPr>
                  </w:pPr>
                  <w:r>
                    <w:rPr>
                      <w:color w:val="000000" w:themeColor="text1"/>
                      <w14:textFill>
                        <w14:solidFill>
                          <w14:schemeClr w14:val="tx1"/>
                        </w14:solidFill>
                      </w14:textFill>
                    </w:rPr>
                    <w:t>0.4g/cm</w:t>
                  </w:r>
                  <w:r>
                    <w:rPr>
                      <w:color w:val="000000" w:themeColor="text1"/>
                      <w:vertAlign w:val="superscript"/>
                      <w14:textFill>
                        <w14:solidFill>
                          <w14:schemeClr w14:val="tx1"/>
                        </w14:solidFill>
                      </w14:textFill>
                    </w:rPr>
                    <w:t>3</w:t>
                  </w:r>
                </w:p>
              </w:tc>
              <w:tc>
                <w:tcPr>
                  <w:tcW w:w="5344" w:type="dxa"/>
                  <w:vAlign w:val="center"/>
                </w:tcPr>
                <w:p>
                  <w:pPr>
                    <w:pStyle w:val="45"/>
                    <w:ind w:firstLine="0" w:firstLineChars="0"/>
                    <w:jc w:val="center"/>
                    <w:rPr>
                      <w:rStyle w:val="111"/>
                      <w:b w:val="0"/>
                      <w:bCs/>
                      <w:color w:val="000000" w:themeColor="text1"/>
                      <w14:textFill>
                        <w14:solidFill>
                          <w14:schemeClr w14:val="tx1"/>
                        </w14:solidFill>
                      </w14:textFill>
                    </w:rPr>
                  </w:pPr>
                  <w:r>
                    <w:rPr>
                      <w:rStyle w:val="111"/>
                      <w:b w:val="0"/>
                      <w:bCs/>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两级活性炭箱体单次填装量</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hint="eastAsia" w:cs="Times New Roman"/>
                      <w:color w:val="000000" w:themeColor="text1"/>
                      <w14:textFill>
                        <w14:solidFill>
                          <w14:schemeClr w14:val="tx1"/>
                        </w14:solidFill>
                      </w14:textFill>
                    </w:rPr>
                    <w:t>1.</w:t>
                  </w:r>
                  <w:r>
                    <w:rPr>
                      <w:rFonts w:hint="eastAsia" w:cs="Times New Roman"/>
                      <w:color w:val="000000" w:themeColor="text1"/>
                      <w:lang w:val="en-US" w:eastAsia="zh-CN"/>
                      <w14:textFill>
                        <w14:solidFill>
                          <w14:schemeClr w14:val="tx1"/>
                        </w14:solidFill>
                      </w14:textFill>
                    </w:rPr>
                    <w:t>6704</w:t>
                  </w:r>
                  <w:r>
                    <w:rPr>
                      <w:rFonts w:cs="Times New Roman"/>
                      <w:color w:val="000000" w:themeColor="text1"/>
                      <w14:textFill>
                        <w14:solidFill>
                          <w14:schemeClr w14:val="tx1"/>
                        </w14:solidFill>
                      </w14:textFill>
                    </w:rPr>
                    <w:t>t</w:t>
                  </w:r>
                </w:p>
              </w:tc>
              <w:tc>
                <w:tcPr>
                  <w:tcW w:w="5344" w:type="dxa"/>
                  <w:vAlign w:val="center"/>
                </w:tcPr>
                <w:p>
                  <w:pPr>
                    <w:pStyle w:val="45"/>
                    <w:ind w:firstLine="0" w:firstLineChars="0"/>
                    <w:jc w:val="center"/>
                    <w:rPr>
                      <w:rFonts w:cs="Times New Roman"/>
                      <w:b/>
                      <w:bCs w:val="0"/>
                      <w:color w:val="000000" w:themeColor="text1"/>
                      <w:highlight w:val="yellow"/>
                      <w14:textFill>
                        <w14:solidFill>
                          <w14:schemeClr w14:val="tx1"/>
                        </w14:solidFill>
                      </w14:textFill>
                    </w:rPr>
                  </w:pPr>
                  <w:r>
                    <w:rPr>
                      <w:rFonts w:cs="Times New Roman"/>
                      <w:b/>
                      <w:bCs w:val="0"/>
                      <w:color w:val="000000" w:themeColor="text1"/>
                      <w14:textFill>
                        <w14:solidFill>
                          <w14:schemeClr w14:val="tx1"/>
                        </w14:solidFill>
                      </w14:textFill>
                    </w:rPr>
                    <w:t>填装量=两级活性炭炭层实际总体积×堆积密度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每年更换次数</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4次</w:t>
                  </w:r>
                </w:p>
              </w:tc>
              <w:tc>
                <w:tcPr>
                  <w:tcW w:w="534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cs="Times New Roman"/>
                      <w:color w:val="000000" w:themeColor="text1"/>
                      <w14:textFill>
                        <w14:solidFill>
                          <w14:schemeClr w14:val="tx1"/>
                        </w14:solidFill>
                      </w14:textFill>
                    </w:rPr>
                    <w:t>活性炭更换量</w:t>
                  </w:r>
                </w:p>
              </w:tc>
              <w:tc>
                <w:tcPr>
                  <w:tcW w:w="2220" w:type="dxa"/>
                  <w:vAlign w:val="center"/>
                </w:tcPr>
                <w:p>
                  <w:pPr>
                    <w:pStyle w:val="45"/>
                    <w:ind w:firstLine="0" w:firstLineChars="0"/>
                    <w:jc w:val="center"/>
                    <w:rPr>
                      <w:rFonts w:cs="Times New Roman"/>
                      <w:color w:val="000000" w:themeColor="text1"/>
                      <w:highlight w:val="yellow"/>
                      <w14:textFill>
                        <w14:solidFill>
                          <w14:schemeClr w14:val="tx1"/>
                        </w14:solidFill>
                      </w14:textFill>
                    </w:rPr>
                  </w:pPr>
                  <w:r>
                    <w:rPr>
                      <w:rFonts w:hint="eastAsia" w:cs="Times New Roman"/>
                      <w:color w:val="000000" w:themeColor="text1"/>
                      <w14:textFill>
                        <w14:solidFill>
                          <w14:schemeClr w14:val="tx1"/>
                        </w14:solidFill>
                      </w14:textFill>
                    </w:rPr>
                    <w:t>6</w:t>
                  </w:r>
                  <w:r>
                    <w:rPr>
                      <w:rFonts w:hint="eastAsia" w:cs="Times New Roman"/>
                      <w:color w:val="000000" w:themeColor="text1"/>
                      <w:lang w:val="en-US" w:eastAsia="zh-CN"/>
                      <w14:textFill>
                        <w14:solidFill>
                          <w14:schemeClr w14:val="tx1"/>
                        </w14:solidFill>
                      </w14:textFill>
                    </w:rPr>
                    <w:t>.6816</w:t>
                  </w:r>
                  <w:r>
                    <w:rPr>
                      <w:rFonts w:cs="Times New Roman"/>
                      <w:color w:val="000000" w:themeColor="text1"/>
                      <w14:textFill>
                        <w14:solidFill>
                          <w14:schemeClr w14:val="tx1"/>
                        </w14:solidFill>
                      </w14:textFill>
                    </w:rPr>
                    <w:t>t/a</w:t>
                  </w:r>
                </w:p>
              </w:tc>
              <w:tc>
                <w:tcPr>
                  <w:tcW w:w="5344" w:type="dxa"/>
                  <w:vAlign w:val="center"/>
                </w:tcPr>
                <w:p>
                  <w:pPr>
                    <w:pStyle w:val="45"/>
                    <w:ind w:firstLine="0" w:firstLineChars="0"/>
                    <w:jc w:val="center"/>
                    <w:rPr>
                      <w:rFonts w:cs="Times New Roman"/>
                      <w:b/>
                      <w:bCs w:val="0"/>
                      <w:color w:val="000000" w:themeColor="text1"/>
                      <w:highlight w:val="yellow"/>
                      <w14:textFill>
                        <w14:solidFill>
                          <w14:schemeClr w14:val="tx1"/>
                        </w14:solidFill>
                      </w14:textFill>
                    </w:rPr>
                  </w:pPr>
                  <w:r>
                    <w:rPr>
                      <w:rFonts w:cs="Times New Roman"/>
                      <w:b/>
                      <w:bCs w:val="0"/>
                      <w:color w:val="000000" w:themeColor="text1"/>
                      <w14:textFill>
                        <w14:solidFill>
                          <w14:schemeClr w14:val="tx1"/>
                        </w14:solidFill>
                      </w14:textFill>
                    </w:rPr>
                    <w:t>更换量=填装量×更换次数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吸附比例</w:t>
                  </w:r>
                </w:p>
              </w:tc>
              <w:tc>
                <w:tcPr>
                  <w:tcW w:w="2220"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color w:val="000000" w:themeColor="text1"/>
                      <w14:textFill>
                        <w14:solidFill>
                          <w14:schemeClr w14:val="tx1"/>
                        </w14:solidFill>
                      </w14:textFill>
                    </w:rPr>
                    <w:t>20%</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根据《关于指导大气污染治理项目入库工作的通知》（粤环办〔2021〕92号），蜂窝状活性炭吸附比例取值20%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Style w:val="113"/>
                      <w:rFonts w:hint="default" w:ascii="Times New Roman" w:hAnsi="Times New Roman" w:cs="Times New Roman"/>
                      <w:b w:val="0"/>
                      <w:bCs/>
                      <w:color w:val="000000" w:themeColor="text1"/>
                      <w14:textFill>
                        <w14:solidFill>
                          <w14:schemeClr w14:val="tx1"/>
                        </w14:solidFill>
                      </w14:textFill>
                    </w:rPr>
                    <w:t>理论</w:t>
                  </w:r>
                  <w:r>
                    <w:rPr>
                      <w:rStyle w:val="111"/>
                      <w:b w:val="0"/>
                      <w:bCs/>
                      <w:color w:val="000000" w:themeColor="text1"/>
                      <w14:textFill>
                        <w14:solidFill>
                          <w14:schemeClr w14:val="tx1"/>
                        </w14:solidFill>
                      </w14:textFill>
                    </w:rPr>
                    <w:t>VOCs</w:t>
                  </w:r>
                  <w:r>
                    <w:rPr>
                      <w:rStyle w:val="113"/>
                      <w:rFonts w:hint="default" w:ascii="Times New Roman" w:hAnsi="Times New Roman" w:cs="Times New Roman"/>
                      <w:b w:val="0"/>
                      <w:bCs/>
                      <w:color w:val="000000" w:themeColor="text1"/>
                      <w14:textFill>
                        <w14:solidFill>
                          <w14:schemeClr w14:val="tx1"/>
                        </w14:solidFill>
                      </w14:textFill>
                    </w:rPr>
                    <w:t>削减量</w:t>
                  </w:r>
                </w:p>
              </w:tc>
              <w:tc>
                <w:tcPr>
                  <w:tcW w:w="2220"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1.</w:t>
                  </w:r>
                  <w:r>
                    <w:rPr>
                      <w:rFonts w:hint="eastAsia" w:cs="Times New Roman"/>
                      <w:color w:val="000000" w:themeColor="text1"/>
                      <w:lang w:val="en-US" w:eastAsia="zh-CN"/>
                      <w14:textFill>
                        <w14:solidFill>
                          <w14:schemeClr w14:val="tx1"/>
                        </w14:solidFill>
                      </w14:textFill>
                    </w:rPr>
                    <w:t>336</w:t>
                  </w:r>
                  <w:r>
                    <w:rPr>
                      <w:rFonts w:cs="Times New Roman"/>
                      <w:color w:val="000000" w:themeColor="text1"/>
                      <w14:textFill>
                        <w14:solidFill>
                          <w14:schemeClr w14:val="tx1"/>
                        </w14:solidFill>
                      </w14:textFill>
                    </w:rPr>
                    <w:t>t/a</w:t>
                  </w:r>
                </w:p>
              </w:tc>
              <w:tc>
                <w:tcPr>
                  <w:tcW w:w="534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Style w:val="113"/>
                      <w:rFonts w:hint="default" w:ascii="Times New Roman" w:hAnsi="Times New Roman" w:cs="Times New Roman"/>
                      <w:bCs w:val="0"/>
                      <w:color w:val="000000" w:themeColor="text1"/>
                      <w14:textFill>
                        <w14:solidFill>
                          <w14:schemeClr w14:val="tx1"/>
                        </w14:solidFill>
                      </w14:textFill>
                    </w:rPr>
                    <w:t>理论削减量=</w:t>
                  </w:r>
                  <w:r>
                    <w:rPr>
                      <w:rFonts w:cs="Times New Roman"/>
                      <w:b/>
                      <w:bCs w:val="0"/>
                      <w:color w:val="000000" w:themeColor="text1"/>
                      <w14:textFill>
                        <w14:solidFill>
                          <w14:schemeClr w14:val="tx1"/>
                        </w14:solidFill>
                      </w14:textFill>
                    </w:rPr>
                    <w:t>活性炭更换量×吸附比例</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Style w:val="111"/>
                      <w:b w:val="0"/>
                      <w:bCs/>
                      <w:color w:val="000000" w:themeColor="text1"/>
                      <w14:textFill>
                        <w14:solidFill>
                          <w14:schemeClr w14:val="tx1"/>
                        </w14:solidFill>
                      </w14:textFill>
                    </w:rPr>
                    <w:t>项目所需VOCs</w:t>
                  </w:r>
                  <w:r>
                    <w:rPr>
                      <w:rStyle w:val="113"/>
                      <w:rFonts w:hint="default" w:ascii="Times New Roman" w:hAnsi="Times New Roman" w:cs="Times New Roman"/>
                      <w:b w:val="0"/>
                      <w:bCs/>
                      <w:color w:val="000000" w:themeColor="text1"/>
                      <w14:textFill>
                        <w14:solidFill>
                          <w14:schemeClr w14:val="tx1"/>
                        </w14:solidFill>
                      </w14:textFill>
                    </w:rPr>
                    <w:t>削减量</w:t>
                  </w:r>
                </w:p>
              </w:tc>
              <w:tc>
                <w:tcPr>
                  <w:tcW w:w="2220"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color w:val="000000" w:themeColor="text1"/>
                      <w14:textFill>
                        <w14:solidFill>
                          <w14:schemeClr w14:val="tx1"/>
                        </w14:solidFill>
                      </w14:textFill>
                    </w:rPr>
                    <w:t>0.</w:t>
                  </w:r>
                  <w:r>
                    <w:rPr>
                      <w:rFonts w:hint="eastAsia" w:cs="Times New Roman"/>
                      <w:color w:val="000000" w:themeColor="text1"/>
                      <w14:textFill>
                        <w14:solidFill>
                          <w14:schemeClr w14:val="tx1"/>
                        </w14:solidFill>
                      </w14:textFill>
                    </w:rPr>
                    <w:t>1</w:t>
                  </w:r>
                  <w:r>
                    <w:rPr>
                      <w:rFonts w:hint="eastAsia" w:cs="Times New Roman"/>
                      <w:color w:val="000000" w:themeColor="text1"/>
                      <w:lang w:val="en-US" w:eastAsia="zh-CN"/>
                      <w14:textFill>
                        <w14:solidFill>
                          <w14:schemeClr w14:val="tx1"/>
                        </w14:solidFill>
                      </w14:textFill>
                    </w:rPr>
                    <w:t>31</w:t>
                  </w:r>
                  <w:r>
                    <w:rPr>
                      <w:rFonts w:cs="Times New Roman"/>
                      <w:color w:val="000000" w:themeColor="text1"/>
                      <w14:textFill>
                        <w14:solidFill>
                          <w14:schemeClr w14:val="tx1"/>
                        </w14:solidFill>
                      </w14:textFill>
                    </w:rPr>
                    <w:t xml:space="preserve">t/a </w:t>
                  </w:r>
                </w:p>
              </w:tc>
              <w:tc>
                <w:tcPr>
                  <w:tcW w:w="534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设计</w:t>
                  </w:r>
                  <w:r>
                    <w:rPr>
                      <w:rStyle w:val="113"/>
                      <w:rFonts w:hint="default" w:ascii="Times New Roman" w:hAnsi="Times New Roman" w:cs="Times New Roman"/>
                      <w:b w:val="0"/>
                      <w:bCs/>
                      <w:color w:val="000000" w:themeColor="text1"/>
                      <w14:textFill>
                        <w14:solidFill>
                          <w14:schemeClr w14:val="tx1"/>
                        </w14:solidFill>
                      </w14:textFill>
                    </w:rPr>
                    <w:t>理论</w:t>
                  </w:r>
                  <w:r>
                    <w:rPr>
                      <w:rStyle w:val="111"/>
                      <w:b w:val="0"/>
                      <w:bCs/>
                      <w:color w:val="000000" w:themeColor="text1"/>
                      <w14:textFill>
                        <w14:solidFill>
                          <w14:schemeClr w14:val="tx1"/>
                        </w14:solidFill>
                      </w14:textFill>
                    </w:rPr>
                    <w:t>VOCs</w:t>
                  </w:r>
                  <w:r>
                    <w:rPr>
                      <w:rStyle w:val="113"/>
                      <w:rFonts w:hint="default" w:ascii="Times New Roman" w:hAnsi="Times New Roman" w:cs="Times New Roman"/>
                      <w:b w:val="0"/>
                      <w:bCs/>
                      <w:color w:val="000000" w:themeColor="text1"/>
                      <w14:textFill>
                        <w14:solidFill>
                          <w14:schemeClr w14:val="tx1"/>
                        </w14:solidFill>
                      </w14:textFill>
                    </w:rPr>
                    <w:t>削减量＞</w:t>
                  </w:r>
                  <w:r>
                    <w:rPr>
                      <w:rStyle w:val="111"/>
                      <w:b w:val="0"/>
                      <w:bCs/>
                      <w:color w:val="000000" w:themeColor="text1"/>
                      <w14:textFill>
                        <w14:solidFill>
                          <w14:schemeClr w14:val="tx1"/>
                        </w14:solidFill>
                      </w14:textFill>
                    </w:rPr>
                    <w:t>项目VOCs</w:t>
                  </w:r>
                  <w:r>
                    <w:rPr>
                      <w:rStyle w:val="113"/>
                      <w:rFonts w:hint="default" w:ascii="Times New Roman" w:hAnsi="Times New Roman" w:cs="Times New Roman"/>
                      <w:b w:val="0"/>
                      <w:bCs/>
                      <w:color w:val="000000" w:themeColor="text1"/>
                      <w14:textFill>
                        <w14:solidFill>
                          <w14:schemeClr w14:val="tx1"/>
                        </w14:solidFill>
                      </w14:textFill>
                    </w:rPr>
                    <w:t>削减量，既满足要求</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4" w:type="dxa"/>
                  <w:vAlign w:val="center"/>
                </w:tcPr>
                <w:p>
                  <w:pPr>
                    <w:pStyle w:val="45"/>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废活性炭产生量</w:t>
                  </w:r>
                </w:p>
              </w:tc>
              <w:tc>
                <w:tcPr>
                  <w:tcW w:w="2220"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hint="eastAsia" w:cs="Times New Roman"/>
                      <w:b/>
                      <w:bCs w:val="0"/>
                      <w:color w:val="000000" w:themeColor="text1"/>
                      <w:lang w:eastAsia="zh-CN"/>
                      <w14:textFill>
                        <w14:solidFill>
                          <w14:schemeClr w14:val="tx1"/>
                        </w14:solidFill>
                      </w14:textFill>
                    </w:rPr>
                    <w:t>6.8126</w:t>
                  </w:r>
                  <w:r>
                    <w:rPr>
                      <w:rFonts w:cs="Times New Roman"/>
                      <w:color w:val="000000" w:themeColor="text1"/>
                      <w14:textFill>
                        <w14:solidFill>
                          <w14:schemeClr w14:val="tx1"/>
                        </w14:solidFill>
                      </w14:textFill>
                    </w:rPr>
                    <w:t>t/a</w:t>
                  </w:r>
                </w:p>
              </w:tc>
              <w:tc>
                <w:tcPr>
                  <w:tcW w:w="5344" w:type="dxa"/>
                  <w:vAlign w:val="center"/>
                </w:tcPr>
                <w:p>
                  <w:pPr>
                    <w:pStyle w:val="45"/>
                    <w:ind w:firstLine="0" w:firstLineChars="0"/>
                    <w:jc w:val="center"/>
                    <w:rPr>
                      <w:rFonts w:cs="Times New Roman"/>
                      <w:b/>
                      <w:bCs w:val="0"/>
                      <w:color w:val="000000" w:themeColor="text1"/>
                      <w14:textFill>
                        <w14:solidFill>
                          <w14:schemeClr w14:val="tx1"/>
                        </w14:solidFill>
                      </w14:textFill>
                    </w:rPr>
                  </w:pPr>
                  <w:r>
                    <w:rPr>
                      <w:rFonts w:cs="Times New Roman"/>
                      <w:b/>
                      <w:bCs w:val="0"/>
                      <w:color w:val="000000" w:themeColor="text1"/>
                      <w14:textFill>
                        <w14:solidFill>
                          <w14:schemeClr w14:val="tx1"/>
                        </w14:solidFill>
                      </w14:textFill>
                    </w:rPr>
                    <w:t>活性炭更换量+项目VOCs削减量；总计</w:t>
                  </w:r>
                  <w:r>
                    <w:rPr>
                      <w:rFonts w:hint="eastAsia" w:cs="Times New Roman"/>
                      <w:b/>
                      <w:bCs w:val="0"/>
                      <w:color w:val="000000" w:themeColor="text1"/>
                      <w:lang w:eastAsia="zh-CN"/>
                      <w14:textFill>
                        <w14:solidFill>
                          <w14:schemeClr w14:val="tx1"/>
                        </w14:solidFill>
                      </w14:textFill>
                    </w:rPr>
                    <w:t>6.8126</w:t>
                  </w:r>
                  <w:r>
                    <w:rPr>
                      <w:rFonts w:cs="Times New Roman"/>
                      <w:b/>
                      <w:bCs w:val="0"/>
                      <w:color w:val="000000" w:themeColor="text1"/>
                      <w14:textFill>
                        <w14:solidFill>
                          <w14:schemeClr w14:val="tx1"/>
                        </w14:solidFill>
                      </w14:textFill>
                    </w:rPr>
                    <w:t>t/a</w:t>
                  </w:r>
                </w:p>
              </w:tc>
            </w:tr>
          </w:tbl>
          <w:p>
            <w:pPr>
              <w:pStyle w:val="37"/>
              <w:ind w:firstLine="400"/>
              <w:jc w:val="both"/>
              <w:rPr>
                <w:rFonts w:hAnsi="Times New Roman"/>
                <w:color w:val="000000" w:themeColor="text1"/>
                <w14:textFill>
                  <w14:solidFill>
                    <w14:schemeClr w14:val="tx1"/>
                  </w14:solidFill>
                </w14:textFill>
              </w:rPr>
            </w:pPr>
            <w:r>
              <w:rPr>
                <w:rFonts w:hAnsi="Times New Roman"/>
                <w:color w:val="000000" w:themeColor="text1"/>
                <w:spacing w:val="-10"/>
                <w14:textFill>
                  <w14:solidFill>
                    <w14:schemeClr w14:val="tx1"/>
                  </w14:solidFill>
                </w14:textFill>
              </w:rPr>
              <w:t>经计算，项目活性炭的更换量为</w:t>
            </w:r>
            <w:r>
              <w:rPr>
                <w:rFonts w:hint="eastAsia" w:hAnsi="Times New Roman"/>
                <w:color w:val="000000" w:themeColor="text1"/>
                <w:spacing w:val="-10"/>
                <w:lang w:eastAsia="zh-CN"/>
                <w14:textFill>
                  <w14:solidFill>
                    <w14:schemeClr w14:val="tx1"/>
                  </w14:solidFill>
                </w14:textFill>
              </w:rPr>
              <w:t>6.8126</w:t>
            </w:r>
            <w:r>
              <w:rPr>
                <w:rFonts w:hAnsi="Times New Roman"/>
                <w:color w:val="000000" w:themeColor="text1"/>
                <w:spacing w:val="-10"/>
                <w14:textFill>
                  <w14:solidFill>
                    <w14:schemeClr w14:val="tx1"/>
                  </w14:solidFill>
                </w14:textFill>
              </w:rPr>
              <w:t>t/a（每年更换4次），</w:t>
            </w:r>
            <w:r>
              <w:rPr>
                <w:rFonts w:hAnsi="Times New Roman"/>
                <w:color w:val="000000" w:themeColor="text1"/>
                <w14:textFill>
                  <w14:solidFill>
                    <w14:schemeClr w14:val="tx1"/>
                  </w14:solidFill>
                </w14:textFill>
              </w:rPr>
              <w:t>根据《广东省工业源挥发性有机物减排量核算方法（试行）》中表4.5-2，蜂窝状活性炭对有机废气各成分的吸附量约为20%，由前文可知，本项目活性炭箱需要吸附的有机废气吸附量0.</w:t>
            </w:r>
            <w:r>
              <w:rPr>
                <w:rFonts w:hint="eastAsia" w:hAnsi="Times New Roman"/>
                <w:color w:val="000000" w:themeColor="text1"/>
                <w14:textFill>
                  <w14:solidFill>
                    <w14:schemeClr w14:val="tx1"/>
                  </w14:solidFill>
                </w14:textFill>
              </w:rPr>
              <w:t>1</w:t>
            </w:r>
            <w:r>
              <w:rPr>
                <w:rFonts w:hint="eastAsia" w:hAnsi="Times New Roman"/>
                <w:color w:val="000000" w:themeColor="text1"/>
                <w:lang w:val="en-US" w:eastAsia="zh-CN"/>
                <w14:textFill>
                  <w14:solidFill>
                    <w14:schemeClr w14:val="tx1"/>
                  </w14:solidFill>
                </w14:textFill>
              </w:rPr>
              <w:t>31</w:t>
            </w:r>
            <w:r>
              <w:rPr>
                <w:rFonts w:hAnsi="Times New Roman"/>
                <w:color w:val="000000" w:themeColor="text1"/>
                <w14:textFill>
                  <w14:solidFill>
                    <w14:schemeClr w14:val="tx1"/>
                  </w14:solidFill>
                </w14:textFill>
              </w:rPr>
              <w:t>t/a，则本项目吸附有机废气理论所需的活性炭用量约为0</w:t>
            </w:r>
            <w:r>
              <w:rPr>
                <w:rFonts w:hint="eastAsia" w:hAnsi="Times New Roman"/>
                <w:color w:val="000000" w:themeColor="text1"/>
                <w14:textFill>
                  <w14:solidFill>
                    <w14:schemeClr w14:val="tx1"/>
                  </w14:solidFill>
                </w14:textFill>
              </w:rPr>
              <w:t>.</w:t>
            </w:r>
            <w:r>
              <w:rPr>
                <w:rFonts w:hint="eastAsia" w:hAnsi="Times New Roman"/>
                <w:color w:val="000000" w:themeColor="text1"/>
                <w:lang w:val="en-US" w:eastAsia="zh-CN"/>
                <w14:textFill>
                  <w14:solidFill>
                    <w14:schemeClr w14:val="tx1"/>
                  </w14:solidFill>
                </w14:textFill>
              </w:rPr>
              <w:t>655</w:t>
            </w:r>
            <w:r>
              <w:rPr>
                <w:rFonts w:hAnsi="Times New Roman"/>
                <w:color w:val="000000" w:themeColor="text1"/>
                <w14:textFill>
                  <w14:solidFill>
                    <w14:schemeClr w14:val="tx1"/>
                  </w14:solidFill>
                </w14:textFill>
              </w:rPr>
              <w:t>t/a（&lt;</w:t>
            </w:r>
            <w:r>
              <w:rPr>
                <w:rFonts w:hint="eastAsia" w:hAnsi="Times New Roman"/>
                <w:color w:val="000000" w:themeColor="text1"/>
                <w14:textFill>
                  <w14:solidFill>
                    <w14:schemeClr w14:val="tx1"/>
                  </w14:solidFill>
                </w14:textFill>
              </w:rPr>
              <w:t>6</w:t>
            </w:r>
            <w:r>
              <w:rPr>
                <w:rFonts w:hint="eastAsia" w:hAnsi="Times New Roman"/>
                <w:color w:val="000000" w:themeColor="text1"/>
                <w:lang w:val="en-US" w:eastAsia="zh-CN"/>
                <w14:textFill>
                  <w14:solidFill>
                    <w14:schemeClr w14:val="tx1"/>
                  </w14:solidFill>
                </w14:textFill>
              </w:rPr>
              <w:t>.6816</w:t>
            </w:r>
            <w:r>
              <w:rPr>
                <w:rFonts w:hAnsi="Times New Roman"/>
                <w:color w:val="000000" w:themeColor="text1"/>
                <w14:textFill>
                  <w14:solidFill>
                    <w14:schemeClr w14:val="tx1"/>
                  </w14:solidFill>
                </w14:textFill>
              </w:rPr>
              <w:t>t/a）。加上有机废气吸附量，本项目废活性炭产生量约为</w:t>
            </w:r>
            <w:r>
              <w:rPr>
                <w:rFonts w:hint="eastAsia" w:hAnsi="Times New Roman"/>
                <w:color w:val="000000" w:themeColor="text1"/>
                <w:lang w:eastAsia="zh-CN"/>
                <w14:textFill>
                  <w14:solidFill>
                    <w14:schemeClr w14:val="tx1"/>
                  </w14:solidFill>
                </w14:textFill>
              </w:rPr>
              <w:t>6.8126</w:t>
            </w:r>
            <w:r>
              <w:rPr>
                <w:rFonts w:hAnsi="Times New Roman"/>
                <w:color w:val="000000" w:themeColor="text1"/>
                <w14:textFill>
                  <w14:solidFill>
                    <w14:schemeClr w14:val="tx1"/>
                  </w14:solidFill>
                </w14:textFill>
              </w:rPr>
              <w:t>t/a，属于《国家危险废物名录（2021年版）》（（2021年1月1日起施行）中规定的危险废物，编号为“HW49其他废物”-“非特定行业-900-039-49”，收集后交由有危险废物处理资质单位处置。</w:t>
            </w:r>
          </w:p>
          <w:p>
            <w:pPr>
              <w:pStyle w:val="37"/>
              <w:ind w:firstLine="422"/>
              <w:rPr>
                <w:rFonts w:hAnsi="Times New Roman"/>
                <w:b/>
                <w:color w:val="000000" w:themeColor="text1"/>
                <w14:textFill>
                  <w14:solidFill>
                    <w14:schemeClr w14:val="tx1"/>
                  </w14:solidFill>
                </w14:textFill>
              </w:rPr>
            </w:pPr>
            <w:r>
              <w:rPr>
                <w:rFonts w:hAnsi="Times New Roman"/>
                <w:b/>
                <w:color w:val="000000" w:themeColor="text1"/>
                <w14:textFill>
                  <w14:solidFill>
                    <w14:schemeClr w14:val="tx1"/>
                  </w14:solidFill>
                </w14:textFill>
              </w:rPr>
              <w:t>表4-22</w:t>
            </w:r>
            <w:r>
              <w:rPr>
                <w:rFonts w:hAnsi="Times New Roman"/>
                <w:color w:val="000000" w:themeColor="text1"/>
                <w14:textFill>
                  <w14:solidFill>
                    <w14:schemeClr w14:val="tx1"/>
                  </w14:solidFill>
                </w14:textFill>
              </w:rPr>
              <w:t xml:space="preserve"> </w:t>
            </w:r>
            <w:r>
              <w:rPr>
                <w:rFonts w:hAnsi="Times New Roman"/>
                <w:b/>
                <w:bCs w:val="0"/>
                <w:color w:val="000000" w:themeColor="text1"/>
                <w14:textFill>
                  <w14:solidFill>
                    <w14:schemeClr w14:val="tx1"/>
                  </w14:solidFill>
                </w14:textFill>
              </w:rPr>
              <w:t xml:space="preserve"> 本项</w:t>
            </w:r>
            <w:r>
              <w:rPr>
                <w:rFonts w:hAnsi="Times New Roman"/>
                <w:b/>
                <w:color w:val="000000" w:themeColor="text1"/>
                <w14:textFill>
                  <w14:solidFill>
                    <w14:schemeClr w14:val="tx1"/>
                  </w14:solidFill>
                </w14:textFill>
              </w:rPr>
              <w:t>目危废产生情况表</w:t>
            </w:r>
          </w:p>
          <w:tbl>
            <w:tblPr>
              <w:tblStyle w:val="30"/>
              <w:tblW w:w="9833"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342"/>
              <w:gridCol w:w="945"/>
              <w:gridCol w:w="1075"/>
              <w:gridCol w:w="1143"/>
              <w:gridCol w:w="737"/>
              <w:gridCol w:w="1013"/>
              <w:gridCol w:w="724"/>
              <w:gridCol w:w="869"/>
              <w:gridCol w:w="869"/>
              <w:gridCol w:w="869"/>
              <w:gridCol w:w="598"/>
              <w:gridCol w:w="649"/>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342"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序号</w:t>
                  </w:r>
                </w:p>
              </w:tc>
              <w:tc>
                <w:tcPr>
                  <w:tcW w:w="945"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危险废物名称</w:t>
                  </w:r>
                </w:p>
              </w:tc>
              <w:tc>
                <w:tcPr>
                  <w:tcW w:w="1075"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危险废物类别</w:t>
                  </w:r>
                </w:p>
              </w:tc>
              <w:tc>
                <w:tcPr>
                  <w:tcW w:w="1143"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代码</w:t>
                  </w:r>
                </w:p>
              </w:tc>
              <w:tc>
                <w:tcPr>
                  <w:tcW w:w="737"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产生量（t/a）</w:t>
                  </w:r>
                </w:p>
              </w:tc>
              <w:tc>
                <w:tcPr>
                  <w:tcW w:w="1013"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产生工序及装置</w:t>
                  </w:r>
                </w:p>
              </w:tc>
              <w:tc>
                <w:tcPr>
                  <w:tcW w:w="724"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形态</w:t>
                  </w:r>
                </w:p>
              </w:tc>
              <w:tc>
                <w:tcPr>
                  <w:tcW w:w="869"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主要</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成分</w:t>
                  </w:r>
                </w:p>
              </w:tc>
              <w:tc>
                <w:tcPr>
                  <w:tcW w:w="869"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有害</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成分</w:t>
                  </w:r>
                </w:p>
              </w:tc>
              <w:tc>
                <w:tcPr>
                  <w:tcW w:w="869"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产废</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周期</w:t>
                  </w:r>
                </w:p>
              </w:tc>
              <w:tc>
                <w:tcPr>
                  <w:tcW w:w="598"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特性</w:t>
                  </w:r>
                </w:p>
              </w:tc>
              <w:tc>
                <w:tcPr>
                  <w:tcW w:w="649"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污染防治措施</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废布碎/纸皮</w:t>
                  </w:r>
                </w:p>
              </w:tc>
              <w:tc>
                <w:tcPr>
                  <w:tcW w:w="107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HW49其他废物</w:t>
                  </w:r>
                </w:p>
              </w:tc>
              <w:tc>
                <w:tcPr>
                  <w:tcW w:w="114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900-041-49</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2.2218</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每天</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restart"/>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委托有危险废物处理资质单位处置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废包装物</w:t>
                  </w:r>
                </w:p>
              </w:tc>
              <w:tc>
                <w:tcPr>
                  <w:tcW w:w="107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HW49其他废物</w:t>
                  </w:r>
                </w:p>
              </w:tc>
              <w:tc>
                <w:tcPr>
                  <w:tcW w:w="114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900-041-49</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0.025</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每周</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废绝缘</w:t>
                  </w:r>
                </w:p>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漆渣</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HW12染料、涂料废物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900-252-12</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0.5528</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3个月</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废机油</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0.4</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液态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每月</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废机油桶</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0.01</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每月</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6</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废抹布及手套</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0.1</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机油</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每天</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喷淋废水</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900-007-09</w:t>
                  </w:r>
                </w:p>
              </w:tc>
              <w:tc>
                <w:tcPr>
                  <w:tcW w:w="737" w:type="dxa"/>
                  <w:vAlign w:val="center"/>
                </w:tcPr>
                <w:p>
                  <w:pPr>
                    <w:adjustRightInd w:val="0"/>
                    <w:snapToGrid w:val="0"/>
                    <w:jc w:val="center"/>
                    <w:textAlignment w:val="baseline"/>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7.5</w:t>
                  </w:r>
                </w:p>
              </w:tc>
              <w:tc>
                <w:tcPr>
                  <w:tcW w:w="1013"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生产过程</w:t>
                  </w:r>
                </w:p>
              </w:tc>
              <w:tc>
                <w:tcPr>
                  <w:tcW w:w="724"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液态</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绝缘漆</w:t>
                  </w:r>
                </w:p>
              </w:tc>
              <w:tc>
                <w:tcPr>
                  <w:tcW w:w="869"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3个月</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废滤芯</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737"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0.01</w:t>
                  </w:r>
                </w:p>
              </w:tc>
              <w:tc>
                <w:tcPr>
                  <w:tcW w:w="101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废气处理</w:t>
                  </w:r>
                </w:p>
              </w:tc>
              <w:tc>
                <w:tcPr>
                  <w:tcW w:w="724"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有机</w:t>
                  </w:r>
                </w:p>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废气</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有机</w:t>
                  </w:r>
                </w:p>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废气</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3个月</w:t>
                  </w:r>
                </w:p>
              </w:tc>
              <w:tc>
                <w:tcPr>
                  <w:tcW w:w="598"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T/In</w:t>
                  </w:r>
                </w:p>
              </w:tc>
              <w:tc>
                <w:tcPr>
                  <w:tcW w:w="649" w:type="dxa"/>
                  <w:vMerge w:val="continue"/>
                  <w:vAlign w:val="center"/>
                </w:tcPr>
                <w:p>
                  <w:pPr>
                    <w:pStyle w:val="75"/>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2"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9</w:t>
                  </w:r>
                </w:p>
              </w:tc>
              <w:tc>
                <w:tcPr>
                  <w:tcW w:w="945"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废活</w:t>
                  </w:r>
                </w:p>
                <w:p>
                  <w:pPr>
                    <w:adjustRightInd w:val="0"/>
                    <w:snapToGrid w:val="0"/>
                    <w:jc w:val="center"/>
                    <w:textAlignment w:val="baseline"/>
                    <w:rPr>
                      <w:color w:val="000000" w:themeColor="text1"/>
                      <w14:textFill>
                        <w14:solidFill>
                          <w14:schemeClr w14:val="tx1"/>
                        </w14:solidFill>
                      </w14:textFill>
                    </w:rPr>
                  </w:pPr>
                  <w:r>
                    <w:rPr>
                      <w:color w:val="000000" w:themeColor="text1"/>
                      <w:kern w:val="0"/>
                      <w14:textFill>
                        <w14:solidFill>
                          <w14:schemeClr w14:val="tx1"/>
                        </w14:solidFill>
                      </w14:textFill>
                    </w:rPr>
                    <w:t>性炭</w:t>
                  </w:r>
                </w:p>
              </w:tc>
              <w:tc>
                <w:tcPr>
                  <w:tcW w:w="1075"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4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737" w:type="dxa"/>
                  <w:vAlign w:val="center"/>
                </w:tcPr>
                <w:p>
                  <w:pPr>
                    <w:adjustRightInd w:val="0"/>
                    <w:snapToGrid w:val="0"/>
                    <w:jc w:val="center"/>
                    <w:textAlignment w:val="baseline"/>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6.8126</w:t>
                  </w:r>
                </w:p>
              </w:tc>
              <w:tc>
                <w:tcPr>
                  <w:tcW w:w="1013"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废气处理</w:t>
                  </w:r>
                </w:p>
              </w:tc>
              <w:tc>
                <w:tcPr>
                  <w:tcW w:w="724"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kern w:val="0"/>
                      <w14:textFill>
                        <w14:solidFill>
                          <w14:schemeClr w14:val="tx1"/>
                        </w14:solidFill>
                      </w14:textFill>
                    </w:rPr>
                    <w:t>固态</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有机</w:t>
                  </w:r>
                </w:p>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废气</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有机</w:t>
                  </w:r>
                </w:p>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废气</w:t>
                  </w:r>
                </w:p>
              </w:tc>
              <w:tc>
                <w:tcPr>
                  <w:tcW w:w="869"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3个月</w:t>
                  </w:r>
                </w:p>
              </w:tc>
              <w:tc>
                <w:tcPr>
                  <w:tcW w:w="598"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T</w:t>
                  </w:r>
                </w:p>
              </w:tc>
              <w:tc>
                <w:tcPr>
                  <w:tcW w:w="649" w:type="dxa"/>
                  <w:vMerge w:val="continue"/>
                  <w:vAlign w:val="center"/>
                </w:tcPr>
                <w:p>
                  <w:pPr>
                    <w:widowControl/>
                    <w:jc w:val="left"/>
                    <w:rPr>
                      <w:color w:val="000000" w:themeColor="text1"/>
                      <w:kern w:val="0"/>
                      <w14:textFill>
                        <w14:solidFill>
                          <w14:schemeClr w14:val="tx1"/>
                        </w14:solidFill>
                      </w14:textFill>
                    </w:rPr>
                  </w:pPr>
                </w:p>
              </w:tc>
            </w:tr>
          </w:tbl>
          <w:p>
            <w:pPr>
              <w:rPr>
                <w:bCs w:val="0"/>
                <w:color w:val="000000" w:themeColor="text1"/>
                <w14:textFill>
                  <w14:solidFill>
                    <w14:schemeClr w14:val="tx1"/>
                  </w14:solidFill>
                </w14:textFill>
              </w:rPr>
            </w:pPr>
            <w:r>
              <w:rPr>
                <w:color w:val="000000" w:themeColor="text1"/>
                <w14:textFill>
                  <w14:solidFill>
                    <w14:schemeClr w14:val="tx1"/>
                  </w14:solidFill>
                </w14:textFill>
              </w:rPr>
              <w:t>备注：T：毒性；I：易燃性</w:t>
            </w:r>
            <w:r>
              <w:rPr>
                <w:bCs w:val="0"/>
                <w:color w:val="000000" w:themeColor="text1"/>
                <w14:textFill>
                  <w14:solidFill>
                    <w14:schemeClr w14:val="tx1"/>
                  </w14:solidFill>
                </w14:textFill>
              </w:rPr>
              <w:t>；</w:t>
            </w:r>
            <w:r>
              <w:rPr>
                <w:color w:val="000000" w:themeColor="text1"/>
                <w14:textFill>
                  <w14:solidFill>
                    <w14:schemeClr w14:val="tx1"/>
                  </w14:solidFill>
                </w14:textFill>
              </w:rPr>
              <w:t>In：感染性；C：腐蚀性</w:t>
            </w:r>
          </w:p>
          <w:p>
            <w:pPr>
              <w:pStyle w:val="41"/>
              <w:spacing w:line="360" w:lineRule="auto"/>
              <w:ind w:firstLine="422" w:firstLineChars="200"/>
              <w:jc w:val="both"/>
              <w:rPr>
                <w:bCs w:val="0"/>
                <w:color w:val="000000" w:themeColor="text1"/>
                <w14:textFill>
                  <w14:solidFill>
                    <w14:schemeClr w14:val="tx1"/>
                  </w14:solidFill>
                </w14:textFill>
              </w:rPr>
            </w:pPr>
            <w:r>
              <w:rPr>
                <w:color w:val="000000" w:themeColor="text1"/>
                <w14:textFill>
                  <w14:solidFill>
                    <w14:schemeClr w14:val="tx1"/>
                  </w14:solidFill>
                </w14:textFill>
              </w:rPr>
              <w:t>2、管理情况</w:t>
            </w:r>
          </w:p>
          <w:p>
            <w:pPr>
              <w:pStyle w:val="37"/>
              <w:ind w:firstLine="422"/>
              <w:jc w:val="both"/>
              <w:rPr>
                <w:rFonts w:hAnsi="Times New Roman"/>
                <w:b/>
                <w:bCs w:val="0"/>
                <w:color w:val="000000" w:themeColor="text1"/>
                <w14:textFill>
                  <w14:solidFill>
                    <w14:schemeClr w14:val="tx1"/>
                  </w14:solidFill>
                </w14:textFill>
              </w:rPr>
            </w:pPr>
            <w:r>
              <w:rPr>
                <w:rFonts w:hAnsi="Times New Roman"/>
                <w:b/>
                <w:bCs w:val="0"/>
                <w:color w:val="000000" w:themeColor="text1"/>
                <w14:textFill>
                  <w14:solidFill>
                    <w14:schemeClr w14:val="tx1"/>
                  </w14:solidFill>
                </w14:textFill>
              </w:rPr>
              <w:t>（1）一般固体废物</w:t>
            </w:r>
          </w:p>
          <w:p>
            <w:pPr>
              <w:spacing w:line="360" w:lineRule="auto"/>
              <w:ind w:firstLine="420" w:firstLineChars="200"/>
              <w:rPr>
                <w:bCs w:val="0"/>
                <w:color w:val="000000" w:themeColor="text1"/>
                <w14:textFill>
                  <w14:solidFill>
                    <w14:schemeClr w14:val="tx1"/>
                  </w14:solidFill>
                </w14:textFill>
              </w:rPr>
            </w:pPr>
            <w:r>
              <w:rPr>
                <w:color w:val="000000" w:themeColor="text1"/>
                <w:kern w:val="0"/>
                <w14:textFill>
                  <w14:solidFill>
                    <w14:schemeClr w14:val="tx1"/>
                  </w14:solidFill>
                </w14:textFill>
              </w:rPr>
              <w:t>项目产生的一般固体废物为</w:t>
            </w:r>
            <w:r>
              <w:rPr>
                <w:rStyle w:val="35"/>
                <w:color w:val="000000" w:themeColor="text1"/>
                <w:u w:val="none"/>
                <w14:textFill>
                  <w14:solidFill>
                    <w14:schemeClr w14:val="tx1"/>
                  </w14:solidFill>
                </w14:textFill>
              </w:rPr>
              <w:t>次品和收集的粉尘</w:t>
            </w:r>
            <w:r>
              <w:rPr>
                <w:color w:val="000000" w:themeColor="text1"/>
                <w14:textFill>
                  <w14:solidFill>
                    <w14:schemeClr w14:val="tx1"/>
                  </w14:solidFill>
                </w14:textFill>
              </w:rPr>
              <w:t>，经收集后委托专业回收单位回收处理。</w:t>
            </w:r>
          </w:p>
          <w:p>
            <w:pPr>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（2）生活垃圾</w:t>
            </w:r>
          </w:p>
          <w:p>
            <w:pPr>
              <w:adjustRightInd w:val="0"/>
              <w:snapToGri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项目生活垃圾委托环卫部门清运处理；</w:t>
            </w:r>
          </w:p>
          <w:p>
            <w:pPr>
              <w:adjustRightInd w:val="0"/>
              <w:snapToGrid w:val="0"/>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（3）危险废物</w:t>
            </w:r>
          </w:p>
          <w:p>
            <w:pPr>
              <w:pStyle w:val="37"/>
              <w:ind w:firstLine="420"/>
              <w:jc w:val="both"/>
              <w:rPr>
                <w:rFonts w:hAnsi="Times New Roman"/>
                <w:color w:val="000000" w:themeColor="text1"/>
                <w:kern w:val="0"/>
                <w14:textFill>
                  <w14:solidFill>
                    <w14:schemeClr w14:val="tx1"/>
                  </w14:solidFill>
                </w14:textFill>
              </w:rPr>
            </w:pPr>
            <w:r>
              <w:rPr>
                <w:rFonts w:hAnsi="Times New Roman"/>
                <w:color w:val="000000" w:themeColor="text1"/>
                <w14:textFill>
                  <w14:solidFill>
                    <w14:schemeClr w14:val="tx1"/>
                  </w14:solidFill>
                </w14:textFill>
              </w:rPr>
              <w:t>项目危险废物经收集后交由有危险废物处理资质单位处置。</w:t>
            </w:r>
          </w:p>
          <w:p>
            <w:pPr>
              <w:pStyle w:val="41"/>
              <w:spacing w:line="360" w:lineRule="auto"/>
              <w:rPr>
                <w:bCs w:val="0"/>
                <w:color w:val="000000" w:themeColor="text1"/>
                <w14:textFill>
                  <w14:solidFill>
                    <w14:schemeClr w14:val="tx1"/>
                  </w14:solidFill>
                </w14:textFill>
              </w:rPr>
            </w:pPr>
            <w:r>
              <w:rPr>
                <w:color w:val="000000" w:themeColor="text1"/>
                <w14:textFill>
                  <w14:solidFill>
                    <w14:schemeClr w14:val="tx1"/>
                  </w14:solidFill>
                </w14:textFill>
              </w:rPr>
              <w:t>表4-23  本项目危险废物贮存场所（设施）基本情况</w:t>
            </w:r>
          </w:p>
          <w:tbl>
            <w:tblPr>
              <w:tblStyle w:val="30"/>
              <w:tblW w:w="9833" w:type="dxa"/>
              <w:jc w:val="center"/>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159"/>
              <w:gridCol w:w="1126"/>
              <w:gridCol w:w="1662"/>
              <w:gridCol w:w="1196"/>
              <w:gridCol w:w="901"/>
              <w:gridCol w:w="683"/>
              <w:gridCol w:w="834"/>
              <w:gridCol w:w="940"/>
              <w:gridCol w:w="905"/>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序号</w:t>
                  </w:r>
                </w:p>
              </w:tc>
              <w:tc>
                <w:tcPr>
                  <w:tcW w:w="1159"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贮存场所（设施）</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名称</w:t>
                  </w:r>
                </w:p>
              </w:tc>
              <w:tc>
                <w:tcPr>
                  <w:tcW w:w="1126"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名称</w:t>
                  </w:r>
                </w:p>
              </w:tc>
              <w:tc>
                <w:tcPr>
                  <w:tcW w:w="1662"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类别</w:t>
                  </w:r>
                </w:p>
              </w:tc>
              <w:tc>
                <w:tcPr>
                  <w:tcW w:w="1196"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危险废物</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代码</w:t>
                  </w:r>
                </w:p>
              </w:tc>
              <w:tc>
                <w:tcPr>
                  <w:tcW w:w="901"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位置</w:t>
                  </w:r>
                </w:p>
              </w:tc>
              <w:tc>
                <w:tcPr>
                  <w:tcW w:w="683"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占地面积</w:t>
                  </w:r>
                </w:p>
              </w:tc>
              <w:tc>
                <w:tcPr>
                  <w:tcW w:w="834"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贮存</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方式</w:t>
                  </w:r>
                </w:p>
              </w:tc>
              <w:tc>
                <w:tcPr>
                  <w:tcW w:w="940"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贮存</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能力</w:t>
                  </w:r>
                </w:p>
              </w:tc>
              <w:tc>
                <w:tcPr>
                  <w:tcW w:w="905" w:type="dxa"/>
                  <w:vAlign w:val="center"/>
                </w:tcPr>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贮存</w:t>
                  </w:r>
                </w:p>
                <w:p>
                  <w:pPr>
                    <w:pStyle w:val="75"/>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周期</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w:t>
                  </w:r>
                </w:p>
              </w:tc>
              <w:tc>
                <w:tcPr>
                  <w:tcW w:w="1159" w:type="dxa"/>
                  <w:vMerge w:val="restart"/>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危险废物暂存间</w:t>
                  </w: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废布碎/纸皮</w:t>
                  </w:r>
                </w:p>
              </w:tc>
              <w:tc>
                <w:tcPr>
                  <w:tcW w:w="1662"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HW49其他废物</w:t>
                  </w:r>
                </w:p>
              </w:tc>
              <w:tc>
                <w:tcPr>
                  <w:tcW w:w="119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900-041-49</w:t>
                  </w:r>
                </w:p>
              </w:tc>
              <w:tc>
                <w:tcPr>
                  <w:tcW w:w="901" w:type="dxa"/>
                  <w:vMerge w:val="restart"/>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车间外西南侧</w:t>
                  </w:r>
                </w:p>
              </w:tc>
              <w:tc>
                <w:tcPr>
                  <w:tcW w:w="683" w:type="dxa"/>
                  <w:vMerge w:val="restart"/>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约10m</w:t>
                  </w:r>
                  <w:r>
                    <w:rPr>
                      <w:rFonts w:ascii="Times New Roman" w:hAnsi="Times New Roman" w:cs="Times New Roman"/>
                      <w:color w:val="000000" w:themeColor="text1"/>
                      <w:vertAlign w:val="superscript"/>
                      <w14:textFill>
                        <w14:solidFill>
                          <w14:schemeClr w14:val="tx1"/>
                        </w14:solidFill>
                      </w14:textFill>
                    </w:rPr>
                    <w:t>2</w:t>
                  </w: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3t</w:t>
                  </w:r>
                </w:p>
              </w:tc>
              <w:tc>
                <w:tcPr>
                  <w:tcW w:w="905" w:type="dxa"/>
                  <w:vMerge w:val="restart"/>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一年</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废包装物</w:t>
                  </w:r>
                </w:p>
              </w:tc>
              <w:tc>
                <w:tcPr>
                  <w:tcW w:w="1662"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HW49其他废物</w:t>
                  </w:r>
                </w:p>
              </w:tc>
              <w:tc>
                <w:tcPr>
                  <w:tcW w:w="1196" w:type="dxa"/>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900-041-49</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kern w:val="0"/>
                      <w14:textFill>
                        <w14:solidFill>
                          <w14:schemeClr w14:val="tx1"/>
                        </w14:solidFill>
                      </w14:textFill>
                    </w:rPr>
                    <w:t>废绝缘漆渣</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HW12染料、涂料废物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900-252-12</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废机油</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0.5t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废机油桶</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废抹布及</w:t>
                  </w:r>
                </w:p>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手套</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6</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喷淋废水</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900-007-09</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废滤芯</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100L</w:t>
                  </w:r>
                </w:p>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0.01t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7"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w:t>
                  </w:r>
                </w:p>
              </w:tc>
              <w:tc>
                <w:tcPr>
                  <w:tcW w:w="1159" w:type="dxa"/>
                  <w:vMerge w:val="continue"/>
                  <w:vAlign w:val="center"/>
                </w:tcPr>
                <w:p>
                  <w:pPr>
                    <w:widowControl/>
                    <w:jc w:val="left"/>
                    <w:rPr>
                      <w:color w:val="000000" w:themeColor="text1"/>
                      <w:kern w:val="0"/>
                      <w14:textFill>
                        <w14:solidFill>
                          <w14:schemeClr w14:val="tx1"/>
                        </w14:solidFill>
                      </w14:textFill>
                    </w:rPr>
                  </w:pPr>
                </w:p>
              </w:tc>
              <w:tc>
                <w:tcPr>
                  <w:tcW w:w="1126"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废活性炭</w:t>
                  </w:r>
                </w:p>
              </w:tc>
              <w:tc>
                <w:tcPr>
                  <w:tcW w:w="1662"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1196" w:type="dxa"/>
                  <w:vAlign w:val="center"/>
                </w:tcPr>
                <w:p>
                  <w:pPr>
                    <w:adjustRightInd w:val="0"/>
                    <w:snapToGri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901" w:type="dxa"/>
                  <w:vMerge w:val="continue"/>
                  <w:vAlign w:val="center"/>
                </w:tcPr>
                <w:p>
                  <w:pPr>
                    <w:widowControl/>
                    <w:jc w:val="left"/>
                    <w:rPr>
                      <w:color w:val="000000" w:themeColor="text1"/>
                      <w:kern w:val="0"/>
                      <w14:textFill>
                        <w14:solidFill>
                          <w14:schemeClr w14:val="tx1"/>
                        </w14:solidFill>
                      </w14:textFill>
                    </w:rPr>
                  </w:pPr>
                </w:p>
              </w:tc>
              <w:tc>
                <w:tcPr>
                  <w:tcW w:w="683" w:type="dxa"/>
                  <w:vMerge w:val="continue"/>
                  <w:vAlign w:val="center"/>
                </w:tcPr>
                <w:p>
                  <w:pPr>
                    <w:widowControl/>
                    <w:jc w:val="left"/>
                    <w:rPr>
                      <w:color w:val="000000" w:themeColor="text1"/>
                      <w:kern w:val="0"/>
                      <w14:textFill>
                        <w14:solidFill>
                          <w14:schemeClr w14:val="tx1"/>
                        </w14:solidFill>
                      </w14:textFill>
                    </w:rPr>
                  </w:pPr>
                </w:p>
              </w:tc>
              <w:tc>
                <w:tcPr>
                  <w:tcW w:w="834"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500L铁桶</w:t>
                  </w:r>
                </w:p>
              </w:tc>
              <w:tc>
                <w:tcPr>
                  <w:tcW w:w="940" w:type="dxa"/>
                  <w:vAlign w:val="center"/>
                </w:tcPr>
                <w:p>
                  <w:pPr>
                    <w:pStyle w:val="75"/>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1t</w:t>
                  </w:r>
                </w:p>
              </w:tc>
              <w:tc>
                <w:tcPr>
                  <w:tcW w:w="905" w:type="dxa"/>
                  <w:vMerge w:val="continue"/>
                  <w:vAlign w:val="center"/>
                </w:tcPr>
                <w:p>
                  <w:pPr>
                    <w:pStyle w:val="75"/>
                    <w:widowControl w:val="0"/>
                    <w:adjustRightInd w:val="0"/>
                    <w:snapToGrid w:val="0"/>
                    <w:jc w:val="center"/>
                    <w:textAlignment w:val="baseline"/>
                    <w:rPr>
                      <w:rFonts w:ascii="Times New Roman" w:hAnsi="Times New Roman" w:cs="Times New Roman"/>
                      <w:color w:val="000000" w:themeColor="text1"/>
                      <w14:textFill>
                        <w14:solidFill>
                          <w14:schemeClr w14:val="tx1"/>
                        </w14:solidFill>
                      </w14:textFill>
                    </w:rPr>
                  </w:pPr>
                </w:p>
              </w:tc>
            </w:tr>
          </w:tbl>
          <w:p>
            <w:pPr>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1）项目厂内一般固废临时贮存应注意：</w:t>
            </w:r>
          </w:p>
          <w:p>
            <w:pPr>
              <w:snapToGrid w:val="0"/>
              <w:spacing w:line="360" w:lineRule="auto"/>
              <w:ind w:firstLine="420" w:firstLineChars="200"/>
              <w:rPr>
                <w:bCs w:val="0"/>
                <w:color w:val="000000" w:themeColor="text1"/>
                <w14:textFill>
                  <w14:solidFill>
                    <w14:schemeClr w14:val="tx1"/>
                  </w14:solidFill>
                </w14:textFill>
              </w:rPr>
            </w:pPr>
            <w:r>
              <w:rPr>
                <w:bCs w:val="0"/>
                <w:color w:val="000000" w:themeColor="text1"/>
                <w14:textFill>
                  <w14:solidFill>
                    <w14:schemeClr w14:val="tx1"/>
                  </w14:solidFill>
                </w14:textFill>
              </w:rPr>
              <w:t>A、对固体废物实行从产生、收集、运输、贮存直至最终处理实行全过程管理，加强固体废物运输过程的事故风险防范，按照有关法律、法规的要求，对固体废弃物全过程管理应报当地环保行政主管部门等批准。</w:t>
            </w:r>
          </w:p>
          <w:p>
            <w:pPr>
              <w:snapToGrid w:val="0"/>
              <w:spacing w:line="360" w:lineRule="auto"/>
              <w:ind w:firstLine="420" w:firstLineChars="200"/>
              <w:rPr>
                <w:bCs w:val="0"/>
                <w:color w:val="000000" w:themeColor="text1"/>
                <w14:textFill>
                  <w14:solidFill>
                    <w14:schemeClr w14:val="tx1"/>
                  </w14:solidFill>
                </w14:textFill>
              </w:rPr>
            </w:pPr>
            <w:r>
              <w:rPr>
                <w:bCs w:val="0"/>
                <w:color w:val="000000" w:themeColor="text1"/>
                <w14:textFill>
                  <w14:solidFill>
                    <w14:schemeClr w14:val="tx1"/>
                  </w14:solidFill>
                </w14:textFill>
              </w:rPr>
              <w:t>B、加强固体废物规范化管理，固体废物分类定点堆放，堆放场所远离办公区和周围环境敏感点。为了减少雨水侵蚀造成的二次污染。</w:t>
            </w:r>
          </w:p>
          <w:p>
            <w:pPr>
              <w:spacing w:line="360" w:lineRule="auto"/>
              <w:ind w:firstLine="422" w:firstLineChars="200"/>
              <w:rPr>
                <w:b/>
                <w:bCs w:val="0"/>
                <w:color w:val="000000" w:themeColor="text1"/>
                <w14:textFill>
                  <w14:solidFill>
                    <w14:schemeClr w14:val="tx1"/>
                  </w14:solidFill>
                </w14:textFill>
              </w:rPr>
            </w:pPr>
            <w:r>
              <w:rPr>
                <w:b/>
                <w:bCs w:val="0"/>
                <w:color w:val="000000" w:themeColor="text1"/>
                <w14:textFill>
                  <w14:solidFill>
                    <w14:schemeClr w14:val="tx1"/>
                  </w14:solidFill>
                </w14:textFill>
              </w:rPr>
              <w:t>2）项目危险废物管理根据《危险废物贮存污染控制标准》（GB18597-2023），危废暂存间应采取的防治措施如下：</w:t>
            </w:r>
          </w:p>
          <w:p>
            <w:pPr>
              <w:pStyle w:val="81"/>
              <w:spacing w:before="120" w:beforeLines="50" w:line="360" w:lineRule="auto"/>
              <w:ind w:firstLine="422"/>
              <w:rPr>
                <w:b/>
                <w:bCs w:val="0"/>
                <w:color w:val="000000" w:themeColor="text1"/>
                <w:kern w:val="2"/>
                <w:sz w:val="21"/>
                <w14:textFill>
                  <w14:solidFill>
                    <w14:schemeClr w14:val="tx1"/>
                  </w14:solidFill>
                </w14:textFill>
              </w:rPr>
            </w:pPr>
            <w:r>
              <w:rPr>
                <w:b/>
                <w:bCs w:val="0"/>
                <w:color w:val="000000" w:themeColor="text1"/>
                <w:sz w:val="21"/>
                <w14:textFill>
                  <w14:solidFill>
                    <w14:schemeClr w14:val="tx1"/>
                  </w14:solidFill>
                </w14:textFill>
              </w:rPr>
              <w:t>A、危险废物暂存间防治措施</w:t>
            </w:r>
          </w:p>
          <w:p>
            <w:pPr>
              <w:pStyle w:val="81"/>
              <w:spacing w:line="360" w:lineRule="auto"/>
              <w:ind w:firstLine="420"/>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本项目危险废物管理根据《危险废物贮存污染控制标准》</w:t>
            </w:r>
            <w:r>
              <w:rPr>
                <w:color w:val="000000" w:themeColor="text1"/>
                <w:sz w:val="21"/>
                <w14:textFill>
                  <w14:solidFill>
                    <w14:schemeClr w14:val="tx1"/>
                  </w14:solidFill>
                </w14:textFill>
              </w:rPr>
              <w:t>（GB18597-2023）</w:t>
            </w:r>
            <w:r>
              <w:rPr>
                <w:color w:val="000000" w:themeColor="text1"/>
                <w:kern w:val="2"/>
                <w:sz w:val="21"/>
                <w14:textFill>
                  <w14:solidFill>
                    <w14:schemeClr w14:val="tx1"/>
                  </w14:solidFill>
                </w14:textFill>
              </w:rPr>
              <w:t>，危废暂存间应采取的防治措施如下：</w:t>
            </w:r>
          </w:p>
          <w:p>
            <w:pPr>
              <w:autoSpaceDE w:val="0"/>
              <w:autoSpaceDN w:val="0"/>
              <w:adjustRightInd w:val="0"/>
              <w:spacing w:line="360" w:lineRule="auto"/>
              <w:ind w:firstLine="420"/>
              <w:jc w:val="left"/>
              <w:rPr>
                <w:color w:val="000000" w:themeColor="text1"/>
                <w14:textFill>
                  <w14:solidFill>
                    <w14:schemeClr w14:val="tx1"/>
                  </w14:solidFill>
                </w14:textFill>
              </w:rPr>
            </w:pPr>
            <w:r>
              <w:rPr>
                <w:color w:val="000000" w:themeColor="text1"/>
                <w14:textFill>
                  <w14:solidFill>
                    <w14:schemeClr w14:val="tx1"/>
                  </w14:solidFill>
                </w14:textFill>
              </w:rPr>
              <w:t>a、贮存设施应根据危险废物的形态、物理化学性质、包装形式和污染物迁移途径，采取必要的防风、防晒、防雨、防漏、防渗、防腐以及其他环境污染防治措施，不应露天堆放危险废物。</w:t>
            </w:r>
          </w:p>
          <w:p>
            <w:pPr>
              <w:pStyle w:val="81"/>
              <w:spacing w:line="360" w:lineRule="auto"/>
              <w:ind w:firstLine="420"/>
              <w:rPr>
                <w:bCs w:val="0"/>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b、贮存设施应根据危险废物的类别、数量、形态、物理化学性质和污染防治等要求设置必要的贮存分区，避免不相容的危险废物接触、混合。</w:t>
            </w:r>
          </w:p>
          <w:p>
            <w:pPr>
              <w:pStyle w:val="81"/>
              <w:spacing w:line="360" w:lineRule="auto"/>
              <w:ind w:firstLine="420"/>
              <w:rPr>
                <w:bCs w:val="0"/>
                <w:color w:val="000000" w:themeColor="text1"/>
                <w:sz w:val="21"/>
                <w14:textFill>
                  <w14:solidFill>
                    <w14:schemeClr w14:val="tx1"/>
                  </w14:solidFill>
                </w14:textFill>
              </w:rPr>
            </w:pPr>
            <w:r>
              <w:rPr>
                <w:color w:val="000000" w:themeColor="text1"/>
                <w:sz w:val="21"/>
                <w14:textFill>
                  <w14:solidFill>
                    <w14:schemeClr w14:val="tx1"/>
                  </w14:solidFill>
                </w14:textFill>
              </w:rPr>
              <w:t>c、贮存设施或贮存分区内地面、墙面裙脚、堵截泄漏的围堰、接触危险废物的隔板和墙体等应采用坚固的材料建造，表面无裂缝。</w:t>
            </w:r>
          </w:p>
          <w:p>
            <w:pPr>
              <w:autoSpaceDE w:val="0"/>
              <w:autoSpaceDN w:val="0"/>
              <w:adjustRightInd w:val="0"/>
              <w:spacing w:line="360" w:lineRule="auto"/>
              <w:ind w:firstLine="420"/>
              <w:jc w:val="left"/>
              <w:rPr>
                <w:bCs w:val="0"/>
                <w:color w:val="000000" w:themeColor="text1"/>
                <w14:textFill>
                  <w14:solidFill>
                    <w14:schemeClr w14:val="tx1"/>
                  </w14:solidFill>
                </w14:textFill>
              </w:rPr>
            </w:pPr>
            <w:r>
              <w:rPr>
                <w:color w:val="000000" w:themeColor="text1"/>
                <w14:textFill>
                  <w14:solidFill>
                    <w14:schemeClr w14:val="tx1"/>
                  </w14:solidFill>
                </w14:textFill>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 xml:space="preserve"> cm/s），或至少2 mm 厚高密度聚乙烯膜等人工防渗材料（渗透系数不大于10</w:t>
            </w:r>
            <w:r>
              <w:rPr>
                <w:color w:val="000000" w:themeColor="text1"/>
                <w:vertAlign w:val="superscript"/>
                <w14:textFill>
                  <w14:solidFill>
                    <w14:schemeClr w14:val="tx1"/>
                  </w14:solidFill>
                </w14:textFill>
              </w:rPr>
              <w:t>-10</w:t>
            </w:r>
            <w:r>
              <w:rPr>
                <w:color w:val="000000" w:themeColor="text1"/>
                <w14:textFill>
                  <w14:solidFill>
                    <w14:schemeClr w14:val="tx1"/>
                  </w14:solidFill>
                </w14:textFill>
              </w:rPr>
              <w:t xml:space="preserve"> cm/s），或其他防渗性能等效的材料。</w:t>
            </w:r>
          </w:p>
          <w:p>
            <w:pPr>
              <w:pStyle w:val="81"/>
              <w:spacing w:line="360" w:lineRule="auto"/>
              <w:ind w:firstLine="420"/>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e、贮存库内不同贮存分区之间应采取隔离措施。隔离措施可根据危险废物特性采用过道、隔板或隔墙等方式。</w:t>
            </w:r>
          </w:p>
          <w:p>
            <w:pPr>
              <w:pStyle w:val="81"/>
              <w:spacing w:line="360" w:lineRule="auto"/>
              <w:ind w:firstLine="420"/>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f、贮存设施或场所、容器和包装物应按</w:t>
            </w:r>
            <w:r>
              <w:rPr>
                <w:rFonts w:eastAsia="TimesNewRomanPSMT"/>
                <w:color w:val="000000" w:themeColor="text1"/>
                <w:sz w:val="21"/>
                <w14:textFill>
                  <w14:solidFill>
                    <w14:schemeClr w14:val="tx1"/>
                  </w14:solidFill>
                </w14:textFill>
              </w:rPr>
              <w:t xml:space="preserve">HJ 1276 </w:t>
            </w:r>
            <w:r>
              <w:rPr>
                <w:color w:val="000000" w:themeColor="text1"/>
                <w:sz w:val="21"/>
                <w14:textFill>
                  <w14:solidFill>
                    <w14:schemeClr w14:val="tx1"/>
                  </w14:solidFill>
                </w14:textFill>
              </w:rPr>
              <w:t>要求设置危险废物贮存设施或场所标志、危险废物贮存分区标志和危险废物标签等危险废物识别标志。</w:t>
            </w:r>
          </w:p>
          <w:p>
            <w:pPr>
              <w:pStyle w:val="81"/>
              <w:spacing w:line="360" w:lineRule="auto"/>
              <w:ind w:firstLine="418"/>
              <w:jc w:val="left"/>
              <w:rPr>
                <w:color w:val="000000" w:themeColor="text1"/>
                <w:spacing w:val="-1"/>
                <w:kern w:val="30"/>
                <w:position w:val="-1"/>
                <w:sz w:val="21"/>
                <w14:textFill>
                  <w14:solidFill>
                    <w14:schemeClr w14:val="tx1"/>
                  </w14:solidFill>
                </w14:textFill>
              </w:rPr>
            </w:pPr>
            <w:r>
              <w:rPr>
                <w:color w:val="000000" w:themeColor="text1"/>
                <w:spacing w:val="-1"/>
                <w:kern w:val="30"/>
                <w:position w:val="-1"/>
                <w:sz w:val="21"/>
                <w14:textFill>
                  <w14:solidFill>
                    <w14:schemeClr w14:val="tx1"/>
                  </w14:solidFill>
                </w14:textFill>
              </w:rPr>
              <w:t>g、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pPr>
              <w:pStyle w:val="81"/>
              <w:spacing w:line="360" w:lineRule="auto"/>
              <w:ind w:firstLine="418"/>
              <w:jc w:val="left"/>
              <w:rPr>
                <w:color w:val="000000" w:themeColor="text1"/>
                <w:spacing w:val="-1"/>
                <w:kern w:val="30"/>
                <w:position w:val="-1"/>
                <w:sz w:val="21"/>
                <w14:textFill>
                  <w14:solidFill>
                    <w14:schemeClr w14:val="tx1"/>
                  </w14:solidFill>
                </w14:textFill>
              </w:rPr>
            </w:pPr>
            <w:r>
              <w:rPr>
                <w:color w:val="000000" w:themeColor="text1"/>
                <w:spacing w:val="-1"/>
                <w:kern w:val="30"/>
                <w:position w:val="-1"/>
                <w:sz w:val="21"/>
                <w14:textFill>
                  <w14:solidFill>
                    <w14:schemeClr w14:val="tx1"/>
                  </w14:solidFill>
                </w14:textFill>
              </w:rPr>
              <w:t>h、贮存点应及时清运贮存的危险废物，实时贮存量不应超过3吨。</w:t>
            </w:r>
          </w:p>
          <w:p>
            <w:pPr>
              <w:pStyle w:val="81"/>
              <w:spacing w:line="360" w:lineRule="auto"/>
              <w:ind w:firstLine="422"/>
              <w:jc w:val="left"/>
              <w:rPr>
                <w:b/>
                <w:bCs w:val="0"/>
                <w:color w:val="000000" w:themeColor="text1"/>
                <w:kern w:val="2"/>
                <w:sz w:val="21"/>
                <w14:textFill>
                  <w14:solidFill>
                    <w14:schemeClr w14:val="tx1"/>
                  </w14:solidFill>
                </w14:textFill>
              </w:rPr>
            </w:pPr>
            <w:r>
              <w:rPr>
                <w:b/>
                <w:bCs w:val="0"/>
                <w:color w:val="000000" w:themeColor="text1"/>
                <w:kern w:val="2"/>
                <w:sz w:val="21"/>
                <w14:textFill>
                  <w14:solidFill>
                    <w14:schemeClr w14:val="tx1"/>
                  </w14:solidFill>
                </w14:textFill>
              </w:rPr>
              <w:t>B、危险废物转运管理措施</w:t>
            </w:r>
          </w:p>
          <w:p>
            <w:pPr>
              <w:pStyle w:val="2"/>
              <w:autoSpaceDN/>
              <w:spacing w:before="0" w:beforeAutospacing="0" w:after="0" w:line="360" w:lineRule="auto"/>
              <w:ind w:firstLine="416" w:firstLineChars="200"/>
              <w:rPr>
                <w:bCs w:val="0"/>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厂内运输过程中，各种危险废物需分别使用符合《危险废物贮存污染控制标准》（GB18597-2023）中的贮存容器要求的容器进行盛装，确保容器完好无损，并在容器上粘贴相应的标签（标明危险废物的名称、重量、成分、特性以及发生泄漏、扩散污染事故时的应急措施和补救方法），由产生点搬运至危险废物存放点时，需设置专人负责，并对员工进行危险废物处理处置知识培训，增加危险废物管理能力，杜绝在厂内运输过程产生抛洒、泄漏、散落的情况发生。</w:t>
            </w:r>
          </w:p>
          <w:p>
            <w:pPr>
              <w:pStyle w:val="2"/>
              <w:autoSpaceDN/>
              <w:spacing w:before="0" w:beforeAutospacing="0" w:after="0" w:line="360" w:lineRule="auto"/>
              <w:ind w:firstLine="416"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另外，项目厂区内地面均有水泥硬化，不会发生危险废物泄漏下渗至地下污染土壤及地下水。经收集后的危险废物均由有运输及处理资质的单位外运处理，本项目不进行危险废物的运输工作。</w:t>
            </w:r>
          </w:p>
          <w:p>
            <w:pPr>
              <w:pStyle w:val="2"/>
              <w:autoSpaceDN/>
              <w:spacing w:before="0" w:beforeAutospacing="0" w:after="0" w:line="360" w:lineRule="auto"/>
              <w:ind w:firstLine="416"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这类危险废物根据《危险废物转移联单管理办法》，对该废物收集进行转移联单管理。填写《惠州市危险废物转移报批表》或《广东省危险废物转移报批表》。</w:t>
            </w:r>
          </w:p>
          <w:p>
            <w:pPr>
              <w:pStyle w:val="2"/>
              <w:autoSpaceDN/>
              <w:spacing w:before="0" w:beforeAutospacing="0" w:after="0" w:line="360" w:lineRule="auto"/>
              <w:ind w:firstLine="416"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危险废物转移报批程序如下：</w:t>
            </w:r>
          </w:p>
          <w:p>
            <w:pPr>
              <w:pStyle w:val="2"/>
              <w:autoSpaceDN/>
              <w:spacing w:before="0" w:beforeAutospacing="0" w:after="0" w:line="360" w:lineRule="auto"/>
              <w:ind w:firstLine="416"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a、由危险废物移出单位提出有关废物转移或委托处理的书面申请，填写《惠州市危险废物转移报批表》，并提供废物处理合同、协议。跨市转移的，须填写《广东省危险废物转移报批表》。</w:t>
            </w:r>
          </w:p>
          <w:p>
            <w:pPr>
              <w:pStyle w:val="2"/>
              <w:autoSpaceDN/>
              <w:spacing w:before="0" w:beforeAutospacing="0" w:after="0" w:line="360" w:lineRule="auto"/>
              <w:ind w:firstLine="416"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b、每转移一种危险废物，填写《惠州市危险废物转移报批表》一式两份，须列明废物的类别、危险特性、有害成分、转移的起始时间、总数量、批次、产生工序。为减低转移时发生事故的风险，存放条件允许时，应尽量减少转移批次。</w:t>
            </w:r>
          </w:p>
          <w:p>
            <w:pPr>
              <w:pStyle w:val="81"/>
              <w:spacing w:line="360" w:lineRule="auto"/>
              <w:ind w:firstLine="420"/>
              <w:jc w:val="left"/>
              <w:rPr>
                <w:color w:val="000000" w:themeColor="text1"/>
                <w:kern w:val="2"/>
                <w:sz w:val="21"/>
                <w14:textFill>
                  <w14:solidFill>
                    <w14:schemeClr w14:val="tx1"/>
                  </w14:solidFill>
                </w14:textFill>
              </w:rPr>
            </w:pPr>
            <w:r>
              <w:rPr>
                <w:color w:val="000000" w:themeColor="text1"/>
                <w:sz w:val="21"/>
                <w14:textFill>
                  <w14:solidFill>
                    <w14:schemeClr w14:val="tx1"/>
                  </w14:solidFill>
                </w14:textFill>
              </w:rPr>
              <w:t>c、市环保局对提供的材料进行审查，并视需要到现场勘察，在《惠州市危险废物转移报批表》上签署审批意见，返还申请单位。同意转移的，发放危险废物转移联单。</w:t>
            </w:r>
          </w:p>
          <w:p>
            <w:pPr>
              <w:pStyle w:val="81"/>
              <w:adjustRightInd w:val="0"/>
              <w:spacing w:line="360" w:lineRule="auto"/>
              <w:ind w:firstLine="420"/>
              <w:jc w:val="left"/>
              <w:rPr>
                <w:b/>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经采用上述措施后，本项目产生的危险废物对周围环境基本无影响。</w:t>
            </w:r>
          </w:p>
          <w:p>
            <w:pPr>
              <w:pStyle w:val="81"/>
              <w:spacing w:line="360" w:lineRule="auto"/>
              <w:ind w:firstLine="0" w:firstLineChars="0"/>
              <w:jc w:val="left"/>
              <w:rPr>
                <w:b/>
                <w:bCs w:val="0"/>
                <w:color w:val="000000" w:themeColor="text1"/>
                <w:kern w:val="2"/>
                <w:sz w:val="21"/>
                <w14:textFill>
                  <w14:solidFill>
                    <w14:schemeClr w14:val="tx1"/>
                  </w14:solidFill>
                </w14:textFill>
              </w:rPr>
            </w:pPr>
            <w:r>
              <w:rPr>
                <w:b/>
                <w:color w:val="000000" w:themeColor="text1"/>
                <w:kern w:val="2"/>
                <w:sz w:val="21"/>
                <w14:textFill>
                  <w14:solidFill>
                    <w14:schemeClr w14:val="tx1"/>
                  </w14:solidFill>
                </w14:textFill>
              </w:rPr>
              <w:t>五、土壤、地下水污染源</w:t>
            </w:r>
          </w:p>
          <w:p>
            <w:pPr>
              <w:pStyle w:val="39"/>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1、土壤及地下水影响识别</w:t>
            </w:r>
          </w:p>
          <w:p>
            <w:pPr>
              <w:pStyle w:val="39"/>
              <w:spacing w:line="360" w:lineRule="auto"/>
              <w:ind w:firstLine="420" w:firstLineChars="200"/>
              <w:rPr>
                <w:bCs w:val="0"/>
                <w:color w:val="000000" w:themeColor="text1"/>
                <w14:textFill>
                  <w14:solidFill>
                    <w14:schemeClr w14:val="tx1"/>
                  </w14:solidFill>
                </w14:textFill>
              </w:rPr>
            </w:pPr>
            <w:r>
              <w:rPr>
                <w:bCs w:val="0"/>
                <w:color w:val="000000" w:themeColor="text1"/>
                <w14:textFill>
                  <w14:solidFill>
                    <w14:schemeClr w14:val="tx1"/>
                  </w14:solidFill>
                </w14:textFill>
              </w:rPr>
              <w:t>本项目厂区各区域均做好有效的防渗措施，正常生产情况对土壤和地下水无影响，只有特殊情况如防渗层破损，管道阀门跑冒滴漏等对土壤和地下水产生影响。</w:t>
            </w:r>
          </w:p>
          <w:p>
            <w:pPr>
              <w:pStyle w:val="39"/>
              <w:spacing w:line="360" w:lineRule="auto"/>
              <w:ind w:firstLine="422" w:firstLineChars="200"/>
              <w:jc w:val="center"/>
              <w:rPr>
                <w:b/>
                <w:color w:val="000000" w:themeColor="text1"/>
                <w14:textFill>
                  <w14:solidFill>
                    <w14:schemeClr w14:val="tx1"/>
                  </w14:solidFill>
                </w14:textFill>
              </w:rPr>
            </w:pPr>
            <w:r>
              <w:rPr>
                <w:b/>
                <w:color w:val="000000" w:themeColor="text1"/>
                <w14:textFill>
                  <w14:solidFill>
                    <w14:schemeClr w14:val="tx1"/>
                  </w14:solidFill>
                </w14:textFill>
              </w:rPr>
              <w:t>表4-24  本项目环境影响源及影响因子识别表</w:t>
            </w:r>
          </w:p>
          <w:tbl>
            <w:tblPr>
              <w:tblStyle w:val="30"/>
              <w:tblW w:w="9838"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3"/>
              <w:gridCol w:w="2241"/>
              <w:gridCol w:w="1541"/>
              <w:gridCol w:w="3067"/>
              <w:gridCol w:w="996"/>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93" w:type="dxa"/>
                  <w:shd w:val="clear" w:color="auto" w:fill="auto"/>
                  <w:vAlign w:val="center"/>
                </w:tcPr>
                <w:p>
                  <w:pPr>
                    <w:pStyle w:val="81"/>
                    <w:adjustRightInd w:val="0"/>
                    <w:ind w:firstLine="0" w:firstLineChars="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产污环节</w:t>
                  </w:r>
                </w:p>
              </w:tc>
              <w:tc>
                <w:tcPr>
                  <w:tcW w:w="2241" w:type="dxa"/>
                  <w:shd w:val="clear" w:color="auto" w:fill="auto"/>
                  <w:vAlign w:val="center"/>
                </w:tcPr>
                <w:p>
                  <w:pPr>
                    <w:pStyle w:val="81"/>
                    <w:adjustRightInd w:val="0"/>
                    <w:ind w:firstLine="0" w:firstLineChars="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污染情景</w:t>
                  </w:r>
                </w:p>
              </w:tc>
              <w:tc>
                <w:tcPr>
                  <w:tcW w:w="1541" w:type="dxa"/>
                  <w:shd w:val="clear" w:color="auto" w:fill="auto"/>
                  <w:vAlign w:val="center"/>
                </w:tcPr>
                <w:p>
                  <w:pPr>
                    <w:pStyle w:val="81"/>
                    <w:adjustRightInd w:val="0"/>
                    <w:ind w:firstLine="0" w:firstLineChars="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污染途径</w:t>
                  </w:r>
                </w:p>
              </w:tc>
              <w:tc>
                <w:tcPr>
                  <w:tcW w:w="3067" w:type="dxa"/>
                  <w:shd w:val="clear" w:color="auto" w:fill="auto"/>
                  <w:vAlign w:val="center"/>
                </w:tcPr>
                <w:p>
                  <w:pPr>
                    <w:pStyle w:val="81"/>
                    <w:adjustRightInd w:val="0"/>
                    <w:ind w:firstLine="0" w:firstLineChars="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污染物指标</w:t>
                  </w:r>
                </w:p>
              </w:tc>
              <w:tc>
                <w:tcPr>
                  <w:tcW w:w="996" w:type="dxa"/>
                  <w:shd w:val="clear" w:color="auto" w:fill="auto"/>
                  <w:vAlign w:val="center"/>
                </w:tcPr>
                <w:p>
                  <w:pPr>
                    <w:pStyle w:val="81"/>
                    <w:adjustRightInd w:val="0"/>
                    <w:ind w:firstLine="0" w:firstLineChars="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备注</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499" w:hRule="atLeast"/>
                <w:jc w:val="center"/>
              </w:trPr>
              <w:tc>
                <w:tcPr>
                  <w:tcW w:w="1993"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危废间</w:t>
                  </w:r>
                </w:p>
              </w:tc>
              <w:tc>
                <w:tcPr>
                  <w:tcW w:w="2241" w:type="dxa"/>
                  <w:vMerge w:val="restart"/>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防渗层破损</w:t>
                  </w:r>
                </w:p>
              </w:tc>
              <w:tc>
                <w:tcPr>
                  <w:tcW w:w="1541"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垂直入渗</w:t>
                  </w:r>
                </w:p>
              </w:tc>
              <w:tc>
                <w:tcPr>
                  <w:tcW w:w="3067"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废机油、喷淋废水</w:t>
                  </w:r>
                </w:p>
              </w:tc>
              <w:tc>
                <w:tcPr>
                  <w:tcW w:w="996"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连续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993"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原料仓</w:t>
                  </w:r>
                </w:p>
              </w:tc>
              <w:tc>
                <w:tcPr>
                  <w:tcW w:w="2241" w:type="dxa"/>
                  <w:vMerge w:val="continue"/>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p>
              </w:tc>
              <w:tc>
                <w:tcPr>
                  <w:tcW w:w="1541"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垂直入渗</w:t>
                  </w:r>
                </w:p>
              </w:tc>
              <w:tc>
                <w:tcPr>
                  <w:tcW w:w="3067"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机油、</w:t>
                  </w:r>
                  <w:r>
                    <w:rPr>
                      <w:rFonts w:hint="eastAsia"/>
                      <w:color w:val="000000" w:themeColor="text1"/>
                      <w:sz w:val="21"/>
                      <w14:textFill>
                        <w14:solidFill>
                          <w14:schemeClr w14:val="tx1"/>
                        </w14:solidFill>
                      </w14:textFill>
                    </w:rPr>
                    <w:t>环氧树脂</w:t>
                  </w:r>
                  <w:r>
                    <w:rPr>
                      <w:color w:val="000000" w:themeColor="text1"/>
                      <w:sz w:val="21"/>
                      <w14:textFill>
                        <w14:solidFill>
                          <w14:schemeClr w14:val="tx1"/>
                        </w14:solidFill>
                      </w14:textFill>
                    </w:rPr>
                    <w:t>胶水</w:t>
                  </w:r>
                  <w:r>
                    <w:rPr>
                      <w:bCs w:val="0"/>
                      <w:color w:val="000000" w:themeColor="text1"/>
                      <w:sz w:val="21"/>
                      <w14:textFill>
                        <w14:solidFill>
                          <w14:schemeClr w14:val="tx1"/>
                        </w14:solidFill>
                      </w14:textFill>
                    </w:rPr>
                    <w:t>、绝缘漆</w:t>
                  </w:r>
                </w:p>
              </w:tc>
              <w:tc>
                <w:tcPr>
                  <w:tcW w:w="996"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连续</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993"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三级化粪池</w:t>
                  </w:r>
                </w:p>
              </w:tc>
              <w:tc>
                <w:tcPr>
                  <w:tcW w:w="2241" w:type="dxa"/>
                  <w:vMerge w:val="continue"/>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p>
              </w:tc>
              <w:tc>
                <w:tcPr>
                  <w:tcW w:w="1541"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垂直入渗</w:t>
                  </w:r>
                </w:p>
              </w:tc>
              <w:tc>
                <w:tcPr>
                  <w:tcW w:w="3067"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生活污水</w:t>
                  </w:r>
                </w:p>
              </w:tc>
              <w:tc>
                <w:tcPr>
                  <w:tcW w:w="996"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连续</w:t>
                  </w:r>
                </w:p>
              </w:tc>
            </w:tr>
          </w:tbl>
          <w:p>
            <w:pPr>
              <w:adjustRightInd w:val="0"/>
              <w:spacing w:before="120" w:beforeLines="50" w:line="360" w:lineRule="auto"/>
              <w:ind w:firstLine="422" w:firstLineChars="200"/>
              <w:rPr>
                <w:b/>
                <w:bCs w:val="0"/>
                <w:color w:val="000000" w:themeColor="text1"/>
                <w14:textFill>
                  <w14:solidFill>
                    <w14:schemeClr w14:val="tx1"/>
                  </w14:solidFill>
                </w14:textFill>
              </w:rPr>
            </w:pPr>
            <w:r>
              <w:rPr>
                <w:b/>
                <w:color w:val="000000" w:themeColor="text1"/>
                <w14:textFill>
                  <w14:solidFill>
                    <w14:schemeClr w14:val="tx1"/>
                  </w14:solidFill>
                </w14:textFill>
              </w:rPr>
              <w:t>2、</w:t>
            </w:r>
            <w:r>
              <w:rPr>
                <w:b/>
                <w:color w:val="000000" w:themeColor="text1"/>
                <w:spacing w:val="-10"/>
                <w14:textFill>
                  <w14:solidFill>
                    <w14:schemeClr w14:val="tx1"/>
                  </w14:solidFill>
                </w14:textFill>
              </w:rPr>
              <w:t>防控措施</w:t>
            </w:r>
          </w:p>
          <w:p>
            <w:pPr>
              <w:adjustRightIn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本项目“危废间、原料仓”属于重点防渗区，为确保本项目不会对周围的土壤、地下水环境造成污染，本项目采取了以下</w:t>
            </w:r>
            <w:r>
              <w:rPr>
                <w:color w:val="000000" w:themeColor="text1"/>
                <w:spacing w:val="-10"/>
                <w14:textFill>
                  <w14:solidFill>
                    <w14:schemeClr w14:val="tx1"/>
                  </w14:solidFill>
                </w14:textFill>
              </w:rPr>
              <w:t>防控措施</w:t>
            </w:r>
            <w:r>
              <w:rPr>
                <w:color w:val="000000" w:themeColor="text1"/>
                <w14:textFill>
                  <w14:solidFill>
                    <w14:schemeClr w14:val="tx1"/>
                  </w14:solidFill>
                </w14:textFill>
              </w:rPr>
              <w:t>：</w:t>
            </w:r>
          </w:p>
          <w:p>
            <w:pPr>
              <w:autoSpaceDE w:val="0"/>
              <w:autoSpaceDN w:val="0"/>
              <w:adjustRightIn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1）源头控制措施</w:t>
            </w:r>
          </w:p>
          <w:p>
            <w:pPr>
              <w:autoSpaceDE w:val="0"/>
              <w:autoSpaceDN w:val="0"/>
              <w:adjustRightInd w:val="0"/>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在源头上采取措施进行控制，主要包括在工艺、管道、设备和废物储存及处理构筑物采取相应措施，防止和降低污染物跑、冒、滴、漏，将污染物泄漏的环境风险事故降到最低程度。加强对危废间、废水处理设施区和原料仓的巡视、管理，做到污染物“早发现、早处理”，减少泄漏而造成的地下水、土壤污染。</w:t>
            </w:r>
          </w:p>
          <w:p>
            <w:pPr>
              <w:autoSpaceDE w:val="0"/>
              <w:autoSpaceDN w:val="0"/>
              <w:adjustRightIn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2）分区防治措施</w:t>
            </w:r>
          </w:p>
          <w:p>
            <w:pPr>
              <w:autoSpaceDE w:val="0"/>
              <w:autoSpaceDN w:val="0"/>
              <w:adjustRightInd w:val="0"/>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 xml:space="preserve">按照场地天然包气带防污性能、污染控制难易程度及污染物类型，将全场进行分区防治，分别是：简单防渗区、一般防渗区及重点防渗区。该项目重点防渗区包括危废间、废水处理设施区和原料仓； </w:t>
            </w:r>
          </w:p>
          <w:p>
            <w:pPr>
              <w:adjustRightInd w:val="0"/>
              <w:spacing w:line="360" w:lineRule="auto"/>
              <w:ind w:firstLine="482"/>
              <w:rPr>
                <w:color w:val="000000" w:themeColor="text1"/>
                <w14:textFill>
                  <w14:solidFill>
                    <w14:schemeClr w14:val="tx1"/>
                  </w14:solidFill>
                </w14:textFill>
              </w:rPr>
            </w:pPr>
            <w:r>
              <w:rPr>
                <w:color w:val="000000" w:themeColor="text1"/>
                <w14:textFill>
                  <w14:solidFill>
                    <w14:schemeClr w14:val="tx1"/>
                  </w14:solidFill>
                </w14:textFill>
              </w:rPr>
              <w:t>各防治区域的装置名录及其防渗要求见下表。</w:t>
            </w:r>
          </w:p>
          <w:p>
            <w:pPr>
              <w:pStyle w:val="14"/>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表4-25  地下水污染防治分区表</w:t>
            </w:r>
          </w:p>
          <w:tbl>
            <w:tblPr>
              <w:tblStyle w:val="30"/>
              <w:tblW w:w="9838"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1289"/>
              <w:gridCol w:w="1474"/>
              <w:gridCol w:w="2332"/>
              <w:gridCol w:w="431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dxa"/>
                  <w:shd w:val="clear" w:color="auto" w:fill="auto"/>
                  <w:vAlign w:val="center"/>
                </w:tcPr>
                <w:p>
                  <w:pPr>
                    <w:pStyle w:val="106"/>
                    <w:adjustRightInd w:val="0"/>
                    <w:snapToGrid w:val="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序号</w:t>
                  </w:r>
                </w:p>
              </w:tc>
              <w:tc>
                <w:tcPr>
                  <w:tcW w:w="1289" w:type="dxa"/>
                  <w:shd w:val="clear" w:color="auto" w:fill="auto"/>
                  <w:vAlign w:val="center"/>
                </w:tcPr>
                <w:p>
                  <w:pPr>
                    <w:pStyle w:val="106"/>
                    <w:adjustRightInd w:val="0"/>
                    <w:snapToGrid w:val="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防治区分区</w:t>
                  </w:r>
                </w:p>
              </w:tc>
              <w:tc>
                <w:tcPr>
                  <w:tcW w:w="1474" w:type="dxa"/>
                  <w:shd w:val="clear" w:color="auto" w:fill="auto"/>
                  <w:vAlign w:val="center"/>
                </w:tcPr>
                <w:p>
                  <w:pPr>
                    <w:pStyle w:val="106"/>
                    <w:adjustRightInd w:val="0"/>
                    <w:snapToGrid w:val="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防治区名称</w:t>
                  </w:r>
                </w:p>
              </w:tc>
              <w:tc>
                <w:tcPr>
                  <w:tcW w:w="2332" w:type="dxa"/>
                  <w:shd w:val="clear" w:color="auto" w:fill="auto"/>
                  <w:vAlign w:val="center"/>
                </w:tcPr>
                <w:p>
                  <w:pPr>
                    <w:pStyle w:val="106"/>
                    <w:adjustRightInd w:val="0"/>
                    <w:snapToGrid w:val="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防治区域</w:t>
                  </w:r>
                </w:p>
              </w:tc>
              <w:tc>
                <w:tcPr>
                  <w:tcW w:w="4315" w:type="dxa"/>
                  <w:shd w:val="clear" w:color="auto" w:fill="auto"/>
                  <w:vAlign w:val="center"/>
                </w:tcPr>
                <w:p>
                  <w:pPr>
                    <w:pStyle w:val="106"/>
                    <w:adjustRightInd w:val="0"/>
                    <w:snapToGrid w:val="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防渗要求</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428"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w:t>
                  </w:r>
                </w:p>
              </w:tc>
              <w:tc>
                <w:tcPr>
                  <w:tcW w:w="1289" w:type="dxa"/>
                  <w:vMerge w:val="restart"/>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重点防渗区</w:t>
                  </w:r>
                </w:p>
              </w:tc>
              <w:tc>
                <w:tcPr>
                  <w:tcW w:w="1474"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危废间</w:t>
                  </w:r>
                </w:p>
              </w:tc>
              <w:tc>
                <w:tcPr>
                  <w:tcW w:w="2332"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场所四周、地面及基础</w:t>
                  </w:r>
                </w:p>
              </w:tc>
              <w:tc>
                <w:tcPr>
                  <w:tcW w:w="4315" w:type="dxa"/>
                  <w:vMerge w:val="restart"/>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重点防渗区要求有耐腐蚀的硬化地面，且表面无裂隙。铺砌地坪地基必须采用粘土材料，且厚度不得低于100cm。粘土材料的渗透系数≤10</w:t>
                  </w:r>
                  <w:r>
                    <w:rPr>
                      <w:rFonts w:ascii="Times New Roman" w:hAnsi="Times New Roman" w:cs="Times New Roman"/>
                      <w:color w:val="000000" w:themeColor="text1"/>
                      <w:vertAlign w:val="superscript"/>
                      <w14:textFill>
                        <w14:solidFill>
                          <w14:schemeClr w14:val="tx1"/>
                        </w14:solidFill>
                      </w14:textFill>
                    </w:rPr>
                    <w:t>-7</w:t>
                  </w:r>
                  <w:r>
                    <w:rPr>
                      <w:rFonts w:ascii="Times New Roman" w:hAnsi="Times New Roman" w:cs="Times New Roman"/>
                      <w:color w:val="000000" w:themeColor="text1"/>
                      <w14:textFill>
                        <w14:solidFill>
                          <w14:schemeClr w14:val="tx1"/>
                        </w14:solidFill>
                      </w14:textFill>
                    </w:rPr>
                    <w:t>cm/s，在无法满足100cm厚粘土基础垫层的情况下，可采用30cm厚普通粘土垫层并加铺2mm厚高密度聚乙烯或至少2mm厚的其它人工防渗材料，渗透系数≤10</w:t>
                  </w:r>
                  <w:r>
                    <w:rPr>
                      <w:rFonts w:ascii="Times New Roman" w:hAnsi="Times New Roman" w:cs="Times New Roman"/>
                      <w:color w:val="000000" w:themeColor="text1"/>
                      <w:vertAlign w:val="superscript"/>
                      <w14:textFill>
                        <w14:solidFill>
                          <w14:schemeClr w14:val="tx1"/>
                        </w14:solidFill>
                      </w14:textFill>
                    </w:rPr>
                    <w:t>-10</w:t>
                  </w:r>
                  <w:r>
                    <w:rPr>
                      <w:rFonts w:ascii="Times New Roman" w:hAnsi="Times New Roman" w:cs="Times New Roman"/>
                      <w:color w:val="000000" w:themeColor="text1"/>
                      <w14:textFill>
                        <w14:solidFill>
                          <w14:schemeClr w14:val="tx1"/>
                        </w14:solidFill>
                      </w14:textFill>
                    </w:rPr>
                    <w:t>cm/s。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p>
              </w:tc>
              <w:tc>
                <w:tcPr>
                  <w:tcW w:w="1289" w:type="dxa"/>
                  <w:vMerge w:val="continue"/>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p>
              </w:tc>
              <w:tc>
                <w:tcPr>
                  <w:tcW w:w="1474" w:type="dxa"/>
                  <w:shd w:val="clear" w:color="auto" w:fill="auto"/>
                  <w:vAlign w:val="center"/>
                </w:tcPr>
                <w:p>
                  <w:pPr>
                    <w:pStyle w:val="81"/>
                    <w:adjustRightInd w:val="0"/>
                    <w:ind w:firstLine="0" w:firstLineChars="0"/>
                    <w:jc w:val="center"/>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原料仓</w:t>
                  </w:r>
                </w:p>
              </w:tc>
              <w:tc>
                <w:tcPr>
                  <w:tcW w:w="2332"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场所四周、地面及基础</w:t>
                  </w:r>
                </w:p>
              </w:tc>
              <w:tc>
                <w:tcPr>
                  <w:tcW w:w="4315" w:type="dxa"/>
                  <w:vMerge w:val="continue"/>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w:t>
                  </w:r>
                </w:p>
              </w:tc>
              <w:tc>
                <w:tcPr>
                  <w:tcW w:w="1289"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一般防渗区</w:t>
                  </w:r>
                </w:p>
              </w:tc>
              <w:tc>
                <w:tcPr>
                  <w:tcW w:w="1474"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生产区</w:t>
                  </w:r>
                </w:p>
              </w:tc>
              <w:tc>
                <w:tcPr>
                  <w:tcW w:w="2332"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地面</w:t>
                  </w:r>
                </w:p>
              </w:tc>
              <w:tc>
                <w:tcPr>
                  <w:tcW w:w="4315"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一般防渗区采用抗渗等级不低于P1级的抗渗混凝土（渗透系数约0.4×10</w:t>
                  </w:r>
                  <w:r>
                    <w:rPr>
                      <w:rFonts w:ascii="Times New Roman" w:hAnsi="Times New Roman" w:cs="Times New Roman"/>
                      <w:color w:val="000000" w:themeColor="text1"/>
                      <w:vertAlign w:val="superscript"/>
                      <w14:textFill>
                        <w14:solidFill>
                          <w14:schemeClr w14:val="tx1"/>
                        </w14:solidFill>
                      </w14:textFill>
                    </w:rPr>
                    <w:t>-7</w:t>
                  </w:r>
                  <w:r>
                    <w:rPr>
                      <w:rFonts w:ascii="Times New Roman" w:hAnsi="Times New Roman" w:cs="Times New Roman"/>
                      <w:color w:val="000000" w:themeColor="text1"/>
                      <w14:textFill>
                        <w14:solidFill>
                          <w14:schemeClr w14:val="tx1"/>
                        </w14:solidFill>
                      </w14:textFill>
                    </w:rPr>
                    <w:t>cm/s，厚度不低于20cm）硬化地面。</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w:t>
                  </w:r>
                </w:p>
              </w:tc>
              <w:tc>
                <w:tcPr>
                  <w:tcW w:w="1289"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简单防渗区</w:t>
                  </w:r>
                </w:p>
              </w:tc>
              <w:tc>
                <w:tcPr>
                  <w:tcW w:w="1474"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办公区</w:t>
                  </w:r>
                </w:p>
              </w:tc>
              <w:tc>
                <w:tcPr>
                  <w:tcW w:w="2332"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地面</w:t>
                  </w:r>
                </w:p>
              </w:tc>
              <w:tc>
                <w:tcPr>
                  <w:tcW w:w="4315" w:type="dxa"/>
                  <w:shd w:val="clear" w:color="auto" w:fill="auto"/>
                  <w:vAlign w:val="center"/>
                </w:tcPr>
                <w:p>
                  <w:pPr>
                    <w:pStyle w:val="106"/>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简单防渗区采用抗渗等级不低于P1级的抗渗混凝土（渗透系数约0.4×10</w:t>
                  </w:r>
                  <w:r>
                    <w:rPr>
                      <w:rFonts w:ascii="Times New Roman" w:hAnsi="Times New Roman" w:cs="Times New Roman"/>
                      <w:color w:val="000000" w:themeColor="text1"/>
                      <w:vertAlign w:val="superscript"/>
                      <w14:textFill>
                        <w14:solidFill>
                          <w14:schemeClr w14:val="tx1"/>
                        </w14:solidFill>
                      </w14:textFill>
                    </w:rPr>
                    <w:t>-7</w:t>
                  </w:r>
                  <w:r>
                    <w:rPr>
                      <w:rFonts w:ascii="Times New Roman" w:hAnsi="Times New Roman" w:cs="Times New Roman"/>
                      <w:color w:val="000000" w:themeColor="text1"/>
                      <w14:textFill>
                        <w14:solidFill>
                          <w14:schemeClr w14:val="tx1"/>
                        </w14:solidFill>
                      </w14:textFill>
                    </w:rPr>
                    <w:t>cm/s，厚度不低于20cm）硬化地面。</w:t>
                  </w:r>
                </w:p>
              </w:tc>
            </w:tr>
          </w:tbl>
          <w:p>
            <w:pPr>
              <w:pStyle w:val="81"/>
              <w:spacing w:line="360" w:lineRule="auto"/>
              <w:ind w:firstLine="420"/>
              <w:jc w:val="left"/>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故本项目</w:t>
            </w:r>
            <w:r>
              <w:rPr>
                <w:color w:val="000000" w:themeColor="text1"/>
                <w:sz w:val="21"/>
                <w14:textFill>
                  <w14:solidFill>
                    <w14:schemeClr w14:val="tx1"/>
                  </w14:solidFill>
                </w14:textFill>
              </w:rPr>
              <w:t>厂区内进行硬底化处理，按要求做好防渗措施，在厂区做好相关防范措施的前提下，本项目建成后对周边土壤、地下水的影响较小。</w:t>
            </w:r>
          </w:p>
          <w:p>
            <w:pPr>
              <w:pStyle w:val="81"/>
              <w:spacing w:line="360" w:lineRule="auto"/>
              <w:ind w:firstLine="0" w:firstLineChars="0"/>
              <w:jc w:val="left"/>
              <w:rPr>
                <w:b/>
                <w:bCs w:val="0"/>
                <w:color w:val="000000" w:themeColor="text1"/>
                <w:sz w:val="21"/>
                <w14:textFill>
                  <w14:solidFill>
                    <w14:schemeClr w14:val="tx1"/>
                  </w14:solidFill>
                </w14:textFill>
              </w:rPr>
            </w:pPr>
            <w:r>
              <w:rPr>
                <w:b/>
                <w:color w:val="000000" w:themeColor="text1"/>
                <w:sz w:val="21"/>
                <w14:textFill>
                  <w14:solidFill>
                    <w14:schemeClr w14:val="tx1"/>
                  </w14:solidFill>
                </w14:textFill>
              </w:rPr>
              <w:t>六、环境风险</w:t>
            </w:r>
          </w:p>
          <w:p>
            <w:pPr>
              <w:pStyle w:val="81"/>
              <w:spacing w:line="360" w:lineRule="auto"/>
              <w:ind w:firstLine="422"/>
              <w:rPr>
                <w:b/>
                <w:color w:val="000000" w:themeColor="text1"/>
                <w:kern w:val="2"/>
                <w:sz w:val="21"/>
                <w14:textFill>
                  <w14:solidFill>
                    <w14:schemeClr w14:val="tx1"/>
                  </w14:solidFill>
                </w14:textFill>
              </w:rPr>
            </w:pPr>
            <w:r>
              <w:rPr>
                <w:b/>
                <w:bCs w:val="0"/>
                <w:color w:val="000000" w:themeColor="text1"/>
                <w:kern w:val="2"/>
                <w:sz w:val="21"/>
                <w14:textFill>
                  <w14:solidFill>
                    <w14:schemeClr w14:val="tx1"/>
                  </w14:solidFill>
                </w14:textFill>
              </w:rPr>
              <w:t>1、环境风险识别</w:t>
            </w:r>
          </w:p>
          <w:p>
            <w:pPr>
              <w:adjustRightInd w:val="0"/>
              <w:spacing w:line="360" w:lineRule="auto"/>
              <w:ind w:firstLine="420" w:firstLineChars="200"/>
              <w:rPr>
                <w:bCs w:val="0"/>
                <w:color w:val="000000" w:themeColor="text1"/>
                <w:kern w:val="0"/>
                <w14:textFill>
                  <w14:solidFill>
                    <w14:schemeClr w14:val="tx1"/>
                  </w14:solidFill>
                </w14:textFill>
              </w:rPr>
            </w:pPr>
            <w:r>
              <w:rPr>
                <w:color w:val="000000" w:themeColor="text1"/>
                <w14:textFill>
                  <w14:solidFill>
                    <w14:schemeClr w14:val="tx1"/>
                  </w14:solidFill>
                </w14:textFill>
              </w:rPr>
              <w:t>根据《建设项目环境风险评价技术导则》（HJ169-2018），</w:t>
            </w:r>
            <w:r>
              <w:rPr>
                <w:color w:val="000000" w:themeColor="text1"/>
                <w:kern w:val="0"/>
                <w14:textFill>
                  <w14:solidFill>
                    <w14:schemeClr w14:val="tx1"/>
                  </w14:solidFill>
                </w14:textFill>
              </w:rPr>
              <w:t>建设项目环境风险潜势划分为Ⅰ、Ⅱ、Ⅲ、Ⅳ、Ⅳ</w:t>
            </w:r>
            <w:r>
              <w:rPr>
                <w:color w:val="000000" w:themeColor="text1"/>
                <w:kern w:val="0"/>
                <w:vertAlign w:val="superscript"/>
                <w14:textFill>
                  <w14:solidFill>
                    <w14:schemeClr w14:val="tx1"/>
                  </w14:solidFill>
                </w14:textFill>
              </w:rPr>
              <w:t>+</w:t>
            </w:r>
            <w:r>
              <w:rPr>
                <w:color w:val="000000" w:themeColor="text1"/>
                <w:kern w:val="0"/>
                <w14:textFill>
                  <w14:solidFill>
                    <w14:schemeClr w14:val="tx1"/>
                  </w14:solidFill>
                </w14:textFill>
              </w:rPr>
              <w:t>级。</w:t>
            </w:r>
          </w:p>
          <w:p>
            <w:pPr>
              <w:pStyle w:val="108"/>
              <w:adjustRightInd w:val="0"/>
              <w:snapToGrid w:val="0"/>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计算所涉及的每种危险物质在厂界内的最大存在总量与其在附录B中对应临界量的比值Q。在不同厂区的同一种物质，按其在厂界内的最大存在总量计算，对于长输管线项目，按照两个截断阀室内之间管段危险物质最大存在总量计算。</w:t>
            </w:r>
          </w:p>
          <w:p>
            <w:pPr>
              <w:pStyle w:val="108"/>
              <w:adjustRightInd w:val="0"/>
              <w:snapToGrid w:val="0"/>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当只涉及一种危险物质时，计算该物质的总量与其临界量比值，即为Q；</w:t>
            </w:r>
          </w:p>
          <w:p>
            <w:pPr>
              <w:pStyle w:val="108"/>
              <w:adjustRightInd w:val="0"/>
              <w:snapToGrid w:val="0"/>
              <w:ind w:firstLine="420" w:firstLineChars="200"/>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当存在多种危险物质时，则按以下式子计算物质总量与其临界量比值（Q）：</w:t>
            </w:r>
          </w:p>
          <w:p>
            <w:pPr>
              <w:adjustRightInd w:val="0"/>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771650" cy="4191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771650" cy="419100"/>
                          </a:xfrm>
                          <a:prstGeom prst="rect">
                            <a:avLst/>
                          </a:prstGeom>
                          <a:noFill/>
                          <a:ln>
                            <a:noFill/>
                          </a:ln>
                        </pic:spPr>
                      </pic:pic>
                    </a:graphicData>
                  </a:graphic>
                </wp:inline>
              </w:drawing>
            </w:r>
          </w:p>
          <w:p>
            <w:pPr>
              <w:pStyle w:val="108"/>
              <w:adjustRightInd w:val="0"/>
              <w:snapToGrid w:val="0"/>
              <w:ind w:firstLine="420" w:firstLineChars="200"/>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式中：q</w:t>
            </w:r>
            <w:r>
              <w:rPr>
                <w:rFonts w:ascii="Times New Roman" w:hAnsi="Times New Roman"/>
                <w:color w:val="000000" w:themeColor="text1"/>
                <w:sz w:val="21"/>
                <w:szCs w:val="21"/>
                <w:vertAlign w:val="subscript"/>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n</w:t>
            </w:r>
            <w:r>
              <w:rPr>
                <w:rFonts w:ascii="Times New Roman" w:hAnsi="Times New Roman"/>
                <w:color w:val="000000" w:themeColor="text1"/>
                <w:sz w:val="21"/>
                <w:szCs w:val="21"/>
                <w14:textFill>
                  <w14:solidFill>
                    <w14:schemeClr w14:val="tx1"/>
                  </w14:solidFill>
                </w14:textFill>
              </w:rPr>
              <w:t>——每种危险物质的最大存在总量，t；</w:t>
            </w:r>
          </w:p>
          <w:p>
            <w:pPr>
              <w:pStyle w:val="108"/>
              <w:adjustRightInd w:val="0"/>
              <w:snapToGrid w:val="0"/>
              <w:ind w:firstLine="1050" w:firstLineChars="500"/>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，…，Q</w:t>
            </w:r>
            <w:r>
              <w:rPr>
                <w:rFonts w:ascii="Times New Roman" w:hAnsi="Times New Roman"/>
                <w:color w:val="000000" w:themeColor="text1"/>
                <w:sz w:val="21"/>
                <w:szCs w:val="21"/>
                <w:vertAlign w:val="subscript"/>
                <w14:textFill>
                  <w14:solidFill>
                    <w14:schemeClr w14:val="tx1"/>
                  </w14:solidFill>
                </w14:textFill>
              </w:rPr>
              <w:t>n</w:t>
            </w:r>
            <w:r>
              <w:rPr>
                <w:rFonts w:ascii="Times New Roman" w:hAnsi="Times New Roman"/>
                <w:color w:val="000000" w:themeColor="text1"/>
                <w:sz w:val="21"/>
                <w:szCs w:val="21"/>
                <w14:textFill>
                  <w14:solidFill>
                    <w14:schemeClr w14:val="tx1"/>
                  </w14:solidFill>
                </w14:textFill>
              </w:rPr>
              <w:t>——每种危险物质的临界量，t。</w:t>
            </w:r>
          </w:p>
          <w:p>
            <w:pPr>
              <w:spacing w:line="360" w:lineRule="auto"/>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表4-26  危险品在生产过程中的使用量和储存量一览表</w:t>
            </w:r>
          </w:p>
          <w:tbl>
            <w:tblPr>
              <w:tblStyle w:val="31"/>
              <w:tblW w:w="9838"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9"/>
              <w:gridCol w:w="1336"/>
              <w:gridCol w:w="2068"/>
              <w:gridCol w:w="2072"/>
              <w:gridCol w:w="1513"/>
              <w:gridCol w:w="179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395" w:type="dxa"/>
                  <w:gridSpan w:val="2"/>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名称</w:t>
                  </w:r>
                </w:p>
              </w:tc>
              <w:tc>
                <w:tcPr>
                  <w:tcW w:w="2068"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风险物质</w:t>
                  </w:r>
                </w:p>
              </w:tc>
              <w:tc>
                <w:tcPr>
                  <w:tcW w:w="2072"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本项目最大存在量（t/a）</w:t>
                  </w:r>
                </w:p>
              </w:tc>
              <w:tc>
                <w:tcPr>
                  <w:tcW w:w="1513"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临界量（t）</w:t>
                  </w:r>
                </w:p>
              </w:tc>
              <w:tc>
                <w:tcPr>
                  <w:tcW w:w="179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q/Q</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原辅</w:t>
                  </w:r>
                </w:p>
                <w:p>
                  <w:pPr>
                    <w:jc w:val="center"/>
                    <w:rPr>
                      <w:color w:val="000000" w:themeColor="text1"/>
                      <w14:textFill>
                        <w14:solidFill>
                          <w14:schemeClr w14:val="tx1"/>
                        </w14:solidFill>
                      </w14:textFill>
                    </w:rPr>
                  </w:pPr>
                  <w:r>
                    <w:rPr>
                      <w:color w:val="000000" w:themeColor="text1"/>
                      <w14:textFill>
                        <w14:solidFill>
                          <w14:schemeClr w14:val="tx1"/>
                        </w14:solidFill>
                      </w14:textFill>
                    </w:rPr>
                    <w:t>材料</w:t>
                  </w:r>
                </w:p>
              </w:tc>
              <w:tc>
                <w:tcPr>
                  <w:tcW w:w="13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06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07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15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2500</w:t>
                  </w:r>
                </w:p>
              </w:tc>
              <w:tc>
                <w:tcPr>
                  <w:tcW w:w="1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0.00006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9" w:type="dxa"/>
                  <w:vMerge w:val="continue"/>
                  <w:vAlign w:val="center"/>
                </w:tcPr>
                <w:p>
                  <w:pPr>
                    <w:jc w:val="center"/>
                    <w:rPr>
                      <w:color w:val="000000" w:themeColor="text1"/>
                      <w14:textFill>
                        <w14:solidFill>
                          <w14:schemeClr w14:val="tx1"/>
                        </w14:solidFill>
                      </w14:textFill>
                    </w:rPr>
                  </w:pPr>
                </w:p>
              </w:tc>
              <w:tc>
                <w:tcPr>
                  <w:tcW w:w="1336"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2068"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07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151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2500</w:t>
                  </w:r>
                </w:p>
              </w:tc>
              <w:tc>
                <w:tcPr>
                  <w:tcW w:w="1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0.00016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8" w:type="dxa"/>
                  <w:gridSpan w:val="5"/>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总（q/Q）</w:t>
                  </w:r>
                </w:p>
              </w:tc>
              <w:tc>
                <w:tcPr>
                  <w:tcW w:w="17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0.00022</w:t>
                  </w:r>
                </w:p>
              </w:tc>
            </w:tr>
          </w:tbl>
          <w:p>
            <w:pPr>
              <w:rPr>
                <w:bCs w:val="0"/>
                <w:color w:val="000000" w:themeColor="text1"/>
                <w14:textFill>
                  <w14:solidFill>
                    <w14:schemeClr w14:val="tx1"/>
                  </w14:solidFill>
                </w14:textFill>
              </w:rPr>
            </w:pPr>
            <w:r>
              <w:rPr>
                <w:bCs w:val="0"/>
                <w:color w:val="000000" w:themeColor="text1"/>
                <w14:textFill>
                  <w14:solidFill>
                    <w14:schemeClr w14:val="tx1"/>
                  </w14:solidFill>
                </w14:textFill>
              </w:rPr>
              <w:t>注：根据《建设项目环境风险评价技术导则》（HJ169-2018）附录B所列危险物质</w:t>
            </w:r>
            <w:r>
              <w:rPr>
                <w:color w:val="000000" w:themeColor="text1"/>
                <w14:textFill>
                  <w14:solidFill>
                    <w14:schemeClr w14:val="tx1"/>
                  </w14:solidFill>
                </w14:textFill>
              </w:rPr>
              <w:t>，</w:t>
            </w:r>
            <w:r>
              <w:rPr>
                <w:bCs w:val="0"/>
                <w:color w:val="000000" w:themeColor="text1"/>
                <w14:textFill>
                  <w14:solidFill>
                    <w14:schemeClr w14:val="tx1"/>
                  </w14:solidFill>
                </w14:textFill>
              </w:rPr>
              <w:t>机油和废机油属于油类物质（临界量为2500t）。</w:t>
            </w:r>
          </w:p>
          <w:p>
            <w:pPr>
              <w:spacing w:line="360" w:lineRule="auto"/>
              <w:ind w:firstLine="420" w:firstLineChars="200"/>
              <w:rPr>
                <w:bCs w:val="0"/>
                <w:color w:val="000000" w:themeColor="text1"/>
                <w14:textFill>
                  <w14:solidFill>
                    <w14:schemeClr w14:val="tx1"/>
                  </w14:solidFill>
                </w14:textFill>
              </w:rPr>
            </w:pPr>
            <w:r>
              <w:rPr>
                <w:bCs w:val="0"/>
                <w:color w:val="000000" w:themeColor="text1"/>
                <w14:textFill>
                  <w14:solidFill>
                    <w14:schemeClr w14:val="tx1"/>
                  </w14:solidFill>
                </w14:textFill>
              </w:rPr>
              <w:t>根据上表可知，本项目完成后全厂危险物质数量与临界量比值Q=0.00022＜1，因此判定环境风险潜势为Ⅰ，风险评价等级为简单分析</w:t>
            </w:r>
            <w:r>
              <w:rPr>
                <w:color w:val="000000" w:themeColor="text1"/>
                <w14:textFill>
                  <w14:solidFill>
                    <w14:schemeClr w14:val="tx1"/>
                  </w14:solidFill>
                </w14:textFill>
              </w:rPr>
              <w:t>。</w:t>
            </w:r>
          </w:p>
          <w:p>
            <w:pPr>
              <w:pStyle w:val="81"/>
              <w:spacing w:line="360" w:lineRule="auto"/>
              <w:ind w:firstLine="422"/>
              <w:rPr>
                <w:b/>
                <w:bCs w:val="0"/>
                <w:color w:val="000000" w:themeColor="text1"/>
                <w:kern w:val="2"/>
                <w:sz w:val="21"/>
                <w14:textFill>
                  <w14:solidFill>
                    <w14:schemeClr w14:val="tx1"/>
                  </w14:solidFill>
                </w14:textFill>
              </w:rPr>
            </w:pPr>
            <w:r>
              <w:rPr>
                <w:b/>
                <w:bCs w:val="0"/>
                <w:color w:val="000000" w:themeColor="text1"/>
                <w:kern w:val="2"/>
                <w:sz w:val="21"/>
                <w14:textFill>
                  <w14:solidFill>
                    <w14:schemeClr w14:val="tx1"/>
                  </w14:solidFill>
                </w14:textFill>
              </w:rPr>
              <w:t>2、环境风险类型</w:t>
            </w:r>
          </w:p>
          <w:p>
            <w:pPr>
              <w:adjustRightInd w:val="0"/>
              <w:snapToGrid w:val="0"/>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根据对生产过程中各个工序的工程分析结果及本产品审查过程的调查了解，本评价主要考虑车间、仓库火灾爆炸事故影响、危废间发生泄漏事故影响。</w:t>
            </w:r>
          </w:p>
          <w:p>
            <w:pPr>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（1）危废间发生泄漏</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危废间临时贮存的废机油存在泄漏的风险，主要原因可能是防渗材料破裂、贮存容器破损、管理不到位造成的。</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由于存放的危废发生泄漏事故时，较难以发现，可能发生向下渗漏到地下水，污染土壤与地下水。为避免发生此类事故，厂区利用独立的危废仓进行危废临时贮存并相应做好防渗、防腐预防措施，因此此类事故发生概率较低。</w:t>
            </w:r>
          </w:p>
          <w:p>
            <w:pPr>
              <w:adjustRightInd w:val="0"/>
              <w:snapToGri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（2）火灾爆炸引发的伴生/次生污染物排放</w:t>
            </w:r>
          </w:p>
          <w:p>
            <w:pPr>
              <w:adjustRightInd w:val="0"/>
              <w:snapToGrid w:val="0"/>
              <w:spacing w:line="360" w:lineRule="auto"/>
              <w:ind w:firstLine="420" w:firstLineChars="200"/>
              <w:jc w:val="left"/>
              <w:rPr>
                <w:bCs w:val="0"/>
                <w:color w:val="000000" w:themeColor="text1"/>
                <w14:textFill>
                  <w14:solidFill>
                    <w14:schemeClr w14:val="tx1"/>
                  </w14:solidFill>
                </w14:textFill>
              </w:rPr>
            </w:pPr>
            <w:r>
              <w:rPr>
                <w:color w:val="000000" w:themeColor="text1"/>
                <w14:textFill>
                  <w14:solidFill>
                    <w14:schemeClr w14:val="tx1"/>
                  </w14:solidFill>
                </w14:textFill>
              </w:rPr>
              <w:t>火灾事故危害除热辐射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会对周围的大气环境造成一定的影响，因此，建设单位应做好消防设施配置，有效控制火势。此外，发生火灾事故时，泄漏物质以及消防废水需进行围堵，而不能外泄到周围环境中。</w:t>
            </w:r>
          </w:p>
          <w:p>
            <w:pPr>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（3）原料仓发生泄漏</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机油、废机油发生泄漏事故时，较难以发现，可能发生向下渗漏到地下水，污染土壤与地下水。为避免发生此类事故，厂区利用独立的物料存放区进行临时贮存并相应做好防渗、防腐预防措施，因此此类事故发生概率较低。</w:t>
            </w:r>
          </w:p>
          <w:p>
            <w:pPr>
              <w:adjustRightInd w:val="0"/>
              <w:snapToGrid w:val="0"/>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（4）废气处理设施故障</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项目废气处理设施故障，导致废气未经处理直接排入大气环境中，造成大气环境受到污染。</w:t>
            </w:r>
          </w:p>
          <w:p>
            <w:pPr>
              <w:adjustRightInd w:val="0"/>
              <w:snapToGrid w:val="0"/>
              <w:spacing w:line="360" w:lineRule="auto"/>
              <w:ind w:firstLine="422" w:firstLineChars="200"/>
              <w:outlineLvl w:val="2"/>
              <w:rPr>
                <w:b/>
                <w:bCs w:val="0"/>
                <w:color w:val="000000" w:themeColor="text1"/>
                <w14:textFill>
                  <w14:solidFill>
                    <w14:schemeClr w14:val="tx1"/>
                  </w14:solidFill>
                </w14:textFill>
              </w:rPr>
            </w:pPr>
            <w:r>
              <w:rPr>
                <w:b/>
                <w:color w:val="000000" w:themeColor="text1"/>
                <w14:textFill>
                  <w14:solidFill>
                    <w14:schemeClr w14:val="tx1"/>
                  </w14:solidFill>
                </w14:textFill>
              </w:rPr>
              <w:t>3、环境风险防范措施</w:t>
            </w:r>
          </w:p>
          <w:p>
            <w:pPr>
              <w:adjustRightInd w:val="0"/>
              <w:snapToGrid w:val="0"/>
              <w:spacing w:line="360" w:lineRule="auto"/>
              <w:ind w:firstLine="422" w:firstLineChars="200"/>
              <w:textAlignment w:val="baseline"/>
              <w:rPr>
                <w:b/>
                <w:color w:val="000000" w:themeColor="text1"/>
                <w14:textFill>
                  <w14:solidFill>
                    <w14:schemeClr w14:val="tx1"/>
                  </w14:solidFill>
                </w14:textFill>
              </w:rPr>
            </w:pPr>
            <w:r>
              <w:rPr>
                <w:b/>
                <w:bCs w:val="0"/>
                <w:color w:val="000000" w:themeColor="text1"/>
                <w14:textFill>
                  <w14:solidFill>
                    <w14:schemeClr w14:val="tx1"/>
                  </w14:solidFill>
                </w14:textFill>
              </w:rPr>
              <w:t>（1）物料泄漏事故的预防措施</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color w:val="000000" w:themeColor="text1"/>
                <w14:textFill>
                  <w14:solidFill>
                    <w14:schemeClr w14:val="tx1"/>
                  </w14:solidFill>
                </w14:textFill>
              </w:rPr>
              <w:t>泄漏事故的预防是物料储运中最重要的环节，发生泄漏事故可能引起火灾等一系列重大事故。经验表明：设备失灵和人为的操作失误是引发泄漏的主要原因。因此选用较好的设备、精心设计、认真管理和操作人员的责任心是减少泄漏事故的关键。</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color w:val="000000" w:themeColor="text1"/>
                <w14:textFill>
                  <w14:solidFill>
                    <w14:schemeClr w14:val="tx1"/>
                  </w14:solidFill>
                </w14:textFill>
              </w:rPr>
              <w:t>本项目主要采取以下预防措施：</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color w:val="000000" w:themeColor="text1"/>
                <w14:textFill>
                  <w14:solidFill>
                    <w14:schemeClr w14:val="tx1"/>
                  </w14:solidFill>
                </w14:textFill>
              </w:rPr>
              <w:t>在原材料储存区域/危废暂存区四周设置地沟避免泄漏物料流入水体。泄漏的物料经收集后作为废液送至相应委外单位处理。</w:t>
            </w:r>
          </w:p>
          <w:p>
            <w:pPr>
              <w:adjustRightInd w:val="0"/>
              <w:snapToGrid w:val="0"/>
              <w:spacing w:line="360" w:lineRule="auto"/>
              <w:ind w:firstLine="422" w:firstLineChars="200"/>
              <w:textAlignment w:val="baseline"/>
              <w:rPr>
                <w:b/>
                <w:color w:val="000000" w:themeColor="text1"/>
                <w14:textFill>
                  <w14:solidFill>
                    <w14:schemeClr w14:val="tx1"/>
                  </w14:solidFill>
                </w14:textFill>
              </w:rPr>
            </w:pPr>
            <w:r>
              <w:rPr>
                <w:b/>
                <w:bCs w:val="0"/>
                <w:color w:val="000000" w:themeColor="text1"/>
                <w14:textFill>
                  <w14:solidFill>
                    <w14:schemeClr w14:val="tx1"/>
                  </w14:solidFill>
                </w14:textFill>
              </w:rPr>
              <w:t>（2）火灾的预防措施</w:t>
            </w:r>
          </w:p>
          <w:p>
            <w:pPr>
              <w:autoSpaceDE w:val="0"/>
              <w:autoSpaceDN w:val="0"/>
              <w:adjustRightInd w:val="0"/>
              <w:snapToGrid w:val="0"/>
              <w:spacing w:line="360" w:lineRule="auto"/>
              <w:ind w:firstLine="420" w:firstLineChars="200"/>
              <w:textAlignment w:val="baseline"/>
              <w:rPr>
                <w:color w:val="000000" w:themeColor="text1"/>
                <w:kern w:val="0"/>
                <w14:textFill>
                  <w14:solidFill>
                    <w14:schemeClr w14:val="tx1"/>
                  </w14:solidFill>
                </w14:textFill>
              </w:rPr>
            </w:pPr>
            <w:r>
              <w:rPr>
                <w:color w:val="000000" w:themeColor="text1"/>
                <w14:textFill>
                  <w14:solidFill>
                    <w14:schemeClr w14:val="tx1"/>
                  </w14:solidFill>
                </w14:textFill>
              </w:rPr>
              <w:t>a</w:t>
            </w:r>
            <w:r>
              <w:rPr>
                <w:color w:val="000000" w:themeColor="text1"/>
                <w:kern w:val="0"/>
                <w14:textFill>
                  <w14:solidFill>
                    <w14:schemeClr w14:val="tx1"/>
                  </w14:solidFill>
                </w14:textFill>
              </w:rPr>
              <w:t xml:space="preserve"> 设备的安全管理：定期对设备进行安全检测，检测内容、时间、人员应有记录保存。安全检测应根据设备的安全性、危险性设定检测频次。</w:t>
            </w:r>
          </w:p>
          <w:p>
            <w:pPr>
              <w:autoSpaceDE w:val="0"/>
              <w:autoSpaceDN w:val="0"/>
              <w:adjustRightInd w:val="0"/>
              <w:snapToGrid w:val="0"/>
              <w:spacing w:line="360" w:lineRule="auto"/>
              <w:ind w:firstLine="420" w:firstLineChars="200"/>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b应加强火源的管理，严禁烟火带入，对设备需进行维修焊接，应经安全部门确认、准许，并有记录。机动车在厂内行驶，须安装阻火器，必要设备安装防火装置。</w:t>
            </w:r>
          </w:p>
          <w:p>
            <w:pPr>
              <w:autoSpaceDE w:val="0"/>
              <w:autoSpaceDN w:val="0"/>
              <w:adjustRightInd w:val="0"/>
              <w:snapToGrid w:val="0"/>
              <w:spacing w:line="360" w:lineRule="auto"/>
              <w:ind w:firstLine="422" w:firstLineChars="200"/>
              <w:textAlignment w:val="baseline"/>
              <w:rPr>
                <w:b/>
                <w:color w:val="000000" w:themeColor="text1"/>
                <w:kern w:val="0"/>
                <w14:textFill>
                  <w14:solidFill>
                    <w14:schemeClr w14:val="tx1"/>
                  </w14:solidFill>
                </w14:textFill>
              </w:rPr>
            </w:pPr>
            <w:r>
              <w:rPr>
                <w:b/>
                <w:bCs w:val="0"/>
                <w:color w:val="000000" w:themeColor="text1"/>
                <w14:textFill>
                  <w14:solidFill>
                    <w14:schemeClr w14:val="tx1"/>
                  </w14:solidFill>
                </w14:textFill>
              </w:rPr>
              <w:t>（3）物料运输及危险废物收集、贮存、运输过程防范措施</w:t>
            </w:r>
          </w:p>
          <w:p>
            <w:pPr>
              <w:adjustRightInd w:val="0"/>
              <w:snapToGrid w:val="0"/>
              <w:spacing w:line="360" w:lineRule="auto"/>
              <w:ind w:firstLine="420" w:firstLineChars="200"/>
              <w:textAlignment w:val="baseline"/>
              <w:rPr>
                <w:bCs w:val="0"/>
                <w:color w:val="000000" w:themeColor="text1"/>
                <w14:textFill>
                  <w14:solidFill>
                    <w14:schemeClr w14:val="tx1"/>
                  </w14:solidFill>
                </w14:textFill>
              </w:rPr>
            </w:pPr>
            <w:r>
              <w:rPr>
                <w:color w:val="000000" w:themeColor="text1"/>
                <w14:textFill>
                  <w14:solidFill>
                    <w14:schemeClr w14:val="tx1"/>
                  </w14:solidFill>
                </w14:textFill>
              </w:rPr>
              <w:t>对各种原材料应分别储存于符合相应要求的库房中，同时应加强管理，非操作人员不得随意出入，加强防火，达到有关部门的要求。</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本项目设置危废暂存间1间，用于收集、临时贮存生产过程中产生的危险废物，危废间面积10m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，位于项目生产车间外西南侧，危险废物贮存场设计中严格执行《危险废物贮存污染控制标准》（GB18597-2023）规定。危险废物在临时仓库暂存后，定期委托有资质的单位进行安全处置。</w:t>
            </w:r>
          </w:p>
          <w:p>
            <w:pPr>
              <w:keepNext/>
              <w:keepLines/>
              <w:adjustRightInd w:val="0"/>
              <w:snapToGrid w:val="0"/>
              <w:spacing w:line="360" w:lineRule="auto"/>
              <w:ind w:firstLine="422" w:firstLineChars="200"/>
              <w:textAlignment w:val="baseline"/>
              <w:outlineLvl w:val="3"/>
              <w:rPr>
                <w:b/>
                <w:color w:val="000000" w:themeColor="text1"/>
                <w14:textFill>
                  <w14:solidFill>
                    <w14:schemeClr w14:val="tx1"/>
                  </w14:solidFill>
                </w14:textFill>
              </w:rPr>
            </w:pPr>
            <w:r>
              <w:rPr>
                <w:b/>
                <w:bCs w:val="0"/>
                <w:color w:val="000000" w:themeColor="text1"/>
                <w14:textFill>
                  <w14:solidFill>
                    <w14:schemeClr w14:val="tx1"/>
                  </w14:solidFill>
                </w14:textFill>
              </w:rPr>
              <w:t>（4）废气处理装置事故防范措施</w:t>
            </w:r>
          </w:p>
          <w:p>
            <w:pPr>
              <w:adjustRightInd w:val="0"/>
              <w:snapToGrid w:val="0"/>
              <w:spacing w:line="360" w:lineRule="auto"/>
              <w:ind w:firstLine="420" w:firstLineChars="200"/>
              <w:textAlignment w:val="baseline"/>
              <w:rPr>
                <w:color w:val="000000" w:themeColor="text1"/>
                <w14:textFill>
                  <w14:solidFill>
                    <w14:schemeClr w14:val="tx1"/>
                  </w14:solidFill>
                </w14:textFill>
              </w:rPr>
            </w:pPr>
            <w:r>
              <w:rPr>
                <w:color w:val="000000" w:themeColor="text1"/>
                <w14:textFill>
                  <w14:solidFill>
                    <w14:schemeClr w14:val="tx1"/>
                  </w14:solidFill>
                </w14:textFill>
              </w:rPr>
              <w:t>应加强对废气处理系统等的日常管理，及时保养与维修。建立严格的操作规程，实行目标责任制，保证环境保护设施的正常运行。应严格按工艺规程进行操作，特别在易发生事故工序，应坚决杜绝为了提高产量等而不严格按要求配料、操作等情况，同时，操作人员应穿戴好劳动防护用品。</w:t>
            </w:r>
          </w:p>
          <w:p>
            <w:pPr>
              <w:adjustRightInd w:val="0"/>
              <w:snapToGrid w:val="0"/>
              <w:spacing w:line="360" w:lineRule="auto"/>
              <w:ind w:firstLine="420" w:firstLineChars="200"/>
              <w:outlineLvl w:val="2"/>
              <w:rPr>
                <w:bCs w:val="0"/>
                <w:color w:val="000000" w:themeColor="text1"/>
                <w14:textFill>
                  <w14:solidFill>
                    <w14:schemeClr w14:val="tx1"/>
                  </w14:solidFill>
                </w14:textFill>
              </w:rPr>
            </w:pPr>
            <w:r>
              <w:rPr>
                <w:bCs w:val="0"/>
                <w:color w:val="000000" w:themeColor="text1"/>
                <w14:textFill>
                  <w14:solidFill>
                    <w14:schemeClr w14:val="tx1"/>
                  </w14:solidFill>
                </w14:textFill>
              </w:rPr>
              <w:t>综上，本项目建成后制定有效的风险事故应急预案，并向所在地生态环境主管部门备案，把可能发生风险事故造成的危害降到最低程度。重点保护对象为项目周围居住区、村民点、机关单位等。且定期对有关人员进行事故应急培训、教育、提高发生事故时的应急处理能力。</w:t>
            </w:r>
          </w:p>
          <w:p>
            <w:pPr>
              <w:adjustRightInd w:val="0"/>
              <w:snapToGrid w:val="0"/>
              <w:spacing w:line="360" w:lineRule="auto"/>
              <w:ind w:firstLine="422" w:firstLineChars="200"/>
              <w:outlineLvl w:val="2"/>
              <w:rPr>
                <w:b/>
                <w:color w:val="000000" w:themeColor="text1"/>
                <w14:textFill>
                  <w14:solidFill>
                    <w14:schemeClr w14:val="tx1"/>
                  </w14:solidFill>
                </w14:textFill>
              </w:rPr>
            </w:pPr>
            <w:r>
              <w:rPr>
                <w:b/>
                <w:color w:val="000000" w:themeColor="text1"/>
                <w14:textFill>
                  <w14:solidFill>
                    <w14:schemeClr w14:val="tx1"/>
                  </w14:solidFill>
                </w14:textFill>
              </w:rPr>
              <w:t>（5）事故应急池设置</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参照中石化《水体污染防控紧急措施设计导则》（中石化建标 43号）和《石油化工企业设计防火规范》（GB50160-2008）要求，事故储存设施总有效容积为：</w:t>
            </w:r>
          </w:p>
          <w:p>
            <w:pPr>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总</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）max+V</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5</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式中：</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：收集系统范围内发生事故的一个罐组或一套装置的物料量，罐组按一个最大储罐计，m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，项目</w:t>
            </w:r>
            <w:r>
              <w:rPr>
                <w:color w:val="000000" w:themeColor="text1"/>
                <w:kern w:val="0"/>
                <w14:textFill>
                  <w14:solidFill>
                    <w14:schemeClr w14:val="tx1"/>
                  </w14:solidFill>
                </w14:textFill>
              </w:rPr>
              <w:t>单桶储量最大为180kg，则V1=0.2m</w:t>
            </w:r>
            <w:r>
              <w:rPr>
                <w:color w:val="000000" w:themeColor="text1"/>
                <w:kern w:val="0"/>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：发生事故的储罐或装置的消防水量，m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，参照《消防给水及消火栓系统技术规范》（GB50974-2014），消防用水量按20L/s计算，火灾延续供水时间按3h计算，则V</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=20*3*3600/1000*90%（考虑消防水蒸气 10%）= 194.4m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：发生事故时可以转输到其他储存或处理设施的物料量，m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建设单位设计利用厂房实体围墙，通过在厂房门口设置缓坡，从而将局部厂区围墙内构成一个围堰区来堵住事故废水。缓坡的高度为10cm，考虑到厂区标高可能不平整，有效高度按实际高度的50%计，即发生事故时利用墙体、缓坡可构成高度5cm的围堰，根据厂区设计资料，厂区占地面积按8000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计，考虑厂区内构筑物和厂房内设备占用空间，有效容积按60%计，即可容纳事故废水量为V</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=8000×10×50%×60%=240m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：发生事故时仍必须进入该收集系统的生产废水量，m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，项目发生事故时仍必须进入该收集系统的生产废水量为0m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，则V</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=0m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：发生事故时可能进入该收集系统的降雨量，m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10×q×F，q为降雨强度（mm），按平均日降雨量计算（q=qa/n，qa为当地多年平均降雨量，n为年平均降雨日数），惠州市年平均降雨量为1921.8mm，年平均降雨日约160天，则日均降雨量为12.01mm；F为必须进入事故废水收集系统的雨水汇水面积（h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），项目厂区总占地约为8000m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，厂区内所有构筑物总占地约为4906m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，则可能进入厂区的汇水面积约8000-4906=3094m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=0.3094hm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，根据《室外排水设计规范》（GB50014-2006）屋面、混凝土径流系数取值为0.85~0.95，本项目取0.90，故V</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=10×q×F =10×12.01×0.3094×0.9=33.44m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 xml:space="preserve">即V </w:t>
            </w:r>
            <w:r>
              <w:rPr>
                <w:color w:val="000000" w:themeColor="text1"/>
                <w:vertAlign w:val="subscript"/>
                <w14:textFill>
                  <w14:solidFill>
                    <w14:schemeClr w14:val="tx1"/>
                  </w14:solidFill>
                </w14:textFill>
              </w:rPr>
              <w:t>总</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）max+V</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+V</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 xml:space="preserve"> =（0.2+194.4-240）+0+33.44= - 11.96m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widowControl/>
              <w:spacing w:line="360" w:lineRule="auto"/>
              <w:ind w:firstLine="420" w:firstLineChars="200"/>
              <w:rPr>
                <w:bCs w:val="0"/>
                <w:color w:val="000000" w:themeColor="text1"/>
                <w:kern w:val="0"/>
                <w14:textFill>
                  <w14:solidFill>
                    <w14:schemeClr w14:val="tx1"/>
                  </w14:solidFill>
                </w14:textFill>
              </w:rPr>
            </w:pPr>
            <w:r>
              <w:rPr>
                <w:color w:val="000000" w:themeColor="text1"/>
                <w:kern w:val="0"/>
                <w14:textFill>
                  <w14:solidFill>
                    <w14:schemeClr w14:val="tx1"/>
                  </w14:solidFill>
                </w14:textFill>
              </w:rPr>
              <w:t>项目租用惠州市</w:t>
            </w:r>
            <w:r>
              <w:rPr>
                <w:color w:val="000000" w:themeColor="text1"/>
                <w14:textFill>
                  <w14:solidFill>
                    <w14:schemeClr w14:val="tx1"/>
                  </w14:solidFill>
                </w14:textFill>
              </w:rPr>
              <w:t>博罗县罗阳街道虾塱村委会洲际工业园</w:t>
            </w:r>
            <w:r>
              <w:rPr>
                <w:color w:val="000000" w:themeColor="text1"/>
                <w:kern w:val="0"/>
                <w14:textFill>
                  <w14:solidFill>
                    <w14:schemeClr w14:val="tx1"/>
                  </w14:solidFill>
                </w14:textFill>
              </w:rPr>
              <w:t>的厂房进行生产，该园区已做风险应急预案规划。建设单位拟在厂区雨水排放口前设置雨水截断闸阀，并且在厂区门口设置缓坡，当发生环境事故产生事故废水时，关闭雨水闸阀，可将事故废水截留在厂区内</w:t>
            </w:r>
            <w:r>
              <w:rPr>
                <w:color w:val="000000" w:themeColor="text1"/>
                <w14:textFill>
                  <w14:solidFill>
                    <w14:schemeClr w14:val="tx1"/>
                  </w14:solidFill>
                </w14:textFill>
              </w:rPr>
              <w:t>。</w:t>
            </w:r>
            <w:r>
              <w:rPr>
                <w:color w:val="000000" w:themeColor="text1"/>
                <w:kern w:val="0"/>
                <w14:textFill>
                  <w14:solidFill>
                    <w14:schemeClr w14:val="tx1"/>
                  </w14:solidFill>
                </w14:textFill>
              </w:rPr>
              <w:t>雨水口闸阀由专人管理，并定期检查维护、应急演练，可确保事故时能正常启用。</w:t>
            </w:r>
          </w:p>
          <w:p>
            <w:pPr>
              <w:widowControl/>
              <w:spacing w:line="360" w:lineRule="auto"/>
              <w:ind w:firstLine="420" w:firstLineChars="200"/>
              <w:rPr>
                <w:color w:val="000000" w:themeColor="text1"/>
                <w:kern w:val="0"/>
                <w14:textFill>
                  <w14:solidFill>
                    <w14:schemeClr w14:val="tx1"/>
                  </w14:solidFill>
                </w14:textFill>
              </w:rPr>
            </w:pPr>
            <w:r>
              <w:rPr>
                <w:color w:val="000000" w:themeColor="text1"/>
                <w14:textFill>
                  <w14:solidFill>
                    <w14:schemeClr w14:val="tx1"/>
                  </w14:solidFill>
                </w14:textFill>
              </w:rPr>
              <w:t>本项目的各种应急设施和措施</w:t>
            </w:r>
            <w:r>
              <w:rPr>
                <w:color w:val="000000" w:themeColor="text1"/>
                <w:kern w:val="0"/>
                <w14:textFill>
                  <w14:solidFill>
                    <w14:schemeClr w14:val="tx1"/>
                  </w14:solidFill>
                </w14:textFill>
              </w:rPr>
              <w:t>足以用于收集火灾事故下的消防废水，避免事故废水外排，不会对周围环境产生不利影响。</w:t>
            </w:r>
          </w:p>
          <w:p>
            <w:pPr>
              <w:adjustRightInd w:val="0"/>
              <w:snapToGrid w:val="0"/>
              <w:spacing w:line="360" w:lineRule="auto"/>
              <w:ind w:firstLine="422" w:firstLineChars="200"/>
              <w:outlineLvl w:val="2"/>
              <w:rPr>
                <w:b/>
                <w:color w:val="000000" w:themeColor="text1"/>
                <w14:textFill>
                  <w14:solidFill>
                    <w14:schemeClr w14:val="tx1"/>
                  </w14:solidFill>
                </w14:textFill>
              </w:rPr>
            </w:pPr>
          </w:p>
          <w:p>
            <w:pPr>
              <w:adjustRightInd w:val="0"/>
              <w:snapToGrid w:val="0"/>
              <w:spacing w:line="360" w:lineRule="auto"/>
              <w:ind w:firstLine="422" w:firstLineChars="200"/>
              <w:outlineLvl w:val="2"/>
              <w:rPr>
                <w:b/>
                <w:bCs w:val="0"/>
                <w:color w:val="000000" w:themeColor="text1"/>
                <w14:textFill>
                  <w14:solidFill>
                    <w14:schemeClr w14:val="tx1"/>
                  </w14:solidFill>
                </w14:textFill>
              </w:rPr>
            </w:pPr>
            <w:r>
              <w:rPr>
                <w:b/>
                <w:color w:val="000000" w:themeColor="text1"/>
                <w14:textFill>
                  <w14:solidFill>
                    <w14:schemeClr w14:val="tx1"/>
                  </w14:solidFill>
                </w14:textFill>
              </w:rPr>
              <w:t>4、小结</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81"/>
              <w:adjustRightInd w:val="0"/>
              <w:snapToGrid w:val="0"/>
              <w:spacing w:line="360" w:lineRule="auto"/>
              <w:ind w:firstLine="420"/>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根据项目风险分析，项目在严格落实环评提出各项措施和要求的前提下，项目风险事故的影响在可恢复范围内，项目环境风险是可以接受的。建设项目环境风险简单分析内容表见下表。</w:t>
            </w:r>
          </w:p>
          <w:p>
            <w:pPr>
              <w:autoSpaceDE w:val="0"/>
              <w:autoSpaceDN w:val="0"/>
              <w:adjustRightInd w:val="0"/>
              <w:spacing w:line="360" w:lineRule="auto"/>
              <w:jc w:val="cente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表</w:t>
            </w:r>
            <w:r>
              <w:rPr>
                <w:b/>
                <w:bCs w:val="0"/>
                <w:color w:val="000000" w:themeColor="text1"/>
                <w14:textFill>
                  <w14:solidFill>
                    <w14:schemeClr w14:val="tx1"/>
                  </w14:solidFill>
                </w14:textFill>
              </w:rPr>
              <w:t xml:space="preserve">4-27 </w:t>
            </w:r>
            <w:r>
              <w:rPr>
                <w:b/>
                <w:color w:val="000000" w:themeColor="text1"/>
                <w14:textFill>
                  <w14:solidFill>
                    <w14:schemeClr w14:val="tx1"/>
                  </w14:solidFill>
                </w14:textFill>
              </w:rPr>
              <w:t xml:space="preserve"> </w:t>
            </w:r>
            <w:r>
              <w:rPr>
                <w:b/>
                <w:bCs w:val="0"/>
                <w:color w:val="000000" w:themeColor="text1"/>
                <w:kern w:val="0"/>
                <w14:textFill>
                  <w14:solidFill>
                    <w14:schemeClr w14:val="tx1"/>
                  </w14:solidFill>
                </w14:textFill>
              </w:rPr>
              <w:t>建设项目环境风险简单分析内容表</w:t>
            </w:r>
          </w:p>
          <w:tbl>
            <w:tblPr>
              <w:tblStyle w:val="30"/>
              <w:tblW w:w="9833"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7572"/>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建设项目名称</w:t>
                  </w:r>
                </w:p>
              </w:tc>
              <w:tc>
                <w:tcPr>
                  <w:tcW w:w="7572" w:type="dxa"/>
                  <w:vAlign w:val="center"/>
                </w:tcPr>
                <w:p>
                  <w:pPr>
                    <w:pStyle w:val="39"/>
                    <w:jc w:val="center"/>
                    <w:rPr>
                      <w:bCs w:val="0"/>
                      <w:color w:val="000000" w:themeColor="text1"/>
                      <w14:textFill>
                        <w14:solidFill>
                          <w14:schemeClr w14:val="tx1"/>
                        </w14:solidFill>
                      </w14:textFill>
                    </w:rPr>
                  </w:pPr>
                  <w:r>
                    <w:rPr>
                      <w:color w:val="000000" w:themeColor="text1"/>
                      <w14:textFill>
                        <w14:solidFill>
                          <w14:schemeClr w14:val="tx1"/>
                        </w14:solidFill>
                      </w14:textFill>
                    </w:rPr>
                    <w:t>田村电子（惠州）有限公司大型变压器分公司建设项目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地点</w:t>
                  </w:r>
                </w:p>
              </w:tc>
              <w:tc>
                <w:tcPr>
                  <w:tcW w:w="757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惠州市博罗县罗阳街道虾塱村委会洲际工业园梅园3路22号</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坐标</w:t>
                  </w:r>
                </w:p>
              </w:tc>
              <w:tc>
                <w:tcPr>
                  <w:tcW w:w="7572" w:type="dxa"/>
                  <w:vAlign w:val="center"/>
                </w:tcPr>
                <w:p>
                  <w:pPr>
                    <w:jc w:val="center"/>
                    <w:rPr>
                      <w:bCs w:val="0"/>
                      <w:color w:val="000000" w:themeColor="text1"/>
                      <w14:textFill>
                        <w14:solidFill>
                          <w14:schemeClr w14:val="tx1"/>
                        </w14:solidFill>
                      </w14:textFill>
                    </w:rPr>
                  </w:pPr>
                  <w:r>
                    <w:rPr>
                      <w:color w:val="000000" w:themeColor="text1"/>
                      <w:kern w:val="0"/>
                      <w14:textFill>
                        <w14:solidFill>
                          <w14:schemeClr w14:val="tx1"/>
                        </w14:solidFill>
                      </w14:textFill>
                    </w:rPr>
                    <w:t>E114°15'57.208"</w:t>
                  </w:r>
                  <w:r>
                    <w:rPr>
                      <w:color w:val="000000" w:themeColor="text1"/>
                      <w14:textFill>
                        <w14:solidFill>
                          <w14:schemeClr w14:val="tx1"/>
                        </w14:solidFill>
                      </w14:textFill>
                    </w:rPr>
                    <w:t>，</w:t>
                  </w:r>
                  <w:r>
                    <w:rPr>
                      <w:color w:val="000000" w:themeColor="text1"/>
                      <w:kern w:val="0"/>
                      <w14:textFill>
                        <w14:solidFill>
                          <w14:schemeClr w14:val="tx1"/>
                        </w14:solidFill>
                      </w14:textFill>
                    </w:rPr>
                    <w:t>N23°11'12.232"</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主要危险物质及分布</w:t>
                  </w:r>
                </w:p>
              </w:tc>
              <w:tc>
                <w:tcPr>
                  <w:tcW w:w="7572" w:type="dxa"/>
                  <w:vAlign w:val="center"/>
                </w:tcPr>
                <w:p>
                  <w:pPr>
                    <w:rPr>
                      <w:bCs w:val="0"/>
                      <w:color w:val="000000" w:themeColor="text1"/>
                      <w14:textFill>
                        <w14:solidFill>
                          <w14:schemeClr w14:val="tx1"/>
                        </w14:solidFill>
                      </w14:textFill>
                    </w:rPr>
                  </w:pPr>
                  <w:r>
                    <w:rPr>
                      <w:color w:val="000000" w:themeColor="text1"/>
                      <w:kern w:val="0"/>
                      <w14:textFill>
                        <w14:solidFill>
                          <w14:schemeClr w14:val="tx1"/>
                        </w14:solidFill>
                      </w14:textFill>
                    </w:rPr>
                    <w:t>根据《建设项目环境风险评价技术导则》（HJ169-2018），本项目使用的</w:t>
                  </w:r>
                  <w:r>
                    <w:rPr>
                      <w:rFonts w:hint="eastAsia"/>
                      <w:color w:val="000000" w:themeColor="text1"/>
                      <w:kern w:val="0"/>
                      <w14:textFill>
                        <w14:solidFill>
                          <w14:schemeClr w14:val="tx1"/>
                        </w14:solidFill>
                      </w14:textFill>
                    </w:rPr>
                    <w:t>环氧树脂</w:t>
                  </w:r>
                  <w:r>
                    <w:rPr>
                      <w:color w:val="000000" w:themeColor="text1"/>
                      <w:kern w:val="0"/>
                      <w14:textFill>
                        <w14:solidFill>
                          <w14:schemeClr w14:val="tx1"/>
                        </w14:solidFill>
                      </w14:textFill>
                    </w:rPr>
                    <w:t>胶水、绝缘漆和机油涉及《建设项目环境风险评价技术导则》（HJ169-2018）附录B所列危险物质，对应风险单元为物料存放区；项目危险废物废布碎/纸皮、废包装物、废绝缘漆渣、废机油、废抹布及手套、喷淋废水以及废活性炭等也具有危险物质，对应的风险单元为危废间。</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环境影响途径及危害后果（大气、地表水、地下水等）</w:t>
                  </w:r>
                </w:p>
              </w:tc>
              <w:tc>
                <w:tcPr>
                  <w:tcW w:w="7572" w:type="dxa"/>
                  <w:vAlign w:val="center"/>
                </w:tcPr>
                <w:p>
                  <w:pPr>
                    <w:rPr>
                      <w:bCs w:val="0"/>
                      <w:color w:val="000000" w:themeColor="text1"/>
                      <w14:textFill>
                        <w14:solidFill>
                          <w14:schemeClr w14:val="tx1"/>
                        </w14:solidFill>
                      </w14:textFill>
                    </w:rPr>
                  </w:pPr>
                  <w:r>
                    <w:rPr>
                      <w:color w:val="000000" w:themeColor="text1"/>
                      <w:kern w:val="0"/>
                      <w14:textFill>
                        <w14:solidFill>
                          <w14:schemeClr w14:val="tx1"/>
                        </w14:solidFill>
                      </w14:textFill>
                    </w:rPr>
                    <w:t>大气环境风险：本项目正常情况并无火灾隐患，事故发生后到结束前这一时段内污染程度会达到最大，污染物最大地面浓度可能会超过该区域的环境空气质量标准。</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1" w:type="dxa"/>
                  <w:vAlign w:val="center"/>
                </w:tcPr>
                <w:p>
                  <w:pPr>
                    <w:jc w:val="center"/>
                    <w:rPr>
                      <w:b/>
                      <w:bCs w:val="0"/>
                      <w:color w:val="000000" w:themeColor="text1"/>
                      <w14:textFill>
                        <w14:solidFill>
                          <w14:schemeClr w14:val="tx1"/>
                        </w14:solidFill>
                      </w14:textFill>
                    </w:rPr>
                  </w:pPr>
                  <w:r>
                    <w:rPr>
                      <w:b/>
                      <w:bCs w:val="0"/>
                      <w:color w:val="000000" w:themeColor="text1"/>
                      <w:kern w:val="0"/>
                      <w14:textFill>
                        <w14:solidFill>
                          <w14:schemeClr w14:val="tx1"/>
                        </w14:solidFill>
                      </w14:textFill>
                    </w:rPr>
                    <w:t>风险防范措施要求</w:t>
                  </w:r>
                </w:p>
              </w:tc>
              <w:tc>
                <w:tcPr>
                  <w:tcW w:w="7572" w:type="dxa"/>
                  <w:vAlign w:val="center"/>
                </w:tcPr>
                <w:p>
                  <w:pPr>
                    <w:rPr>
                      <w:bCs w:val="0"/>
                      <w:color w:val="000000" w:themeColor="text1"/>
                      <w14:textFill>
                        <w14:solidFill>
                          <w14:schemeClr w14:val="tx1"/>
                        </w14:solidFill>
                      </w14:textFill>
                    </w:rPr>
                  </w:pPr>
                  <w:r>
                    <w:rPr>
                      <w:color w:val="000000" w:themeColor="text1"/>
                      <w:kern w:val="0"/>
                      <w14:textFill>
                        <w14:solidFill>
                          <w14:schemeClr w14:val="tx1"/>
                        </w14:solidFill>
                      </w14:textFill>
                    </w:rPr>
                    <w:t>采用严格的国际通用的安全防范体系，加强职工的安全生产教育，提高风险意识。建立一套完整的管理规程、作业规章和应急计划，并在各关键环节配备在线监控、预警和应急装置。</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33" w:type="dxa"/>
                  <w:gridSpan w:val="2"/>
                  <w:vAlign w:val="center"/>
                </w:tcPr>
                <w:p>
                  <w:pPr>
                    <w:rPr>
                      <w:bCs w:val="0"/>
                      <w:color w:val="000000" w:themeColor="text1"/>
                      <w14:textFill>
                        <w14:solidFill>
                          <w14:schemeClr w14:val="tx1"/>
                        </w14:solidFill>
                      </w14:textFill>
                    </w:rPr>
                  </w:pPr>
                  <w:r>
                    <w:rPr>
                      <w:b/>
                      <w:bCs w:val="0"/>
                      <w:color w:val="000000" w:themeColor="text1"/>
                      <w:kern w:val="0"/>
                      <w14:textFill>
                        <w14:solidFill>
                          <w14:schemeClr w14:val="tx1"/>
                        </w14:solidFill>
                      </w14:textFill>
                    </w:rPr>
                    <w:t>填表说明（列出项目相关信息及评价说明）：</w:t>
                  </w:r>
                  <w:r>
                    <w:rPr>
                      <w:color w:val="000000" w:themeColor="text1"/>
                      <w:kern w:val="0"/>
                      <w14:textFill>
                        <w14:solidFill>
                          <w14:schemeClr w14:val="tx1"/>
                        </w14:solidFill>
                      </w14:textFill>
                    </w:rPr>
                    <w:t>根据风险识别和风险分析，本项目环境风险的最大可信事故为火灾问题。建设单位应按照本报告表做好各项风险的预防和应急措施。在项目严格落实环评提出各项措施和要求的前提下，本项目运营期的环境风险在可接受范围之内</w:t>
                  </w:r>
                </w:p>
              </w:tc>
            </w:tr>
          </w:tbl>
          <w:p>
            <w:pPr>
              <w:pStyle w:val="81"/>
              <w:spacing w:line="360" w:lineRule="auto"/>
              <w:ind w:firstLine="422"/>
              <w:rPr>
                <w:b/>
                <w:bCs w:val="0"/>
                <w:color w:val="000000" w:themeColor="text1"/>
                <w:sz w:val="21"/>
                <w14:textFill>
                  <w14:solidFill>
                    <w14:schemeClr w14:val="tx1"/>
                  </w14:solidFill>
                </w14:textFill>
              </w:rPr>
            </w:pPr>
            <w:r>
              <w:rPr>
                <w:b/>
                <w:color w:val="000000" w:themeColor="text1"/>
                <w:sz w:val="21"/>
                <w14:textFill>
                  <w14:solidFill>
                    <w14:schemeClr w14:val="tx1"/>
                  </w14:solidFill>
                </w14:textFill>
              </w:rPr>
              <w:t>7、环保投资估算分析</w:t>
            </w:r>
          </w:p>
          <w:p>
            <w:pPr>
              <w:pStyle w:val="81"/>
              <w:spacing w:line="360" w:lineRule="auto"/>
              <w:ind w:firstLine="420"/>
              <w:rPr>
                <w:bCs w:val="0"/>
                <w:color w:val="000000" w:themeColor="text1"/>
                <w:sz w:val="21"/>
                <w14:textFill>
                  <w14:solidFill>
                    <w14:schemeClr w14:val="tx1"/>
                  </w14:solidFill>
                </w14:textFill>
              </w:rPr>
            </w:pPr>
            <w:r>
              <w:rPr>
                <w:bCs w:val="0"/>
                <w:color w:val="000000" w:themeColor="text1"/>
                <w:sz w:val="21"/>
                <w14:textFill>
                  <w14:solidFill>
                    <w14:schemeClr w14:val="tx1"/>
                  </w14:solidFill>
                </w14:textFill>
              </w:rPr>
              <w:t>针对本项目情况，提出如下环保项目和投资：</w:t>
            </w:r>
          </w:p>
          <w:p>
            <w:pPr>
              <w:pStyle w:val="81"/>
              <w:spacing w:line="360" w:lineRule="auto"/>
              <w:ind w:firstLine="422"/>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表4-28  本项目环保措施投资估算</w:t>
            </w:r>
          </w:p>
          <w:tbl>
            <w:tblPr>
              <w:tblStyle w:val="30"/>
              <w:tblW w:w="9833" w:type="dxa"/>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5963"/>
              <w:gridCol w:w="1980"/>
            </w:tblGrid>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环境影响因素</w:t>
                  </w:r>
                </w:p>
              </w:tc>
              <w:tc>
                <w:tcPr>
                  <w:tcW w:w="5963"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相应环保措施</w:t>
                  </w:r>
                </w:p>
              </w:tc>
              <w:tc>
                <w:tcPr>
                  <w:tcW w:w="1980" w:type="dxa"/>
                  <w:vAlign w:val="center"/>
                </w:tcPr>
                <w:p>
                  <w:pPr>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投资额（万元）</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Merge w:val="restart"/>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大气污染防治</w:t>
                  </w:r>
                </w:p>
                <w:p>
                  <w:pPr>
                    <w:jc w:val="center"/>
                    <w:rPr>
                      <w:color w:val="000000" w:themeColor="text1"/>
                      <w14:textFill>
                        <w14:solidFill>
                          <w14:schemeClr w14:val="tx1"/>
                        </w14:solidFill>
                      </w14:textFill>
                    </w:rPr>
                  </w:pPr>
                  <w:r>
                    <w:rPr>
                      <w:color w:val="000000" w:themeColor="text1"/>
                      <w14:textFill>
                        <w14:solidFill>
                          <w14:schemeClr w14:val="tx1"/>
                        </w14:solidFill>
                      </w14:textFill>
                    </w:rPr>
                    <w:t>（有机废气、烟尘、臭气浓度）</w:t>
                  </w:r>
                </w:p>
              </w:tc>
              <w:tc>
                <w:tcPr>
                  <w:tcW w:w="5963" w:type="dxa"/>
                  <w:vAlign w:val="center"/>
                </w:tcPr>
                <w:p>
                  <w:pPr>
                    <w:pStyle w:val="39"/>
                    <w:rPr>
                      <w:bCs w:val="0"/>
                      <w:color w:val="000000" w:themeColor="text1"/>
                      <w14:textFill>
                        <w14:solidFill>
                          <w14:schemeClr w14:val="tx1"/>
                        </w14:solidFill>
                      </w14:textFill>
                    </w:rPr>
                  </w:pPr>
                  <w:r>
                    <w:rPr>
                      <w:color w:val="000000" w:themeColor="text1"/>
                      <w14:textFill>
                        <w14:solidFill>
                          <w14:schemeClr w14:val="tx1"/>
                        </w14:solidFill>
                      </w14:textFill>
                    </w:rPr>
                    <w:t>VOCs和臭气浓度：密闭负压车间收集+“水喷淋塔+干式过滤器+二级活性炭吸附装置”+15m排气筒（DA001）处理达标后有组织排放</w:t>
                  </w:r>
                </w:p>
              </w:tc>
              <w:tc>
                <w:tcPr>
                  <w:tcW w:w="1980" w:type="dxa"/>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Merge w:val="continue"/>
                  <w:vAlign w:val="center"/>
                </w:tcPr>
                <w:p>
                  <w:pPr>
                    <w:jc w:val="center"/>
                    <w:rPr>
                      <w:color w:val="000000" w:themeColor="text1"/>
                      <w14:textFill>
                        <w14:solidFill>
                          <w14:schemeClr w14:val="tx1"/>
                        </w14:solidFill>
                      </w14:textFill>
                    </w:rPr>
                  </w:pPr>
                </w:p>
              </w:tc>
              <w:tc>
                <w:tcPr>
                  <w:tcW w:w="5963" w:type="dxa"/>
                  <w:vAlign w:val="center"/>
                </w:tcPr>
                <w:p>
                  <w:pPr>
                    <w:pStyle w:val="39"/>
                    <w:rPr>
                      <w:color w:val="000000" w:themeColor="text1"/>
                      <w14:textFill>
                        <w14:solidFill>
                          <w14:schemeClr w14:val="tx1"/>
                        </w14:solidFill>
                      </w14:textFill>
                    </w:rPr>
                  </w:pPr>
                  <w:r>
                    <w:rPr>
                      <w:color w:val="000000" w:themeColor="text1"/>
                      <w14:textFill>
                        <w14:solidFill>
                          <w14:schemeClr w14:val="tx1"/>
                        </w14:solidFill>
                      </w14:textFill>
                    </w:rPr>
                    <w:t>烟尘：移动式除尘器收集处理后无组织排放，加强车间密闭</w:t>
                  </w:r>
                </w:p>
              </w:tc>
              <w:tc>
                <w:tcPr>
                  <w:tcW w:w="1980" w:type="dxa"/>
                  <w:vMerge w:val="continue"/>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水污染防治</w:t>
                  </w:r>
                </w:p>
                <w:p>
                  <w:pPr>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5963" w:type="dxa"/>
                  <w:vAlign w:val="center"/>
                </w:tcPr>
                <w:p>
                  <w:pPr>
                    <w:rPr>
                      <w:color w:val="000000" w:themeColor="text1"/>
                      <w14:textFill>
                        <w14:solidFill>
                          <w14:schemeClr w14:val="tx1"/>
                        </w14:solidFill>
                      </w14:textFill>
                    </w:rPr>
                  </w:pPr>
                  <w:r>
                    <w:rPr>
                      <w:color w:val="000000" w:themeColor="text1"/>
                      <w14:textFill>
                        <w14:solidFill>
                          <w14:schemeClr w14:val="tx1"/>
                        </w14:solidFill>
                      </w14:textFill>
                    </w:rPr>
                    <w:t>生活污水经“三级化粪池”预处理后排入博罗县城生活污水处理厂（已有）</w:t>
                  </w:r>
                </w:p>
              </w:tc>
              <w:tc>
                <w:tcPr>
                  <w:tcW w:w="198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Align w:val="center"/>
                </w:tcPr>
                <w:p>
                  <w:pPr>
                    <w:pStyle w:val="39"/>
                    <w:jc w:val="center"/>
                    <w:rPr>
                      <w:bCs w:val="0"/>
                      <w:color w:val="000000" w:themeColor="text1"/>
                      <w14:textFill>
                        <w14:solidFill>
                          <w14:schemeClr w14:val="tx1"/>
                        </w14:solidFill>
                      </w14:textFill>
                    </w:rPr>
                  </w:pPr>
                  <w:r>
                    <w:rPr>
                      <w:color w:val="000000" w:themeColor="text1"/>
                      <w14:textFill>
                        <w14:solidFill>
                          <w14:schemeClr w14:val="tx1"/>
                        </w14:solidFill>
                      </w14:textFill>
                    </w:rPr>
                    <w:t>固体废物</w:t>
                  </w:r>
                </w:p>
              </w:tc>
              <w:tc>
                <w:tcPr>
                  <w:tcW w:w="5963" w:type="dxa"/>
                  <w:vAlign w:val="center"/>
                </w:tcPr>
                <w:p>
                  <w:pPr>
                    <w:pStyle w:val="39"/>
                    <w:rPr>
                      <w:bCs w:val="0"/>
                      <w:color w:val="000000" w:themeColor="text1"/>
                      <w14:textFill>
                        <w14:solidFill>
                          <w14:schemeClr w14:val="tx1"/>
                        </w14:solidFill>
                      </w14:textFill>
                    </w:rPr>
                  </w:pPr>
                  <w:r>
                    <w:rPr>
                      <w:color w:val="000000" w:themeColor="text1"/>
                      <w14:textFill>
                        <w14:solidFill>
                          <w14:schemeClr w14:val="tx1"/>
                        </w14:solidFill>
                      </w14:textFill>
                    </w:rPr>
                    <w:t>一般固体废物交由专业回收单位回收处理，危险废物委托有危险废物处理资质单位处置，生活垃圾</w:t>
                  </w:r>
                  <w:r>
                    <w:rPr>
                      <w:color w:val="000000" w:themeColor="text1"/>
                      <w:kern w:val="0"/>
                      <w14:textFill>
                        <w14:solidFill>
                          <w14:schemeClr w14:val="tx1"/>
                        </w14:solidFill>
                      </w14:textFill>
                    </w:rPr>
                    <w:t>交由环卫部门统一清运</w:t>
                  </w:r>
                </w:p>
              </w:tc>
              <w:tc>
                <w:tcPr>
                  <w:tcW w:w="198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噪声防治</w:t>
                  </w:r>
                </w:p>
              </w:tc>
              <w:tc>
                <w:tcPr>
                  <w:tcW w:w="5963"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隔声、降噪</w:t>
                  </w:r>
                </w:p>
              </w:tc>
              <w:tc>
                <w:tcPr>
                  <w:tcW w:w="198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环境风险</w:t>
                  </w:r>
                </w:p>
              </w:tc>
              <w:tc>
                <w:tcPr>
                  <w:tcW w:w="5963" w:type="dxa"/>
                  <w:vAlign w:val="center"/>
                </w:tcPr>
                <w:p>
                  <w:pPr>
                    <w:pStyle w:val="39"/>
                    <w:jc w:val="center"/>
                    <w:rPr>
                      <w:bCs w:val="0"/>
                      <w:color w:val="000000" w:themeColor="text1"/>
                      <w14:textFill>
                        <w14:solidFill>
                          <w14:schemeClr w14:val="tx1"/>
                        </w14:solidFill>
                      </w14:textFill>
                    </w:rPr>
                  </w:pPr>
                  <w:r>
                    <w:rPr>
                      <w:color w:val="000000" w:themeColor="text1"/>
                      <w14:textFill>
                        <w14:solidFill>
                          <w14:schemeClr w14:val="tx1"/>
                        </w14:solidFill>
                      </w14:textFill>
                    </w:rPr>
                    <w:t>手提式干粉灭火器、推车式灭火器、灭火毯、沙子等</w:t>
                  </w:r>
                </w:p>
              </w:tc>
              <w:tc>
                <w:tcPr>
                  <w:tcW w:w="198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r>
            <w:tr>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53" w:type="dxa"/>
                  <w:gridSpan w:val="2"/>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合计</w:t>
                  </w:r>
                </w:p>
              </w:tc>
              <w:tc>
                <w:tcPr>
                  <w:tcW w:w="1980"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85</w:t>
                  </w:r>
                </w:p>
              </w:tc>
            </w:tr>
          </w:tbl>
          <w:p>
            <w:pPr>
              <w:pStyle w:val="27"/>
              <w:spacing w:before="0" w:beforeAutospacing="0" w:after="0" w:afterAutospacing="0"/>
              <w:rPr>
                <w:rFonts w:ascii="Times New Roman" w:hAnsi="Times New Roman"/>
                <w:snapToGrid w:val="0"/>
                <w:color w:val="000000" w:themeColor="text1"/>
                <w:sz w:val="21"/>
                <w:szCs w:val="21"/>
                <w14:textFill>
                  <w14:solidFill>
                    <w14:schemeClr w14:val="tx1"/>
                  </w14:solidFill>
                </w14:textFill>
              </w:rPr>
            </w:pPr>
          </w:p>
        </w:tc>
      </w:tr>
    </w:tbl>
    <w:p>
      <w:pPr>
        <w:widowControl/>
        <w:jc w:val="left"/>
        <w:rPr>
          <w:snapToGrid w:val="0"/>
          <w:color w:val="000000" w:themeColor="text1"/>
          <w:kern w:val="0"/>
          <w:sz w:val="24"/>
          <w:szCs w:val="20"/>
          <w14:textFill>
            <w14:solidFill>
              <w14:schemeClr w14:val="tx1"/>
            </w14:solidFill>
          </w14:textFill>
        </w:rPr>
      </w:pPr>
      <w:r>
        <w:rPr>
          <w:snapToGrid w:val="0"/>
          <w:color w:val="000000" w:themeColor="text1"/>
          <w14:textFill>
            <w14:solidFill>
              <w14:schemeClr w14:val="tx1"/>
            </w14:solidFill>
          </w14:textFill>
        </w:rPr>
        <w:br w:type="page"/>
      </w:r>
    </w:p>
    <w:p>
      <w:pPr>
        <w:pStyle w:val="27"/>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五、</w:t>
      </w:r>
      <w:bookmarkStart w:id="2" w:name="_Hlk54167917"/>
      <w:r>
        <w:rPr>
          <w:rFonts w:ascii="Times New Roman" w:hAnsi="Times New Roman" w:eastAsia="黑体"/>
          <w:snapToGrid w:val="0"/>
          <w:color w:val="000000" w:themeColor="text1"/>
          <w:sz w:val="30"/>
          <w:szCs w:val="30"/>
          <w14:textFill>
            <w14:solidFill>
              <w14:schemeClr w14:val="tx1"/>
            </w14:solidFill>
          </w14:textFill>
        </w:rPr>
        <w:t>环境保护措施监督检查清单</w:t>
      </w:r>
      <w:bookmarkEnd w:id="2"/>
    </w:p>
    <w:tbl>
      <w:tblPr>
        <w:tblStyle w:val="30"/>
        <w:tblW w:w="1031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5"/>
        <w:gridCol w:w="387"/>
        <w:gridCol w:w="1276"/>
        <w:gridCol w:w="1417"/>
        <w:gridCol w:w="2618"/>
        <w:gridCol w:w="36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dxa"/>
            <w:tcBorders>
              <w:top w:val="single" w:color="auto" w:sz="12" w:space="0"/>
              <w:bottom w:val="single" w:color="auto" w:sz="4" w:space="0"/>
              <w:tl2br w:val="single" w:color="auto" w:sz="4" w:space="0"/>
            </w:tcBorders>
          </w:tcPr>
          <w:p>
            <w:pPr>
              <w:adjustRightInd w:val="0"/>
              <w:snapToGrid w:val="0"/>
              <w:ind w:firstLine="211" w:firstLineChars="100"/>
              <w:rPr>
                <w:b/>
                <w:bCs w:val="0"/>
                <w:color w:val="000000" w:themeColor="text1"/>
                <w14:textFill>
                  <w14:solidFill>
                    <w14:schemeClr w14:val="tx1"/>
                  </w14:solidFill>
                </w14:textFill>
              </w:rPr>
            </w:pPr>
            <w:r>
              <w:rPr>
                <w:b/>
                <w:bCs w:val="0"/>
                <w:color w:val="000000" w:themeColor="text1"/>
                <w14:textFill>
                  <w14:solidFill>
                    <w14:schemeClr w14:val="tx1"/>
                  </w14:solidFill>
                </w14:textFill>
              </w:rPr>
              <w:t>内容</w:t>
            </w:r>
          </w:p>
          <w:p>
            <w:pPr>
              <w:adjustRightInd w:val="0"/>
              <w:snapToGrid w:val="0"/>
              <w:rPr>
                <w:b/>
                <w:bCs w:val="0"/>
                <w:color w:val="000000" w:themeColor="text1"/>
                <w14:textFill>
                  <w14:solidFill>
                    <w14:schemeClr w14:val="tx1"/>
                  </w14:solidFill>
                </w14:textFill>
              </w:rPr>
            </w:pPr>
          </w:p>
          <w:p>
            <w:pPr>
              <w:adjustRightInd w:val="0"/>
              <w:snapToGrid w:val="0"/>
              <w:rPr>
                <w:b/>
                <w:bCs w:val="0"/>
                <w:color w:val="000000" w:themeColor="text1"/>
                <w14:textFill>
                  <w14:solidFill>
                    <w14:schemeClr w14:val="tx1"/>
                  </w14:solidFill>
                </w14:textFill>
              </w:rPr>
            </w:pPr>
          </w:p>
          <w:p>
            <w:pPr>
              <w:adjustRightInd w:val="0"/>
              <w:snapToGrid w:val="0"/>
              <w:rPr>
                <w:b/>
                <w:bCs w:val="0"/>
                <w:color w:val="000000" w:themeColor="text1"/>
                <w14:textFill>
                  <w14:solidFill>
                    <w14:schemeClr w14:val="tx1"/>
                  </w14:solidFill>
                </w14:textFill>
              </w:rPr>
            </w:pPr>
            <w:r>
              <w:rPr>
                <w:b/>
                <w:bCs w:val="0"/>
                <w:color w:val="000000" w:themeColor="text1"/>
                <w14:textFill>
                  <w14:solidFill>
                    <w14:schemeClr w14:val="tx1"/>
                  </w14:solidFill>
                </w14:textFill>
              </w:rPr>
              <w:t>要素</w:t>
            </w:r>
          </w:p>
        </w:tc>
        <w:tc>
          <w:tcPr>
            <w:tcW w:w="1663" w:type="dxa"/>
            <w:gridSpan w:val="2"/>
            <w:tcBorders>
              <w:top w:val="single" w:color="auto" w:sz="12" w:space="0"/>
              <w:bottom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排放口（编号、</w:t>
            </w:r>
          </w:p>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名称）/污染源</w:t>
            </w:r>
          </w:p>
        </w:tc>
        <w:tc>
          <w:tcPr>
            <w:tcW w:w="1417" w:type="dxa"/>
            <w:tcBorders>
              <w:top w:val="single" w:color="auto" w:sz="12" w:space="0"/>
              <w:bottom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污染物项目</w:t>
            </w:r>
          </w:p>
        </w:tc>
        <w:tc>
          <w:tcPr>
            <w:tcW w:w="2618" w:type="dxa"/>
            <w:tcBorders>
              <w:top w:val="single" w:color="auto" w:sz="12" w:space="0"/>
              <w:bottom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环境保护措施</w:t>
            </w:r>
          </w:p>
        </w:tc>
        <w:tc>
          <w:tcPr>
            <w:tcW w:w="3661" w:type="dxa"/>
            <w:tcBorders>
              <w:top w:val="single" w:color="auto" w:sz="12" w:space="0"/>
              <w:bottom w:val="single" w:color="auto" w:sz="4" w:space="0"/>
            </w:tcBorders>
            <w:vAlign w:val="center"/>
          </w:tcPr>
          <w:p>
            <w:pPr>
              <w:adjustRightInd w:val="0"/>
              <w:snapToGrid w:val="0"/>
              <w:jc w:val="center"/>
              <w:rPr>
                <w:b/>
                <w:bCs w:val="0"/>
                <w:color w:val="000000" w:themeColor="text1"/>
                <w14:textFill>
                  <w14:solidFill>
                    <w14:schemeClr w14:val="tx1"/>
                  </w14:solidFill>
                </w14:textFill>
              </w:rPr>
            </w:pPr>
            <w:r>
              <w:rPr>
                <w:b/>
                <w:bCs w:val="0"/>
                <w:color w:val="000000" w:themeColor="text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restart"/>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大气  环境</w:t>
            </w:r>
          </w:p>
        </w:tc>
        <w:tc>
          <w:tcPr>
            <w:tcW w:w="387"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有组织</w:t>
            </w:r>
          </w:p>
        </w:tc>
        <w:tc>
          <w:tcPr>
            <w:tcW w:w="1276"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排气筒（DA001）</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NMHC/</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TVOC</w:t>
            </w:r>
          </w:p>
        </w:tc>
        <w:tc>
          <w:tcPr>
            <w:tcW w:w="2618" w:type="dxa"/>
            <w:vMerge w:val="restart"/>
            <w:tcBorders>
              <w:top w:val="single" w:color="auto" w:sz="4" w:space="0"/>
            </w:tcBorders>
            <w:vAlign w:val="center"/>
          </w:tcPr>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顶吸集气罩/</w:t>
            </w:r>
            <w:r>
              <w:rPr>
                <w:color w:val="000000" w:themeColor="text1"/>
                <w14:textFill>
                  <w14:solidFill>
                    <w14:schemeClr w14:val="tx1"/>
                  </w14:solidFill>
                </w14:textFill>
              </w:rPr>
              <w:t>密闭负压车间收集+“水喷淋塔+干式过滤器+二级活性炭吸附装置”+15m排气筒（DA001）处理达标后有组织排放</w:t>
            </w:r>
          </w:p>
        </w:tc>
        <w:tc>
          <w:tcPr>
            <w:tcW w:w="3661" w:type="dxa"/>
            <w:tcBorders>
              <w:top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广东省《固定污染源挥发性有机物综合排放标准》（DB44/2367-2022）表1限值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87" w:type="dxa"/>
            <w:vMerge w:val="continue"/>
            <w:vAlign w:val="center"/>
          </w:tcPr>
          <w:p>
            <w:pPr>
              <w:adjustRightInd w:val="0"/>
              <w:snapToGrid w:val="0"/>
              <w:jc w:val="center"/>
              <w:rPr>
                <w:color w:val="000000" w:themeColor="text1"/>
                <w14:textFill>
                  <w14:solidFill>
                    <w14:schemeClr w14:val="tx1"/>
                  </w14:solidFill>
                </w14:textFill>
              </w:rPr>
            </w:pPr>
          </w:p>
        </w:tc>
        <w:tc>
          <w:tcPr>
            <w:tcW w:w="1276" w:type="dxa"/>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臭气浓度</w:t>
            </w:r>
          </w:p>
        </w:tc>
        <w:tc>
          <w:tcPr>
            <w:tcW w:w="2618" w:type="dxa"/>
            <w:vMerge w:val="continue"/>
            <w:tcBorders>
              <w:bottom w:val="single" w:color="auto" w:sz="4" w:space="0"/>
            </w:tcBorders>
            <w:vAlign w:val="center"/>
          </w:tcPr>
          <w:p>
            <w:pPr>
              <w:rPr>
                <w:color w:val="000000" w:themeColor="text1"/>
                <w14:textFill>
                  <w14:solidFill>
                    <w14:schemeClr w14:val="tx1"/>
                  </w14:solidFill>
                </w14:textFill>
              </w:rPr>
            </w:pPr>
          </w:p>
        </w:tc>
        <w:tc>
          <w:tcPr>
            <w:tcW w:w="3661" w:type="dxa"/>
            <w:tcBorders>
              <w:top w:val="single" w:color="auto" w:sz="4" w:space="0"/>
              <w:bottom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《恶臭污染物排放标准》（GB14554-93）表2标准限值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87"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1276"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厂界</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总VOCs</w:t>
            </w:r>
          </w:p>
        </w:tc>
        <w:tc>
          <w:tcPr>
            <w:tcW w:w="2618"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加强车间密闭</w:t>
            </w:r>
          </w:p>
        </w:tc>
        <w:tc>
          <w:tcPr>
            <w:tcW w:w="3661" w:type="dxa"/>
            <w:tcBorders>
              <w:top w:val="single" w:color="auto" w:sz="4" w:space="0"/>
              <w:bottom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《家具制造行业挥发性有机化合物排放标准》（DB44/814-2010）表2无组织排放监控点浓度限值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87" w:type="dxa"/>
            <w:vMerge w:val="continue"/>
            <w:vAlign w:val="center"/>
          </w:tcPr>
          <w:p>
            <w:pPr>
              <w:adjustRightInd w:val="0"/>
              <w:snapToGrid w:val="0"/>
              <w:jc w:val="center"/>
              <w:rPr>
                <w:color w:val="000000" w:themeColor="text1"/>
                <w14:textFill>
                  <w14:solidFill>
                    <w14:schemeClr w14:val="tx1"/>
                  </w14:solidFill>
                </w14:textFill>
              </w:rPr>
            </w:pPr>
          </w:p>
        </w:tc>
        <w:tc>
          <w:tcPr>
            <w:tcW w:w="1276" w:type="dxa"/>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臭气浓度</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tcBorders>
              <w:top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《恶臭污染物排放标准》（GB14554-93）表1二级（新扩改建）标准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87" w:type="dxa"/>
            <w:vMerge w:val="continue"/>
            <w:vAlign w:val="center"/>
          </w:tcPr>
          <w:p>
            <w:pPr>
              <w:adjustRightInd w:val="0"/>
              <w:snapToGrid w:val="0"/>
              <w:jc w:val="center"/>
              <w:rPr>
                <w:color w:val="000000" w:themeColor="text1"/>
                <w14:textFill>
                  <w14:solidFill>
                    <w14:schemeClr w14:val="tx1"/>
                  </w14:solidFill>
                </w14:textFill>
              </w:rPr>
            </w:pPr>
          </w:p>
        </w:tc>
        <w:tc>
          <w:tcPr>
            <w:tcW w:w="1276" w:type="dxa"/>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颗粒物</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tcBorders>
              <w:top w:val="single" w:color="auto" w:sz="4" w:space="0"/>
              <w:bottom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广东省《大气污染物排放限值》（DB44/27-2001）第二时段无组织排放监控浓度限值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87" w:type="dxa"/>
            <w:vMerge w:val="continue"/>
            <w:tcBorders>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276" w:type="dxa"/>
            <w:tcBorders>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厂区内</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NMHC</w:t>
            </w:r>
          </w:p>
        </w:tc>
        <w:tc>
          <w:tcPr>
            <w:tcW w:w="2618" w:type="dxa"/>
            <w:vMerge w:val="continue"/>
            <w:tcBorders>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661" w:type="dxa"/>
            <w:tcBorders>
              <w:top w:val="single" w:color="auto" w:sz="4" w:space="0"/>
              <w:bottom w:val="single" w:color="auto" w:sz="4" w:space="0"/>
            </w:tcBorders>
            <w:vAlign w:val="center"/>
          </w:tcPr>
          <w:p>
            <w:pPr>
              <w:rPr>
                <w:bCs w:val="0"/>
                <w:color w:val="000000" w:themeColor="text1"/>
                <w14:textFill>
                  <w14:solidFill>
                    <w14:schemeClr w14:val="tx1"/>
                  </w14:solidFill>
                </w14:textFill>
              </w:rPr>
            </w:pPr>
            <w:r>
              <w:rPr>
                <w:bCs w:val="0"/>
                <w:color w:val="000000" w:themeColor="text1"/>
                <w14:textFill>
                  <w14:solidFill>
                    <w14:schemeClr w14:val="tx1"/>
                  </w14:solidFill>
                </w14:textFill>
              </w:rPr>
              <w:t>广东省《固定污染源挥发性有机物综合排放标准》（DB44/2367-2022）表3限值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地表水环境</w:t>
            </w:r>
          </w:p>
        </w:tc>
        <w:tc>
          <w:tcPr>
            <w:tcW w:w="1663" w:type="dxa"/>
            <w:gridSpan w:val="2"/>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1417" w:type="dxa"/>
            <w:tcBorders>
              <w:top w:val="single" w:color="auto" w:sz="4" w:space="0"/>
              <w:bottom w:val="single" w:color="auto" w:sz="4" w:space="0"/>
            </w:tcBorders>
            <w:vAlign w:val="center"/>
          </w:tcPr>
          <w:p>
            <w:pPr>
              <w:jc w:val="center"/>
              <w:rPr>
                <w:bCs w:val="0"/>
                <w:color w:val="000000" w:themeColor="text1"/>
                <w14:textFill>
                  <w14:solidFill>
                    <w14:schemeClr w14:val="tx1"/>
                  </w14:solidFill>
                </w14:textFill>
              </w:rPr>
            </w:pPr>
            <w:r>
              <w:rPr>
                <w:color w:val="000000" w:themeColor="text1"/>
                <w:kern w:val="0"/>
                <w14:textFill>
                  <w14:solidFill>
                    <w14:schemeClr w14:val="tx1"/>
                  </w14:solidFill>
                </w14:textFill>
              </w:rPr>
              <w:t>COD</w:t>
            </w:r>
            <w:r>
              <w:rPr>
                <w:color w:val="000000" w:themeColor="text1"/>
                <w:kern w:val="0"/>
                <w:vertAlign w:val="subscript"/>
                <w14:textFill>
                  <w14:solidFill>
                    <w14:schemeClr w14:val="tx1"/>
                  </w14:solidFill>
                </w14:textFill>
              </w:rPr>
              <w:t>cr</w:t>
            </w:r>
            <w:r>
              <w:rPr>
                <w:color w:val="000000" w:themeColor="text1"/>
                <w:kern w:val="0"/>
                <w14:textFill>
                  <w14:solidFill>
                    <w14:schemeClr w14:val="tx1"/>
                  </w14:solidFill>
                </w14:textFill>
              </w:rPr>
              <w:t>、BOD</w:t>
            </w:r>
            <w:r>
              <w:rPr>
                <w:color w:val="000000" w:themeColor="text1"/>
                <w:kern w:val="0"/>
                <w:vertAlign w:val="subscript"/>
                <w14:textFill>
                  <w14:solidFill>
                    <w14:schemeClr w14:val="tx1"/>
                  </w14:solidFill>
                </w14:textFill>
              </w:rPr>
              <w:t>5</w:t>
            </w:r>
            <w:r>
              <w:rPr>
                <w:color w:val="000000" w:themeColor="text1"/>
                <w:kern w:val="0"/>
                <w14:textFill>
                  <w14:solidFill>
                    <w14:schemeClr w14:val="tx1"/>
                  </w14:solidFill>
                </w14:textFill>
              </w:rPr>
              <w:t>、SS、NH</w:t>
            </w:r>
            <w:r>
              <w:rPr>
                <w:color w:val="000000" w:themeColor="text1"/>
                <w:kern w:val="0"/>
                <w:vertAlign w:val="subscript"/>
                <w14:textFill>
                  <w14:solidFill>
                    <w14:schemeClr w14:val="tx1"/>
                  </w14:solidFill>
                </w14:textFill>
              </w:rPr>
              <w:t>3</w:t>
            </w:r>
            <w:r>
              <w:rPr>
                <w:color w:val="000000" w:themeColor="text1"/>
                <w:kern w:val="0"/>
                <w14:textFill>
                  <w14:solidFill>
                    <w14:schemeClr w14:val="tx1"/>
                  </w14:solidFill>
                </w14:textFill>
              </w:rPr>
              <w:t>-N</w:t>
            </w:r>
          </w:p>
        </w:tc>
        <w:tc>
          <w:tcPr>
            <w:tcW w:w="2618" w:type="dxa"/>
            <w:tcBorders>
              <w:top w:val="single" w:color="auto" w:sz="4" w:space="0"/>
              <w:bottom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经“三级化粪池”处理达到</w:t>
            </w:r>
            <w:r>
              <w:rPr>
                <w:bCs w:val="0"/>
                <w:color w:val="000000" w:themeColor="text1"/>
                <w14:textFill>
                  <w14:solidFill>
                    <w14:schemeClr w14:val="tx1"/>
                  </w14:solidFill>
                </w14:textFill>
              </w:rPr>
              <w:t>广东省地方标准《水污染物排放限值》（DB44/26-2001）第二时段三级标准</w:t>
            </w:r>
            <w:r>
              <w:rPr>
                <w:color w:val="000000" w:themeColor="text1"/>
                <w14:textFill>
                  <w14:solidFill>
                    <w14:schemeClr w14:val="tx1"/>
                  </w14:solidFill>
                </w14:textFill>
              </w:rPr>
              <w:t>后进入博罗县城生活污水处理厂进一步处理</w:t>
            </w:r>
          </w:p>
        </w:tc>
        <w:tc>
          <w:tcPr>
            <w:tcW w:w="3661" w:type="dxa"/>
            <w:tcBorders>
              <w:top w:val="single" w:color="auto" w:sz="4" w:space="0"/>
              <w:bottom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《城镇污水处理厂污染物排放标准》(GB18918－2002)一级A标准和广东省《水污染物排放限值》(DB44/26-2001)第二时段一级标准两者较严者（其中总磷、氨氮执行《地表水环境质量标准》中V类标准）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restart"/>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固体废物</w:t>
            </w:r>
          </w:p>
        </w:tc>
        <w:tc>
          <w:tcPr>
            <w:tcW w:w="1663" w:type="dxa"/>
            <w:gridSpan w:val="2"/>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生产过程</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次品</w:t>
            </w:r>
          </w:p>
        </w:tc>
        <w:tc>
          <w:tcPr>
            <w:tcW w:w="2618"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委托专业回收单位处理</w:t>
            </w:r>
          </w:p>
        </w:tc>
        <w:tc>
          <w:tcPr>
            <w:tcW w:w="3661" w:type="dxa"/>
            <w:vMerge w:val="restart"/>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r>
              <w:rPr>
                <w:color w:val="000000" w:themeColor="text1"/>
                <w14:textFill>
                  <w14:solidFill>
                    <w14:schemeClr w14:val="tx1"/>
                  </w14:solidFill>
                </w14:textFill>
              </w:rPr>
              <w:t>处理率100%，固废得到妥善处置，对环境无影响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收集的粉尘</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废布碎/纸皮</w:t>
            </w:r>
          </w:p>
        </w:tc>
        <w:tc>
          <w:tcPr>
            <w:tcW w:w="2618" w:type="dxa"/>
            <w:vMerge w:val="restart"/>
            <w:tcBorders>
              <w:top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委托有危险废物处理资质单位处置</w:t>
            </w: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废包装物</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废绝缘漆渣</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废机油</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废机油桶</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废抹布及</w:t>
            </w:r>
          </w:p>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手套</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喷淋废水</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废滤芯</w:t>
            </w:r>
          </w:p>
        </w:tc>
        <w:tc>
          <w:tcPr>
            <w:tcW w:w="2618" w:type="dxa"/>
            <w:vMerge w:val="continue"/>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vMerge w:val="continue"/>
            <w:tcBorders>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kern w:val="0"/>
                <w14:textFill>
                  <w14:solidFill>
                    <w14:schemeClr w14:val="tx1"/>
                  </w14:solidFill>
                </w14:textFill>
              </w:rPr>
              <w:t>废活性炭</w:t>
            </w:r>
          </w:p>
        </w:tc>
        <w:tc>
          <w:tcPr>
            <w:tcW w:w="2618" w:type="dxa"/>
            <w:vMerge w:val="continue"/>
            <w:tcBorders>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vMerge w:val="continue"/>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p>
        </w:tc>
        <w:tc>
          <w:tcPr>
            <w:tcW w:w="1663" w:type="dxa"/>
            <w:gridSpan w:val="2"/>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员工生活</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2618"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环卫部门清运处置</w:t>
            </w:r>
          </w:p>
        </w:tc>
        <w:tc>
          <w:tcPr>
            <w:tcW w:w="3661" w:type="dxa"/>
            <w:vMerge w:val="continue"/>
            <w:tcBorders>
              <w:top w:val="single" w:color="auto" w:sz="4" w:space="0"/>
              <w:bottom w:val="single" w:color="auto" w:sz="4" w:space="0"/>
            </w:tcBorders>
            <w:vAlign w:val="center"/>
          </w:tcPr>
          <w:p>
            <w:pPr>
              <w:adjustRightInd w:val="0"/>
              <w:snapToGrid w:val="0"/>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声环境</w:t>
            </w:r>
          </w:p>
        </w:tc>
        <w:tc>
          <w:tcPr>
            <w:tcW w:w="1663" w:type="dxa"/>
            <w:gridSpan w:val="2"/>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设备运行</w:t>
            </w:r>
          </w:p>
        </w:tc>
        <w:tc>
          <w:tcPr>
            <w:tcW w:w="1417"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机械噪声</w:t>
            </w:r>
          </w:p>
        </w:tc>
        <w:tc>
          <w:tcPr>
            <w:tcW w:w="2618" w:type="dxa"/>
            <w:tcBorders>
              <w:top w:val="single" w:color="auto" w:sz="4" w:space="0"/>
              <w:bottom w:val="single" w:color="auto" w:sz="4" w:space="0"/>
            </w:tcBorders>
            <w:vAlign w:val="center"/>
          </w:tcPr>
          <w:p>
            <w:pPr>
              <w:jc w:val="center"/>
              <w:rPr>
                <w:bCs w:val="0"/>
                <w:color w:val="000000" w:themeColor="text1"/>
                <w14:textFill>
                  <w14:solidFill>
                    <w14:schemeClr w14:val="tx1"/>
                  </w14:solidFill>
                </w14:textFill>
              </w:rPr>
            </w:pPr>
            <w:r>
              <w:rPr>
                <w:color w:val="000000" w:themeColor="text1"/>
                <w14:textFill>
                  <w14:solidFill>
                    <w14:schemeClr w14:val="tx1"/>
                  </w14:solidFill>
                </w14:textFill>
              </w:rPr>
              <w:t>隔音、消音、合理布局等措施</w:t>
            </w:r>
          </w:p>
        </w:tc>
        <w:tc>
          <w:tcPr>
            <w:tcW w:w="3661" w:type="dxa"/>
            <w:tcBorders>
              <w:top w:val="single" w:color="auto" w:sz="4" w:space="0"/>
              <w:bottom w:val="single" w:color="auto" w:sz="4" w:space="0"/>
            </w:tcBorders>
            <w:vAlign w:val="center"/>
          </w:tcPr>
          <w:p>
            <w:pPr>
              <w:pStyle w:val="78"/>
              <w:snapToGrid w:val="0"/>
              <w:spacing w:line="240" w:lineRule="auto"/>
              <w:jc w:val="both"/>
              <w:rPr>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项目厂界噪声达到《工业企业厂界环境噪声排放标准》（GB12348-2008）2类标准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电磁  辐射</w:t>
            </w:r>
          </w:p>
        </w:tc>
        <w:tc>
          <w:tcPr>
            <w:tcW w:w="9359" w:type="dxa"/>
            <w:gridSpan w:val="5"/>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土壤及地下水</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污染防治措施</w:t>
            </w:r>
          </w:p>
        </w:tc>
        <w:tc>
          <w:tcPr>
            <w:tcW w:w="9359" w:type="dxa"/>
            <w:gridSpan w:val="5"/>
            <w:tcBorders>
              <w:top w:val="single" w:color="auto" w:sz="4" w:space="0"/>
              <w:bottom w:val="single" w:color="auto" w:sz="4" w:space="0"/>
            </w:tcBorders>
            <w:vAlign w:val="center"/>
          </w:tcPr>
          <w:p>
            <w:pPr>
              <w:rPr>
                <w:b/>
                <w:bCs w:val="0"/>
                <w:color w:val="000000" w:themeColor="text1"/>
                <w14:textFill>
                  <w14:solidFill>
                    <w14:schemeClr w14:val="tx1"/>
                  </w14:solidFill>
                </w14:textFill>
              </w:rPr>
            </w:pPr>
            <w:r>
              <w:rPr>
                <w:b/>
                <w:bCs w:val="0"/>
                <w:color w:val="000000" w:themeColor="text1"/>
                <w14:textFill>
                  <w14:solidFill>
                    <w14:schemeClr w14:val="tx1"/>
                  </w14:solidFill>
                </w14:textFill>
              </w:rPr>
              <w:t>A、源头控制</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在源头上采取措施进行控制，主要包括在工艺、管道、设备和废物储存及处理构筑物采取相应措施，防止和降低污染物跑、冒、滴、漏，将污染物泄漏的环境风险事故降到最低程度。采用严格的国际通用的安全防范体系，加强职工的安全生产教育，提高风险意识。建立一套完整的管理规程、作业规章和应急计划，配备相应的应急设施。</w:t>
            </w:r>
          </w:p>
          <w:p>
            <w:pPr>
              <w:rPr>
                <w:b/>
                <w:bCs w:val="0"/>
                <w:color w:val="000000" w:themeColor="text1"/>
                <w14:textFill>
                  <w14:solidFill>
                    <w14:schemeClr w14:val="tx1"/>
                  </w14:solidFill>
                </w14:textFill>
              </w:rPr>
            </w:pPr>
            <w:r>
              <w:rPr>
                <w:b/>
                <w:bCs w:val="0"/>
                <w:color w:val="000000" w:themeColor="text1"/>
                <w14:textFill>
                  <w14:solidFill>
                    <w14:schemeClr w14:val="tx1"/>
                  </w14:solidFill>
                </w14:textFill>
              </w:rPr>
              <w:t>B、分区防控</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厂区一般分为简单防渗区、一般防渗区及重点防渗区。该项目一般防渗区为生产区，防渗要求为等效黏土防渗层 Mb≥1.5 m，K≤1.0×10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 xml:space="preserve"> cm/s，或参照 GB 16889 执行；重点防渗区包括危废暂存间、原料仓，防渗要求等效黏土防渗层 Mb≥6.0 m，K≤1.0×10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 xml:space="preserve"> cm/s；或参照 GB 18598 执行。</w:t>
            </w:r>
          </w:p>
          <w:p>
            <w:pPr>
              <w:ind w:firstLine="420" w:firstLineChars="200"/>
              <w:rPr>
                <w:bCs w:val="0"/>
                <w:color w:val="000000" w:themeColor="text1"/>
                <w14:textFill>
                  <w14:solidFill>
                    <w14:schemeClr w14:val="tx1"/>
                  </w14:solidFill>
                </w14:textFill>
              </w:rPr>
            </w:pPr>
            <w:r>
              <w:rPr>
                <w:color w:val="000000" w:themeColor="text1"/>
                <w14:textFill>
                  <w14:solidFill>
                    <w14:schemeClr w14:val="tx1"/>
                  </w14:solidFill>
                </w14:textFill>
              </w:rPr>
              <w:t>危险废物暂存间管理根据《危险废物贮存污染控制标准》（GB18597-2023）的要求进行建设，贮存设施或贮存分区内地面、墙面裙脚、堵截泄漏的围堰、接触危险废物的隔板和墙体等应采用坚固的材料建造，表面无裂缝，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 xml:space="preserve"> cm/s），或至少2 mm 厚高密度聚乙烯膜等人工防渗材料（渗透系数不大于10</w:t>
            </w:r>
            <w:r>
              <w:rPr>
                <w:color w:val="000000" w:themeColor="text1"/>
                <w:vertAlign w:val="superscript"/>
                <w14:textFill>
                  <w14:solidFill>
                    <w14:schemeClr w14:val="tx1"/>
                  </w14:solidFill>
                </w14:textFill>
              </w:rPr>
              <w:t>-10</w:t>
            </w:r>
            <w:r>
              <w:rPr>
                <w:color w:val="000000" w:themeColor="text1"/>
                <w14:textFill>
                  <w14:solidFill>
                    <w14:schemeClr w14:val="tx1"/>
                  </w14:solidFill>
                </w14:textFill>
              </w:rPr>
              <w:t xml:space="preserve"> cm/s），或其他防渗性能等效的材料。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生态保护措施</w:t>
            </w:r>
          </w:p>
        </w:tc>
        <w:tc>
          <w:tcPr>
            <w:tcW w:w="9359" w:type="dxa"/>
            <w:gridSpan w:val="5"/>
            <w:tcBorders>
              <w:top w:val="single" w:color="auto" w:sz="4" w:space="0"/>
              <w:bottom w:val="single" w:color="auto" w:sz="4"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tcBorders>
              <w:top w:val="single" w:color="auto" w:sz="4" w:space="0"/>
              <w:bottom w:val="single" w:color="auto" w:sz="4" w:space="0"/>
            </w:tcBorders>
            <w:vAlign w:val="center"/>
          </w:tcPr>
          <w:p>
            <w:pPr>
              <w:adjustRightInd w:val="0"/>
              <w:snapToGrid w:val="0"/>
              <w:jc w:val="center"/>
              <w:rPr>
                <w:color w:val="000000" w:themeColor="text1"/>
                <w:spacing w:val="-8"/>
                <w14:textFill>
                  <w14:solidFill>
                    <w14:schemeClr w14:val="tx1"/>
                  </w14:solidFill>
                </w14:textFill>
              </w:rPr>
            </w:pPr>
            <w:r>
              <w:rPr>
                <w:color w:val="000000" w:themeColor="text1"/>
                <w:spacing w:val="-8"/>
                <w14:textFill>
                  <w14:solidFill>
                    <w14:schemeClr w14:val="tx1"/>
                  </w14:solidFill>
                </w14:textFill>
              </w:rPr>
              <w:t>环境风险防范措施</w:t>
            </w:r>
          </w:p>
        </w:tc>
        <w:tc>
          <w:tcPr>
            <w:tcW w:w="9359" w:type="dxa"/>
            <w:gridSpan w:val="5"/>
            <w:tcBorders>
              <w:top w:val="single" w:color="auto" w:sz="4" w:space="0"/>
              <w:bottom w:val="single" w:color="auto" w:sz="4" w:space="0"/>
            </w:tcBorders>
            <w:vAlign w:val="center"/>
          </w:tcPr>
          <w:p>
            <w:pP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A、物料泄漏事故的预防措施</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泄漏事故的预防是物料储运中最重要的环节，发生泄漏事故可能引起火灾等一系列重大事故。经验表明：设备失灵和人为的操作失误是引发泄漏的主要原因。因此选用较好的设备、精心设计、认真管理和操作人员的责任心是减少泄漏事故的关键。</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本项目主要采取以下预防措施：在原材料储存区域/危废暂存区四周设置地沟避免泄漏物料流入水体。泄漏的物料经收集后作为废液送至相应委外单位处理。</w:t>
            </w:r>
          </w:p>
          <w:p>
            <w:pP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B、火灾的预防措施</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a 设备的安全管理：定期对设备进行安全检测，检测内容、时间、人员应有记录保存。安全检测应根据设备的安全性、危险性设定检测频次。</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b应加强火源的管理，严禁烟火带入，对设备需进行维修焊接，应经安全部门确认、准许，并有记录。机动车在厂内行驶，须安装阻火器，必要设备安装防火装置。</w:t>
            </w:r>
          </w:p>
          <w:p>
            <w:pP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C、物料运输及危险废物收集、贮存、运输过程防范措施</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对各种原材料应分别储存于符合相应要求的库房中，同时应加强管理，非操作人员不得随意出入，加强防火，达到有关部门的要求。</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本项目设置危废暂存间1间，用于收集、临时贮存生产过程中产生的危险废物，危废间面积10m</w:t>
            </w:r>
            <w:r>
              <w:rPr>
                <w:color w:val="000000" w:themeColor="text1"/>
                <w:kern w:val="0"/>
                <w:vertAlign w:val="superscript"/>
                <w14:textFill>
                  <w14:solidFill>
                    <w14:schemeClr w14:val="tx1"/>
                  </w14:solidFill>
                </w14:textFill>
              </w:rPr>
              <w:t>2</w:t>
            </w:r>
            <w:r>
              <w:rPr>
                <w:color w:val="000000" w:themeColor="text1"/>
                <w:kern w:val="0"/>
                <w14:textFill>
                  <w14:solidFill>
                    <w14:schemeClr w14:val="tx1"/>
                  </w14:solidFill>
                </w14:textFill>
              </w:rPr>
              <w:t>，位于项目车间外西南侧，危险废物贮存场设计中严格执行《危险废物贮存污染控制标准》（GB18597-2023）规定。危险废物在临时仓库暂存后，定期委托有资质的单位进行安全处置。</w:t>
            </w:r>
          </w:p>
          <w:p>
            <w:pP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D、废气处理装置事故防范措施</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应加强对废气处理系统等的日常管理，及时保养与维修。建立严格的操作规程，实行目标责任制，保证环境保护设施的正常运行。应严格按工艺规程进行操作，特别在易发生事故工序，应坚决杜绝为了提高产量等而不严格按要求配料、操作等情况，同时，操作人员应穿戴好劳动防护用品。</w:t>
            </w:r>
          </w:p>
          <w:p>
            <w:pPr>
              <w:rPr>
                <w:b/>
                <w:bCs w:val="0"/>
                <w:color w:val="000000" w:themeColor="text1"/>
                <w:kern w:val="0"/>
                <w14:textFill>
                  <w14:solidFill>
                    <w14:schemeClr w14:val="tx1"/>
                  </w14:solidFill>
                </w14:textFill>
              </w:rPr>
            </w:pPr>
            <w:r>
              <w:rPr>
                <w:b/>
                <w:bCs w:val="0"/>
                <w:color w:val="000000" w:themeColor="text1"/>
                <w:kern w:val="0"/>
                <w14:textFill>
                  <w14:solidFill>
                    <w14:schemeClr w14:val="tx1"/>
                  </w14:solidFill>
                </w14:textFill>
              </w:rPr>
              <w:t>E、防止消防、事故废水泄漏的防范措施</w:t>
            </w:r>
          </w:p>
          <w:p>
            <w:pPr>
              <w:ind w:firstLine="420" w:firstLineChars="200"/>
              <w:rPr>
                <w:color w:val="000000" w:themeColor="text1"/>
                <w:kern w:val="0"/>
                <w14:textFill>
                  <w14:solidFill>
                    <w14:schemeClr w14:val="tx1"/>
                  </w14:solidFill>
                </w14:textFill>
              </w:rPr>
            </w:pPr>
            <w:r>
              <w:rPr>
                <w:bCs w:val="0"/>
                <w:color w:val="000000" w:themeColor="text1"/>
                <w:kern w:val="0"/>
                <w14:textFill>
                  <w14:solidFill>
                    <w14:schemeClr w14:val="tx1"/>
                  </w14:solidFill>
                </w14:textFill>
              </w:rPr>
              <w:t>当本项目厂区发生火灾时，</w:t>
            </w:r>
            <w:r>
              <w:rPr>
                <w:color w:val="000000" w:themeColor="text1"/>
                <w:szCs w:val="14"/>
                <w14:textFill>
                  <w14:solidFill>
                    <w14:schemeClr w14:val="tx1"/>
                  </w14:solidFill>
                </w14:textFill>
              </w:rPr>
              <w:t>建设单位利用厂房实体围墙和在厂区的进出口设置缓坡，并在缓坡坡顶设置卡槽，在事故状态下卡槽开启并插入5cm高的挡水板进行堵截，从而将局部厂区围墙内构成一个缓坡区来堵住事故废水，此措施足以围截厂区全部的消防事故废水量，则厂区内不需要建设事故应急池。本项目的各种应急设施和措施</w:t>
            </w:r>
            <w:r>
              <w:rPr>
                <w:bCs w:val="0"/>
                <w:color w:val="000000" w:themeColor="text1"/>
                <w:kern w:val="0"/>
                <w14:textFill>
                  <w14:solidFill>
                    <w14:schemeClr w14:val="tx1"/>
                  </w14:solidFill>
                </w14:textFill>
              </w:rPr>
              <w:t>足以用于收集火灾事故下的消防废水，避免事故废水外排，不会对周围环境产生不利影响。在厂区雨水排放口设置应急截断阀井，一旦出现事故时，立刻关闭雨水管道排放口的阀门，并在厂区门口设置挡水板对事故废水进行堵截，防止废水排入周边水体，确保周边水体水质。事后堵截的事故废水委托相关单位对其进行转运处理。</w:t>
            </w:r>
          </w:p>
          <w:p>
            <w:pPr>
              <w:ind w:firstLine="42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综上，本项目建成后制定有效的风险事故应急预案，并向所在地生态环境主管部门备案，把可能发生风险事故造成的危害降到最低程度。重点保护对象为项目周围居住区、村民点、机关单位等。且定期对有关人员进行事故应急培训、教育、提高发生事故时的应急处理能力。</w:t>
            </w:r>
          </w:p>
          <w:p>
            <w:pPr>
              <w:ind w:firstLine="420" w:firstLineChars="200"/>
              <w:rPr>
                <w:bCs w:val="0"/>
                <w:color w:val="000000" w:themeColor="text1"/>
                <w14:textFill>
                  <w14:solidFill>
                    <w14:schemeClr w14:val="tx1"/>
                  </w14:solidFill>
                </w14:textFill>
              </w:rPr>
            </w:pPr>
            <w:r>
              <w:rPr>
                <w:color w:val="000000" w:themeColor="text1"/>
                <w:kern w:val="0"/>
                <w14:textFill>
                  <w14:solidFill>
                    <w14:schemeClr w14:val="tx1"/>
                  </w14:solidFill>
                </w14:textFill>
              </w:rPr>
              <w:t>定期对</w:t>
            </w:r>
            <w:r>
              <w:rPr>
                <w:color w:val="000000" w:themeColor="text1"/>
                <w14:textFill>
                  <w14:solidFill>
                    <w14:schemeClr w14:val="tx1"/>
                  </w14:solidFill>
                </w14:textFill>
              </w:rPr>
              <w:t>工艺、备和废物储存及处理构筑物</w:t>
            </w:r>
            <w:r>
              <w:rPr>
                <w:color w:val="000000" w:themeColor="text1"/>
                <w:kern w:val="0"/>
                <w14:textFill>
                  <w14:solidFill>
                    <w14:schemeClr w14:val="tx1"/>
                  </w14:solidFill>
                </w14:textFill>
              </w:rPr>
              <w:t>进行维护与检测，防止泄漏事故发生，禁止明火等一切安全隐患的存在。对员工进行日常风险教育和培训，提高安全防范知识的宣传力度，增加实验人员的安全意识。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5" w:type="dxa"/>
            <w:tcBorders>
              <w:top w:val="single" w:color="auto" w:sz="4" w:space="0"/>
              <w:bottom w:val="single" w:color="auto" w:sz="12" w:space="0"/>
            </w:tcBorders>
            <w:vAlign w:val="center"/>
          </w:tcPr>
          <w:p>
            <w:pPr>
              <w:adjustRightInd w:val="0"/>
              <w:snapToGrid w:val="0"/>
              <w:jc w:val="center"/>
              <w:rPr>
                <w:color w:val="000000" w:themeColor="text1"/>
                <w:spacing w:val="-8"/>
                <w14:textFill>
                  <w14:solidFill>
                    <w14:schemeClr w14:val="tx1"/>
                  </w14:solidFill>
                </w14:textFill>
              </w:rPr>
            </w:pPr>
            <w:r>
              <w:rPr>
                <w:color w:val="000000" w:themeColor="text1"/>
                <w:spacing w:val="-8"/>
                <w14:textFill>
                  <w14:solidFill>
                    <w14:schemeClr w14:val="tx1"/>
                  </w14:solidFill>
                </w14:textFill>
              </w:rPr>
              <w:t>其他环境管理要求</w:t>
            </w:r>
          </w:p>
        </w:tc>
        <w:tc>
          <w:tcPr>
            <w:tcW w:w="9359" w:type="dxa"/>
            <w:gridSpan w:val="5"/>
            <w:tcBorders>
              <w:top w:val="single" w:color="auto" w:sz="4" w:space="0"/>
              <w:bottom w:val="single" w:color="auto" w:sz="12"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无</w:t>
            </w:r>
          </w:p>
        </w:tc>
      </w:tr>
    </w:tbl>
    <w:p>
      <w:pPr>
        <w:pStyle w:val="27"/>
        <w:jc w:val="center"/>
        <w:outlineLvl w:val="0"/>
        <w:rPr>
          <w:rFonts w:ascii="Times New Roman" w:hAnsi="Times New Roman"/>
          <w:snapToGrid w:val="0"/>
          <w:color w:val="000000" w:themeColor="text1"/>
          <w14:textFill>
            <w14:solidFill>
              <w14:schemeClr w14:val="tx1"/>
            </w14:solidFill>
          </w14:textFill>
        </w:rPr>
        <w:sectPr>
          <w:pgSz w:w="11906" w:h="16838"/>
          <w:pgMar w:top="720" w:right="720" w:bottom="720" w:left="720" w:header="851" w:footer="851" w:gutter="0"/>
          <w:cols w:space="720" w:num="1"/>
          <w:docGrid w:linePitch="312" w:charSpace="0"/>
        </w:sectPr>
      </w:pPr>
      <w:r>
        <w:rPr>
          <w:rFonts w:ascii="Times New Roman" w:hAnsi="Times New Roman"/>
          <w:snapToGrid w:val="0"/>
          <w:color w:val="000000" w:themeColor="text1"/>
          <w14:textFill>
            <w14:solidFill>
              <w14:schemeClr w14:val="tx1"/>
            </w14:solidFill>
          </w14:textFill>
        </w:rPr>
        <w:br w:type="page"/>
      </w:r>
    </w:p>
    <w:p>
      <w:pPr>
        <w:pStyle w:val="27"/>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六、结论</w:t>
      </w:r>
    </w:p>
    <w:tbl>
      <w:tblPr>
        <w:tblStyle w:val="30"/>
        <w:tblW w:w="103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3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10308" w:type="dxa"/>
          </w:tcPr>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综上所述，通过对田村电子（惠州）有限公司大型变压器分公司建设项目运营期的环境影响评价分析，本项目符合国家产业政策，符合当地城市规划、总体规划以及其他发展规划，与当地的环境功能区划也是相符的；采取相应措施后，污染物可以做到达标排放，并达到总量控制要求，对周围环境影响在可承受范围之内，建成后能维持当地环境质量现状。因此本环评认为，在切实落实环评报告提出的各项防治措施、严格执行环保“三同时”制度的基础上，本项目在拟选厂址的实施在环境保护方面是可行的。</w:t>
            </w:r>
          </w:p>
        </w:tc>
      </w:tr>
    </w:tbl>
    <w:p>
      <w:pPr>
        <w:rPr>
          <w:color w:val="000000" w:themeColor="text1"/>
          <w14:textFill>
            <w14:solidFill>
              <w14:schemeClr w14:val="tx1"/>
            </w14:solidFill>
          </w14:textFill>
        </w:rPr>
        <w:sectPr>
          <w:pgSz w:w="11906" w:h="16838"/>
          <w:pgMar w:top="720" w:right="720" w:bottom="720" w:left="720" w:header="851" w:footer="851" w:gutter="0"/>
          <w:cols w:space="720" w:num="1"/>
          <w:docGrid w:linePitch="312" w:charSpace="0"/>
        </w:sectPr>
      </w:pPr>
    </w:p>
    <w:p>
      <w:pPr>
        <w:pStyle w:val="27"/>
        <w:adjustRightInd w:val="0"/>
        <w:snapToGrid w:val="0"/>
        <w:spacing w:before="0" w:beforeAutospacing="0" w:after="0" w:afterAutospacing="0" w:line="360" w:lineRule="auto"/>
        <w:outlineLvl w:val="0"/>
        <w:rPr>
          <w:rFonts w:ascii="Times New Roman" w:hAnsi="Times New Roman" w:eastAsia="黑体"/>
          <w:snapToGrid w:val="0"/>
          <w:color w:val="000000" w:themeColor="text1"/>
          <w:sz w:val="32"/>
          <w:szCs w:val="32"/>
          <w14:textFill>
            <w14:solidFill>
              <w14:schemeClr w14:val="tx1"/>
            </w14:solidFill>
          </w14:textFill>
        </w:rPr>
      </w:pPr>
      <w:r>
        <w:rPr>
          <w:rFonts w:ascii="Times New Roman" w:hAnsi="Times New Roman" w:eastAsia="黑体"/>
          <w:snapToGrid w:val="0"/>
          <w:color w:val="000000" w:themeColor="text1"/>
          <w:sz w:val="32"/>
          <w:szCs w:val="32"/>
          <w14:textFill>
            <w14:solidFill>
              <w14:schemeClr w14:val="tx1"/>
            </w14:solidFill>
          </w14:textFill>
        </w:rPr>
        <w:t>附表</w:t>
      </w:r>
    </w:p>
    <w:p>
      <w:pPr>
        <w:pStyle w:val="27"/>
        <w:adjustRightInd w:val="0"/>
        <w:snapToGrid w:val="0"/>
        <w:spacing w:before="0" w:beforeAutospacing="0" w:after="0" w:afterAutospacing="0"/>
        <w:jc w:val="center"/>
        <w:rPr>
          <w:rFonts w:ascii="Times New Roman" w:hAnsi="Times New Roman" w:eastAsia="方正小标宋_GBK"/>
          <w:snapToGrid w:val="0"/>
          <w:color w:val="000000" w:themeColor="text1"/>
          <w:sz w:val="38"/>
          <w:szCs w:val="38"/>
          <w14:textFill>
            <w14:solidFill>
              <w14:schemeClr w14:val="tx1"/>
            </w14:solidFill>
          </w14:textFill>
        </w:rPr>
      </w:pPr>
      <w:r>
        <w:rPr>
          <w:rFonts w:ascii="Times New Roman" w:hAnsi="Times New Roman" w:eastAsia="方正小标宋_GBK"/>
          <w:snapToGrid w:val="0"/>
          <w:color w:val="000000" w:themeColor="text1"/>
          <w:sz w:val="38"/>
          <w:szCs w:val="38"/>
          <w14:textFill>
            <w14:solidFill>
              <w14:schemeClr w14:val="tx1"/>
            </w14:solidFill>
          </w14:textFill>
        </w:rPr>
        <w:t>建设项目污染物排放量汇总表</w:t>
      </w:r>
    </w:p>
    <w:tbl>
      <w:tblPr>
        <w:tblStyle w:val="30"/>
        <w:tblW w:w="154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902"/>
        <w:gridCol w:w="1550"/>
        <w:gridCol w:w="1188"/>
        <w:gridCol w:w="1525"/>
        <w:gridCol w:w="1621"/>
        <w:gridCol w:w="1667"/>
        <w:gridCol w:w="2471"/>
        <w:gridCol w:w="23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tcBorders>
              <w:tl2br w:val="single" w:color="auto" w:sz="4" w:space="0"/>
            </w:tcBorders>
            <w:tcMar>
              <w:left w:w="28" w:type="dxa"/>
              <w:right w:w="28" w:type="dxa"/>
            </w:tcMar>
            <w:vAlign w:val="center"/>
          </w:tcPr>
          <w:p>
            <w:pPr>
              <w:pStyle w:val="49"/>
              <w:spacing w:beforeLines="0" w:afterLines="0" w:line="240" w:lineRule="auto"/>
              <w:jc w:val="right"/>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项目</w:t>
            </w:r>
          </w:p>
          <w:p>
            <w:pPr>
              <w:pStyle w:val="49"/>
              <w:spacing w:beforeLines="0" w:afterLines="0" w:line="240" w:lineRule="auto"/>
              <w:jc w:val="left"/>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分类</w:t>
            </w:r>
          </w:p>
        </w:tc>
        <w:tc>
          <w:tcPr>
            <w:tcW w:w="1902"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污染物名称</w:t>
            </w:r>
          </w:p>
        </w:tc>
        <w:tc>
          <w:tcPr>
            <w:tcW w:w="1550"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现有工程</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排放量（固体废物产生量）</w:t>
            </w:r>
            <w:r>
              <w:rPr>
                <w:rFonts w:ascii="Times New Roman"/>
                <w:b/>
                <w:bCs w:val="0"/>
                <w:snapToGrid w:val="0"/>
                <w:color w:val="000000" w:themeColor="text1"/>
                <w:spacing w:val="-6"/>
                <w:kern w:val="21"/>
                <w:szCs w:val="21"/>
                <w14:textFill>
                  <w14:solidFill>
                    <w14:schemeClr w14:val="tx1"/>
                  </w14:solidFill>
                </w14:textFill>
              </w:rPr>
              <w:fldChar w:fldCharType="begin"/>
            </w:r>
            <w:r>
              <w:rPr>
                <w:rFonts w:ascii="Times New Roman"/>
                <w:b/>
                <w:bCs w:val="0"/>
                <w:snapToGrid w:val="0"/>
                <w:color w:val="000000" w:themeColor="text1"/>
                <w:spacing w:val="-6"/>
                <w:kern w:val="21"/>
                <w:szCs w:val="21"/>
                <w14:textFill>
                  <w14:solidFill>
                    <w14:schemeClr w14:val="tx1"/>
                  </w14:solidFill>
                </w14:textFill>
              </w:rPr>
              <w:instrText xml:space="preserve"> = 1 \* GB3 \* MERGEFORMAT </w:instrText>
            </w:r>
            <w:r>
              <w:rPr>
                <w:rFonts w:ascii="Times New Roman"/>
                <w:b/>
                <w:bCs w:val="0"/>
                <w:snapToGrid w:val="0"/>
                <w:color w:val="000000" w:themeColor="text1"/>
                <w:spacing w:val="-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①</w:t>
            </w:r>
            <w:r>
              <w:rPr>
                <w:rFonts w:ascii="Times New Roman"/>
                <w:b/>
                <w:bCs w:val="0"/>
                <w:snapToGrid w:val="0"/>
                <w:color w:val="000000" w:themeColor="text1"/>
                <w:spacing w:val="-6"/>
                <w:kern w:val="21"/>
                <w:szCs w:val="21"/>
                <w14:textFill>
                  <w14:solidFill>
                    <w14:schemeClr w14:val="tx1"/>
                  </w14:solidFill>
                </w14:textFill>
              </w:rPr>
              <w:fldChar w:fldCharType="end"/>
            </w:r>
          </w:p>
        </w:tc>
        <w:tc>
          <w:tcPr>
            <w:tcW w:w="1188"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现有工程</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许可排放量</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fldChar w:fldCharType="begin"/>
            </w:r>
            <w:r>
              <w:rPr>
                <w:rFonts w:ascii="Times New Roman"/>
                <w:b/>
                <w:bCs w:val="0"/>
                <w:snapToGrid w:val="0"/>
                <w:color w:val="000000" w:themeColor="text1"/>
                <w:spacing w:val="-6"/>
                <w:kern w:val="21"/>
                <w:szCs w:val="21"/>
                <w14:textFill>
                  <w14:solidFill>
                    <w14:schemeClr w14:val="tx1"/>
                  </w14:solidFill>
                </w14:textFill>
              </w:rPr>
              <w:instrText xml:space="preserve"> = 2 \* GB3 \* MERGEFORMAT </w:instrText>
            </w:r>
            <w:r>
              <w:rPr>
                <w:rFonts w:ascii="Times New Roman"/>
                <w:b/>
                <w:bCs w:val="0"/>
                <w:snapToGrid w:val="0"/>
                <w:color w:val="000000" w:themeColor="text1"/>
                <w:spacing w:val="-6"/>
                <w:kern w:val="21"/>
                <w:szCs w:val="21"/>
                <w14:textFill>
                  <w14:solidFill>
                    <w14:schemeClr w14:val="tx1"/>
                  </w14:solidFill>
                </w14:textFill>
              </w:rPr>
              <w:fldChar w:fldCharType="separate"/>
            </w:r>
            <w:r>
              <w:rPr>
                <w:rFonts w:ascii="Times New Roman"/>
                <w:b/>
                <w:bCs w:val="0"/>
                <w:snapToGrid w:val="0"/>
                <w:color w:val="000000" w:themeColor="text1"/>
                <w:spacing w:val="-6"/>
                <w:kern w:val="21"/>
                <w:szCs w:val="21"/>
                <w14:textFill>
                  <w14:solidFill>
                    <w14:schemeClr w14:val="tx1"/>
                  </w14:solidFill>
                </w14:textFill>
              </w:rPr>
              <w:t>②</w:t>
            </w:r>
            <w:r>
              <w:rPr>
                <w:rFonts w:ascii="Times New Roman"/>
                <w:b/>
                <w:bCs w:val="0"/>
                <w:snapToGrid w:val="0"/>
                <w:color w:val="000000" w:themeColor="text1"/>
                <w:spacing w:val="-6"/>
                <w:kern w:val="21"/>
                <w:szCs w:val="21"/>
                <w14:textFill>
                  <w14:solidFill>
                    <w14:schemeClr w14:val="tx1"/>
                  </w14:solidFill>
                </w14:textFill>
              </w:rPr>
              <w:fldChar w:fldCharType="end"/>
            </w:r>
          </w:p>
        </w:tc>
        <w:tc>
          <w:tcPr>
            <w:tcW w:w="1525"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在建工程</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排放量（固体废物产生量）</w:t>
            </w:r>
            <w:r>
              <w:rPr>
                <w:rFonts w:ascii="Times New Roman"/>
                <w:b/>
                <w:bCs w:val="0"/>
                <w:snapToGrid w:val="0"/>
                <w:color w:val="000000" w:themeColor="text1"/>
                <w:spacing w:val="-6"/>
                <w:kern w:val="21"/>
                <w:szCs w:val="21"/>
                <w14:textFill>
                  <w14:solidFill>
                    <w14:schemeClr w14:val="tx1"/>
                  </w14:solidFill>
                </w14:textFill>
              </w:rPr>
              <w:fldChar w:fldCharType="begin"/>
            </w:r>
            <w:r>
              <w:rPr>
                <w:rFonts w:ascii="Times New Roman"/>
                <w:b/>
                <w:bCs w:val="0"/>
                <w:snapToGrid w:val="0"/>
                <w:color w:val="000000" w:themeColor="text1"/>
                <w:spacing w:val="-6"/>
                <w:kern w:val="21"/>
                <w:szCs w:val="21"/>
                <w14:textFill>
                  <w14:solidFill>
                    <w14:schemeClr w14:val="tx1"/>
                  </w14:solidFill>
                </w14:textFill>
              </w:rPr>
              <w:instrText xml:space="preserve"> = 3 \* GB3 \* MERGEFORMAT </w:instrText>
            </w:r>
            <w:r>
              <w:rPr>
                <w:rFonts w:ascii="Times New Roman"/>
                <w:b/>
                <w:bCs w:val="0"/>
                <w:snapToGrid w:val="0"/>
                <w:color w:val="000000" w:themeColor="text1"/>
                <w:spacing w:val="-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③</w:t>
            </w:r>
            <w:r>
              <w:rPr>
                <w:rFonts w:ascii="Times New Roman"/>
                <w:b/>
                <w:bCs w:val="0"/>
                <w:snapToGrid w:val="0"/>
                <w:color w:val="000000" w:themeColor="text1"/>
                <w:spacing w:val="-6"/>
                <w:kern w:val="21"/>
                <w:szCs w:val="21"/>
                <w14:textFill>
                  <w14:solidFill>
                    <w14:schemeClr w14:val="tx1"/>
                  </w14:solidFill>
                </w14:textFill>
              </w:rPr>
              <w:fldChar w:fldCharType="end"/>
            </w:r>
          </w:p>
        </w:tc>
        <w:tc>
          <w:tcPr>
            <w:tcW w:w="1621"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本项目</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排放量（固体废物产生量）</w:t>
            </w:r>
            <w:r>
              <w:rPr>
                <w:rFonts w:ascii="Times New Roman"/>
                <w:b/>
                <w:bCs w:val="0"/>
                <w:snapToGrid w:val="0"/>
                <w:color w:val="000000" w:themeColor="text1"/>
                <w:spacing w:val="-6"/>
                <w:kern w:val="21"/>
                <w:szCs w:val="21"/>
                <w14:textFill>
                  <w14:solidFill>
                    <w14:schemeClr w14:val="tx1"/>
                  </w14:solidFill>
                </w14:textFill>
              </w:rPr>
              <w:fldChar w:fldCharType="begin"/>
            </w:r>
            <w:r>
              <w:rPr>
                <w:rFonts w:ascii="Times New Roman"/>
                <w:b/>
                <w:bCs w:val="0"/>
                <w:snapToGrid w:val="0"/>
                <w:color w:val="000000" w:themeColor="text1"/>
                <w:spacing w:val="-6"/>
                <w:kern w:val="21"/>
                <w:szCs w:val="21"/>
                <w14:textFill>
                  <w14:solidFill>
                    <w14:schemeClr w14:val="tx1"/>
                  </w14:solidFill>
                </w14:textFill>
              </w:rPr>
              <w:instrText xml:space="preserve"> = 4 \* GB3 \* MERGEFORMAT </w:instrText>
            </w:r>
            <w:r>
              <w:rPr>
                <w:rFonts w:ascii="Times New Roman"/>
                <w:b/>
                <w:bCs w:val="0"/>
                <w:snapToGrid w:val="0"/>
                <w:color w:val="000000" w:themeColor="text1"/>
                <w:spacing w:val="-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④</w:t>
            </w:r>
            <w:r>
              <w:rPr>
                <w:rFonts w:ascii="Times New Roman"/>
                <w:b/>
                <w:bCs w:val="0"/>
                <w:snapToGrid w:val="0"/>
                <w:color w:val="000000" w:themeColor="text1"/>
                <w:spacing w:val="-6"/>
                <w:kern w:val="21"/>
                <w:szCs w:val="21"/>
                <w14:textFill>
                  <w14:solidFill>
                    <w14:schemeClr w14:val="tx1"/>
                  </w14:solidFill>
                </w14:textFill>
              </w:rPr>
              <w:fldChar w:fldCharType="end"/>
            </w:r>
          </w:p>
        </w:tc>
        <w:tc>
          <w:tcPr>
            <w:tcW w:w="1667"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16"/>
                <w:kern w:val="21"/>
                <w:szCs w:val="21"/>
                <w14:textFill>
                  <w14:solidFill>
                    <w14:schemeClr w14:val="tx1"/>
                  </w14:solidFill>
                </w14:textFill>
              </w:rPr>
            </w:pPr>
            <w:r>
              <w:rPr>
                <w:rFonts w:ascii="Times New Roman"/>
                <w:b/>
                <w:bCs w:val="0"/>
                <w:snapToGrid w:val="0"/>
                <w:color w:val="000000" w:themeColor="text1"/>
                <w:spacing w:val="-16"/>
                <w:kern w:val="21"/>
                <w:szCs w:val="21"/>
                <w14:textFill>
                  <w14:solidFill>
                    <w14:schemeClr w14:val="tx1"/>
                  </w14:solidFill>
                </w14:textFill>
              </w:rPr>
              <w:t>以新带老削减量</w:t>
            </w:r>
          </w:p>
          <w:p>
            <w:pPr>
              <w:pStyle w:val="49"/>
              <w:spacing w:beforeLines="0" w:afterLines="0" w:line="240" w:lineRule="auto"/>
              <w:rPr>
                <w:rFonts w:ascii="Times New Roman"/>
                <w:b/>
                <w:bCs w:val="0"/>
                <w:snapToGrid w:val="0"/>
                <w:color w:val="000000" w:themeColor="text1"/>
                <w:spacing w:val="-16"/>
                <w:kern w:val="21"/>
                <w:szCs w:val="21"/>
                <w14:textFill>
                  <w14:solidFill>
                    <w14:schemeClr w14:val="tx1"/>
                  </w14:solidFill>
                </w14:textFill>
              </w:rPr>
            </w:pPr>
            <w:r>
              <w:rPr>
                <w:rFonts w:ascii="Times New Roman"/>
                <w:b/>
                <w:bCs w:val="0"/>
                <w:snapToGrid w:val="0"/>
                <w:color w:val="000000" w:themeColor="text1"/>
                <w:spacing w:val="-16"/>
                <w:kern w:val="21"/>
                <w:szCs w:val="21"/>
                <w14:textFill>
                  <w14:solidFill>
                    <w14:schemeClr w14:val="tx1"/>
                  </w14:solidFill>
                </w14:textFill>
              </w:rPr>
              <w:t>（新建项目不填）</w:t>
            </w:r>
            <w:r>
              <w:rPr>
                <w:rFonts w:ascii="Times New Roman"/>
                <w:b/>
                <w:bCs w:val="0"/>
                <w:snapToGrid w:val="0"/>
                <w:color w:val="000000" w:themeColor="text1"/>
                <w:spacing w:val="-16"/>
                <w:kern w:val="21"/>
                <w:szCs w:val="21"/>
                <w14:textFill>
                  <w14:solidFill>
                    <w14:schemeClr w14:val="tx1"/>
                  </w14:solidFill>
                </w14:textFill>
              </w:rPr>
              <w:fldChar w:fldCharType="begin"/>
            </w:r>
            <w:r>
              <w:rPr>
                <w:rFonts w:ascii="Times New Roman"/>
                <w:b/>
                <w:bCs w:val="0"/>
                <w:snapToGrid w:val="0"/>
                <w:color w:val="000000" w:themeColor="text1"/>
                <w:spacing w:val="-16"/>
                <w:kern w:val="21"/>
                <w:szCs w:val="21"/>
                <w14:textFill>
                  <w14:solidFill>
                    <w14:schemeClr w14:val="tx1"/>
                  </w14:solidFill>
                </w14:textFill>
              </w:rPr>
              <w:instrText xml:space="preserve"> = 5 \* GB3 \* MERGEFORMAT </w:instrText>
            </w:r>
            <w:r>
              <w:rPr>
                <w:rFonts w:ascii="Times New Roman"/>
                <w:b/>
                <w:bCs w:val="0"/>
                <w:snapToGrid w:val="0"/>
                <w:color w:val="000000" w:themeColor="text1"/>
                <w:spacing w:val="-1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⑤</w:t>
            </w:r>
            <w:r>
              <w:rPr>
                <w:rFonts w:ascii="Times New Roman"/>
                <w:b/>
                <w:bCs w:val="0"/>
                <w:snapToGrid w:val="0"/>
                <w:color w:val="000000" w:themeColor="text1"/>
                <w:spacing w:val="-16"/>
                <w:kern w:val="21"/>
                <w:szCs w:val="21"/>
                <w14:textFill>
                  <w14:solidFill>
                    <w14:schemeClr w14:val="tx1"/>
                  </w14:solidFill>
                </w14:textFill>
              </w:rPr>
              <w:fldChar w:fldCharType="end"/>
            </w:r>
          </w:p>
        </w:tc>
        <w:tc>
          <w:tcPr>
            <w:tcW w:w="2471"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16"/>
                <w:kern w:val="21"/>
                <w:szCs w:val="21"/>
                <w14:textFill>
                  <w14:solidFill>
                    <w14:schemeClr w14:val="tx1"/>
                  </w14:solidFill>
                </w14:textFill>
              </w:rPr>
            </w:pPr>
            <w:r>
              <w:rPr>
                <w:rFonts w:ascii="Times New Roman"/>
                <w:b/>
                <w:bCs w:val="0"/>
                <w:snapToGrid w:val="0"/>
                <w:color w:val="000000" w:themeColor="text1"/>
                <w:spacing w:val="-16"/>
                <w:kern w:val="21"/>
                <w:szCs w:val="21"/>
                <w14:textFill>
                  <w14:solidFill>
                    <w14:schemeClr w14:val="tx1"/>
                  </w14:solidFill>
                </w14:textFill>
              </w:rPr>
              <w:t>本项目建成后</w:t>
            </w:r>
          </w:p>
          <w:p>
            <w:pPr>
              <w:pStyle w:val="49"/>
              <w:spacing w:beforeLines="0" w:afterLines="0" w:line="240" w:lineRule="auto"/>
              <w:rPr>
                <w:rFonts w:ascii="Times New Roman"/>
                <w:b/>
                <w:bCs w:val="0"/>
                <w:snapToGrid w:val="0"/>
                <w:color w:val="000000" w:themeColor="text1"/>
                <w:spacing w:val="-16"/>
                <w:kern w:val="21"/>
                <w:szCs w:val="21"/>
                <w14:textFill>
                  <w14:solidFill>
                    <w14:schemeClr w14:val="tx1"/>
                  </w14:solidFill>
                </w14:textFill>
              </w:rPr>
            </w:pPr>
            <w:r>
              <w:rPr>
                <w:rFonts w:ascii="Times New Roman"/>
                <w:b/>
                <w:bCs w:val="0"/>
                <w:snapToGrid w:val="0"/>
                <w:color w:val="000000" w:themeColor="text1"/>
                <w:spacing w:val="-16"/>
                <w:kern w:val="21"/>
                <w:szCs w:val="21"/>
                <w14:textFill>
                  <w14:solidFill>
                    <w14:schemeClr w14:val="tx1"/>
                  </w14:solidFill>
                </w14:textFill>
              </w:rPr>
              <w:t>全厂排放量（固体废物产生量）</w:t>
            </w:r>
            <w:r>
              <w:rPr>
                <w:rFonts w:ascii="Times New Roman"/>
                <w:b/>
                <w:bCs w:val="0"/>
                <w:snapToGrid w:val="0"/>
                <w:color w:val="000000" w:themeColor="text1"/>
                <w:spacing w:val="-16"/>
                <w:kern w:val="21"/>
                <w:szCs w:val="21"/>
                <w14:textFill>
                  <w14:solidFill>
                    <w14:schemeClr w14:val="tx1"/>
                  </w14:solidFill>
                </w14:textFill>
              </w:rPr>
              <w:fldChar w:fldCharType="begin"/>
            </w:r>
            <w:r>
              <w:rPr>
                <w:rFonts w:ascii="Times New Roman"/>
                <w:b/>
                <w:bCs w:val="0"/>
                <w:snapToGrid w:val="0"/>
                <w:color w:val="000000" w:themeColor="text1"/>
                <w:spacing w:val="-16"/>
                <w:kern w:val="21"/>
                <w:szCs w:val="21"/>
                <w14:textFill>
                  <w14:solidFill>
                    <w14:schemeClr w14:val="tx1"/>
                  </w14:solidFill>
                </w14:textFill>
              </w:rPr>
              <w:instrText xml:space="preserve"> = 6 \* GB3 \* MERGEFORMAT </w:instrText>
            </w:r>
            <w:r>
              <w:rPr>
                <w:rFonts w:ascii="Times New Roman"/>
                <w:b/>
                <w:bCs w:val="0"/>
                <w:snapToGrid w:val="0"/>
                <w:color w:val="000000" w:themeColor="text1"/>
                <w:spacing w:val="-1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⑥</w:t>
            </w:r>
            <w:r>
              <w:rPr>
                <w:rFonts w:ascii="Times New Roman"/>
                <w:b/>
                <w:bCs w:val="0"/>
                <w:snapToGrid w:val="0"/>
                <w:color w:val="000000" w:themeColor="text1"/>
                <w:spacing w:val="-16"/>
                <w:kern w:val="21"/>
                <w:szCs w:val="21"/>
                <w14:textFill>
                  <w14:solidFill>
                    <w14:schemeClr w14:val="tx1"/>
                  </w14:solidFill>
                </w14:textFill>
              </w:rPr>
              <w:fldChar w:fldCharType="end"/>
            </w:r>
          </w:p>
        </w:tc>
        <w:tc>
          <w:tcPr>
            <w:tcW w:w="2370" w:type="dxa"/>
            <w:tcMar>
              <w:left w:w="28" w:type="dxa"/>
              <w:right w:w="28" w:type="dxa"/>
            </w:tcMar>
            <w:vAlign w:val="center"/>
          </w:tcPr>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t>变化量</w:t>
            </w:r>
          </w:p>
          <w:p>
            <w:pPr>
              <w:pStyle w:val="49"/>
              <w:spacing w:beforeLines="0" w:afterLines="0" w:line="240" w:lineRule="auto"/>
              <w:rPr>
                <w:rFonts w:ascii="Times New Roman"/>
                <w:b/>
                <w:bCs w:val="0"/>
                <w:snapToGrid w:val="0"/>
                <w:color w:val="000000" w:themeColor="text1"/>
                <w:spacing w:val="-6"/>
                <w:kern w:val="21"/>
                <w:szCs w:val="21"/>
                <w14:textFill>
                  <w14:solidFill>
                    <w14:schemeClr w14:val="tx1"/>
                  </w14:solidFill>
                </w14:textFill>
              </w:rPr>
            </w:pPr>
            <w:r>
              <w:rPr>
                <w:rFonts w:ascii="Times New Roman"/>
                <w:b/>
                <w:bCs w:val="0"/>
                <w:snapToGrid w:val="0"/>
                <w:color w:val="000000" w:themeColor="text1"/>
                <w:spacing w:val="-6"/>
                <w:kern w:val="21"/>
                <w:szCs w:val="21"/>
                <w14:textFill>
                  <w14:solidFill>
                    <w14:schemeClr w14:val="tx1"/>
                  </w14:solidFill>
                </w14:textFill>
              </w:rPr>
              <w:fldChar w:fldCharType="begin"/>
            </w:r>
            <w:r>
              <w:rPr>
                <w:rFonts w:ascii="Times New Roman"/>
                <w:b/>
                <w:bCs w:val="0"/>
                <w:snapToGrid w:val="0"/>
                <w:color w:val="000000" w:themeColor="text1"/>
                <w:spacing w:val="-6"/>
                <w:kern w:val="21"/>
                <w:szCs w:val="21"/>
                <w14:textFill>
                  <w14:solidFill>
                    <w14:schemeClr w14:val="tx1"/>
                  </w14:solidFill>
                </w14:textFill>
              </w:rPr>
              <w:instrText xml:space="preserve"> = 7 \* GB3 \* MERGEFORMAT </w:instrText>
            </w:r>
            <w:r>
              <w:rPr>
                <w:rFonts w:ascii="Times New Roman"/>
                <w:b/>
                <w:bCs w:val="0"/>
                <w:snapToGrid w:val="0"/>
                <w:color w:val="000000" w:themeColor="text1"/>
                <w:spacing w:val="-6"/>
                <w:kern w:val="21"/>
                <w:szCs w:val="21"/>
                <w14:textFill>
                  <w14:solidFill>
                    <w14:schemeClr w14:val="tx1"/>
                  </w14:solidFill>
                </w14:textFill>
              </w:rPr>
              <w:fldChar w:fldCharType="separate"/>
            </w:r>
            <w:r>
              <w:rPr>
                <w:rFonts w:ascii="Times New Roman"/>
                <w:b/>
                <w:bCs w:val="0"/>
                <w:color w:val="000000" w:themeColor="text1"/>
                <w:kern w:val="2"/>
                <w:szCs w:val="21"/>
                <w14:textFill>
                  <w14:solidFill>
                    <w14:schemeClr w14:val="tx1"/>
                  </w14:solidFill>
                </w14:textFill>
              </w:rPr>
              <w:t>⑦</w:t>
            </w:r>
            <w:r>
              <w:rPr>
                <w:rFonts w:ascii="Times New Roman"/>
                <w:b/>
                <w:bCs w:val="0"/>
                <w:snapToGrid w:val="0"/>
                <w:color w:val="000000" w:themeColor="text1"/>
                <w:spacing w:val="-6"/>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restart"/>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废气</w:t>
            </w: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color w:val="000000" w:themeColor="text1"/>
                <w14:textFill>
                  <w14:solidFill>
                    <w14:schemeClr w14:val="tx1"/>
                  </w14:solidFill>
                </w14:textFill>
              </w:rPr>
              <w:t>VOCs</w:t>
            </w:r>
            <w:r>
              <w:rPr>
                <w:rFonts w:ascii="Times New Roman"/>
                <w:snapToGrid w:val="0"/>
                <w:color w:val="000000" w:themeColor="text1"/>
                <w:kern w:val="21"/>
                <w:szCs w:val="2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hint="default" w:ascii="Times New Roman" w:eastAsia="宋体"/>
                <w:snapToGrid w:val="0"/>
                <w:color w:val="000000" w:themeColor="text1"/>
                <w:kern w:val="21"/>
                <w:szCs w:val="21"/>
                <w:lang w:val="en-US" w:eastAsia="zh-CN"/>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lang w:val="en-US" w:eastAsia="zh-CN"/>
                <w14:textFill>
                  <w14:solidFill>
                    <w14:schemeClr w14:val="tx1"/>
                  </w14:solidFill>
                </w14:textFill>
              </w:rPr>
              <w:t>77</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hint="default" w:ascii="Times New Roman" w:eastAsia="宋体"/>
                <w:snapToGrid w:val="0"/>
                <w:color w:val="000000" w:themeColor="text1"/>
                <w:kern w:val="21"/>
                <w:szCs w:val="21"/>
                <w:lang w:val="en-US" w:eastAsia="zh-CN"/>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lang w:val="en-US" w:eastAsia="zh-CN"/>
                <w14:textFill>
                  <w14:solidFill>
                    <w14:schemeClr w14:val="tx1"/>
                  </w14:solidFill>
                </w14:textFill>
              </w:rPr>
              <w:t>77</w:t>
            </w:r>
          </w:p>
        </w:tc>
        <w:tc>
          <w:tcPr>
            <w:tcW w:w="2370" w:type="dxa"/>
            <w:vAlign w:val="center"/>
          </w:tcPr>
          <w:p>
            <w:pPr>
              <w:pStyle w:val="49"/>
              <w:spacing w:beforeLines="0" w:afterLines="0" w:line="240" w:lineRule="auto"/>
              <w:rPr>
                <w:rFonts w:hint="default" w:ascii="Times New Roman" w:eastAsia="宋体"/>
                <w:snapToGrid w:val="0"/>
                <w:color w:val="000000" w:themeColor="text1"/>
                <w:kern w:val="21"/>
                <w:szCs w:val="21"/>
                <w:lang w:val="en-US" w:eastAsia="zh-CN"/>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14:textFill>
                  <w14:solidFill>
                    <w14:schemeClr w14:val="tx1"/>
                  </w14:solidFill>
                </w14:textFill>
              </w:rPr>
              <w:t>0</w:t>
            </w:r>
            <w:r>
              <w:rPr>
                <w:rFonts w:hint="eastAsia" w:ascii="Times New Roman"/>
                <w:snapToGrid w:val="0"/>
                <w:color w:val="000000" w:themeColor="text1"/>
                <w:kern w:val="21"/>
                <w:szCs w:val="21"/>
                <w:lang w:val="en-US" w:eastAsia="zh-CN"/>
                <w14:textFill>
                  <w14:solidFill>
                    <w14:schemeClr w14:val="tx1"/>
                  </w14:solidFill>
                </w14:textFill>
              </w:rPr>
              <w:t>77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颗粒物（t/a）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少量</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少量</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+少量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restart"/>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生活污水</w:t>
            </w:r>
          </w:p>
        </w:tc>
        <w:tc>
          <w:tcPr>
            <w:tcW w:w="19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废水量（t/a）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96</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96</w:t>
            </w:r>
          </w:p>
        </w:tc>
        <w:tc>
          <w:tcPr>
            <w:tcW w:w="2370" w:type="dxa"/>
            <w:vAlign w:val="center"/>
          </w:tcPr>
          <w:p>
            <w:pPr>
              <w:pStyle w:val="49"/>
              <w:spacing w:beforeLines="0" w:afterLines="0" w:line="240" w:lineRule="auto"/>
              <w:rPr>
                <w:rFonts w:ascii="Times New Roman"/>
                <w:color w:val="000000" w:themeColor="text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COD</w:t>
            </w:r>
            <w:r>
              <w:rPr>
                <w:color w:val="000000" w:themeColor="text1"/>
                <w:vertAlign w:val="subscript"/>
                <w14:textFill>
                  <w14:solidFill>
                    <w14:schemeClr w14:val="tx1"/>
                  </w14:solidFill>
                </w14:textFill>
              </w:rPr>
              <w:t>Cr</w:t>
            </w:r>
            <w:r>
              <w:rPr>
                <w:color w:val="000000" w:themeColor="text1"/>
                <w:kern w:val="2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0.0038</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0.0038</w:t>
            </w:r>
          </w:p>
        </w:tc>
        <w:tc>
          <w:tcPr>
            <w:tcW w:w="2370" w:type="dxa"/>
            <w:vAlign w:val="center"/>
          </w:tcPr>
          <w:p>
            <w:pPr>
              <w:pStyle w:val="49"/>
              <w:spacing w:beforeLines="0" w:afterLines="0" w:line="240" w:lineRule="auto"/>
              <w:rPr>
                <w:rFonts w:ascii="Times New Roman"/>
                <w:color w:val="000000" w:themeColor="text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w:t>
            </w:r>
            <w:r>
              <w:rPr>
                <w:color w:val="000000" w:themeColor="text1"/>
                <w:kern w:val="2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0.0002</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0.0002</w:t>
            </w:r>
          </w:p>
        </w:tc>
        <w:tc>
          <w:tcPr>
            <w:tcW w:w="2370" w:type="dxa"/>
            <w:vAlign w:val="center"/>
          </w:tcPr>
          <w:p>
            <w:pPr>
              <w:pStyle w:val="49"/>
              <w:spacing w:beforeLines="0" w:afterLines="0" w:line="240" w:lineRule="auto"/>
              <w:rPr>
                <w:rFonts w:ascii="Times New Roman"/>
                <w:color w:val="000000" w:themeColor="text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固体废物</w:t>
            </w: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生活垃圾（t/a）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1.8</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1.8</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restart"/>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一般工业</w:t>
            </w:r>
          </w:p>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固体废物</w:t>
            </w: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次品（t/a）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1.0</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1.0</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收集的粉尘（t/a）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0.002</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0.002</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restart"/>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危险废物</w:t>
            </w: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color w:val="000000" w:themeColor="text1"/>
                <w14:textFill>
                  <w14:solidFill>
                    <w14:schemeClr w14:val="tx1"/>
                  </w14:solidFill>
                </w14:textFill>
              </w:rPr>
              <w:t>废布碎/纸皮</w:t>
            </w:r>
            <w:r>
              <w:rPr>
                <w:rFonts w:ascii="Times New Roman"/>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2.2218</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2.2218</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+2.2218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color w:val="000000" w:themeColor="text1"/>
                <w14:textFill>
                  <w14:solidFill>
                    <w14:schemeClr w14:val="tx1"/>
                  </w14:solidFill>
                </w14:textFill>
              </w:rPr>
              <w:t>废包装物</w:t>
            </w:r>
            <w:r>
              <w:rPr>
                <w:rFonts w:ascii="Times New Roman"/>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0.025</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0.025</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color w:val="000000" w:themeColor="text1"/>
                <w14:textFill>
                  <w14:solidFill>
                    <w14:schemeClr w14:val="tx1"/>
                  </w14:solidFill>
                </w14:textFill>
              </w:rPr>
              <w:t>废绝缘漆渣</w:t>
            </w:r>
            <w:r>
              <w:rPr>
                <w:rFonts w:ascii="Times New Roman"/>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0.5528</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0.5528</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+0.5528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废机油</w:t>
            </w:r>
            <w:r>
              <w:rPr>
                <w:rFonts w:ascii="Times New Roman"/>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0.4</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0.4</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废抹布及手套</w:t>
            </w:r>
            <w:r>
              <w:rPr>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0.1</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0.1</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喷淋废水</w:t>
            </w:r>
            <w:r>
              <w:rPr>
                <w:bCs w:val="0"/>
                <w:color w:val="000000" w:themeColor="text1"/>
                <w14:textFill>
                  <w14:solidFill>
                    <w14:schemeClr w14:val="tx1"/>
                  </w14:solidFill>
                </w14:textFill>
              </w:rPr>
              <w:t>（t/a）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hint="default" w:ascii="Times New Roman" w:eastAsia="宋体"/>
                <w:snapToGrid w:val="0"/>
                <w:color w:val="000000" w:themeColor="text1"/>
                <w:kern w:val="21"/>
                <w:szCs w:val="21"/>
                <w:lang w:val="en-US" w:eastAsia="zh-CN"/>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7.5</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7.5</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w:t>
            </w:r>
            <w:r>
              <w:rPr>
                <w:rFonts w:hint="eastAsia" w:ascii="Times New Roman"/>
                <w:color w:val="000000" w:themeColor="text1"/>
                <w:lang w:val="en-US" w:eastAsia="zh-CN"/>
                <w14:textFill>
                  <w14:solidFill>
                    <w14:schemeClr w14:val="tx1"/>
                  </w14:solidFill>
                </w14:textFill>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adjustRightInd w:val="0"/>
              <w:snapToGrid w:val="0"/>
              <w:jc w:val="center"/>
              <w:textAlignment w:val="baseline"/>
              <w:rPr>
                <w:color w:val="000000" w:themeColor="text1"/>
                <w:kern w:val="0"/>
                <w14:textFill>
                  <w14:solidFill>
                    <w14:schemeClr w14:val="tx1"/>
                  </w14:solidFill>
                </w14:textFill>
              </w:rPr>
            </w:pPr>
            <w:r>
              <w:rPr>
                <w:color w:val="000000" w:themeColor="text1"/>
                <w:kern w:val="0"/>
                <w14:textFill>
                  <w14:solidFill>
                    <w14:schemeClr w14:val="tx1"/>
                  </w14:solidFill>
                </w14:textFill>
              </w:rPr>
              <w:t>废滤芯</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0.01</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0.01</w:t>
            </w:r>
          </w:p>
        </w:tc>
        <w:tc>
          <w:tcPr>
            <w:tcW w:w="237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Merge w:val="continue"/>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p>
        </w:tc>
        <w:tc>
          <w:tcPr>
            <w:tcW w:w="1902"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color w:val="000000" w:themeColor="text1"/>
                <w:kern w:val="21"/>
                <w14:textFill>
                  <w14:solidFill>
                    <w14:schemeClr w14:val="tx1"/>
                  </w14:solidFill>
                </w14:textFill>
              </w:rPr>
              <w:t>废活性炭（t/a）</w:t>
            </w:r>
          </w:p>
        </w:tc>
        <w:tc>
          <w:tcPr>
            <w:tcW w:w="1550"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188"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525"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621" w:type="dxa"/>
            <w:vAlign w:val="center"/>
          </w:tcPr>
          <w:p>
            <w:pPr>
              <w:pStyle w:val="49"/>
              <w:spacing w:beforeLines="0" w:afterLines="0" w:line="240" w:lineRule="auto"/>
              <w:rPr>
                <w:rFonts w:hint="eastAsia" w:ascii="Times New Roman" w:eastAsia="宋体"/>
                <w:color w:val="000000" w:themeColor="text1"/>
                <w:lang w:eastAsia="zh-CN"/>
                <w14:textFill>
                  <w14:solidFill>
                    <w14:schemeClr w14:val="tx1"/>
                  </w14:solidFill>
                </w14:textFill>
              </w:rPr>
            </w:pPr>
            <w:r>
              <w:rPr>
                <w:rFonts w:hint="eastAsia" w:ascii="Times New Roman"/>
                <w:color w:val="000000" w:themeColor="text1"/>
                <w:lang w:eastAsia="zh-CN"/>
                <w14:textFill>
                  <w14:solidFill>
                    <w14:schemeClr w14:val="tx1"/>
                  </w14:solidFill>
                </w14:textFill>
              </w:rPr>
              <w:t>6.8126</w:t>
            </w:r>
          </w:p>
        </w:tc>
        <w:tc>
          <w:tcPr>
            <w:tcW w:w="1667" w:type="dxa"/>
            <w:vAlign w:val="center"/>
          </w:tcPr>
          <w:p>
            <w:pPr>
              <w:pStyle w:val="49"/>
              <w:spacing w:beforeLines="0" w:afterLines="0" w:line="240" w:lineRule="auto"/>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2471" w:type="dxa"/>
            <w:vAlign w:val="center"/>
          </w:tcPr>
          <w:p>
            <w:pPr>
              <w:pStyle w:val="49"/>
              <w:spacing w:beforeLines="0" w:afterLines="0" w:line="240" w:lineRule="auto"/>
              <w:rPr>
                <w:rFonts w:hint="eastAsia" w:ascii="Times New Roman" w:eastAsia="宋体"/>
                <w:snapToGrid w:val="0"/>
                <w:color w:val="000000" w:themeColor="text1"/>
                <w:kern w:val="21"/>
                <w:szCs w:val="21"/>
                <w:lang w:eastAsia="zh-CN"/>
                <w14:textFill>
                  <w14:solidFill>
                    <w14:schemeClr w14:val="tx1"/>
                  </w14:solidFill>
                </w14:textFill>
              </w:rPr>
            </w:pPr>
            <w:r>
              <w:rPr>
                <w:rFonts w:hint="eastAsia" w:ascii="Times New Roman"/>
                <w:color w:val="000000" w:themeColor="text1"/>
                <w:lang w:eastAsia="zh-CN"/>
                <w14:textFill>
                  <w14:solidFill>
                    <w14:schemeClr w14:val="tx1"/>
                  </w14:solidFill>
                </w14:textFill>
              </w:rPr>
              <w:t>6.8126</w:t>
            </w:r>
          </w:p>
        </w:tc>
        <w:tc>
          <w:tcPr>
            <w:tcW w:w="2370" w:type="dxa"/>
            <w:vAlign w:val="center"/>
          </w:tcPr>
          <w:p>
            <w:pPr>
              <w:pStyle w:val="49"/>
              <w:spacing w:beforeLines="0" w:afterLines="0" w:line="240" w:lineRule="auto"/>
              <w:rPr>
                <w:rFonts w:hint="eastAsia" w:ascii="Times New Roman" w:eastAsia="宋体"/>
                <w:snapToGrid w:val="0"/>
                <w:color w:val="000000" w:themeColor="text1"/>
                <w:kern w:val="21"/>
                <w:szCs w:val="21"/>
                <w:lang w:eastAsia="zh-CN"/>
                <w14:textFill>
                  <w14:solidFill>
                    <w14:schemeClr w14:val="tx1"/>
                  </w14:solidFill>
                </w14:textFill>
              </w:rPr>
            </w:pPr>
            <w:r>
              <w:rPr>
                <w:rFonts w:ascii="Times New Roman"/>
                <w:color w:val="000000" w:themeColor="text1"/>
                <w14:textFill>
                  <w14:solidFill>
                    <w14:schemeClr w14:val="tx1"/>
                  </w14:solidFill>
                </w14:textFill>
              </w:rPr>
              <w:t>+</w:t>
            </w:r>
            <w:r>
              <w:rPr>
                <w:rFonts w:hint="eastAsia" w:ascii="Times New Roman"/>
                <w:color w:val="000000" w:themeColor="text1"/>
                <w:lang w:eastAsia="zh-CN"/>
                <w14:textFill>
                  <w14:solidFill>
                    <w14:schemeClr w14:val="tx1"/>
                  </w14:solidFill>
                </w14:textFill>
              </w:rPr>
              <w:t>6.8126</w:t>
            </w:r>
          </w:p>
        </w:tc>
      </w:tr>
    </w:tbl>
    <w:p>
      <w:pPr>
        <w:pStyle w:val="49"/>
        <w:spacing w:beforeLines="0" w:afterLines="0" w:line="240" w:lineRule="auto"/>
        <w:jc w:val="lef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注：</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⑥</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①</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3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③</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4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④</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5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⑤</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7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⑦</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⑥</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Times New Roman"/>
          <w:color w:val="000000" w:themeColor="text1"/>
          <w:szCs w:val="21"/>
          <w14:textFill>
            <w14:solidFill>
              <w14:schemeClr w14:val="tx1"/>
            </w14:solidFill>
          </w14:textFill>
        </w:rPr>
        <w:t>①</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p>
    <w:p>
      <w:pPr>
        <w:pStyle w:val="42"/>
        <w:spacing w:before="36"/>
        <w:rPr>
          <w:rFonts w:ascii="Times New Roman" w:hAnsi="Times New Roman" w:cs="Times New Roman"/>
          <w:color w:val="000000" w:themeColor="text1"/>
          <w14:textFill>
            <w14:solidFill>
              <w14:schemeClr w14:val="tx1"/>
            </w14:solidFill>
          </w14:textFill>
        </w:rPr>
      </w:pPr>
      <w:bookmarkStart w:id="3" w:name="_GoBack"/>
      <w:bookmarkEnd w:id="3"/>
    </w:p>
    <w:sectPr>
      <w:footerReference r:id="rId4" w:type="default"/>
      <w:pgSz w:w="16838" w:h="11906" w:orient="landscape"/>
      <w:pgMar w:top="720" w:right="720" w:bottom="720" w:left="72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TimesNewRomanPSMT">
    <w:altName w:val="Times New Roman"/>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4"/>
        <w:rFonts w:hAnsi="宋体"/>
        <w:color w:val="auto"/>
        <w:sz w:val="28"/>
        <w:szCs w:val="28"/>
      </w:rPr>
    </w:pPr>
    <w:r>
      <w:rPr>
        <w:rStyle w:val="34"/>
        <w:rFonts w:hint="eastAsia" w:hAnsi="宋体"/>
        <w:color w:val="auto"/>
        <w:sz w:val="28"/>
        <w:szCs w:val="28"/>
      </w:rPr>
      <w:t>—</w:t>
    </w:r>
    <w:r>
      <w:rPr>
        <w:rStyle w:val="34"/>
        <w:rFonts w:hint="eastAsia" w:hAnsi="宋体"/>
        <w:color w:val="auto"/>
        <w:sz w:val="20"/>
      </w:rPr>
      <w:t xml:space="preserve">  </w:t>
    </w:r>
    <w:r>
      <w:rPr>
        <w:rFonts w:ascii="宋体" w:hAnsi="宋体"/>
        <w:color w:val="auto"/>
        <w:sz w:val="26"/>
        <w:szCs w:val="26"/>
      </w:rPr>
      <w:fldChar w:fldCharType="begin"/>
    </w:r>
    <w:r>
      <w:rPr>
        <w:rStyle w:val="34"/>
        <w:rFonts w:hAnsi="宋体"/>
        <w:color w:val="auto"/>
        <w:sz w:val="26"/>
        <w:szCs w:val="26"/>
      </w:rPr>
      <w:instrText xml:space="preserve">PAGE  </w:instrText>
    </w:r>
    <w:r>
      <w:rPr>
        <w:rFonts w:ascii="宋体" w:hAnsi="宋体"/>
        <w:color w:val="auto"/>
        <w:sz w:val="26"/>
        <w:szCs w:val="26"/>
      </w:rPr>
      <w:fldChar w:fldCharType="separate"/>
    </w:r>
    <w:r>
      <w:rPr>
        <w:rStyle w:val="34"/>
        <w:rFonts w:hAnsi="宋体"/>
        <w:color w:val="auto"/>
        <w:sz w:val="26"/>
        <w:szCs w:val="26"/>
      </w:rPr>
      <w:t>32</w:t>
    </w:r>
    <w:r>
      <w:rPr>
        <w:rFonts w:ascii="宋体" w:hAnsi="宋体"/>
        <w:color w:val="auto"/>
        <w:sz w:val="26"/>
        <w:szCs w:val="26"/>
      </w:rPr>
      <w:fldChar w:fldCharType="end"/>
    </w:r>
    <w:r>
      <w:rPr>
        <w:rStyle w:val="34"/>
        <w:rFonts w:hint="eastAsia" w:hAnsi="宋体"/>
        <w:color w:val="auto"/>
        <w:sz w:val="20"/>
      </w:rPr>
      <w:t xml:space="preserve">  </w:t>
    </w:r>
    <w:r>
      <w:rPr>
        <w:rStyle w:val="34"/>
        <w:rFonts w:hint="eastAsia" w:hAnsi="宋体"/>
        <w:color w:val="auto"/>
        <w:sz w:val="28"/>
        <w:szCs w:val="28"/>
      </w:rPr>
      <w:t>—</w:t>
    </w:r>
  </w:p>
  <w:p>
    <w:pPr>
      <w:pStyle w:val="2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4"/>
        <w:rFonts w:ascii="宋体" w:hAnsi="宋体"/>
        <w:sz w:val="28"/>
        <w:szCs w:val="28"/>
      </w:rPr>
    </w:pPr>
    <w:r>
      <w:rPr>
        <w:rStyle w:val="34"/>
        <w:rFonts w:hint="eastAsia" w:ascii="宋体" w:hAnsi="宋体"/>
        <w:sz w:val="28"/>
        <w:szCs w:val="28"/>
      </w:rPr>
      <w:t>—</w:t>
    </w:r>
    <w:r>
      <w:rPr>
        <w:rStyle w:val="34"/>
        <w:rFonts w:hint="eastAsia" w:ascii="宋体" w:hAnsi="宋体"/>
        <w:sz w:val="20"/>
      </w:rPr>
      <w:t xml:space="preserve">  </w:t>
    </w:r>
    <w:r>
      <w:rPr>
        <w:rFonts w:ascii="宋体" w:hAnsi="宋体"/>
        <w:sz w:val="26"/>
        <w:szCs w:val="26"/>
      </w:rPr>
      <w:fldChar w:fldCharType="begin"/>
    </w:r>
    <w:r>
      <w:rPr>
        <w:rStyle w:val="34"/>
        <w:rFonts w:ascii="宋体" w:hAnsi="宋体"/>
        <w:sz w:val="26"/>
        <w:szCs w:val="26"/>
      </w:rPr>
      <w:instrText xml:space="preserve">PAGE  </w:instrText>
    </w:r>
    <w:r>
      <w:rPr>
        <w:rFonts w:ascii="宋体" w:hAnsi="宋体"/>
        <w:sz w:val="26"/>
        <w:szCs w:val="26"/>
      </w:rPr>
      <w:fldChar w:fldCharType="separate"/>
    </w:r>
    <w:r>
      <w:rPr>
        <w:rStyle w:val="34"/>
        <w:rFonts w:ascii="宋体" w:hAnsi="宋体"/>
        <w:sz w:val="26"/>
        <w:szCs w:val="26"/>
      </w:rPr>
      <w:t>138</w:t>
    </w:r>
    <w:r>
      <w:rPr>
        <w:rFonts w:ascii="宋体" w:hAnsi="宋体"/>
        <w:sz w:val="26"/>
        <w:szCs w:val="26"/>
      </w:rPr>
      <w:fldChar w:fldCharType="end"/>
    </w:r>
    <w:r>
      <w:rPr>
        <w:rStyle w:val="34"/>
        <w:rFonts w:hint="eastAsia" w:ascii="宋体" w:hAnsi="宋体"/>
        <w:sz w:val="20"/>
      </w:rPr>
      <w:t xml:space="preserve">  </w:t>
    </w:r>
    <w:r>
      <w:rPr>
        <w:rStyle w:val="34"/>
        <w:rFonts w:hint="eastAsia" w:ascii="宋体" w:hAnsi="宋体"/>
        <w:sz w:val="28"/>
        <w:szCs w:val="28"/>
      </w:rPr>
      <w:t>—</w:t>
    </w:r>
  </w:p>
  <w:p>
    <w:pPr>
      <w:pStyle w:val="22"/>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2F7D31"/>
    <w:multiLevelType w:val="singleLevel"/>
    <w:tmpl w:val="922F7D31"/>
    <w:lvl w:ilvl="0" w:tentative="0">
      <w:start w:val="1"/>
      <w:numFmt w:val="decimal"/>
      <w:suff w:val="nothing"/>
      <w:lvlText w:val="%1、"/>
      <w:lvlJc w:val="left"/>
    </w:lvl>
  </w:abstractNum>
  <w:abstractNum w:abstractNumId="1">
    <w:nsid w:val="DD3F2A5C"/>
    <w:multiLevelType w:val="singleLevel"/>
    <w:tmpl w:val="DD3F2A5C"/>
    <w:lvl w:ilvl="0" w:tentative="0">
      <w:start w:val="1"/>
      <w:numFmt w:val="decimal"/>
      <w:suff w:val="nothing"/>
      <w:lvlText w:val="（%1）"/>
      <w:lvlJc w:val="left"/>
      <w:pPr>
        <w:tabs>
          <w:tab w:val="left" w:pos="0"/>
        </w:tabs>
      </w:pPr>
      <w:rPr>
        <w:rFonts w:hint="default"/>
        <w:sz w:val="21"/>
      </w:rPr>
    </w:lvl>
  </w:abstractNum>
  <w:abstractNum w:abstractNumId="2">
    <w:nsid w:val="F16A154A"/>
    <w:multiLevelType w:val="singleLevel"/>
    <w:tmpl w:val="F16A154A"/>
    <w:lvl w:ilvl="0" w:tentative="0">
      <w:start w:val="1"/>
      <w:numFmt w:val="bullet"/>
      <w:pStyle w:val="9"/>
      <w:lvlText w:val=""/>
      <w:lvlJc w:val="left"/>
      <w:pPr>
        <w:tabs>
          <w:tab w:val="left" w:pos="780"/>
        </w:tabs>
        <w:ind w:left="780" w:hanging="360"/>
      </w:pPr>
      <w:rPr>
        <w:rFonts w:hint="default" w:ascii="Wingdings" w:hAnsi="Wingdings"/>
      </w:rPr>
    </w:lvl>
  </w:abstractNum>
  <w:abstractNum w:abstractNumId="3">
    <w:nsid w:val="64C5FE1E"/>
    <w:multiLevelType w:val="multilevel"/>
    <w:tmpl w:val="64C5FE1E"/>
    <w:lvl w:ilvl="0" w:tentative="0">
      <w:start w:val="1"/>
      <w:numFmt w:val="decimal"/>
      <w:suff w:val="nothing"/>
      <w:lvlText w:val="%1"/>
      <w:lvlJc w:val="left"/>
      <w:pPr>
        <w:ind w:left="0" w:firstLine="0"/>
      </w:pPr>
      <w:rPr>
        <w:rFonts w:hint="default" w:ascii="Times New Roman" w:hAnsi="Times New Roman" w:eastAsia="宋体"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
    <w:nsid w:val="7CF98D69"/>
    <w:multiLevelType w:val="singleLevel"/>
    <w:tmpl w:val="7CF98D69"/>
    <w:lvl w:ilvl="0" w:tentative="0">
      <w:start w:val="3"/>
      <w:numFmt w:val="chineseCounting"/>
      <w:suff w:val="nothing"/>
      <w:lvlText w:val="%1、"/>
      <w:lvlJc w:val="left"/>
      <w:rPr>
        <w:rFonts w:hint="eastAsia"/>
      </w:rPr>
    </w:lvl>
  </w:abstractNum>
  <w:num w:numId="1">
    <w:abstractNumId w:val="2"/>
  </w:num>
  <w:num w:numId="2">
    <w:abstractNumId w:val="0"/>
  </w:num>
  <w:num w:numId="3">
    <w:abstractNumId w:val="4"/>
  </w:num>
  <w:num w:numId="4">
    <w:abstractNumId w:val="1"/>
  </w:num>
  <w:num w:numId="5">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gutterAtTop/>
  <w:hideSpellingErrors/>
  <w:attachedTemplate r:id="rId1"/>
  <w:documentProtection w:edit="trackedChanges"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ZGEwZWIyNjljOWU1YjVhYjkyZGQ3NjVjNjYwYjYifQ=="/>
  </w:docVars>
  <w:rsids>
    <w:rsidRoot w:val="00A14947"/>
    <w:rsid w:val="00000D13"/>
    <w:rsid w:val="0000173B"/>
    <w:rsid w:val="00002E05"/>
    <w:rsid w:val="00002FCF"/>
    <w:rsid w:val="00003162"/>
    <w:rsid w:val="00003C0D"/>
    <w:rsid w:val="00004871"/>
    <w:rsid w:val="000060B3"/>
    <w:rsid w:val="00010976"/>
    <w:rsid w:val="0001165E"/>
    <w:rsid w:val="00011F09"/>
    <w:rsid w:val="00011F34"/>
    <w:rsid w:val="00011FF2"/>
    <w:rsid w:val="00013883"/>
    <w:rsid w:val="00013CD9"/>
    <w:rsid w:val="00014D4E"/>
    <w:rsid w:val="00015959"/>
    <w:rsid w:val="00016180"/>
    <w:rsid w:val="00017231"/>
    <w:rsid w:val="00021572"/>
    <w:rsid w:val="0002210A"/>
    <w:rsid w:val="00023879"/>
    <w:rsid w:val="000238D5"/>
    <w:rsid w:val="00024E92"/>
    <w:rsid w:val="0002512F"/>
    <w:rsid w:val="000262EE"/>
    <w:rsid w:val="0002648B"/>
    <w:rsid w:val="00027689"/>
    <w:rsid w:val="000279F3"/>
    <w:rsid w:val="000306EE"/>
    <w:rsid w:val="000306F6"/>
    <w:rsid w:val="000308D2"/>
    <w:rsid w:val="000324E3"/>
    <w:rsid w:val="000324F2"/>
    <w:rsid w:val="00032DCD"/>
    <w:rsid w:val="00033BA1"/>
    <w:rsid w:val="00033BE8"/>
    <w:rsid w:val="00034D43"/>
    <w:rsid w:val="00034DE9"/>
    <w:rsid w:val="00035980"/>
    <w:rsid w:val="00035B72"/>
    <w:rsid w:val="00036626"/>
    <w:rsid w:val="00036730"/>
    <w:rsid w:val="00036739"/>
    <w:rsid w:val="00036C1B"/>
    <w:rsid w:val="000406C6"/>
    <w:rsid w:val="00040C8E"/>
    <w:rsid w:val="00041382"/>
    <w:rsid w:val="000434F3"/>
    <w:rsid w:val="0004364B"/>
    <w:rsid w:val="00044E81"/>
    <w:rsid w:val="0004536B"/>
    <w:rsid w:val="00045DE0"/>
    <w:rsid w:val="00046E1D"/>
    <w:rsid w:val="00046F32"/>
    <w:rsid w:val="00046F8C"/>
    <w:rsid w:val="00047BB6"/>
    <w:rsid w:val="0005052B"/>
    <w:rsid w:val="00051148"/>
    <w:rsid w:val="00051634"/>
    <w:rsid w:val="0005208A"/>
    <w:rsid w:val="00052728"/>
    <w:rsid w:val="00052919"/>
    <w:rsid w:val="00053E01"/>
    <w:rsid w:val="0005482B"/>
    <w:rsid w:val="00054F04"/>
    <w:rsid w:val="00055A26"/>
    <w:rsid w:val="000565F3"/>
    <w:rsid w:val="00056775"/>
    <w:rsid w:val="000609DE"/>
    <w:rsid w:val="00061A0B"/>
    <w:rsid w:val="00061B1F"/>
    <w:rsid w:val="00061BA4"/>
    <w:rsid w:val="000634FD"/>
    <w:rsid w:val="00063F22"/>
    <w:rsid w:val="00063F8C"/>
    <w:rsid w:val="0006518D"/>
    <w:rsid w:val="00065E8C"/>
    <w:rsid w:val="000665E9"/>
    <w:rsid w:val="00067674"/>
    <w:rsid w:val="000678E7"/>
    <w:rsid w:val="00067993"/>
    <w:rsid w:val="00067A2C"/>
    <w:rsid w:val="0007119B"/>
    <w:rsid w:val="000733C4"/>
    <w:rsid w:val="00073AE7"/>
    <w:rsid w:val="0007469D"/>
    <w:rsid w:val="00074783"/>
    <w:rsid w:val="000750B4"/>
    <w:rsid w:val="000751FC"/>
    <w:rsid w:val="000753A5"/>
    <w:rsid w:val="000758B1"/>
    <w:rsid w:val="00075E8F"/>
    <w:rsid w:val="000768AB"/>
    <w:rsid w:val="000775AA"/>
    <w:rsid w:val="00077DF8"/>
    <w:rsid w:val="0008070B"/>
    <w:rsid w:val="000810AC"/>
    <w:rsid w:val="00081A02"/>
    <w:rsid w:val="00081D72"/>
    <w:rsid w:val="00082231"/>
    <w:rsid w:val="00082681"/>
    <w:rsid w:val="00082D01"/>
    <w:rsid w:val="0008302D"/>
    <w:rsid w:val="000832EE"/>
    <w:rsid w:val="00083609"/>
    <w:rsid w:val="0008364C"/>
    <w:rsid w:val="00083740"/>
    <w:rsid w:val="000843C8"/>
    <w:rsid w:val="0008545A"/>
    <w:rsid w:val="000856D4"/>
    <w:rsid w:val="000864A6"/>
    <w:rsid w:val="0009042D"/>
    <w:rsid w:val="000909CB"/>
    <w:rsid w:val="00091907"/>
    <w:rsid w:val="00092890"/>
    <w:rsid w:val="00092D38"/>
    <w:rsid w:val="00092E16"/>
    <w:rsid w:val="0009319E"/>
    <w:rsid w:val="0009377B"/>
    <w:rsid w:val="00093885"/>
    <w:rsid w:val="000944A2"/>
    <w:rsid w:val="00094EB5"/>
    <w:rsid w:val="00095234"/>
    <w:rsid w:val="0009746A"/>
    <w:rsid w:val="000977CA"/>
    <w:rsid w:val="0009790F"/>
    <w:rsid w:val="000A047F"/>
    <w:rsid w:val="000A091C"/>
    <w:rsid w:val="000A0EE0"/>
    <w:rsid w:val="000A14EB"/>
    <w:rsid w:val="000A1564"/>
    <w:rsid w:val="000A20C9"/>
    <w:rsid w:val="000A2C30"/>
    <w:rsid w:val="000A2E16"/>
    <w:rsid w:val="000A2FCD"/>
    <w:rsid w:val="000A38FB"/>
    <w:rsid w:val="000A3DBD"/>
    <w:rsid w:val="000A46E2"/>
    <w:rsid w:val="000A4772"/>
    <w:rsid w:val="000A4964"/>
    <w:rsid w:val="000A507D"/>
    <w:rsid w:val="000A6A5C"/>
    <w:rsid w:val="000A6CA7"/>
    <w:rsid w:val="000A6CAF"/>
    <w:rsid w:val="000A718D"/>
    <w:rsid w:val="000A74A9"/>
    <w:rsid w:val="000A79BE"/>
    <w:rsid w:val="000B058F"/>
    <w:rsid w:val="000B115B"/>
    <w:rsid w:val="000B183A"/>
    <w:rsid w:val="000B2DDA"/>
    <w:rsid w:val="000B31BF"/>
    <w:rsid w:val="000B3889"/>
    <w:rsid w:val="000B4467"/>
    <w:rsid w:val="000B497E"/>
    <w:rsid w:val="000B4B21"/>
    <w:rsid w:val="000B4DB9"/>
    <w:rsid w:val="000B50A8"/>
    <w:rsid w:val="000B5B0F"/>
    <w:rsid w:val="000B5DA7"/>
    <w:rsid w:val="000B5DE9"/>
    <w:rsid w:val="000B6D99"/>
    <w:rsid w:val="000B7182"/>
    <w:rsid w:val="000B7EAF"/>
    <w:rsid w:val="000C0742"/>
    <w:rsid w:val="000C09AC"/>
    <w:rsid w:val="000C226D"/>
    <w:rsid w:val="000C29B6"/>
    <w:rsid w:val="000C2D9C"/>
    <w:rsid w:val="000C2FC6"/>
    <w:rsid w:val="000C30D5"/>
    <w:rsid w:val="000C3877"/>
    <w:rsid w:val="000C4CAA"/>
    <w:rsid w:val="000C51CC"/>
    <w:rsid w:val="000C61C6"/>
    <w:rsid w:val="000C6269"/>
    <w:rsid w:val="000C6F1A"/>
    <w:rsid w:val="000C767F"/>
    <w:rsid w:val="000D0579"/>
    <w:rsid w:val="000D08C7"/>
    <w:rsid w:val="000D0E2D"/>
    <w:rsid w:val="000D2F18"/>
    <w:rsid w:val="000D33B7"/>
    <w:rsid w:val="000D47AA"/>
    <w:rsid w:val="000D53D0"/>
    <w:rsid w:val="000D581F"/>
    <w:rsid w:val="000D5A44"/>
    <w:rsid w:val="000D5CFF"/>
    <w:rsid w:val="000D6371"/>
    <w:rsid w:val="000D6E8A"/>
    <w:rsid w:val="000D711F"/>
    <w:rsid w:val="000D7454"/>
    <w:rsid w:val="000E12C5"/>
    <w:rsid w:val="000E1636"/>
    <w:rsid w:val="000E17ED"/>
    <w:rsid w:val="000E1B82"/>
    <w:rsid w:val="000E1BC4"/>
    <w:rsid w:val="000E27D9"/>
    <w:rsid w:val="000E3ED2"/>
    <w:rsid w:val="000E40FE"/>
    <w:rsid w:val="000E46AD"/>
    <w:rsid w:val="000E4874"/>
    <w:rsid w:val="000E5499"/>
    <w:rsid w:val="000E60A4"/>
    <w:rsid w:val="000E60D0"/>
    <w:rsid w:val="000E6640"/>
    <w:rsid w:val="000E67EE"/>
    <w:rsid w:val="000E6DD4"/>
    <w:rsid w:val="000E7110"/>
    <w:rsid w:val="000F0E36"/>
    <w:rsid w:val="000F10C6"/>
    <w:rsid w:val="000F13B9"/>
    <w:rsid w:val="000F14C9"/>
    <w:rsid w:val="000F1DD0"/>
    <w:rsid w:val="000F2E04"/>
    <w:rsid w:val="000F2E12"/>
    <w:rsid w:val="000F4202"/>
    <w:rsid w:val="000F5AA4"/>
    <w:rsid w:val="000F6748"/>
    <w:rsid w:val="000F69B4"/>
    <w:rsid w:val="000F7706"/>
    <w:rsid w:val="000F77D5"/>
    <w:rsid w:val="000F7AF0"/>
    <w:rsid w:val="000F7C5B"/>
    <w:rsid w:val="00101114"/>
    <w:rsid w:val="001014F9"/>
    <w:rsid w:val="001022E3"/>
    <w:rsid w:val="00102ADB"/>
    <w:rsid w:val="00103DD9"/>
    <w:rsid w:val="00103E27"/>
    <w:rsid w:val="00104368"/>
    <w:rsid w:val="00105C12"/>
    <w:rsid w:val="00106079"/>
    <w:rsid w:val="001061F6"/>
    <w:rsid w:val="00106C88"/>
    <w:rsid w:val="001071DA"/>
    <w:rsid w:val="001104B3"/>
    <w:rsid w:val="00110FD1"/>
    <w:rsid w:val="00110FF2"/>
    <w:rsid w:val="00111ABC"/>
    <w:rsid w:val="001127A8"/>
    <w:rsid w:val="00112838"/>
    <w:rsid w:val="001130F6"/>
    <w:rsid w:val="001140E3"/>
    <w:rsid w:val="00114817"/>
    <w:rsid w:val="001155E0"/>
    <w:rsid w:val="00117B80"/>
    <w:rsid w:val="00120032"/>
    <w:rsid w:val="0012054A"/>
    <w:rsid w:val="00120952"/>
    <w:rsid w:val="001213B5"/>
    <w:rsid w:val="00122442"/>
    <w:rsid w:val="001236B3"/>
    <w:rsid w:val="00125BDE"/>
    <w:rsid w:val="00125ECA"/>
    <w:rsid w:val="00126026"/>
    <w:rsid w:val="00126B4D"/>
    <w:rsid w:val="0012784D"/>
    <w:rsid w:val="00130CC0"/>
    <w:rsid w:val="001317F4"/>
    <w:rsid w:val="0013190E"/>
    <w:rsid w:val="00131D0B"/>
    <w:rsid w:val="00131F42"/>
    <w:rsid w:val="00132758"/>
    <w:rsid w:val="001333CD"/>
    <w:rsid w:val="0013361B"/>
    <w:rsid w:val="0013393C"/>
    <w:rsid w:val="001344B5"/>
    <w:rsid w:val="00134B0B"/>
    <w:rsid w:val="001357F1"/>
    <w:rsid w:val="00135880"/>
    <w:rsid w:val="0013659E"/>
    <w:rsid w:val="00136F9E"/>
    <w:rsid w:val="00137314"/>
    <w:rsid w:val="0014063A"/>
    <w:rsid w:val="00140FA8"/>
    <w:rsid w:val="00141BBF"/>
    <w:rsid w:val="00142A23"/>
    <w:rsid w:val="00142FEB"/>
    <w:rsid w:val="001433F6"/>
    <w:rsid w:val="00143488"/>
    <w:rsid w:val="0014385F"/>
    <w:rsid w:val="00143A2D"/>
    <w:rsid w:val="00143D74"/>
    <w:rsid w:val="001453F6"/>
    <w:rsid w:val="00145685"/>
    <w:rsid w:val="001457D4"/>
    <w:rsid w:val="00145A41"/>
    <w:rsid w:val="00145AFC"/>
    <w:rsid w:val="00146C08"/>
    <w:rsid w:val="00147848"/>
    <w:rsid w:val="00147E8C"/>
    <w:rsid w:val="00151154"/>
    <w:rsid w:val="00151675"/>
    <w:rsid w:val="0015289B"/>
    <w:rsid w:val="00152B19"/>
    <w:rsid w:val="001533C6"/>
    <w:rsid w:val="00153967"/>
    <w:rsid w:val="00153E98"/>
    <w:rsid w:val="00154AF6"/>
    <w:rsid w:val="00155272"/>
    <w:rsid w:val="00157435"/>
    <w:rsid w:val="00157C16"/>
    <w:rsid w:val="00160644"/>
    <w:rsid w:val="001607A5"/>
    <w:rsid w:val="00163508"/>
    <w:rsid w:val="00163DA4"/>
    <w:rsid w:val="00164EEC"/>
    <w:rsid w:val="001657B1"/>
    <w:rsid w:val="00166B22"/>
    <w:rsid w:val="001677B2"/>
    <w:rsid w:val="001678A7"/>
    <w:rsid w:val="0017001F"/>
    <w:rsid w:val="0017052A"/>
    <w:rsid w:val="001705E0"/>
    <w:rsid w:val="0017070B"/>
    <w:rsid w:val="001708D3"/>
    <w:rsid w:val="00170A07"/>
    <w:rsid w:val="00170B39"/>
    <w:rsid w:val="00170C4F"/>
    <w:rsid w:val="00170D25"/>
    <w:rsid w:val="00170E88"/>
    <w:rsid w:val="00171204"/>
    <w:rsid w:val="001715BE"/>
    <w:rsid w:val="00171CAB"/>
    <w:rsid w:val="00171CAE"/>
    <w:rsid w:val="00172A4D"/>
    <w:rsid w:val="00172C8B"/>
    <w:rsid w:val="0017504D"/>
    <w:rsid w:val="00175893"/>
    <w:rsid w:val="00175DFB"/>
    <w:rsid w:val="0017671A"/>
    <w:rsid w:val="00176728"/>
    <w:rsid w:val="00177285"/>
    <w:rsid w:val="00177422"/>
    <w:rsid w:val="001778CA"/>
    <w:rsid w:val="001779C7"/>
    <w:rsid w:val="00177DC4"/>
    <w:rsid w:val="001806C0"/>
    <w:rsid w:val="001809A4"/>
    <w:rsid w:val="0018101C"/>
    <w:rsid w:val="00181D4C"/>
    <w:rsid w:val="00181E22"/>
    <w:rsid w:val="00184590"/>
    <w:rsid w:val="00185279"/>
    <w:rsid w:val="001857B7"/>
    <w:rsid w:val="001861D5"/>
    <w:rsid w:val="001866A8"/>
    <w:rsid w:val="001870D1"/>
    <w:rsid w:val="00187722"/>
    <w:rsid w:val="0018781E"/>
    <w:rsid w:val="00187EB0"/>
    <w:rsid w:val="001900FA"/>
    <w:rsid w:val="00191470"/>
    <w:rsid w:val="0019262D"/>
    <w:rsid w:val="00193C51"/>
    <w:rsid w:val="00193CBC"/>
    <w:rsid w:val="001948FC"/>
    <w:rsid w:val="00194C74"/>
    <w:rsid w:val="0019667E"/>
    <w:rsid w:val="0019757B"/>
    <w:rsid w:val="001A04B4"/>
    <w:rsid w:val="001A079A"/>
    <w:rsid w:val="001A0F21"/>
    <w:rsid w:val="001A1B35"/>
    <w:rsid w:val="001A2A48"/>
    <w:rsid w:val="001A2DD8"/>
    <w:rsid w:val="001A3178"/>
    <w:rsid w:val="001A32C3"/>
    <w:rsid w:val="001A3A81"/>
    <w:rsid w:val="001A411B"/>
    <w:rsid w:val="001A447F"/>
    <w:rsid w:val="001A458F"/>
    <w:rsid w:val="001A48A2"/>
    <w:rsid w:val="001A4F27"/>
    <w:rsid w:val="001A506A"/>
    <w:rsid w:val="001A5432"/>
    <w:rsid w:val="001A5F83"/>
    <w:rsid w:val="001A6AF3"/>
    <w:rsid w:val="001A6F61"/>
    <w:rsid w:val="001A79F3"/>
    <w:rsid w:val="001B14F7"/>
    <w:rsid w:val="001B1714"/>
    <w:rsid w:val="001B286D"/>
    <w:rsid w:val="001B31D4"/>
    <w:rsid w:val="001B402F"/>
    <w:rsid w:val="001B41F3"/>
    <w:rsid w:val="001B456F"/>
    <w:rsid w:val="001B4748"/>
    <w:rsid w:val="001B7195"/>
    <w:rsid w:val="001B72B8"/>
    <w:rsid w:val="001B7B0B"/>
    <w:rsid w:val="001B7E3D"/>
    <w:rsid w:val="001C00E5"/>
    <w:rsid w:val="001C04C5"/>
    <w:rsid w:val="001C09CC"/>
    <w:rsid w:val="001C102A"/>
    <w:rsid w:val="001C357F"/>
    <w:rsid w:val="001C46F3"/>
    <w:rsid w:val="001C520F"/>
    <w:rsid w:val="001C57C9"/>
    <w:rsid w:val="001C5B6B"/>
    <w:rsid w:val="001C62E4"/>
    <w:rsid w:val="001C6307"/>
    <w:rsid w:val="001C69B3"/>
    <w:rsid w:val="001C6DCD"/>
    <w:rsid w:val="001C7141"/>
    <w:rsid w:val="001C780A"/>
    <w:rsid w:val="001D08EF"/>
    <w:rsid w:val="001D15DD"/>
    <w:rsid w:val="001D22AC"/>
    <w:rsid w:val="001D27EC"/>
    <w:rsid w:val="001D29D7"/>
    <w:rsid w:val="001D2B12"/>
    <w:rsid w:val="001D3C6C"/>
    <w:rsid w:val="001D3E34"/>
    <w:rsid w:val="001D3F02"/>
    <w:rsid w:val="001D48DF"/>
    <w:rsid w:val="001D5152"/>
    <w:rsid w:val="001D53B4"/>
    <w:rsid w:val="001D5595"/>
    <w:rsid w:val="001D5A59"/>
    <w:rsid w:val="001D6725"/>
    <w:rsid w:val="001D6793"/>
    <w:rsid w:val="001D67EA"/>
    <w:rsid w:val="001D6C53"/>
    <w:rsid w:val="001D7098"/>
    <w:rsid w:val="001D7874"/>
    <w:rsid w:val="001D7F22"/>
    <w:rsid w:val="001E0960"/>
    <w:rsid w:val="001E30F8"/>
    <w:rsid w:val="001E31CB"/>
    <w:rsid w:val="001E3B15"/>
    <w:rsid w:val="001E4AF5"/>
    <w:rsid w:val="001E4C18"/>
    <w:rsid w:val="001E6298"/>
    <w:rsid w:val="001E7794"/>
    <w:rsid w:val="001F0331"/>
    <w:rsid w:val="001F0F17"/>
    <w:rsid w:val="001F1353"/>
    <w:rsid w:val="001F2327"/>
    <w:rsid w:val="001F3347"/>
    <w:rsid w:val="001F3593"/>
    <w:rsid w:val="001F4C25"/>
    <w:rsid w:val="001F5584"/>
    <w:rsid w:val="001F5629"/>
    <w:rsid w:val="001F5C22"/>
    <w:rsid w:val="001F5C69"/>
    <w:rsid w:val="001F5FDA"/>
    <w:rsid w:val="001F68C3"/>
    <w:rsid w:val="001F69E4"/>
    <w:rsid w:val="001F75B0"/>
    <w:rsid w:val="001F7ABB"/>
    <w:rsid w:val="001F7F9D"/>
    <w:rsid w:val="0020076D"/>
    <w:rsid w:val="002007D1"/>
    <w:rsid w:val="002016E7"/>
    <w:rsid w:val="002030AA"/>
    <w:rsid w:val="002032AD"/>
    <w:rsid w:val="00204A00"/>
    <w:rsid w:val="00206526"/>
    <w:rsid w:val="00206C88"/>
    <w:rsid w:val="00206FFB"/>
    <w:rsid w:val="002074F8"/>
    <w:rsid w:val="002078DB"/>
    <w:rsid w:val="00207D86"/>
    <w:rsid w:val="00211181"/>
    <w:rsid w:val="002118CD"/>
    <w:rsid w:val="00211FAC"/>
    <w:rsid w:val="002125B4"/>
    <w:rsid w:val="00212954"/>
    <w:rsid w:val="00212C37"/>
    <w:rsid w:val="00212E73"/>
    <w:rsid w:val="00213B7A"/>
    <w:rsid w:val="00213D20"/>
    <w:rsid w:val="00213D3D"/>
    <w:rsid w:val="002148B3"/>
    <w:rsid w:val="00214C15"/>
    <w:rsid w:val="00214CAB"/>
    <w:rsid w:val="002155B8"/>
    <w:rsid w:val="00215E36"/>
    <w:rsid w:val="00216116"/>
    <w:rsid w:val="0021689E"/>
    <w:rsid w:val="00216A6B"/>
    <w:rsid w:val="002229DF"/>
    <w:rsid w:val="002232B7"/>
    <w:rsid w:val="0022356D"/>
    <w:rsid w:val="0022396F"/>
    <w:rsid w:val="00224839"/>
    <w:rsid w:val="002249B2"/>
    <w:rsid w:val="00224F11"/>
    <w:rsid w:val="002250C4"/>
    <w:rsid w:val="00225820"/>
    <w:rsid w:val="002262EB"/>
    <w:rsid w:val="00226574"/>
    <w:rsid w:val="0022717F"/>
    <w:rsid w:val="00227277"/>
    <w:rsid w:val="002278EC"/>
    <w:rsid w:val="00227FD5"/>
    <w:rsid w:val="0023280E"/>
    <w:rsid w:val="00233E23"/>
    <w:rsid w:val="0023422C"/>
    <w:rsid w:val="00235040"/>
    <w:rsid w:val="00236DF8"/>
    <w:rsid w:val="00236FE5"/>
    <w:rsid w:val="002377D1"/>
    <w:rsid w:val="00237C91"/>
    <w:rsid w:val="00240AD4"/>
    <w:rsid w:val="00240DE3"/>
    <w:rsid w:val="0024293A"/>
    <w:rsid w:val="00242A20"/>
    <w:rsid w:val="00243330"/>
    <w:rsid w:val="0024436D"/>
    <w:rsid w:val="0024594A"/>
    <w:rsid w:val="002460E3"/>
    <w:rsid w:val="00246138"/>
    <w:rsid w:val="00246D9B"/>
    <w:rsid w:val="00246E5D"/>
    <w:rsid w:val="00247F82"/>
    <w:rsid w:val="0025027E"/>
    <w:rsid w:val="002506BC"/>
    <w:rsid w:val="00251C37"/>
    <w:rsid w:val="00251C45"/>
    <w:rsid w:val="00252A9B"/>
    <w:rsid w:val="00252EE2"/>
    <w:rsid w:val="002534B2"/>
    <w:rsid w:val="00254345"/>
    <w:rsid w:val="00254877"/>
    <w:rsid w:val="002557D0"/>
    <w:rsid w:val="00255872"/>
    <w:rsid w:val="00256146"/>
    <w:rsid w:val="002562B6"/>
    <w:rsid w:val="00256C54"/>
    <w:rsid w:val="00257252"/>
    <w:rsid w:val="0025759F"/>
    <w:rsid w:val="00257F93"/>
    <w:rsid w:val="002603F9"/>
    <w:rsid w:val="0026327E"/>
    <w:rsid w:val="00263C72"/>
    <w:rsid w:val="00263D7A"/>
    <w:rsid w:val="00263DF7"/>
    <w:rsid w:val="00264525"/>
    <w:rsid w:val="00264557"/>
    <w:rsid w:val="002646E9"/>
    <w:rsid w:val="00264D1C"/>
    <w:rsid w:val="0026512F"/>
    <w:rsid w:val="00265A9F"/>
    <w:rsid w:val="002703D7"/>
    <w:rsid w:val="00270482"/>
    <w:rsid w:val="00270E56"/>
    <w:rsid w:val="00270EC9"/>
    <w:rsid w:val="00270F03"/>
    <w:rsid w:val="0027134F"/>
    <w:rsid w:val="00271D76"/>
    <w:rsid w:val="00271FF7"/>
    <w:rsid w:val="00272208"/>
    <w:rsid w:val="0027262C"/>
    <w:rsid w:val="00272C6C"/>
    <w:rsid w:val="00273133"/>
    <w:rsid w:val="00273AFC"/>
    <w:rsid w:val="00273C6E"/>
    <w:rsid w:val="00273F89"/>
    <w:rsid w:val="00274598"/>
    <w:rsid w:val="00274E72"/>
    <w:rsid w:val="0027517A"/>
    <w:rsid w:val="00275DB5"/>
    <w:rsid w:val="002761A9"/>
    <w:rsid w:val="00277074"/>
    <w:rsid w:val="0027714E"/>
    <w:rsid w:val="00277210"/>
    <w:rsid w:val="002776C4"/>
    <w:rsid w:val="00277936"/>
    <w:rsid w:val="00280591"/>
    <w:rsid w:val="002805AB"/>
    <w:rsid w:val="002827A0"/>
    <w:rsid w:val="00283418"/>
    <w:rsid w:val="00283BA2"/>
    <w:rsid w:val="00284204"/>
    <w:rsid w:val="00284275"/>
    <w:rsid w:val="0028518F"/>
    <w:rsid w:val="002863FC"/>
    <w:rsid w:val="002868D0"/>
    <w:rsid w:val="00286ED9"/>
    <w:rsid w:val="002879E1"/>
    <w:rsid w:val="00287B26"/>
    <w:rsid w:val="00287CB4"/>
    <w:rsid w:val="00290277"/>
    <w:rsid w:val="00290425"/>
    <w:rsid w:val="00291773"/>
    <w:rsid w:val="00291B33"/>
    <w:rsid w:val="002923BC"/>
    <w:rsid w:val="00292BF2"/>
    <w:rsid w:val="00292EB5"/>
    <w:rsid w:val="00294CCA"/>
    <w:rsid w:val="00296077"/>
    <w:rsid w:val="0029619C"/>
    <w:rsid w:val="00296793"/>
    <w:rsid w:val="00296F38"/>
    <w:rsid w:val="002A078F"/>
    <w:rsid w:val="002A168C"/>
    <w:rsid w:val="002A194B"/>
    <w:rsid w:val="002A318B"/>
    <w:rsid w:val="002A3659"/>
    <w:rsid w:val="002A3BED"/>
    <w:rsid w:val="002A3DC7"/>
    <w:rsid w:val="002A3FF2"/>
    <w:rsid w:val="002A54D0"/>
    <w:rsid w:val="002A6057"/>
    <w:rsid w:val="002A6541"/>
    <w:rsid w:val="002A65BB"/>
    <w:rsid w:val="002A6E7B"/>
    <w:rsid w:val="002A7E09"/>
    <w:rsid w:val="002B0397"/>
    <w:rsid w:val="002B0940"/>
    <w:rsid w:val="002B0A83"/>
    <w:rsid w:val="002B19E8"/>
    <w:rsid w:val="002B272C"/>
    <w:rsid w:val="002B2925"/>
    <w:rsid w:val="002B4110"/>
    <w:rsid w:val="002B49E2"/>
    <w:rsid w:val="002B550E"/>
    <w:rsid w:val="002B6C96"/>
    <w:rsid w:val="002B77AB"/>
    <w:rsid w:val="002B7B00"/>
    <w:rsid w:val="002B7C44"/>
    <w:rsid w:val="002C0021"/>
    <w:rsid w:val="002C037E"/>
    <w:rsid w:val="002C1C31"/>
    <w:rsid w:val="002C1EAE"/>
    <w:rsid w:val="002C28B0"/>
    <w:rsid w:val="002C2B17"/>
    <w:rsid w:val="002C2C58"/>
    <w:rsid w:val="002C2EA9"/>
    <w:rsid w:val="002C2F79"/>
    <w:rsid w:val="002C34D5"/>
    <w:rsid w:val="002C392B"/>
    <w:rsid w:val="002C39F6"/>
    <w:rsid w:val="002C3A41"/>
    <w:rsid w:val="002C5411"/>
    <w:rsid w:val="002C73D4"/>
    <w:rsid w:val="002C7E25"/>
    <w:rsid w:val="002D0A84"/>
    <w:rsid w:val="002D22E3"/>
    <w:rsid w:val="002D2879"/>
    <w:rsid w:val="002D28CE"/>
    <w:rsid w:val="002D2A0F"/>
    <w:rsid w:val="002D2BE7"/>
    <w:rsid w:val="002D2E3D"/>
    <w:rsid w:val="002D306B"/>
    <w:rsid w:val="002D369F"/>
    <w:rsid w:val="002D3DD0"/>
    <w:rsid w:val="002D4AF6"/>
    <w:rsid w:val="002D5C84"/>
    <w:rsid w:val="002D5D1B"/>
    <w:rsid w:val="002D5D65"/>
    <w:rsid w:val="002D67AD"/>
    <w:rsid w:val="002D7DD7"/>
    <w:rsid w:val="002E0599"/>
    <w:rsid w:val="002E11FA"/>
    <w:rsid w:val="002E1C9F"/>
    <w:rsid w:val="002E1CFD"/>
    <w:rsid w:val="002E1F3A"/>
    <w:rsid w:val="002E298A"/>
    <w:rsid w:val="002E31B2"/>
    <w:rsid w:val="002E364E"/>
    <w:rsid w:val="002E53AF"/>
    <w:rsid w:val="002E5E22"/>
    <w:rsid w:val="002E73B7"/>
    <w:rsid w:val="002E73E0"/>
    <w:rsid w:val="002F13C2"/>
    <w:rsid w:val="002F18F3"/>
    <w:rsid w:val="002F2018"/>
    <w:rsid w:val="002F23E7"/>
    <w:rsid w:val="002F2BF1"/>
    <w:rsid w:val="002F323B"/>
    <w:rsid w:val="002F36FE"/>
    <w:rsid w:val="002F3790"/>
    <w:rsid w:val="002F3A6F"/>
    <w:rsid w:val="002F3C1E"/>
    <w:rsid w:val="002F3CE5"/>
    <w:rsid w:val="002F448F"/>
    <w:rsid w:val="002F4832"/>
    <w:rsid w:val="002F512D"/>
    <w:rsid w:val="002F5BDC"/>
    <w:rsid w:val="00301978"/>
    <w:rsid w:val="00301D2A"/>
    <w:rsid w:val="00301E1C"/>
    <w:rsid w:val="0030271A"/>
    <w:rsid w:val="00302AAF"/>
    <w:rsid w:val="0030332C"/>
    <w:rsid w:val="003038FC"/>
    <w:rsid w:val="003042EA"/>
    <w:rsid w:val="003046E9"/>
    <w:rsid w:val="00304A51"/>
    <w:rsid w:val="00304AE5"/>
    <w:rsid w:val="00304C75"/>
    <w:rsid w:val="00305103"/>
    <w:rsid w:val="003051C2"/>
    <w:rsid w:val="0030545A"/>
    <w:rsid w:val="003054A3"/>
    <w:rsid w:val="003058A1"/>
    <w:rsid w:val="00305FEA"/>
    <w:rsid w:val="003066BA"/>
    <w:rsid w:val="00306AF9"/>
    <w:rsid w:val="0030730A"/>
    <w:rsid w:val="003078BC"/>
    <w:rsid w:val="00307B39"/>
    <w:rsid w:val="00307F17"/>
    <w:rsid w:val="00310E31"/>
    <w:rsid w:val="00312296"/>
    <w:rsid w:val="003127C8"/>
    <w:rsid w:val="00312833"/>
    <w:rsid w:val="00312E75"/>
    <w:rsid w:val="00313E57"/>
    <w:rsid w:val="0031444B"/>
    <w:rsid w:val="00314732"/>
    <w:rsid w:val="003149BF"/>
    <w:rsid w:val="00314F0E"/>
    <w:rsid w:val="00314F79"/>
    <w:rsid w:val="00317634"/>
    <w:rsid w:val="00317EC4"/>
    <w:rsid w:val="00317F8F"/>
    <w:rsid w:val="003200AF"/>
    <w:rsid w:val="00320A63"/>
    <w:rsid w:val="00321D8E"/>
    <w:rsid w:val="00321E3F"/>
    <w:rsid w:val="0032327C"/>
    <w:rsid w:val="0032374E"/>
    <w:rsid w:val="003237CB"/>
    <w:rsid w:val="0032441A"/>
    <w:rsid w:val="00325928"/>
    <w:rsid w:val="00325D8A"/>
    <w:rsid w:val="00326797"/>
    <w:rsid w:val="00330080"/>
    <w:rsid w:val="00330BA0"/>
    <w:rsid w:val="00330BA6"/>
    <w:rsid w:val="0033151F"/>
    <w:rsid w:val="0033182D"/>
    <w:rsid w:val="00331B3B"/>
    <w:rsid w:val="00331F12"/>
    <w:rsid w:val="0033254D"/>
    <w:rsid w:val="00332863"/>
    <w:rsid w:val="0033304B"/>
    <w:rsid w:val="003333B7"/>
    <w:rsid w:val="0033410C"/>
    <w:rsid w:val="00334845"/>
    <w:rsid w:val="003357D1"/>
    <w:rsid w:val="00335832"/>
    <w:rsid w:val="0033599A"/>
    <w:rsid w:val="0033679D"/>
    <w:rsid w:val="0033684D"/>
    <w:rsid w:val="00337AC3"/>
    <w:rsid w:val="00337B42"/>
    <w:rsid w:val="00340ED6"/>
    <w:rsid w:val="0034173E"/>
    <w:rsid w:val="00341B42"/>
    <w:rsid w:val="0034348F"/>
    <w:rsid w:val="00343B19"/>
    <w:rsid w:val="0034409D"/>
    <w:rsid w:val="003443D1"/>
    <w:rsid w:val="003450E8"/>
    <w:rsid w:val="00345453"/>
    <w:rsid w:val="00345665"/>
    <w:rsid w:val="00345C36"/>
    <w:rsid w:val="00350C3F"/>
    <w:rsid w:val="00352690"/>
    <w:rsid w:val="0035377C"/>
    <w:rsid w:val="0035424E"/>
    <w:rsid w:val="00354B22"/>
    <w:rsid w:val="003563C8"/>
    <w:rsid w:val="00356653"/>
    <w:rsid w:val="0035743F"/>
    <w:rsid w:val="00357BE2"/>
    <w:rsid w:val="003604AA"/>
    <w:rsid w:val="00360E77"/>
    <w:rsid w:val="0036170C"/>
    <w:rsid w:val="00361BAB"/>
    <w:rsid w:val="00361CA6"/>
    <w:rsid w:val="003621BA"/>
    <w:rsid w:val="00362BA3"/>
    <w:rsid w:val="0036319A"/>
    <w:rsid w:val="00364D18"/>
    <w:rsid w:val="003655F4"/>
    <w:rsid w:val="00365FBA"/>
    <w:rsid w:val="00366E0F"/>
    <w:rsid w:val="003704FB"/>
    <w:rsid w:val="003713E2"/>
    <w:rsid w:val="00371435"/>
    <w:rsid w:val="0037313F"/>
    <w:rsid w:val="003733E0"/>
    <w:rsid w:val="00373570"/>
    <w:rsid w:val="00373896"/>
    <w:rsid w:val="00374174"/>
    <w:rsid w:val="00374331"/>
    <w:rsid w:val="00374F16"/>
    <w:rsid w:val="0037552A"/>
    <w:rsid w:val="003760DA"/>
    <w:rsid w:val="0037781A"/>
    <w:rsid w:val="00381A72"/>
    <w:rsid w:val="00381C03"/>
    <w:rsid w:val="00382D31"/>
    <w:rsid w:val="00383981"/>
    <w:rsid w:val="00384676"/>
    <w:rsid w:val="0038469B"/>
    <w:rsid w:val="003857F5"/>
    <w:rsid w:val="00386E32"/>
    <w:rsid w:val="00387194"/>
    <w:rsid w:val="00390857"/>
    <w:rsid w:val="003912F8"/>
    <w:rsid w:val="00391473"/>
    <w:rsid w:val="00391489"/>
    <w:rsid w:val="00392BFE"/>
    <w:rsid w:val="00393F59"/>
    <w:rsid w:val="0039417F"/>
    <w:rsid w:val="00395EB1"/>
    <w:rsid w:val="0039614B"/>
    <w:rsid w:val="00396BB0"/>
    <w:rsid w:val="00396C3C"/>
    <w:rsid w:val="00396D68"/>
    <w:rsid w:val="00396E3B"/>
    <w:rsid w:val="00397143"/>
    <w:rsid w:val="0039770B"/>
    <w:rsid w:val="00397848"/>
    <w:rsid w:val="003A02F8"/>
    <w:rsid w:val="003A116D"/>
    <w:rsid w:val="003A18A0"/>
    <w:rsid w:val="003A2BD2"/>
    <w:rsid w:val="003A37B2"/>
    <w:rsid w:val="003A47AC"/>
    <w:rsid w:val="003A49EA"/>
    <w:rsid w:val="003A4BF3"/>
    <w:rsid w:val="003A4C33"/>
    <w:rsid w:val="003A4CAC"/>
    <w:rsid w:val="003A4F04"/>
    <w:rsid w:val="003A5396"/>
    <w:rsid w:val="003A5CC0"/>
    <w:rsid w:val="003A5DFB"/>
    <w:rsid w:val="003A6715"/>
    <w:rsid w:val="003A72FF"/>
    <w:rsid w:val="003A7446"/>
    <w:rsid w:val="003A760F"/>
    <w:rsid w:val="003A7AA8"/>
    <w:rsid w:val="003B0BF6"/>
    <w:rsid w:val="003B0C8F"/>
    <w:rsid w:val="003B19DB"/>
    <w:rsid w:val="003B1A01"/>
    <w:rsid w:val="003B1F82"/>
    <w:rsid w:val="003B25BB"/>
    <w:rsid w:val="003B2E83"/>
    <w:rsid w:val="003B2EF7"/>
    <w:rsid w:val="003B2FB1"/>
    <w:rsid w:val="003B3267"/>
    <w:rsid w:val="003B3D19"/>
    <w:rsid w:val="003B420D"/>
    <w:rsid w:val="003B440F"/>
    <w:rsid w:val="003B5B76"/>
    <w:rsid w:val="003B6DDE"/>
    <w:rsid w:val="003B6E3D"/>
    <w:rsid w:val="003C10D7"/>
    <w:rsid w:val="003C2367"/>
    <w:rsid w:val="003C2578"/>
    <w:rsid w:val="003C26D6"/>
    <w:rsid w:val="003C3F56"/>
    <w:rsid w:val="003C4DAF"/>
    <w:rsid w:val="003C6367"/>
    <w:rsid w:val="003C6B9E"/>
    <w:rsid w:val="003C6C16"/>
    <w:rsid w:val="003C6D39"/>
    <w:rsid w:val="003C7A1E"/>
    <w:rsid w:val="003D0A8E"/>
    <w:rsid w:val="003D1242"/>
    <w:rsid w:val="003D24A1"/>
    <w:rsid w:val="003D2F27"/>
    <w:rsid w:val="003D39EC"/>
    <w:rsid w:val="003D42BF"/>
    <w:rsid w:val="003D5D65"/>
    <w:rsid w:val="003D5F85"/>
    <w:rsid w:val="003D5FC2"/>
    <w:rsid w:val="003D794D"/>
    <w:rsid w:val="003E0976"/>
    <w:rsid w:val="003E0B76"/>
    <w:rsid w:val="003E140B"/>
    <w:rsid w:val="003E1557"/>
    <w:rsid w:val="003E2C4C"/>
    <w:rsid w:val="003E3058"/>
    <w:rsid w:val="003E4DFD"/>
    <w:rsid w:val="003E4F27"/>
    <w:rsid w:val="003E5BC5"/>
    <w:rsid w:val="003E64AC"/>
    <w:rsid w:val="003E69D9"/>
    <w:rsid w:val="003E71BF"/>
    <w:rsid w:val="003E76A9"/>
    <w:rsid w:val="003F0809"/>
    <w:rsid w:val="003F0892"/>
    <w:rsid w:val="003F0D30"/>
    <w:rsid w:val="003F0DC0"/>
    <w:rsid w:val="003F0E4E"/>
    <w:rsid w:val="003F1BE3"/>
    <w:rsid w:val="003F23A9"/>
    <w:rsid w:val="003F27AF"/>
    <w:rsid w:val="003F2D48"/>
    <w:rsid w:val="003F3088"/>
    <w:rsid w:val="003F36A8"/>
    <w:rsid w:val="003F4E5C"/>
    <w:rsid w:val="003F50FB"/>
    <w:rsid w:val="003F5988"/>
    <w:rsid w:val="003F69BE"/>
    <w:rsid w:val="003F6A8C"/>
    <w:rsid w:val="003F755C"/>
    <w:rsid w:val="003F7775"/>
    <w:rsid w:val="003F78EA"/>
    <w:rsid w:val="00400348"/>
    <w:rsid w:val="0040042A"/>
    <w:rsid w:val="004004C0"/>
    <w:rsid w:val="00400610"/>
    <w:rsid w:val="0040167E"/>
    <w:rsid w:val="00402F1C"/>
    <w:rsid w:val="004039FF"/>
    <w:rsid w:val="00403A61"/>
    <w:rsid w:val="00404A66"/>
    <w:rsid w:val="004052B7"/>
    <w:rsid w:val="00406556"/>
    <w:rsid w:val="00406F01"/>
    <w:rsid w:val="00407FE6"/>
    <w:rsid w:val="0041010B"/>
    <w:rsid w:val="00410154"/>
    <w:rsid w:val="00410608"/>
    <w:rsid w:val="00411C09"/>
    <w:rsid w:val="004125DD"/>
    <w:rsid w:val="004129F9"/>
    <w:rsid w:val="00412F1C"/>
    <w:rsid w:val="004143BC"/>
    <w:rsid w:val="00414650"/>
    <w:rsid w:val="00415241"/>
    <w:rsid w:val="00415F46"/>
    <w:rsid w:val="00416D50"/>
    <w:rsid w:val="00416FD5"/>
    <w:rsid w:val="00417772"/>
    <w:rsid w:val="00417824"/>
    <w:rsid w:val="004205EB"/>
    <w:rsid w:val="0042072C"/>
    <w:rsid w:val="00420E6A"/>
    <w:rsid w:val="004215A7"/>
    <w:rsid w:val="00421F9F"/>
    <w:rsid w:val="00421FFC"/>
    <w:rsid w:val="0042208A"/>
    <w:rsid w:val="00422E5F"/>
    <w:rsid w:val="004230FB"/>
    <w:rsid w:val="004247FE"/>
    <w:rsid w:val="004250B2"/>
    <w:rsid w:val="004258F7"/>
    <w:rsid w:val="00425A9E"/>
    <w:rsid w:val="00426C44"/>
    <w:rsid w:val="00426D6B"/>
    <w:rsid w:val="004306C3"/>
    <w:rsid w:val="00431E6C"/>
    <w:rsid w:val="004330FD"/>
    <w:rsid w:val="004336A9"/>
    <w:rsid w:val="00433CE7"/>
    <w:rsid w:val="0043400F"/>
    <w:rsid w:val="00434309"/>
    <w:rsid w:val="0043586F"/>
    <w:rsid w:val="00435D92"/>
    <w:rsid w:val="004402A4"/>
    <w:rsid w:val="004410D7"/>
    <w:rsid w:val="00441CD1"/>
    <w:rsid w:val="00441E36"/>
    <w:rsid w:val="0044255C"/>
    <w:rsid w:val="00443C84"/>
    <w:rsid w:val="00443D7D"/>
    <w:rsid w:val="00445657"/>
    <w:rsid w:val="00446318"/>
    <w:rsid w:val="00446869"/>
    <w:rsid w:val="00446AD6"/>
    <w:rsid w:val="004470D0"/>
    <w:rsid w:val="0044772D"/>
    <w:rsid w:val="00450C10"/>
    <w:rsid w:val="00450F73"/>
    <w:rsid w:val="0045121E"/>
    <w:rsid w:val="004512AD"/>
    <w:rsid w:val="00452738"/>
    <w:rsid w:val="00452C52"/>
    <w:rsid w:val="00454C60"/>
    <w:rsid w:val="00454E57"/>
    <w:rsid w:val="0045508B"/>
    <w:rsid w:val="00456091"/>
    <w:rsid w:val="00457889"/>
    <w:rsid w:val="00457A96"/>
    <w:rsid w:val="00457D5D"/>
    <w:rsid w:val="004607E2"/>
    <w:rsid w:val="00460B89"/>
    <w:rsid w:val="00463E3D"/>
    <w:rsid w:val="0046422E"/>
    <w:rsid w:val="004660C9"/>
    <w:rsid w:val="00466321"/>
    <w:rsid w:val="00467D0F"/>
    <w:rsid w:val="004704F3"/>
    <w:rsid w:val="00470C9F"/>
    <w:rsid w:val="00470D67"/>
    <w:rsid w:val="00471202"/>
    <w:rsid w:val="00471A4D"/>
    <w:rsid w:val="0047263B"/>
    <w:rsid w:val="0047276A"/>
    <w:rsid w:val="00474991"/>
    <w:rsid w:val="00475397"/>
    <w:rsid w:val="004755EE"/>
    <w:rsid w:val="004756F0"/>
    <w:rsid w:val="00476958"/>
    <w:rsid w:val="00477119"/>
    <w:rsid w:val="004779F3"/>
    <w:rsid w:val="004800CF"/>
    <w:rsid w:val="00480F68"/>
    <w:rsid w:val="00481148"/>
    <w:rsid w:val="0048125A"/>
    <w:rsid w:val="004819A9"/>
    <w:rsid w:val="00483821"/>
    <w:rsid w:val="0048382B"/>
    <w:rsid w:val="004840DD"/>
    <w:rsid w:val="004845FA"/>
    <w:rsid w:val="004849DE"/>
    <w:rsid w:val="00484B9B"/>
    <w:rsid w:val="00485368"/>
    <w:rsid w:val="00485399"/>
    <w:rsid w:val="004855F6"/>
    <w:rsid w:val="0048653A"/>
    <w:rsid w:val="0048661E"/>
    <w:rsid w:val="0048784F"/>
    <w:rsid w:val="004879AF"/>
    <w:rsid w:val="004927B8"/>
    <w:rsid w:val="00494670"/>
    <w:rsid w:val="00494D0D"/>
    <w:rsid w:val="00495FF6"/>
    <w:rsid w:val="00496316"/>
    <w:rsid w:val="004963BB"/>
    <w:rsid w:val="0049686A"/>
    <w:rsid w:val="004971DA"/>
    <w:rsid w:val="004A0BCD"/>
    <w:rsid w:val="004A158B"/>
    <w:rsid w:val="004A1FFA"/>
    <w:rsid w:val="004A2B34"/>
    <w:rsid w:val="004A2C40"/>
    <w:rsid w:val="004A35C4"/>
    <w:rsid w:val="004A3823"/>
    <w:rsid w:val="004A4185"/>
    <w:rsid w:val="004A47F5"/>
    <w:rsid w:val="004A4C6F"/>
    <w:rsid w:val="004A5679"/>
    <w:rsid w:val="004A6083"/>
    <w:rsid w:val="004A7635"/>
    <w:rsid w:val="004A7A04"/>
    <w:rsid w:val="004B05C9"/>
    <w:rsid w:val="004B0D2B"/>
    <w:rsid w:val="004B106A"/>
    <w:rsid w:val="004B1C5D"/>
    <w:rsid w:val="004B1E29"/>
    <w:rsid w:val="004B2BD4"/>
    <w:rsid w:val="004B3166"/>
    <w:rsid w:val="004B46D0"/>
    <w:rsid w:val="004B4D03"/>
    <w:rsid w:val="004B542F"/>
    <w:rsid w:val="004B7525"/>
    <w:rsid w:val="004B7961"/>
    <w:rsid w:val="004B7E62"/>
    <w:rsid w:val="004B7F6E"/>
    <w:rsid w:val="004C0248"/>
    <w:rsid w:val="004C0364"/>
    <w:rsid w:val="004C0785"/>
    <w:rsid w:val="004C1034"/>
    <w:rsid w:val="004C184E"/>
    <w:rsid w:val="004C1AD1"/>
    <w:rsid w:val="004C1F26"/>
    <w:rsid w:val="004C2366"/>
    <w:rsid w:val="004C2FCD"/>
    <w:rsid w:val="004C36A7"/>
    <w:rsid w:val="004C5239"/>
    <w:rsid w:val="004C5897"/>
    <w:rsid w:val="004C6956"/>
    <w:rsid w:val="004C6DEB"/>
    <w:rsid w:val="004D026C"/>
    <w:rsid w:val="004D0A4C"/>
    <w:rsid w:val="004D0AAA"/>
    <w:rsid w:val="004D0BF2"/>
    <w:rsid w:val="004D1066"/>
    <w:rsid w:val="004D1529"/>
    <w:rsid w:val="004D1811"/>
    <w:rsid w:val="004D1894"/>
    <w:rsid w:val="004D1EB2"/>
    <w:rsid w:val="004D2B2D"/>
    <w:rsid w:val="004D458A"/>
    <w:rsid w:val="004D45DA"/>
    <w:rsid w:val="004D4A4B"/>
    <w:rsid w:val="004D53E5"/>
    <w:rsid w:val="004D5A98"/>
    <w:rsid w:val="004D6A03"/>
    <w:rsid w:val="004D6B0A"/>
    <w:rsid w:val="004D6CA0"/>
    <w:rsid w:val="004D70A2"/>
    <w:rsid w:val="004D7DAB"/>
    <w:rsid w:val="004E0082"/>
    <w:rsid w:val="004E0400"/>
    <w:rsid w:val="004E08BF"/>
    <w:rsid w:val="004E18DE"/>
    <w:rsid w:val="004E1DE1"/>
    <w:rsid w:val="004E25D0"/>
    <w:rsid w:val="004E2F94"/>
    <w:rsid w:val="004E3ED4"/>
    <w:rsid w:val="004E4941"/>
    <w:rsid w:val="004E4C7D"/>
    <w:rsid w:val="004E530E"/>
    <w:rsid w:val="004E6946"/>
    <w:rsid w:val="004E6A00"/>
    <w:rsid w:val="004E736A"/>
    <w:rsid w:val="004E790B"/>
    <w:rsid w:val="004F007E"/>
    <w:rsid w:val="004F01B3"/>
    <w:rsid w:val="004F0611"/>
    <w:rsid w:val="004F1AD8"/>
    <w:rsid w:val="004F2606"/>
    <w:rsid w:val="004F2ABD"/>
    <w:rsid w:val="004F5049"/>
    <w:rsid w:val="004F57B5"/>
    <w:rsid w:val="004F59CB"/>
    <w:rsid w:val="004F6E0C"/>
    <w:rsid w:val="004F7C6B"/>
    <w:rsid w:val="005006EC"/>
    <w:rsid w:val="0050162A"/>
    <w:rsid w:val="00501676"/>
    <w:rsid w:val="00501936"/>
    <w:rsid w:val="005022C8"/>
    <w:rsid w:val="0050264D"/>
    <w:rsid w:val="005026FE"/>
    <w:rsid w:val="00502ECC"/>
    <w:rsid w:val="0050328D"/>
    <w:rsid w:val="005032B9"/>
    <w:rsid w:val="005032FC"/>
    <w:rsid w:val="005039CB"/>
    <w:rsid w:val="00503D92"/>
    <w:rsid w:val="0050544A"/>
    <w:rsid w:val="0050558F"/>
    <w:rsid w:val="00505B7D"/>
    <w:rsid w:val="00505EA1"/>
    <w:rsid w:val="00505F32"/>
    <w:rsid w:val="00506286"/>
    <w:rsid w:val="00506586"/>
    <w:rsid w:val="0050698F"/>
    <w:rsid w:val="00506FAB"/>
    <w:rsid w:val="005075A3"/>
    <w:rsid w:val="00507638"/>
    <w:rsid w:val="00510813"/>
    <w:rsid w:val="00511939"/>
    <w:rsid w:val="00511990"/>
    <w:rsid w:val="00511DE0"/>
    <w:rsid w:val="005120D3"/>
    <w:rsid w:val="00512500"/>
    <w:rsid w:val="00514870"/>
    <w:rsid w:val="0051492B"/>
    <w:rsid w:val="00514B9B"/>
    <w:rsid w:val="00515195"/>
    <w:rsid w:val="00516833"/>
    <w:rsid w:val="00516B6D"/>
    <w:rsid w:val="00517662"/>
    <w:rsid w:val="00517850"/>
    <w:rsid w:val="00517D20"/>
    <w:rsid w:val="00517F02"/>
    <w:rsid w:val="00520259"/>
    <w:rsid w:val="0052078B"/>
    <w:rsid w:val="005209A2"/>
    <w:rsid w:val="00521D02"/>
    <w:rsid w:val="00522A9C"/>
    <w:rsid w:val="00523B49"/>
    <w:rsid w:val="00523EDA"/>
    <w:rsid w:val="00524303"/>
    <w:rsid w:val="00524D92"/>
    <w:rsid w:val="00524F5C"/>
    <w:rsid w:val="00525225"/>
    <w:rsid w:val="005258A2"/>
    <w:rsid w:val="0052672D"/>
    <w:rsid w:val="00526E5E"/>
    <w:rsid w:val="0052712E"/>
    <w:rsid w:val="005311AC"/>
    <w:rsid w:val="005315BD"/>
    <w:rsid w:val="00531DB3"/>
    <w:rsid w:val="0053295E"/>
    <w:rsid w:val="005329FC"/>
    <w:rsid w:val="00533871"/>
    <w:rsid w:val="00533B25"/>
    <w:rsid w:val="00534B57"/>
    <w:rsid w:val="00535C3B"/>
    <w:rsid w:val="0053614C"/>
    <w:rsid w:val="00536E27"/>
    <w:rsid w:val="0053771B"/>
    <w:rsid w:val="0053789D"/>
    <w:rsid w:val="005401AE"/>
    <w:rsid w:val="005401C2"/>
    <w:rsid w:val="005402CC"/>
    <w:rsid w:val="00540EC0"/>
    <w:rsid w:val="00541D08"/>
    <w:rsid w:val="00541F7D"/>
    <w:rsid w:val="00542C54"/>
    <w:rsid w:val="00542E07"/>
    <w:rsid w:val="00542F64"/>
    <w:rsid w:val="00543453"/>
    <w:rsid w:val="005437B5"/>
    <w:rsid w:val="00543D87"/>
    <w:rsid w:val="00545424"/>
    <w:rsid w:val="00545551"/>
    <w:rsid w:val="0054632B"/>
    <w:rsid w:val="00546AAB"/>
    <w:rsid w:val="005477AF"/>
    <w:rsid w:val="00547870"/>
    <w:rsid w:val="00550000"/>
    <w:rsid w:val="00550D98"/>
    <w:rsid w:val="00550DBE"/>
    <w:rsid w:val="00550F8B"/>
    <w:rsid w:val="005512D5"/>
    <w:rsid w:val="00552061"/>
    <w:rsid w:val="00552389"/>
    <w:rsid w:val="005528F4"/>
    <w:rsid w:val="005531A4"/>
    <w:rsid w:val="0055351D"/>
    <w:rsid w:val="005539D9"/>
    <w:rsid w:val="005544DB"/>
    <w:rsid w:val="00554542"/>
    <w:rsid w:val="00554A7B"/>
    <w:rsid w:val="0055572C"/>
    <w:rsid w:val="00555F42"/>
    <w:rsid w:val="005565D6"/>
    <w:rsid w:val="0055751D"/>
    <w:rsid w:val="00557876"/>
    <w:rsid w:val="00557BC3"/>
    <w:rsid w:val="00557CF6"/>
    <w:rsid w:val="0056065A"/>
    <w:rsid w:val="00560B00"/>
    <w:rsid w:val="0056106A"/>
    <w:rsid w:val="00561E8E"/>
    <w:rsid w:val="005622BB"/>
    <w:rsid w:val="005623B1"/>
    <w:rsid w:val="00562928"/>
    <w:rsid w:val="00563BDF"/>
    <w:rsid w:val="00563F19"/>
    <w:rsid w:val="00563FC1"/>
    <w:rsid w:val="005641A2"/>
    <w:rsid w:val="00565AB0"/>
    <w:rsid w:val="00565BFE"/>
    <w:rsid w:val="00565E16"/>
    <w:rsid w:val="005662A0"/>
    <w:rsid w:val="00566656"/>
    <w:rsid w:val="00566E62"/>
    <w:rsid w:val="00567211"/>
    <w:rsid w:val="0056782C"/>
    <w:rsid w:val="005701AA"/>
    <w:rsid w:val="0057197F"/>
    <w:rsid w:val="005720AE"/>
    <w:rsid w:val="0057235F"/>
    <w:rsid w:val="00572866"/>
    <w:rsid w:val="0057343E"/>
    <w:rsid w:val="005744F7"/>
    <w:rsid w:val="00575273"/>
    <w:rsid w:val="00575BC6"/>
    <w:rsid w:val="00576452"/>
    <w:rsid w:val="00577005"/>
    <w:rsid w:val="00580B0E"/>
    <w:rsid w:val="00580D75"/>
    <w:rsid w:val="00580D90"/>
    <w:rsid w:val="0058266A"/>
    <w:rsid w:val="00583061"/>
    <w:rsid w:val="005831A9"/>
    <w:rsid w:val="00583C9C"/>
    <w:rsid w:val="005841CF"/>
    <w:rsid w:val="00584CA7"/>
    <w:rsid w:val="00584E97"/>
    <w:rsid w:val="005850F2"/>
    <w:rsid w:val="00585368"/>
    <w:rsid w:val="005858B1"/>
    <w:rsid w:val="005858D3"/>
    <w:rsid w:val="00585FAD"/>
    <w:rsid w:val="00586721"/>
    <w:rsid w:val="00591215"/>
    <w:rsid w:val="0059157A"/>
    <w:rsid w:val="00591D0B"/>
    <w:rsid w:val="005923A1"/>
    <w:rsid w:val="0059421A"/>
    <w:rsid w:val="00594D77"/>
    <w:rsid w:val="005965CA"/>
    <w:rsid w:val="005969E4"/>
    <w:rsid w:val="00596BD3"/>
    <w:rsid w:val="005A0033"/>
    <w:rsid w:val="005A06B7"/>
    <w:rsid w:val="005A1759"/>
    <w:rsid w:val="005A2B6A"/>
    <w:rsid w:val="005A369C"/>
    <w:rsid w:val="005A5358"/>
    <w:rsid w:val="005A6410"/>
    <w:rsid w:val="005A68A7"/>
    <w:rsid w:val="005B020A"/>
    <w:rsid w:val="005B07D4"/>
    <w:rsid w:val="005B1657"/>
    <w:rsid w:val="005B16A4"/>
    <w:rsid w:val="005B1C60"/>
    <w:rsid w:val="005B2BAB"/>
    <w:rsid w:val="005B2C8A"/>
    <w:rsid w:val="005B2D1A"/>
    <w:rsid w:val="005B2EEA"/>
    <w:rsid w:val="005B32CC"/>
    <w:rsid w:val="005B33F1"/>
    <w:rsid w:val="005B3E9D"/>
    <w:rsid w:val="005B4A17"/>
    <w:rsid w:val="005B53A0"/>
    <w:rsid w:val="005B53E2"/>
    <w:rsid w:val="005B7B78"/>
    <w:rsid w:val="005C1220"/>
    <w:rsid w:val="005C15D8"/>
    <w:rsid w:val="005C3F37"/>
    <w:rsid w:val="005C4816"/>
    <w:rsid w:val="005C538C"/>
    <w:rsid w:val="005C5F0B"/>
    <w:rsid w:val="005C62C0"/>
    <w:rsid w:val="005C6795"/>
    <w:rsid w:val="005C6FD6"/>
    <w:rsid w:val="005C784D"/>
    <w:rsid w:val="005C7BE3"/>
    <w:rsid w:val="005C7DB0"/>
    <w:rsid w:val="005D02BB"/>
    <w:rsid w:val="005D0368"/>
    <w:rsid w:val="005D093F"/>
    <w:rsid w:val="005D10ED"/>
    <w:rsid w:val="005D254D"/>
    <w:rsid w:val="005D2DC9"/>
    <w:rsid w:val="005D33C9"/>
    <w:rsid w:val="005D36AB"/>
    <w:rsid w:val="005D407D"/>
    <w:rsid w:val="005D4762"/>
    <w:rsid w:val="005D6208"/>
    <w:rsid w:val="005D67E7"/>
    <w:rsid w:val="005D6F96"/>
    <w:rsid w:val="005E0456"/>
    <w:rsid w:val="005E1155"/>
    <w:rsid w:val="005E1245"/>
    <w:rsid w:val="005E24BF"/>
    <w:rsid w:val="005E2A31"/>
    <w:rsid w:val="005E39FA"/>
    <w:rsid w:val="005E44BC"/>
    <w:rsid w:val="005E48EC"/>
    <w:rsid w:val="005E6124"/>
    <w:rsid w:val="005E7DF1"/>
    <w:rsid w:val="005F03C1"/>
    <w:rsid w:val="005F06FF"/>
    <w:rsid w:val="005F0E1C"/>
    <w:rsid w:val="005F369D"/>
    <w:rsid w:val="005F3FD3"/>
    <w:rsid w:val="005F5441"/>
    <w:rsid w:val="005F5B83"/>
    <w:rsid w:val="005F65F7"/>
    <w:rsid w:val="005F6920"/>
    <w:rsid w:val="005F6937"/>
    <w:rsid w:val="006004E3"/>
    <w:rsid w:val="00602A29"/>
    <w:rsid w:val="006037A0"/>
    <w:rsid w:val="00603A05"/>
    <w:rsid w:val="00604138"/>
    <w:rsid w:val="00604451"/>
    <w:rsid w:val="006048C1"/>
    <w:rsid w:val="00605631"/>
    <w:rsid w:val="00605C77"/>
    <w:rsid w:val="00605D4D"/>
    <w:rsid w:val="00606482"/>
    <w:rsid w:val="00606636"/>
    <w:rsid w:val="0060680A"/>
    <w:rsid w:val="00611214"/>
    <w:rsid w:val="006112DB"/>
    <w:rsid w:val="006126B1"/>
    <w:rsid w:val="00612EC5"/>
    <w:rsid w:val="00613C7F"/>
    <w:rsid w:val="006157AE"/>
    <w:rsid w:val="00615834"/>
    <w:rsid w:val="00615B0A"/>
    <w:rsid w:val="0061676F"/>
    <w:rsid w:val="006171EB"/>
    <w:rsid w:val="006173D1"/>
    <w:rsid w:val="00617CC3"/>
    <w:rsid w:val="00617D27"/>
    <w:rsid w:val="0062052C"/>
    <w:rsid w:val="00620654"/>
    <w:rsid w:val="006218C6"/>
    <w:rsid w:val="00621CE7"/>
    <w:rsid w:val="00622154"/>
    <w:rsid w:val="006229D8"/>
    <w:rsid w:val="00623346"/>
    <w:rsid w:val="0062406E"/>
    <w:rsid w:val="00624ABC"/>
    <w:rsid w:val="0062518F"/>
    <w:rsid w:val="006258EF"/>
    <w:rsid w:val="0062665B"/>
    <w:rsid w:val="0062707A"/>
    <w:rsid w:val="006315A2"/>
    <w:rsid w:val="00631828"/>
    <w:rsid w:val="006319D3"/>
    <w:rsid w:val="006320FF"/>
    <w:rsid w:val="00632434"/>
    <w:rsid w:val="00632F05"/>
    <w:rsid w:val="00633BFC"/>
    <w:rsid w:val="00636034"/>
    <w:rsid w:val="00636AD5"/>
    <w:rsid w:val="00637720"/>
    <w:rsid w:val="006377A6"/>
    <w:rsid w:val="00637A3D"/>
    <w:rsid w:val="006411EF"/>
    <w:rsid w:val="0064144A"/>
    <w:rsid w:val="00641BD0"/>
    <w:rsid w:val="0064245A"/>
    <w:rsid w:val="006426B5"/>
    <w:rsid w:val="00642DB6"/>
    <w:rsid w:val="0064313F"/>
    <w:rsid w:val="00643ABD"/>
    <w:rsid w:val="00644EE1"/>
    <w:rsid w:val="00645761"/>
    <w:rsid w:val="00645D5E"/>
    <w:rsid w:val="00646A21"/>
    <w:rsid w:val="00646F87"/>
    <w:rsid w:val="00647CC9"/>
    <w:rsid w:val="0065140E"/>
    <w:rsid w:val="00651601"/>
    <w:rsid w:val="00651B1A"/>
    <w:rsid w:val="00652328"/>
    <w:rsid w:val="0065409C"/>
    <w:rsid w:val="006551C9"/>
    <w:rsid w:val="00656340"/>
    <w:rsid w:val="00656FD5"/>
    <w:rsid w:val="0065758A"/>
    <w:rsid w:val="00660875"/>
    <w:rsid w:val="006609E2"/>
    <w:rsid w:val="00660FCF"/>
    <w:rsid w:val="006632E1"/>
    <w:rsid w:val="00664022"/>
    <w:rsid w:val="00664256"/>
    <w:rsid w:val="006643C6"/>
    <w:rsid w:val="0066550E"/>
    <w:rsid w:val="00665EE6"/>
    <w:rsid w:val="006670BF"/>
    <w:rsid w:val="0066746E"/>
    <w:rsid w:val="00667807"/>
    <w:rsid w:val="00670A54"/>
    <w:rsid w:val="00670E04"/>
    <w:rsid w:val="00672EBB"/>
    <w:rsid w:val="006732D0"/>
    <w:rsid w:val="006740A3"/>
    <w:rsid w:val="00674531"/>
    <w:rsid w:val="006748B8"/>
    <w:rsid w:val="006748D9"/>
    <w:rsid w:val="00674AFE"/>
    <w:rsid w:val="0067521D"/>
    <w:rsid w:val="006753BE"/>
    <w:rsid w:val="006758B4"/>
    <w:rsid w:val="00675AF0"/>
    <w:rsid w:val="00675C62"/>
    <w:rsid w:val="006775C3"/>
    <w:rsid w:val="00677795"/>
    <w:rsid w:val="00677C33"/>
    <w:rsid w:val="006809A0"/>
    <w:rsid w:val="0068182A"/>
    <w:rsid w:val="00682657"/>
    <w:rsid w:val="006836EB"/>
    <w:rsid w:val="00683956"/>
    <w:rsid w:val="0068428E"/>
    <w:rsid w:val="006848C4"/>
    <w:rsid w:val="006859AC"/>
    <w:rsid w:val="00685EE5"/>
    <w:rsid w:val="00685FB4"/>
    <w:rsid w:val="0068604C"/>
    <w:rsid w:val="006873CE"/>
    <w:rsid w:val="00687E54"/>
    <w:rsid w:val="006900C8"/>
    <w:rsid w:val="0069042F"/>
    <w:rsid w:val="00691883"/>
    <w:rsid w:val="00692869"/>
    <w:rsid w:val="0069290A"/>
    <w:rsid w:val="00692A89"/>
    <w:rsid w:val="00693404"/>
    <w:rsid w:val="00693571"/>
    <w:rsid w:val="00694A85"/>
    <w:rsid w:val="00694ABD"/>
    <w:rsid w:val="006950F4"/>
    <w:rsid w:val="00695AF5"/>
    <w:rsid w:val="00695C21"/>
    <w:rsid w:val="00695D38"/>
    <w:rsid w:val="00695F0D"/>
    <w:rsid w:val="0069614F"/>
    <w:rsid w:val="0069627C"/>
    <w:rsid w:val="006965D0"/>
    <w:rsid w:val="00696F9D"/>
    <w:rsid w:val="0069775A"/>
    <w:rsid w:val="00697813"/>
    <w:rsid w:val="00697C82"/>
    <w:rsid w:val="006A0305"/>
    <w:rsid w:val="006A053C"/>
    <w:rsid w:val="006A0B09"/>
    <w:rsid w:val="006A1EDF"/>
    <w:rsid w:val="006A24CD"/>
    <w:rsid w:val="006A2EF8"/>
    <w:rsid w:val="006A3BDB"/>
    <w:rsid w:val="006A3EE8"/>
    <w:rsid w:val="006A4CE9"/>
    <w:rsid w:val="006A4F82"/>
    <w:rsid w:val="006A5A15"/>
    <w:rsid w:val="006A6AFE"/>
    <w:rsid w:val="006A72BF"/>
    <w:rsid w:val="006A761D"/>
    <w:rsid w:val="006B03F2"/>
    <w:rsid w:val="006B04DA"/>
    <w:rsid w:val="006B05D7"/>
    <w:rsid w:val="006B0D26"/>
    <w:rsid w:val="006B1B03"/>
    <w:rsid w:val="006B229C"/>
    <w:rsid w:val="006B2955"/>
    <w:rsid w:val="006B2A60"/>
    <w:rsid w:val="006B34C8"/>
    <w:rsid w:val="006B37DC"/>
    <w:rsid w:val="006B419F"/>
    <w:rsid w:val="006B436C"/>
    <w:rsid w:val="006B4F68"/>
    <w:rsid w:val="006B4F79"/>
    <w:rsid w:val="006B64B4"/>
    <w:rsid w:val="006B675B"/>
    <w:rsid w:val="006B7337"/>
    <w:rsid w:val="006B759F"/>
    <w:rsid w:val="006B7BEA"/>
    <w:rsid w:val="006C026F"/>
    <w:rsid w:val="006C0318"/>
    <w:rsid w:val="006C0592"/>
    <w:rsid w:val="006C0D1E"/>
    <w:rsid w:val="006C272E"/>
    <w:rsid w:val="006C39F8"/>
    <w:rsid w:val="006C4A5F"/>
    <w:rsid w:val="006C4C21"/>
    <w:rsid w:val="006C5479"/>
    <w:rsid w:val="006C66BC"/>
    <w:rsid w:val="006C6ED7"/>
    <w:rsid w:val="006D13B5"/>
    <w:rsid w:val="006D1BD8"/>
    <w:rsid w:val="006D1CEE"/>
    <w:rsid w:val="006D25A5"/>
    <w:rsid w:val="006D28A4"/>
    <w:rsid w:val="006D2A38"/>
    <w:rsid w:val="006D2AD3"/>
    <w:rsid w:val="006D337F"/>
    <w:rsid w:val="006D3A67"/>
    <w:rsid w:val="006D3C2D"/>
    <w:rsid w:val="006D5378"/>
    <w:rsid w:val="006D5C13"/>
    <w:rsid w:val="006D68AD"/>
    <w:rsid w:val="006D6E33"/>
    <w:rsid w:val="006D7D3A"/>
    <w:rsid w:val="006E0232"/>
    <w:rsid w:val="006E02B0"/>
    <w:rsid w:val="006E11DB"/>
    <w:rsid w:val="006E12FF"/>
    <w:rsid w:val="006E1615"/>
    <w:rsid w:val="006E17C6"/>
    <w:rsid w:val="006E26B7"/>
    <w:rsid w:val="006E29A9"/>
    <w:rsid w:val="006E366C"/>
    <w:rsid w:val="006E3680"/>
    <w:rsid w:val="006E3CAC"/>
    <w:rsid w:val="006E49AB"/>
    <w:rsid w:val="006E4FB6"/>
    <w:rsid w:val="006E5D42"/>
    <w:rsid w:val="006E607E"/>
    <w:rsid w:val="006E69A6"/>
    <w:rsid w:val="006E6ACB"/>
    <w:rsid w:val="006E6F9E"/>
    <w:rsid w:val="006E773F"/>
    <w:rsid w:val="006E7AAD"/>
    <w:rsid w:val="006E7C40"/>
    <w:rsid w:val="006E7FC4"/>
    <w:rsid w:val="006F0411"/>
    <w:rsid w:val="006F11D2"/>
    <w:rsid w:val="006F26E1"/>
    <w:rsid w:val="006F56DA"/>
    <w:rsid w:val="006F60AE"/>
    <w:rsid w:val="006F712C"/>
    <w:rsid w:val="006F7970"/>
    <w:rsid w:val="006F7C1B"/>
    <w:rsid w:val="006F7D52"/>
    <w:rsid w:val="007000BB"/>
    <w:rsid w:val="00700EA1"/>
    <w:rsid w:val="007016E2"/>
    <w:rsid w:val="00702780"/>
    <w:rsid w:val="00703355"/>
    <w:rsid w:val="00705446"/>
    <w:rsid w:val="00706C5D"/>
    <w:rsid w:val="0070722D"/>
    <w:rsid w:val="00710537"/>
    <w:rsid w:val="00712D68"/>
    <w:rsid w:val="00713091"/>
    <w:rsid w:val="00714538"/>
    <w:rsid w:val="00714699"/>
    <w:rsid w:val="00715D7A"/>
    <w:rsid w:val="00715F5D"/>
    <w:rsid w:val="0071645F"/>
    <w:rsid w:val="0071653A"/>
    <w:rsid w:val="00716B45"/>
    <w:rsid w:val="00716BBC"/>
    <w:rsid w:val="00716E1B"/>
    <w:rsid w:val="007178FE"/>
    <w:rsid w:val="007201D3"/>
    <w:rsid w:val="007202A7"/>
    <w:rsid w:val="007208EA"/>
    <w:rsid w:val="007209AC"/>
    <w:rsid w:val="00720BC1"/>
    <w:rsid w:val="00720C9F"/>
    <w:rsid w:val="0072189B"/>
    <w:rsid w:val="007219E0"/>
    <w:rsid w:val="00721E13"/>
    <w:rsid w:val="007220B5"/>
    <w:rsid w:val="00724D90"/>
    <w:rsid w:val="007254FC"/>
    <w:rsid w:val="00726126"/>
    <w:rsid w:val="00727096"/>
    <w:rsid w:val="007272D1"/>
    <w:rsid w:val="00727773"/>
    <w:rsid w:val="00727B48"/>
    <w:rsid w:val="0073025A"/>
    <w:rsid w:val="007309C4"/>
    <w:rsid w:val="007313BD"/>
    <w:rsid w:val="00731472"/>
    <w:rsid w:val="00731597"/>
    <w:rsid w:val="0073177D"/>
    <w:rsid w:val="0073199A"/>
    <w:rsid w:val="007323CD"/>
    <w:rsid w:val="00732922"/>
    <w:rsid w:val="0073310F"/>
    <w:rsid w:val="00733D9B"/>
    <w:rsid w:val="0073442B"/>
    <w:rsid w:val="00734E57"/>
    <w:rsid w:val="0073603B"/>
    <w:rsid w:val="00741B4E"/>
    <w:rsid w:val="00741C25"/>
    <w:rsid w:val="007433C9"/>
    <w:rsid w:val="00743D1D"/>
    <w:rsid w:val="00744579"/>
    <w:rsid w:val="007451DA"/>
    <w:rsid w:val="00745A39"/>
    <w:rsid w:val="00746F60"/>
    <w:rsid w:val="00747A10"/>
    <w:rsid w:val="00750B35"/>
    <w:rsid w:val="0075162E"/>
    <w:rsid w:val="00751ABB"/>
    <w:rsid w:val="00751F26"/>
    <w:rsid w:val="00752307"/>
    <w:rsid w:val="00752310"/>
    <w:rsid w:val="007523C2"/>
    <w:rsid w:val="00752916"/>
    <w:rsid w:val="00753CA1"/>
    <w:rsid w:val="00753EAF"/>
    <w:rsid w:val="00754034"/>
    <w:rsid w:val="00754CAB"/>
    <w:rsid w:val="0075528A"/>
    <w:rsid w:val="007552A7"/>
    <w:rsid w:val="00756115"/>
    <w:rsid w:val="00756556"/>
    <w:rsid w:val="00757D6E"/>
    <w:rsid w:val="007602E1"/>
    <w:rsid w:val="00760DC9"/>
    <w:rsid w:val="007618C4"/>
    <w:rsid w:val="00762458"/>
    <w:rsid w:val="00763860"/>
    <w:rsid w:val="00763CA8"/>
    <w:rsid w:val="00764E9C"/>
    <w:rsid w:val="00764EFD"/>
    <w:rsid w:val="0076502F"/>
    <w:rsid w:val="00766724"/>
    <w:rsid w:val="0076688E"/>
    <w:rsid w:val="00767087"/>
    <w:rsid w:val="00767980"/>
    <w:rsid w:val="00767999"/>
    <w:rsid w:val="007700D6"/>
    <w:rsid w:val="007705B4"/>
    <w:rsid w:val="00770B19"/>
    <w:rsid w:val="00770C7C"/>
    <w:rsid w:val="007715E4"/>
    <w:rsid w:val="00771951"/>
    <w:rsid w:val="00771B0E"/>
    <w:rsid w:val="00771DB5"/>
    <w:rsid w:val="00771F00"/>
    <w:rsid w:val="00772303"/>
    <w:rsid w:val="00772CEC"/>
    <w:rsid w:val="0077323B"/>
    <w:rsid w:val="0077463F"/>
    <w:rsid w:val="00775323"/>
    <w:rsid w:val="007754F3"/>
    <w:rsid w:val="0077626B"/>
    <w:rsid w:val="007763B5"/>
    <w:rsid w:val="00776713"/>
    <w:rsid w:val="00777813"/>
    <w:rsid w:val="007808EB"/>
    <w:rsid w:val="007813D2"/>
    <w:rsid w:val="007815F6"/>
    <w:rsid w:val="00782A0C"/>
    <w:rsid w:val="00782CB7"/>
    <w:rsid w:val="00782F68"/>
    <w:rsid w:val="007832DE"/>
    <w:rsid w:val="00783308"/>
    <w:rsid w:val="007836EA"/>
    <w:rsid w:val="00783C9B"/>
    <w:rsid w:val="0078406C"/>
    <w:rsid w:val="00784CDA"/>
    <w:rsid w:val="00787929"/>
    <w:rsid w:val="007879B5"/>
    <w:rsid w:val="007903E8"/>
    <w:rsid w:val="007906C4"/>
    <w:rsid w:val="0079106B"/>
    <w:rsid w:val="0079127F"/>
    <w:rsid w:val="00791EC2"/>
    <w:rsid w:val="007921EE"/>
    <w:rsid w:val="00792DF3"/>
    <w:rsid w:val="00792EBC"/>
    <w:rsid w:val="00793257"/>
    <w:rsid w:val="007939A4"/>
    <w:rsid w:val="00793CE2"/>
    <w:rsid w:val="00793F7A"/>
    <w:rsid w:val="007940EA"/>
    <w:rsid w:val="00794110"/>
    <w:rsid w:val="00794233"/>
    <w:rsid w:val="00794821"/>
    <w:rsid w:val="0079593C"/>
    <w:rsid w:val="00795C0B"/>
    <w:rsid w:val="007967E8"/>
    <w:rsid w:val="00796898"/>
    <w:rsid w:val="007969F3"/>
    <w:rsid w:val="00796F06"/>
    <w:rsid w:val="007978EE"/>
    <w:rsid w:val="00797F3C"/>
    <w:rsid w:val="007A087C"/>
    <w:rsid w:val="007A18DC"/>
    <w:rsid w:val="007A2170"/>
    <w:rsid w:val="007A22BF"/>
    <w:rsid w:val="007A2408"/>
    <w:rsid w:val="007A25F9"/>
    <w:rsid w:val="007A2938"/>
    <w:rsid w:val="007A2E9E"/>
    <w:rsid w:val="007A30EF"/>
    <w:rsid w:val="007A3323"/>
    <w:rsid w:val="007A3734"/>
    <w:rsid w:val="007A4D47"/>
    <w:rsid w:val="007A6007"/>
    <w:rsid w:val="007A6198"/>
    <w:rsid w:val="007A67E8"/>
    <w:rsid w:val="007A6B44"/>
    <w:rsid w:val="007A7035"/>
    <w:rsid w:val="007B0C27"/>
    <w:rsid w:val="007B0EDF"/>
    <w:rsid w:val="007B2FEB"/>
    <w:rsid w:val="007B3F03"/>
    <w:rsid w:val="007B5BF0"/>
    <w:rsid w:val="007B62BE"/>
    <w:rsid w:val="007B6B9B"/>
    <w:rsid w:val="007B6F70"/>
    <w:rsid w:val="007B72B8"/>
    <w:rsid w:val="007B7A58"/>
    <w:rsid w:val="007B7AB3"/>
    <w:rsid w:val="007C03D2"/>
    <w:rsid w:val="007C067C"/>
    <w:rsid w:val="007C0C4C"/>
    <w:rsid w:val="007C21B5"/>
    <w:rsid w:val="007C34B6"/>
    <w:rsid w:val="007C3555"/>
    <w:rsid w:val="007C526A"/>
    <w:rsid w:val="007C6484"/>
    <w:rsid w:val="007C6A09"/>
    <w:rsid w:val="007C7080"/>
    <w:rsid w:val="007C710A"/>
    <w:rsid w:val="007D02BC"/>
    <w:rsid w:val="007D0901"/>
    <w:rsid w:val="007D0E6C"/>
    <w:rsid w:val="007D0EF3"/>
    <w:rsid w:val="007D1D99"/>
    <w:rsid w:val="007D1EF5"/>
    <w:rsid w:val="007D1F40"/>
    <w:rsid w:val="007D2555"/>
    <w:rsid w:val="007D29D5"/>
    <w:rsid w:val="007D37BC"/>
    <w:rsid w:val="007D4DB2"/>
    <w:rsid w:val="007D6590"/>
    <w:rsid w:val="007D7A82"/>
    <w:rsid w:val="007E06B5"/>
    <w:rsid w:val="007E0769"/>
    <w:rsid w:val="007E1FE6"/>
    <w:rsid w:val="007E27B0"/>
    <w:rsid w:val="007E3216"/>
    <w:rsid w:val="007E3EE1"/>
    <w:rsid w:val="007E4523"/>
    <w:rsid w:val="007E4BD2"/>
    <w:rsid w:val="007E4D03"/>
    <w:rsid w:val="007E50B3"/>
    <w:rsid w:val="007E6312"/>
    <w:rsid w:val="007E69C4"/>
    <w:rsid w:val="007E7CBF"/>
    <w:rsid w:val="007F0D6B"/>
    <w:rsid w:val="007F1196"/>
    <w:rsid w:val="007F1A1E"/>
    <w:rsid w:val="007F23D7"/>
    <w:rsid w:val="007F25E3"/>
    <w:rsid w:val="007F392C"/>
    <w:rsid w:val="007F42D5"/>
    <w:rsid w:val="007F4458"/>
    <w:rsid w:val="007F46EF"/>
    <w:rsid w:val="007F5683"/>
    <w:rsid w:val="007F5D8C"/>
    <w:rsid w:val="007F6152"/>
    <w:rsid w:val="007F63CD"/>
    <w:rsid w:val="007F6622"/>
    <w:rsid w:val="007F6FA5"/>
    <w:rsid w:val="007F71F3"/>
    <w:rsid w:val="007F7C97"/>
    <w:rsid w:val="007F7E91"/>
    <w:rsid w:val="0080035D"/>
    <w:rsid w:val="00801393"/>
    <w:rsid w:val="00802118"/>
    <w:rsid w:val="00802436"/>
    <w:rsid w:val="00802E06"/>
    <w:rsid w:val="00802F88"/>
    <w:rsid w:val="008032BE"/>
    <w:rsid w:val="00803C59"/>
    <w:rsid w:val="00804806"/>
    <w:rsid w:val="00805393"/>
    <w:rsid w:val="00805699"/>
    <w:rsid w:val="008056C3"/>
    <w:rsid w:val="00807028"/>
    <w:rsid w:val="008070C3"/>
    <w:rsid w:val="00807C8D"/>
    <w:rsid w:val="0081153A"/>
    <w:rsid w:val="00811781"/>
    <w:rsid w:val="008121C7"/>
    <w:rsid w:val="00812574"/>
    <w:rsid w:val="0081293E"/>
    <w:rsid w:val="00813F73"/>
    <w:rsid w:val="00814973"/>
    <w:rsid w:val="0081521B"/>
    <w:rsid w:val="00815465"/>
    <w:rsid w:val="008174AB"/>
    <w:rsid w:val="00817679"/>
    <w:rsid w:val="00817976"/>
    <w:rsid w:val="008179C4"/>
    <w:rsid w:val="00817E9A"/>
    <w:rsid w:val="008214E6"/>
    <w:rsid w:val="00821997"/>
    <w:rsid w:val="008227C9"/>
    <w:rsid w:val="0082285C"/>
    <w:rsid w:val="00823431"/>
    <w:rsid w:val="0082353B"/>
    <w:rsid w:val="0082393D"/>
    <w:rsid w:val="00823BC3"/>
    <w:rsid w:val="00823CA5"/>
    <w:rsid w:val="00824025"/>
    <w:rsid w:val="0082446B"/>
    <w:rsid w:val="008247B0"/>
    <w:rsid w:val="008251B2"/>
    <w:rsid w:val="00825A0E"/>
    <w:rsid w:val="00825C5E"/>
    <w:rsid w:val="008266D1"/>
    <w:rsid w:val="008266ED"/>
    <w:rsid w:val="00827342"/>
    <w:rsid w:val="00827A4F"/>
    <w:rsid w:val="008306BD"/>
    <w:rsid w:val="008310BD"/>
    <w:rsid w:val="00831377"/>
    <w:rsid w:val="00831A80"/>
    <w:rsid w:val="0083203E"/>
    <w:rsid w:val="00832170"/>
    <w:rsid w:val="008322AB"/>
    <w:rsid w:val="00833743"/>
    <w:rsid w:val="008340A4"/>
    <w:rsid w:val="00834EE0"/>
    <w:rsid w:val="0083581A"/>
    <w:rsid w:val="00837A88"/>
    <w:rsid w:val="00837B8D"/>
    <w:rsid w:val="008401C6"/>
    <w:rsid w:val="0084088A"/>
    <w:rsid w:val="00840FF4"/>
    <w:rsid w:val="00841894"/>
    <w:rsid w:val="0084247A"/>
    <w:rsid w:val="00842C74"/>
    <w:rsid w:val="008432DB"/>
    <w:rsid w:val="00844107"/>
    <w:rsid w:val="00845A22"/>
    <w:rsid w:val="008460B7"/>
    <w:rsid w:val="008465A9"/>
    <w:rsid w:val="00846C75"/>
    <w:rsid w:val="0084768B"/>
    <w:rsid w:val="008503F1"/>
    <w:rsid w:val="0085091E"/>
    <w:rsid w:val="008514E7"/>
    <w:rsid w:val="00851751"/>
    <w:rsid w:val="00851B95"/>
    <w:rsid w:val="00854AB7"/>
    <w:rsid w:val="00855ABA"/>
    <w:rsid w:val="008566EA"/>
    <w:rsid w:val="008567FE"/>
    <w:rsid w:val="0085686B"/>
    <w:rsid w:val="00856FD9"/>
    <w:rsid w:val="00860497"/>
    <w:rsid w:val="00860A48"/>
    <w:rsid w:val="00861ADE"/>
    <w:rsid w:val="00861DE9"/>
    <w:rsid w:val="008625FC"/>
    <w:rsid w:val="0086299A"/>
    <w:rsid w:val="00862EB8"/>
    <w:rsid w:val="00864957"/>
    <w:rsid w:val="00865DCB"/>
    <w:rsid w:val="00866239"/>
    <w:rsid w:val="00866383"/>
    <w:rsid w:val="008671E5"/>
    <w:rsid w:val="008673CA"/>
    <w:rsid w:val="00867CA1"/>
    <w:rsid w:val="00867F7D"/>
    <w:rsid w:val="00870237"/>
    <w:rsid w:val="0087035C"/>
    <w:rsid w:val="00870540"/>
    <w:rsid w:val="00870627"/>
    <w:rsid w:val="008712EF"/>
    <w:rsid w:val="0087135F"/>
    <w:rsid w:val="00872D94"/>
    <w:rsid w:val="00873DD4"/>
    <w:rsid w:val="00874354"/>
    <w:rsid w:val="00874878"/>
    <w:rsid w:val="008748D6"/>
    <w:rsid w:val="00874BC4"/>
    <w:rsid w:val="008751EE"/>
    <w:rsid w:val="0087529D"/>
    <w:rsid w:val="00875AEA"/>
    <w:rsid w:val="00875E55"/>
    <w:rsid w:val="00876F08"/>
    <w:rsid w:val="00877119"/>
    <w:rsid w:val="008772C1"/>
    <w:rsid w:val="00877D81"/>
    <w:rsid w:val="00880364"/>
    <w:rsid w:val="008807B1"/>
    <w:rsid w:val="008814C9"/>
    <w:rsid w:val="008818DB"/>
    <w:rsid w:val="00882EE3"/>
    <w:rsid w:val="00883A8E"/>
    <w:rsid w:val="008850F6"/>
    <w:rsid w:val="0088559E"/>
    <w:rsid w:val="00885E32"/>
    <w:rsid w:val="008868CF"/>
    <w:rsid w:val="00887894"/>
    <w:rsid w:val="00887957"/>
    <w:rsid w:val="00891394"/>
    <w:rsid w:val="00891592"/>
    <w:rsid w:val="00891E9E"/>
    <w:rsid w:val="00891FA9"/>
    <w:rsid w:val="00893200"/>
    <w:rsid w:val="0089392E"/>
    <w:rsid w:val="00893F58"/>
    <w:rsid w:val="008949CD"/>
    <w:rsid w:val="008950CC"/>
    <w:rsid w:val="00895B0C"/>
    <w:rsid w:val="008968BB"/>
    <w:rsid w:val="008976DD"/>
    <w:rsid w:val="008A02A7"/>
    <w:rsid w:val="008A09D9"/>
    <w:rsid w:val="008A0D24"/>
    <w:rsid w:val="008A10DF"/>
    <w:rsid w:val="008A1A37"/>
    <w:rsid w:val="008A2377"/>
    <w:rsid w:val="008A2848"/>
    <w:rsid w:val="008A2F68"/>
    <w:rsid w:val="008A3A07"/>
    <w:rsid w:val="008A3EFE"/>
    <w:rsid w:val="008A3FDE"/>
    <w:rsid w:val="008A61AA"/>
    <w:rsid w:val="008A629D"/>
    <w:rsid w:val="008A7287"/>
    <w:rsid w:val="008B0B1D"/>
    <w:rsid w:val="008B152F"/>
    <w:rsid w:val="008B20C0"/>
    <w:rsid w:val="008B224D"/>
    <w:rsid w:val="008B2D32"/>
    <w:rsid w:val="008B3506"/>
    <w:rsid w:val="008B4F98"/>
    <w:rsid w:val="008B4FA6"/>
    <w:rsid w:val="008B5282"/>
    <w:rsid w:val="008B672E"/>
    <w:rsid w:val="008B69A0"/>
    <w:rsid w:val="008B74DA"/>
    <w:rsid w:val="008B7638"/>
    <w:rsid w:val="008B76FB"/>
    <w:rsid w:val="008B7C17"/>
    <w:rsid w:val="008C07E0"/>
    <w:rsid w:val="008C1BA5"/>
    <w:rsid w:val="008C1DB8"/>
    <w:rsid w:val="008C2120"/>
    <w:rsid w:val="008C2C73"/>
    <w:rsid w:val="008C2D01"/>
    <w:rsid w:val="008C2E7C"/>
    <w:rsid w:val="008C2FD9"/>
    <w:rsid w:val="008C40E6"/>
    <w:rsid w:val="008C42BE"/>
    <w:rsid w:val="008C499B"/>
    <w:rsid w:val="008C4BC4"/>
    <w:rsid w:val="008C4C3E"/>
    <w:rsid w:val="008C5AE8"/>
    <w:rsid w:val="008C64AA"/>
    <w:rsid w:val="008D03E3"/>
    <w:rsid w:val="008D0678"/>
    <w:rsid w:val="008D0D25"/>
    <w:rsid w:val="008D0F7A"/>
    <w:rsid w:val="008D10DD"/>
    <w:rsid w:val="008D174D"/>
    <w:rsid w:val="008D3030"/>
    <w:rsid w:val="008D3227"/>
    <w:rsid w:val="008D3C18"/>
    <w:rsid w:val="008D3CA9"/>
    <w:rsid w:val="008D43EE"/>
    <w:rsid w:val="008D45FC"/>
    <w:rsid w:val="008D497F"/>
    <w:rsid w:val="008D519B"/>
    <w:rsid w:val="008D5630"/>
    <w:rsid w:val="008D64AD"/>
    <w:rsid w:val="008D68E4"/>
    <w:rsid w:val="008D6A2C"/>
    <w:rsid w:val="008D6B64"/>
    <w:rsid w:val="008D6E74"/>
    <w:rsid w:val="008E0359"/>
    <w:rsid w:val="008E0506"/>
    <w:rsid w:val="008E0609"/>
    <w:rsid w:val="008E0B21"/>
    <w:rsid w:val="008E0CFF"/>
    <w:rsid w:val="008E0EA2"/>
    <w:rsid w:val="008E12D2"/>
    <w:rsid w:val="008E1C9B"/>
    <w:rsid w:val="008E22A2"/>
    <w:rsid w:val="008E2A91"/>
    <w:rsid w:val="008E2F12"/>
    <w:rsid w:val="008E3064"/>
    <w:rsid w:val="008E36F3"/>
    <w:rsid w:val="008E3B1E"/>
    <w:rsid w:val="008E4EC7"/>
    <w:rsid w:val="008E541A"/>
    <w:rsid w:val="008E5BF6"/>
    <w:rsid w:val="008E5D6B"/>
    <w:rsid w:val="008E63EF"/>
    <w:rsid w:val="008E64AF"/>
    <w:rsid w:val="008E76F0"/>
    <w:rsid w:val="008E7DBE"/>
    <w:rsid w:val="008F02B7"/>
    <w:rsid w:val="008F034C"/>
    <w:rsid w:val="008F0A82"/>
    <w:rsid w:val="008F15FE"/>
    <w:rsid w:val="008F1C37"/>
    <w:rsid w:val="008F21D3"/>
    <w:rsid w:val="008F21EB"/>
    <w:rsid w:val="008F2221"/>
    <w:rsid w:val="008F2498"/>
    <w:rsid w:val="008F26F7"/>
    <w:rsid w:val="008F2D29"/>
    <w:rsid w:val="008F3362"/>
    <w:rsid w:val="008F4289"/>
    <w:rsid w:val="008F428B"/>
    <w:rsid w:val="008F5187"/>
    <w:rsid w:val="008F60D8"/>
    <w:rsid w:val="008F6A9D"/>
    <w:rsid w:val="0090005D"/>
    <w:rsid w:val="009003B1"/>
    <w:rsid w:val="009003D4"/>
    <w:rsid w:val="0090046F"/>
    <w:rsid w:val="00900483"/>
    <w:rsid w:val="00900B3D"/>
    <w:rsid w:val="00900E3B"/>
    <w:rsid w:val="00900FAC"/>
    <w:rsid w:val="00901AA5"/>
    <w:rsid w:val="00901EDC"/>
    <w:rsid w:val="00902132"/>
    <w:rsid w:val="00902393"/>
    <w:rsid w:val="00902606"/>
    <w:rsid w:val="00902727"/>
    <w:rsid w:val="00902B95"/>
    <w:rsid w:val="00902F97"/>
    <w:rsid w:val="0090312B"/>
    <w:rsid w:val="009041E9"/>
    <w:rsid w:val="0090486B"/>
    <w:rsid w:val="009049BD"/>
    <w:rsid w:val="009052F4"/>
    <w:rsid w:val="00905FBD"/>
    <w:rsid w:val="00906B28"/>
    <w:rsid w:val="00907DD3"/>
    <w:rsid w:val="00910488"/>
    <w:rsid w:val="009107B3"/>
    <w:rsid w:val="00910F64"/>
    <w:rsid w:val="00911057"/>
    <w:rsid w:val="009111FE"/>
    <w:rsid w:val="00911B91"/>
    <w:rsid w:val="00913ABC"/>
    <w:rsid w:val="00914470"/>
    <w:rsid w:val="00914DC6"/>
    <w:rsid w:val="00915BD1"/>
    <w:rsid w:val="00916428"/>
    <w:rsid w:val="0091736D"/>
    <w:rsid w:val="00917C93"/>
    <w:rsid w:val="0092184F"/>
    <w:rsid w:val="00922A0A"/>
    <w:rsid w:val="00922C70"/>
    <w:rsid w:val="00922EAA"/>
    <w:rsid w:val="00923028"/>
    <w:rsid w:val="00923C4C"/>
    <w:rsid w:val="00924034"/>
    <w:rsid w:val="0092429D"/>
    <w:rsid w:val="00924FC7"/>
    <w:rsid w:val="0092504D"/>
    <w:rsid w:val="009250D4"/>
    <w:rsid w:val="0092562D"/>
    <w:rsid w:val="009256D9"/>
    <w:rsid w:val="00925F9A"/>
    <w:rsid w:val="009264EE"/>
    <w:rsid w:val="0093037A"/>
    <w:rsid w:val="0093040B"/>
    <w:rsid w:val="00930E70"/>
    <w:rsid w:val="00931ED1"/>
    <w:rsid w:val="00931FD0"/>
    <w:rsid w:val="009327F5"/>
    <w:rsid w:val="00932C14"/>
    <w:rsid w:val="009333F6"/>
    <w:rsid w:val="00935317"/>
    <w:rsid w:val="00935839"/>
    <w:rsid w:val="00936222"/>
    <w:rsid w:val="00936667"/>
    <w:rsid w:val="00940F3C"/>
    <w:rsid w:val="0094154D"/>
    <w:rsid w:val="009429D9"/>
    <w:rsid w:val="00942E98"/>
    <w:rsid w:val="0094307A"/>
    <w:rsid w:val="00943BEF"/>
    <w:rsid w:val="00944470"/>
    <w:rsid w:val="00944A17"/>
    <w:rsid w:val="00944DAC"/>
    <w:rsid w:val="00945073"/>
    <w:rsid w:val="00945231"/>
    <w:rsid w:val="0094574B"/>
    <w:rsid w:val="00946C85"/>
    <w:rsid w:val="00946FBC"/>
    <w:rsid w:val="00947D29"/>
    <w:rsid w:val="009506EA"/>
    <w:rsid w:val="00950FC1"/>
    <w:rsid w:val="0095107A"/>
    <w:rsid w:val="0095155F"/>
    <w:rsid w:val="0095168D"/>
    <w:rsid w:val="00951CB2"/>
    <w:rsid w:val="0095240D"/>
    <w:rsid w:val="00952859"/>
    <w:rsid w:val="00952C65"/>
    <w:rsid w:val="009542CB"/>
    <w:rsid w:val="00954429"/>
    <w:rsid w:val="00954680"/>
    <w:rsid w:val="00955006"/>
    <w:rsid w:val="009551DF"/>
    <w:rsid w:val="00955A6A"/>
    <w:rsid w:val="009561AC"/>
    <w:rsid w:val="009563CE"/>
    <w:rsid w:val="009601BF"/>
    <w:rsid w:val="00961557"/>
    <w:rsid w:val="00961AF0"/>
    <w:rsid w:val="00962F1D"/>
    <w:rsid w:val="009634A8"/>
    <w:rsid w:val="00963D5E"/>
    <w:rsid w:val="00964574"/>
    <w:rsid w:val="009655FC"/>
    <w:rsid w:val="0096625B"/>
    <w:rsid w:val="00966458"/>
    <w:rsid w:val="00966A83"/>
    <w:rsid w:val="00966BB6"/>
    <w:rsid w:val="00967AFF"/>
    <w:rsid w:val="00967E3A"/>
    <w:rsid w:val="009701D9"/>
    <w:rsid w:val="009704AA"/>
    <w:rsid w:val="00970AA7"/>
    <w:rsid w:val="00970F56"/>
    <w:rsid w:val="00971AD5"/>
    <w:rsid w:val="0097287F"/>
    <w:rsid w:val="00972CDC"/>
    <w:rsid w:val="00973976"/>
    <w:rsid w:val="00974BC0"/>
    <w:rsid w:val="009755E5"/>
    <w:rsid w:val="0097589A"/>
    <w:rsid w:val="00975F84"/>
    <w:rsid w:val="00976328"/>
    <w:rsid w:val="009767D6"/>
    <w:rsid w:val="0097680D"/>
    <w:rsid w:val="00976F04"/>
    <w:rsid w:val="00976FA8"/>
    <w:rsid w:val="009777DA"/>
    <w:rsid w:val="00977A10"/>
    <w:rsid w:val="009807A4"/>
    <w:rsid w:val="00981C3F"/>
    <w:rsid w:val="00981C86"/>
    <w:rsid w:val="00982170"/>
    <w:rsid w:val="00982438"/>
    <w:rsid w:val="00982680"/>
    <w:rsid w:val="00982AE8"/>
    <w:rsid w:val="00982E35"/>
    <w:rsid w:val="009831B3"/>
    <w:rsid w:val="009834EC"/>
    <w:rsid w:val="0098404C"/>
    <w:rsid w:val="0098415C"/>
    <w:rsid w:val="00984A64"/>
    <w:rsid w:val="00984ECF"/>
    <w:rsid w:val="00985283"/>
    <w:rsid w:val="00986391"/>
    <w:rsid w:val="00987046"/>
    <w:rsid w:val="009877FB"/>
    <w:rsid w:val="0098796B"/>
    <w:rsid w:val="00987D12"/>
    <w:rsid w:val="00987F5B"/>
    <w:rsid w:val="00992056"/>
    <w:rsid w:val="00992CD6"/>
    <w:rsid w:val="0099525A"/>
    <w:rsid w:val="009956AD"/>
    <w:rsid w:val="00995992"/>
    <w:rsid w:val="00996AA7"/>
    <w:rsid w:val="00997223"/>
    <w:rsid w:val="009972E0"/>
    <w:rsid w:val="00997455"/>
    <w:rsid w:val="009A03E5"/>
    <w:rsid w:val="009A0611"/>
    <w:rsid w:val="009A073A"/>
    <w:rsid w:val="009A0F3B"/>
    <w:rsid w:val="009A1BB4"/>
    <w:rsid w:val="009A20F2"/>
    <w:rsid w:val="009A2628"/>
    <w:rsid w:val="009A3010"/>
    <w:rsid w:val="009A3200"/>
    <w:rsid w:val="009A32D6"/>
    <w:rsid w:val="009A47F4"/>
    <w:rsid w:val="009A54A7"/>
    <w:rsid w:val="009A66A8"/>
    <w:rsid w:val="009A719B"/>
    <w:rsid w:val="009A72FE"/>
    <w:rsid w:val="009A7433"/>
    <w:rsid w:val="009B0897"/>
    <w:rsid w:val="009B0CBC"/>
    <w:rsid w:val="009B0F4D"/>
    <w:rsid w:val="009B0FF5"/>
    <w:rsid w:val="009B1A8F"/>
    <w:rsid w:val="009B1D8D"/>
    <w:rsid w:val="009B21A7"/>
    <w:rsid w:val="009B2A14"/>
    <w:rsid w:val="009B2C51"/>
    <w:rsid w:val="009B2D71"/>
    <w:rsid w:val="009B3B07"/>
    <w:rsid w:val="009B5095"/>
    <w:rsid w:val="009B5D1D"/>
    <w:rsid w:val="009B6174"/>
    <w:rsid w:val="009B73A4"/>
    <w:rsid w:val="009B76DF"/>
    <w:rsid w:val="009B7892"/>
    <w:rsid w:val="009B7BD9"/>
    <w:rsid w:val="009C1160"/>
    <w:rsid w:val="009C1553"/>
    <w:rsid w:val="009C1F56"/>
    <w:rsid w:val="009C2AE6"/>
    <w:rsid w:val="009C2D96"/>
    <w:rsid w:val="009C3CB9"/>
    <w:rsid w:val="009C4186"/>
    <w:rsid w:val="009C4755"/>
    <w:rsid w:val="009C4F4B"/>
    <w:rsid w:val="009C5BB0"/>
    <w:rsid w:val="009C7626"/>
    <w:rsid w:val="009C7A77"/>
    <w:rsid w:val="009C7DD5"/>
    <w:rsid w:val="009D0866"/>
    <w:rsid w:val="009D152C"/>
    <w:rsid w:val="009D1B3B"/>
    <w:rsid w:val="009D2153"/>
    <w:rsid w:val="009D3580"/>
    <w:rsid w:val="009D364C"/>
    <w:rsid w:val="009D40C0"/>
    <w:rsid w:val="009D56BE"/>
    <w:rsid w:val="009D5B80"/>
    <w:rsid w:val="009D6041"/>
    <w:rsid w:val="009D6049"/>
    <w:rsid w:val="009D69F6"/>
    <w:rsid w:val="009D6D66"/>
    <w:rsid w:val="009E0087"/>
    <w:rsid w:val="009E1919"/>
    <w:rsid w:val="009E1A1E"/>
    <w:rsid w:val="009E227D"/>
    <w:rsid w:val="009E31E4"/>
    <w:rsid w:val="009E3EFC"/>
    <w:rsid w:val="009E4A94"/>
    <w:rsid w:val="009E5019"/>
    <w:rsid w:val="009E5347"/>
    <w:rsid w:val="009E55C2"/>
    <w:rsid w:val="009E6519"/>
    <w:rsid w:val="009E685A"/>
    <w:rsid w:val="009E7F02"/>
    <w:rsid w:val="009F0221"/>
    <w:rsid w:val="009F03E7"/>
    <w:rsid w:val="009F0463"/>
    <w:rsid w:val="009F0835"/>
    <w:rsid w:val="009F0A89"/>
    <w:rsid w:val="009F0B10"/>
    <w:rsid w:val="009F1E65"/>
    <w:rsid w:val="009F2536"/>
    <w:rsid w:val="009F2939"/>
    <w:rsid w:val="009F311A"/>
    <w:rsid w:val="009F3EFE"/>
    <w:rsid w:val="009F3F9D"/>
    <w:rsid w:val="009F411B"/>
    <w:rsid w:val="009F511B"/>
    <w:rsid w:val="009F52C3"/>
    <w:rsid w:val="009F52C5"/>
    <w:rsid w:val="009F59A2"/>
    <w:rsid w:val="009F5C33"/>
    <w:rsid w:val="009F61F9"/>
    <w:rsid w:val="009F650F"/>
    <w:rsid w:val="009F677A"/>
    <w:rsid w:val="009F7100"/>
    <w:rsid w:val="009F78B2"/>
    <w:rsid w:val="009F78CE"/>
    <w:rsid w:val="00A00FDD"/>
    <w:rsid w:val="00A01AA5"/>
    <w:rsid w:val="00A03878"/>
    <w:rsid w:val="00A039EF"/>
    <w:rsid w:val="00A03A79"/>
    <w:rsid w:val="00A03D63"/>
    <w:rsid w:val="00A04873"/>
    <w:rsid w:val="00A04F1B"/>
    <w:rsid w:val="00A0501B"/>
    <w:rsid w:val="00A05B66"/>
    <w:rsid w:val="00A05C4F"/>
    <w:rsid w:val="00A06DB5"/>
    <w:rsid w:val="00A06DD8"/>
    <w:rsid w:val="00A073C5"/>
    <w:rsid w:val="00A07F88"/>
    <w:rsid w:val="00A109F7"/>
    <w:rsid w:val="00A12909"/>
    <w:rsid w:val="00A1329A"/>
    <w:rsid w:val="00A138A0"/>
    <w:rsid w:val="00A13D0A"/>
    <w:rsid w:val="00A1471F"/>
    <w:rsid w:val="00A14947"/>
    <w:rsid w:val="00A14E0E"/>
    <w:rsid w:val="00A156D2"/>
    <w:rsid w:val="00A15EFB"/>
    <w:rsid w:val="00A15FCD"/>
    <w:rsid w:val="00A176A9"/>
    <w:rsid w:val="00A17C55"/>
    <w:rsid w:val="00A20317"/>
    <w:rsid w:val="00A20AE5"/>
    <w:rsid w:val="00A20D1A"/>
    <w:rsid w:val="00A2156E"/>
    <w:rsid w:val="00A22C94"/>
    <w:rsid w:val="00A2356F"/>
    <w:rsid w:val="00A236B4"/>
    <w:rsid w:val="00A23A57"/>
    <w:rsid w:val="00A24E68"/>
    <w:rsid w:val="00A25287"/>
    <w:rsid w:val="00A25403"/>
    <w:rsid w:val="00A256D8"/>
    <w:rsid w:val="00A25FD2"/>
    <w:rsid w:val="00A26E4A"/>
    <w:rsid w:val="00A3038E"/>
    <w:rsid w:val="00A316CB"/>
    <w:rsid w:val="00A329BE"/>
    <w:rsid w:val="00A32A83"/>
    <w:rsid w:val="00A32ECA"/>
    <w:rsid w:val="00A34005"/>
    <w:rsid w:val="00A34B0A"/>
    <w:rsid w:val="00A3541D"/>
    <w:rsid w:val="00A355C5"/>
    <w:rsid w:val="00A3566F"/>
    <w:rsid w:val="00A35E0A"/>
    <w:rsid w:val="00A3615E"/>
    <w:rsid w:val="00A368DB"/>
    <w:rsid w:val="00A40D4C"/>
    <w:rsid w:val="00A40EFB"/>
    <w:rsid w:val="00A423AA"/>
    <w:rsid w:val="00A43338"/>
    <w:rsid w:val="00A43A4B"/>
    <w:rsid w:val="00A449B5"/>
    <w:rsid w:val="00A451B2"/>
    <w:rsid w:val="00A45936"/>
    <w:rsid w:val="00A47286"/>
    <w:rsid w:val="00A47C3C"/>
    <w:rsid w:val="00A47CEB"/>
    <w:rsid w:val="00A50001"/>
    <w:rsid w:val="00A5008D"/>
    <w:rsid w:val="00A5093C"/>
    <w:rsid w:val="00A50DE9"/>
    <w:rsid w:val="00A50EC6"/>
    <w:rsid w:val="00A51314"/>
    <w:rsid w:val="00A53EA5"/>
    <w:rsid w:val="00A53EC6"/>
    <w:rsid w:val="00A54785"/>
    <w:rsid w:val="00A547D2"/>
    <w:rsid w:val="00A54B03"/>
    <w:rsid w:val="00A550C1"/>
    <w:rsid w:val="00A55C0F"/>
    <w:rsid w:val="00A5672C"/>
    <w:rsid w:val="00A57407"/>
    <w:rsid w:val="00A6142F"/>
    <w:rsid w:val="00A61672"/>
    <w:rsid w:val="00A61889"/>
    <w:rsid w:val="00A6230A"/>
    <w:rsid w:val="00A62555"/>
    <w:rsid w:val="00A62B1D"/>
    <w:rsid w:val="00A64AEE"/>
    <w:rsid w:val="00A67401"/>
    <w:rsid w:val="00A67CDD"/>
    <w:rsid w:val="00A70969"/>
    <w:rsid w:val="00A7131B"/>
    <w:rsid w:val="00A71746"/>
    <w:rsid w:val="00A71D9B"/>
    <w:rsid w:val="00A72342"/>
    <w:rsid w:val="00A72494"/>
    <w:rsid w:val="00A734E1"/>
    <w:rsid w:val="00A7451A"/>
    <w:rsid w:val="00A7569E"/>
    <w:rsid w:val="00A758E3"/>
    <w:rsid w:val="00A7685B"/>
    <w:rsid w:val="00A801C7"/>
    <w:rsid w:val="00A8046A"/>
    <w:rsid w:val="00A80D67"/>
    <w:rsid w:val="00A8288C"/>
    <w:rsid w:val="00A8379C"/>
    <w:rsid w:val="00A84BD3"/>
    <w:rsid w:val="00A85AD1"/>
    <w:rsid w:val="00A8621F"/>
    <w:rsid w:val="00A864BC"/>
    <w:rsid w:val="00A86FC2"/>
    <w:rsid w:val="00A8713F"/>
    <w:rsid w:val="00A873EA"/>
    <w:rsid w:val="00A87B80"/>
    <w:rsid w:val="00A87F74"/>
    <w:rsid w:val="00A87FE0"/>
    <w:rsid w:val="00A90BA1"/>
    <w:rsid w:val="00A919CE"/>
    <w:rsid w:val="00A9535E"/>
    <w:rsid w:val="00A96A00"/>
    <w:rsid w:val="00A96CEB"/>
    <w:rsid w:val="00A975AF"/>
    <w:rsid w:val="00A97A9A"/>
    <w:rsid w:val="00A97AA9"/>
    <w:rsid w:val="00AA0671"/>
    <w:rsid w:val="00AA0A3F"/>
    <w:rsid w:val="00AA0C99"/>
    <w:rsid w:val="00AA1CD4"/>
    <w:rsid w:val="00AA2531"/>
    <w:rsid w:val="00AA2852"/>
    <w:rsid w:val="00AA32F0"/>
    <w:rsid w:val="00AA361D"/>
    <w:rsid w:val="00AA41F0"/>
    <w:rsid w:val="00AA5594"/>
    <w:rsid w:val="00AB10FE"/>
    <w:rsid w:val="00AB176D"/>
    <w:rsid w:val="00AB1E09"/>
    <w:rsid w:val="00AB245B"/>
    <w:rsid w:val="00AB2E43"/>
    <w:rsid w:val="00AB3698"/>
    <w:rsid w:val="00AB4272"/>
    <w:rsid w:val="00AB474E"/>
    <w:rsid w:val="00AB4FC5"/>
    <w:rsid w:val="00AB5330"/>
    <w:rsid w:val="00AB5E8E"/>
    <w:rsid w:val="00AB64A8"/>
    <w:rsid w:val="00AB6760"/>
    <w:rsid w:val="00AB7232"/>
    <w:rsid w:val="00AB7747"/>
    <w:rsid w:val="00AB7917"/>
    <w:rsid w:val="00AB7D07"/>
    <w:rsid w:val="00AC0737"/>
    <w:rsid w:val="00AC14CE"/>
    <w:rsid w:val="00AC28B8"/>
    <w:rsid w:val="00AC2A56"/>
    <w:rsid w:val="00AC3089"/>
    <w:rsid w:val="00AC3D0E"/>
    <w:rsid w:val="00AC3FDA"/>
    <w:rsid w:val="00AC48C7"/>
    <w:rsid w:val="00AC4B10"/>
    <w:rsid w:val="00AC50B1"/>
    <w:rsid w:val="00AC5E97"/>
    <w:rsid w:val="00AC6C3E"/>
    <w:rsid w:val="00AC7303"/>
    <w:rsid w:val="00AC7464"/>
    <w:rsid w:val="00AC7570"/>
    <w:rsid w:val="00AC7AC0"/>
    <w:rsid w:val="00AD055E"/>
    <w:rsid w:val="00AD0C56"/>
    <w:rsid w:val="00AD2420"/>
    <w:rsid w:val="00AD2856"/>
    <w:rsid w:val="00AD38EF"/>
    <w:rsid w:val="00AD3DFB"/>
    <w:rsid w:val="00AD4556"/>
    <w:rsid w:val="00AD47A7"/>
    <w:rsid w:val="00AD4ECC"/>
    <w:rsid w:val="00AD6792"/>
    <w:rsid w:val="00AD68FF"/>
    <w:rsid w:val="00AD6D63"/>
    <w:rsid w:val="00AD7E53"/>
    <w:rsid w:val="00AE1033"/>
    <w:rsid w:val="00AE12FB"/>
    <w:rsid w:val="00AE13F0"/>
    <w:rsid w:val="00AE149A"/>
    <w:rsid w:val="00AE1A69"/>
    <w:rsid w:val="00AE1AD9"/>
    <w:rsid w:val="00AE1DCB"/>
    <w:rsid w:val="00AE1E58"/>
    <w:rsid w:val="00AE238A"/>
    <w:rsid w:val="00AE2604"/>
    <w:rsid w:val="00AE2640"/>
    <w:rsid w:val="00AE33E6"/>
    <w:rsid w:val="00AE34F7"/>
    <w:rsid w:val="00AE3E6E"/>
    <w:rsid w:val="00AE5000"/>
    <w:rsid w:val="00AE6310"/>
    <w:rsid w:val="00AE648B"/>
    <w:rsid w:val="00AE7D9D"/>
    <w:rsid w:val="00AF074F"/>
    <w:rsid w:val="00AF0CBF"/>
    <w:rsid w:val="00AF257F"/>
    <w:rsid w:val="00AF258F"/>
    <w:rsid w:val="00AF2CE7"/>
    <w:rsid w:val="00AF33CF"/>
    <w:rsid w:val="00AF3AAA"/>
    <w:rsid w:val="00AF3EE3"/>
    <w:rsid w:val="00AF4D50"/>
    <w:rsid w:val="00AF5743"/>
    <w:rsid w:val="00AF6179"/>
    <w:rsid w:val="00AF6614"/>
    <w:rsid w:val="00AF66D9"/>
    <w:rsid w:val="00AF6935"/>
    <w:rsid w:val="00AF7A61"/>
    <w:rsid w:val="00B0007D"/>
    <w:rsid w:val="00B00945"/>
    <w:rsid w:val="00B02478"/>
    <w:rsid w:val="00B025CD"/>
    <w:rsid w:val="00B02B7C"/>
    <w:rsid w:val="00B030AC"/>
    <w:rsid w:val="00B04E1D"/>
    <w:rsid w:val="00B05E8C"/>
    <w:rsid w:val="00B06E2E"/>
    <w:rsid w:val="00B06E45"/>
    <w:rsid w:val="00B07ADD"/>
    <w:rsid w:val="00B07B8D"/>
    <w:rsid w:val="00B105F5"/>
    <w:rsid w:val="00B109BC"/>
    <w:rsid w:val="00B10EDD"/>
    <w:rsid w:val="00B114FA"/>
    <w:rsid w:val="00B11782"/>
    <w:rsid w:val="00B11C30"/>
    <w:rsid w:val="00B11D71"/>
    <w:rsid w:val="00B11FB4"/>
    <w:rsid w:val="00B1295A"/>
    <w:rsid w:val="00B12AC1"/>
    <w:rsid w:val="00B12F8E"/>
    <w:rsid w:val="00B1468C"/>
    <w:rsid w:val="00B15576"/>
    <w:rsid w:val="00B16444"/>
    <w:rsid w:val="00B20A45"/>
    <w:rsid w:val="00B22C5C"/>
    <w:rsid w:val="00B23003"/>
    <w:rsid w:val="00B235E8"/>
    <w:rsid w:val="00B24C10"/>
    <w:rsid w:val="00B24CDC"/>
    <w:rsid w:val="00B24F30"/>
    <w:rsid w:val="00B27296"/>
    <w:rsid w:val="00B2744C"/>
    <w:rsid w:val="00B3057B"/>
    <w:rsid w:val="00B30612"/>
    <w:rsid w:val="00B3101E"/>
    <w:rsid w:val="00B31282"/>
    <w:rsid w:val="00B31ABF"/>
    <w:rsid w:val="00B32443"/>
    <w:rsid w:val="00B3264A"/>
    <w:rsid w:val="00B32DBB"/>
    <w:rsid w:val="00B33433"/>
    <w:rsid w:val="00B33817"/>
    <w:rsid w:val="00B33A2B"/>
    <w:rsid w:val="00B33BE3"/>
    <w:rsid w:val="00B34A0E"/>
    <w:rsid w:val="00B35012"/>
    <w:rsid w:val="00B361F0"/>
    <w:rsid w:val="00B36779"/>
    <w:rsid w:val="00B36F2D"/>
    <w:rsid w:val="00B402A1"/>
    <w:rsid w:val="00B41ACB"/>
    <w:rsid w:val="00B421DD"/>
    <w:rsid w:val="00B42DFA"/>
    <w:rsid w:val="00B43B74"/>
    <w:rsid w:val="00B443E2"/>
    <w:rsid w:val="00B45576"/>
    <w:rsid w:val="00B4617C"/>
    <w:rsid w:val="00B46EC2"/>
    <w:rsid w:val="00B504B6"/>
    <w:rsid w:val="00B514DE"/>
    <w:rsid w:val="00B51B72"/>
    <w:rsid w:val="00B51F47"/>
    <w:rsid w:val="00B51F71"/>
    <w:rsid w:val="00B52158"/>
    <w:rsid w:val="00B52965"/>
    <w:rsid w:val="00B52C70"/>
    <w:rsid w:val="00B5390F"/>
    <w:rsid w:val="00B53B5D"/>
    <w:rsid w:val="00B54F61"/>
    <w:rsid w:val="00B56065"/>
    <w:rsid w:val="00B563A0"/>
    <w:rsid w:val="00B579D5"/>
    <w:rsid w:val="00B57A83"/>
    <w:rsid w:val="00B6055E"/>
    <w:rsid w:val="00B6317D"/>
    <w:rsid w:val="00B6434F"/>
    <w:rsid w:val="00B64740"/>
    <w:rsid w:val="00B64EF7"/>
    <w:rsid w:val="00B65FC1"/>
    <w:rsid w:val="00B66F5F"/>
    <w:rsid w:val="00B67D2B"/>
    <w:rsid w:val="00B67EED"/>
    <w:rsid w:val="00B707A5"/>
    <w:rsid w:val="00B7247F"/>
    <w:rsid w:val="00B73AB6"/>
    <w:rsid w:val="00B7473D"/>
    <w:rsid w:val="00B74AAE"/>
    <w:rsid w:val="00B74D96"/>
    <w:rsid w:val="00B75B6C"/>
    <w:rsid w:val="00B7723F"/>
    <w:rsid w:val="00B777AC"/>
    <w:rsid w:val="00B77A7D"/>
    <w:rsid w:val="00B8000D"/>
    <w:rsid w:val="00B801B0"/>
    <w:rsid w:val="00B804CB"/>
    <w:rsid w:val="00B80534"/>
    <w:rsid w:val="00B80810"/>
    <w:rsid w:val="00B813D8"/>
    <w:rsid w:val="00B81663"/>
    <w:rsid w:val="00B81DB6"/>
    <w:rsid w:val="00B82DCB"/>
    <w:rsid w:val="00B834A9"/>
    <w:rsid w:val="00B8365F"/>
    <w:rsid w:val="00B83A7F"/>
    <w:rsid w:val="00B84200"/>
    <w:rsid w:val="00B8433C"/>
    <w:rsid w:val="00B84BC1"/>
    <w:rsid w:val="00B8606F"/>
    <w:rsid w:val="00B8630B"/>
    <w:rsid w:val="00B86741"/>
    <w:rsid w:val="00B872C8"/>
    <w:rsid w:val="00B87491"/>
    <w:rsid w:val="00B87B0C"/>
    <w:rsid w:val="00B9009A"/>
    <w:rsid w:val="00B90872"/>
    <w:rsid w:val="00B9128F"/>
    <w:rsid w:val="00B92106"/>
    <w:rsid w:val="00B940C1"/>
    <w:rsid w:val="00B942CB"/>
    <w:rsid w:val="00B9454A"/>
    <w:rsid w:val="00B94F83"/>
    <w:rsid w:val="00B95FA3"/>
    <w:rsid w:val="00B95FF4"/>
    <w:rsid w:val="00B96977"/>
    <w:rsid w:val="00B96A5C"/>
    <w:rsid w:val="00B96CFD"/>
    <w:rsid w:val="00B96EB5"/>
    <w:rsid w:val="00BA0411"/>
    <w:rsid w:val="00BA0627"/>
    <w:rsid w:val="00BA1639"/>
    <w:rsid w:val="00BA1748"/>
    <w:rsid w:val="00BA1B87"/>
    <w:rsid w:val="00BA29E9"/>
    <w:rsid w:val="00BA594B"/>
    <w:rsid w:val="00BA5D9E"/>
    <w:rsid w:val="00BA67B1"/>
    <w:rsid w:val="00BA7142"/>
    <w:rsid w:val="00BA74CB"/>
    <w:rsid w:val="00BA7948"/>
    <w:rsid w:val="00BB0457"/>
    <w:rsid w:val="00BB0B99"/>
    <w:rsid w:val="00BB13AA"/>
    <w:rsid w:val="00BB237C"/>
    <w:rsid w:val="00BB2A91"/>
    <w:rsid w:val="00BB41A3"/>
    <w:rsid w:val="00BB4563"/>
    <w:rsid w:val="00BB5A4C"/>
    <w:rsid w:val="00BB640C"/>
    <w:rsid w:val="00BB671F"/>
    <w:rsid w:val="00BB7922"/>
    <w:rsid w:val="00BC08F0"/>
    <w:rsid w:val="00BC2211"/>
    <w:rsid w:val="00BC22E9"/>
    <w:rsid w:val="00BC2CD7"/>
    <w:rsid w:val="00BC2E91"/>
    <w:rsid w:val="00BC2F30"/>
    <w:rsid w:val="00BC3169"/>
    <w:rsid w:val="00BC32DC"/>
    <w:rsid w:val="00BC35B6"/>
    <w:rsid w:val="00BC3E8B"/>
    <w:rsid w:val="00BC4DE3"/>
    <w:rsid w:val="00BC52FD"/>
    <w:rsid w:val="00BC5A5E"/>
    <w:rsid w:val="00BC7F11"/>
    <w:rsid w:val="00BD0351"/>
    <w:rsid w:val="00BD1B51"/>
    <w:rsid w:val="00BD3630"/>
    <w:rsid w:val="00BD3EB8"/>
    <w:rsid w:val="00BD3F4D"/>
    <w:rsid w:val="00BD4072"/>
    <w:rsid w:val="00BD4173"/>
    <w:rsid w:val="00BD42FE"/>
    <w:rsid w:val="00BD4596"/>
    <w:rsid w:val="00BD5E07"/>
    <w:rsid w:val="00BD6A08"/>
    <w:rsid w:val="00BD6B46"/>
    <w:rsid w:val="00BD6E84"/>
    <w:rsid w:val="00BD7229"/>
    <w:rsid w:val="00BD77C9"/>
    <w:rsid w:val="00BD7ADC"/>
    <w:rsid w:val="00BD7F81"/>
    <w:rsid w:val="00BE03BF"/>
    <w:rsid w:val="00BE0541"/>
    <w:rsid w:val="00BE1405"/>
    <w:rsid w:val="00BE24F0"/>
    <w:rsid w:val="00BE26E0"/>
    <w:rsid w:val="00BE2C7A"/>
    <w:rsid w:val="00BE312D"/>
    <w:rsid w:val="00BE3945"/>
    <w:rsid w:val="00BE3FE0"/>
    <w:rsid w:val="00BE4419"/>
    <w:rsid w:val="00BE471D"/>
    <w:rsid w:val="00BE510B"/>
    <w:rsid w:val="00BE5F35"/>
    <w:rsid w:val="00BF1259"/>
    <w:rsid w:val="00BF1392"/>
    <w:rsid w:val="00BF1C20"/>
    <w:rsid w:val="00BF257D"/>
    <w:rsid w:val="00BF3562"/>
    <w:rsid w:val="00BF35B1"/>
    <w:rsid w:val="00BF3E4B"/>
    <w:rsid w:val="00BF4225"/>
    <w:rsid w:val="00BF4B26"/>
    <w:rsid w:val="00BF4E2C"/>
    <w:rsid w:val="00BF54D6"/>
    <w:rsid w:val="00BF620E"/>
    <w:rsid w:val="00BF74ED"/>
    <w:rsid w:val="00BF76B1"/>
    <w:rsid w:val="00BF7A0F"/>
    <w:rsid w:val="00BF7F26"/>
    <w:rsid w:val="00C002F6"/>
    <w:rsid w:val="00C00345"/>
    <w:rsid w:val="00C00462"/>
    <w:rsid w:val="00C0078F"/>
    <w:rsid w:val="00C0164C"/>
    <w:rsid w:val="00C01EA0"/>
    <w:rsid w:val="00C020B4"/>
    <w:rsid w:val="00C02994"/>
    <w:rsid w:val="00C02A73"/>
    <w:rsid w:val="00C02F3A"/>
    <w:rsid w:val="00C03056"/>
    <w:rsid w:val="00C03794"/>
    <w:rsid w:val="00C03F0F"/>
    <w:rsid w:val="00C041E5"/>
    <w:rsid w:val="00C04DB0"/>
    <w:rsid w:val="00C06589"/>
    <w:rsid w:val="00C06F70"/>
    <w:rsid w:val="00C0736E"/>
    <w:rsid w:val="00C078E0"/>
    <w:rsid w:val="00C1019A"/>
    <w:rsid w:val="00C1019B"/>
    <w:rsid w:val="00C10217"/>
    <w:rsid w:val="00C1037C"/>
    <w:rsid w:val="00C10578"/>
    <w:rsid w:val="00C105CA"/>
    <w:rsid w:val="00C10BC6"/>
    <w:rsid w:val="00C11F7C"/>
    <w:rsid w:val="00C12438"/>
    <w:rsid w:val="00C127D4"/>
    <w:rsid w:val="00C12A0F"/>
    <w:rsid w:val="00C13122"/>
    <w:rsid w:val="00C131FE"/>
    <w:rsid w:val="00C135BC"/>
    <w:rsid w:val="00C145EE"/>
    <w:rsid w:val="00C14DBE"/>
    <w:rsid w:val="00C14DDA"/>
    <w:rsid w:val="00C14F13"/>
    <w:rsid w:val="00C15C95"/>
    <w:rsid w:val="00C15CB1"/>
    <w:rsid w:val="00C1607D"/>
    <w:rsid w:val="00C16A5B"/>
    <w:rsid w:val="00C17086"/>
    <w:rsid w:val="00C209F6"/>
    <w:rsid w:val="00C20CC3"/>
    <w:rsid w:val="00C21643"/>
    <w:rsid w:val="00C22785"/>
    <w:rsid w:val="00C227F7"/>
    <w:rsid w:val="00C23990"/>
    <w:rsid w:val="00C23ABC"/>
    <w:rsid w:val="00C23E44"/>
    <w:rsid w:val="00C250F0"/>
    <w:rsid w:val="00C252B6"/>
    <w:rsid w:val="00C25801"/>
    <w:rsid w:val="00C2596A"/>
    <w:rsid w:val="00C27537"/>
    <w:rsid w:val="00C307F9"/>
    <w:rsid w:val="00C31121"/>
    <w:rsid w:val="00C328FE"/>
    <w:rsid w:val="00C33507"/>
    <w:rsid w:val="00C347AD"/>
    <w:rsid w:val="00C36A54"/>
    <w:rsid w:val="00C36C12"/>
    <w:rsid w:val="00C36DAA"/>
    <w:rsid w:val="00C371F7"/>
    <w:rsid w:val="00C37870"/>
    <w:rsid w:val="00C4045D"/>
    <w:rsid w:val="00C40F8B"/>
    <w:rsid w:val="00C41D7C"/>
    <w:rsid w:val="00C41D8B"/>
    <w:rsid w:val="00C421E3"/>
    <w:rsid w:val="00C42992"/>
    <w:rsid w:val="00C42EF9"/>
    <w:rsid w:val="00C431D2"/>
    <w:rsid w:val="00C43255"/>
    <w:rsid w:val="00C4366A"/>
    <w:rsid w:val="00C43A7C"/>
    <w:rsid w:val="00C43E78"/>
    <w:rsid w:val="00C43F72"/>
    <w:rsid w:val="00C4409D"/>
    <w:rsid w:val="00C44D0B"/>
    <w:rsid w:val="00C44E72"/>
    <w:rsid w:val="00C45370"/>
    <w:rsid w:val="00C45A06"/>
    <w:rsid w:val="00C45CF2"/>
    <w:rsid w:val="00C4618C"/>
    <w:rsid w:val="00C462EA"/>
    <w:rsid w:val="00C47E5B"/>
    <w:rsid w:val="00C50036"/>
    <w:rsid w:val="00C50D9C"/>
    <w:rsid w:val="00C51879"/>
    <w:rsid w:val="00C52357"/>
    <w:rsid w:val="00C52B65"/>
    <w:rsid w:val="00C53BE5"/>
    <w:rsid w:val="00C54FAA"/>
    <w:rsid w:val="00C566C7"/>
    <w:rsid w:val="00C577E0"/>
    <w:rsid w:val="00C57E45"/>
    <w:rsid w:val="00C60DE2"/>
    <w:rsid w:val="00C610B0"/>
    <w:rsid w:val="00C61E4B"/>
    <w:rsid w:val="00C61F47"/>
    <w:rsid w:val="00C62712"/>
    <w:rsid w:val="00C62BA0"/>
    <w:rsid w:val="00C62BE6"/>
    <w:rsid w:val="00C639B8"/>
    <w:rsid w:val="00C64880"/>
    <w:rsid w:val="00C64BFF"/>
    <w:rsid w:val="00C64E39"/>
    <w:rsid w:val="00C65157"/>
    <w:rsid w:val="00C651DA"/>
    <w:rsid w:val="00C66011"/>
    <w:rsid w:val="00C665A5"/>
    <w:rsid w:val="00C704E9"/>
    <w:rsid w:val="00C70671"/>
    <w:rsid w:val="00C70816"/>
    <w:rsid w:val="00C70974"/>
    <w:rsid w:val="00C71D19"/>
    <w:rsid w:val="00C7201B"/>
    <w:rsid w:val="00C72105"/>
    <w:rsid w:val="00C72FDB"/>
    <w:rsid w:val="00C74CC7"/>
    <w:rsid w:val="00C763C9"/>
    <w:rsid w:val="00C77636"/>
    <w:rsid w:val="00C77DEF"/>
    <w:rsid w:val="00C80057"/>
    <w:rsid w:val="00C80765"/>
    <w:rsid w:val="00C80A62"/>
    <w:rsid w:val="00C80DEA"/>
    <w:rsid w:val="00C812D1"/>
    <w:rsid w:val="00C812D3"/>
    <w:rsid w:val="00C81816"/>
    <w:rsid w:val="00C81FC2"/>
    <w:rsid w:val="00C82232"/>
    <w:rsid w:val="00C827EC"/>
    <w:rsid w:val="00C82877"/>
    <w:rsid w:val="00C82913"/>
    <w:rsid w:val="00C82E0B"/>
    <w:rsid w:val="00C845EB"/>
    <w:rsid w:val="00C86923"/>
    <w:rsid w:val="00C87244"/>
    <w:rsid w:val="00C873C3"/>
    <w:rsid w:val="00C87755"/>
    <w:rsid w:val="00C8798A"/>
    <w:rsid w:val="00C906AB"/>
    <w:rsid w:val="00C910E5"/>
    <w:rsid w:val="00C916D4"/>
    <w:rsid w:val="00C921DF"/>
    <w:rsid w:val="00C92DBD"/>
    <w:rsid w:val="00C937E1"/>
    <w:rsid w:val="00C94468"/>
    <w:rsid w:val="00C946C5"/>
    <w:rsid w:val="00C95345"/>
    <w:rsid w:val="00C954C9"/>
    <w:rsid w:val="00C95EF0"/>
    <w:rsid w:val="00C96A57"/>
    <w:rsid w:val="00C972B1"/>
    <w:rsid w:val="00C973D0"/>
    <w:rsid w:val="00C9751F"/>
    <w:rsid w:val="00CA0441"/>
    <w:rsid w:val="00CA13B6"/>
    <w:rsid w:val="00CA13CF"/>
    <w:rsid w:val="00CA2CCE"/>
    <w:rsid w:val="00CA300A"/>
    <w:rsid w:val="00CA3429"/>
    <w:rsid w:val="00CA39B8"/>
    <w:rsid w:val="00CA43FD"/>
    <w:rsid w:val="00CA5F1E"/>
    <w:rsid w:val="00CA6814"/>
    <w:rsid w:val="00CA6D2E"/>
    <w:rsid w:val="00CA7EF8"/>
    <w:rsid w:val="00CA7F28"/>
    <w:rsid w:val="00CB12CA"/>
    <w:rsid w:val="00CB15EA"/>
    <w:rsid w:val="00CB1F1D"/>
    <w:rsid w:val="00CB2B96"/>
    <w:rsid w:val="00CB2C10"/>
    <w:rsid w:val="00CB3160"/>
    <w:rsid w:val="00CB4141"/>
    <w:rsid w:val="00CB4396"/>
    <w:rsid w:val="00CB4443"/>
    <w:rsid w:val="00CB4B1C"/>
    <w:rsid w:val="00CB5489"/>
    <w:rsid w:val="00CB587C"/>
    <w:rsid w:val="00CB595A"/>
    <w:rsid w:val="00CB5C90"/>
    <w:rsid w:val="00CC19FF"/>
    <w:rsid w:val="00CC3342"/>
    <w:rsid w:val="00CC3D33"/>
    <w:rsid w:val="00CC489B"/>
    <w:rsid w:val="00CC559C"/>
    <w:rsid w:val="00CC55AD"/>
    <w:rsid w:val="00CC589C"/>
    <w:rsid w:val="00CD0600"/>
    <w:rsid w:val="00CD09FB"/>
    <w:rsid w:val="00CD0FF4"/>
    <w:rsid w:val="00CD1023"/>
    <w:rsid w:val="00CD1366"/>
    <w:rsid w:val="00CD2BCD"/>
    <w:rsid w:val="00CD3A4C"/>
    <w:rsid w:val="00CD4C66"/>
    <w:rsid w:val="00CD52A6"/>
    <w:rsid w:val="00CD7787"/>
    <w:rsid w:val="00CE0865"/>
    <w:rsid w:val="00CE10E9"/>
    <w:rsid w:val="00CE2910"/>
    <w:rsid w:val="00CE2B86"/>
    <w:rsid w:val="00CE2C2D"/>
    <w:rsid w:val="00CE2FF3"/>
    <w:rsid w:val="00CE3063"/>
    <w:rsid w:val="00CE3BD0"/>
    <w:rsid w:val="00CE3C63"/>
    <w:rsid w:val="00CE3FB3"/>
    <w:rsid w:val="00CE5393"/>
    <w:rsid w:val="00CE5F5C"/>
    <w:rsid w:val="00CE6545"/>
    <w:rsid w:val="00CE6752"/>
    <w:rsid w:val="00CE758E"/>
    <w:rsid w:val="00CF011A"/>
    <w:rsid w:val="00CF03DB"/>
    <w:rsid w:val="00CF1846"/>
    <w:rsid w:val="00CF2441"/>
    <w:rsid w:val="00CF25D4"/>
    <w:rsid w:val="00CF34B6"/>
    <w:rsid w:val="00CF36BE"/>
    <w:rsid w:val="00CF38C2"/>
    <w:rsid w:val="00CF3BF4"/>
    <w:rsid w:val="00CF3D60"/>
    <w:rsid w:val="00CF4F8A"/>
    <w:rsid w:val="00CF5BD9"/>
    <w:rsid w:val="00CF6000"/>
    <w:rsid w:val="00CF6F65"/>
    <w:rsid w:val="00CF74F2"/>
    <w:rsid w:val="00CF76E9"/>
    <w:rsid w:val="00CF7C83"/>
    <w:rsid w:val="00D003F3"/>
    <w:rsid w:val="00D0095D"/>
    <w:rsid w:val="00D00B47"/>
    <w:rsid w:val="00D01509"/>
    <w:rsid w:val="00D01F0A"/>
    <w:rsid w:val="00D02126"/>
    <w:rsid w:val="00D02216"/>
    <w:rsid w:val="00D0225A"/>
    <w:rsid w:val="00D02CF8"/>
    <w:rsid w:val="00D02DED"/>
    <w:rsid w:val="00D0364F"/>
    <w:rsid w:val="00D03B0A"/>
    <w:rsid w:val="00D03DB0"/>
    <w:rsid w:val="00D04444"/>
    <w:rsid w:val="00D050BC"/>
    <w:rsid w:val="00D054F5"/>
    <w:rsid w:val="00D05B1A"/>
    <w:rsid w:val="00D06658"/>
    <w:rsid w:val="00D06709"/>
    <w:rsid w:val="00D06834"/>
    <w:rsid w:val="00D070BB"/>
    <w:rsid w:val="00D07164"/>
    <w:rsid w:val="00D071C1"/>
    <w:rsid w:val="00D07E3A"/>
    <w:rsid w:val="00D10D6B"/>
    <w:rsid w:val="00D10DAC"/>
    <w:rsid w:val="00D10EE2"/>
    <w:rsid w:val="00D1113D"/>
    <w:rsid w:val="00D1173A"/>
    <w:rsid w:val="00D130F1"/>
    <w:rsid w:val="00D1352C"/>
    <w:rsid w:val="00D14131"/>
    <w:rsid w:val="00D1473D"/>
    <w:rsid w:val="00D1494C"/>
    <w:rsid w:val="00D14DEB"/>
    <w:rsid w:val="00D16AF4"/>
    <w:rsid w:val="00D16B44"/>
    <w:rsid w:val="00D16C26"/>
    <w:rsid w:val="00D17726"/>
    <w:rsid w:val="00D178CF"/>
    <w:rsid w:val="00D17C79"/>
    <w:rsid w:val="00D206EE"/>
    <w:rsid w:val="00D2081B"/>
    <w:rsid w:val="00D209BB"/>
    <w:rsid w:val="00D20B6A"/>
    <w:rsid w:val="00D2153A"/>
    <w:rsid w:val="00D21B08"/>
    <w:rsid w:val="00D2426E"/>
    <w:rsid w:val="00D24E30"/>
    <w:rsid w:val="00D25BCE"/>
    <w:rsid w:val="00D26254"/>
    <w:rsid w:val="00D26EDF"/>
    <w:rsid w:val="00D27905"/>
    <w:rsid w:val="00D279F1"/>
    <w:rsid w:val="00D27C87"/>
    <w:rsid w:val="00D3084B"/>
    <w:rsid w:val="00D308ED"/>
    <w:rsid w:val="00D31136"/>
    <w:rsid w:val="00D3180D"/>
    <w:rsid w:val="00D31942"/>
    <w:rsid w:val="00D326CA"/>
    <w:rsid w:val="00D32E58"/>
    <w:rsid w:val="00D33DC6"/>
    <w:rsid w:val="00D34FA6"/>
    <w:rsid w:val="00D35A1A"/>
    <w:rsid w:val="00D35AA2"/>
    <w:rsid w:val="00D35CD8"/>
    <w:rsid w:val="00D36328"/>
    <w:rsid w:val="00D36B10"/>
    <w:rsid w:val="00D36D86"/>
    <w:rsid w:val="00D37AE7"/>
    <w:rsid w:val="00D37DDC"/>
    <w:rsid w:val="00D4020D"/>
    <w:rsid w:val="00D41224"/>
    <w:rsid w:val="00D41BE7"/>
    <w:rsid w:val="00D41E35"/>
    <w:rsid w:val="00D41F25"/>
    <w:rsid w:val="00D42643"/>
    <w:rsid w:val="00D428AA"/>
    <w:rsid w:val="00D43A3B"/>
    <w:rsid w:val="00D43C72"/>
    <w:rsid w:val="00D43E35"/>
    <w:rsid w:val="00D448B9"/>
    <w:rsid w:val="00D459E7"/>
    <w:rsid w:val="00D50366"/>
    <w:rsid w:val="00D50A34"/>
    <w:rsid w:val="00D51A59"/>
    <w:rsid w:val="00D52B9F"/>
    <w:rsid w:val="00D52C9B"/>
    <w:rsid w:val="00D52E1E"/>
    <w:rsid w:val="00D53EFA"/>
    <w:rsid w:val="00D54887"/>
    <w:rsid w:val="00D54B31"/>
    <w:rsid w:val="00D55227"/>
    <w:rsid w:val="00D561A1"/>
    <w:rsid w:val="00D56940"/>
    <w:rsid w:val="00D5734C"/>
    <w:rsid w:val="00D5765F"/>
    <w:rsid w:val="00D57985"/>
    <w:rsid w:val="00D57F2A"/>
    <w:rsid w:val="00D6048D"/>
    <w:rsid w:val="00D61156"/>
    <w:rsid w:val="00D629FB"/>
    <w:rsid w:val="00D63ABD"/>
    <w:rsid w:val="00D63B3D"/>
    <w:rsid w:val="00D64D08"/>
    <w:rsid w:val="00D660E5"/>
    <w:rsid w:val="00D66622"/>
    <w:rsid w:val="00D66983"/>
    <w:rsid w:val="00D66D72"/>
    <w:rsid w:val="00D66D8C"/>
    <w:rsid w:val="00D6751C"/>
    <w:rsid w:val="00D67525"/>
    <w:rsid w:val="00D67A69"/>
    <w:rsid w:val="00D67E7C"/>
    <w:rsid w:val="00D7081F"/>
    <w:rsid w:val="00D70FD6"/>
    <w:rsid w:val="00D724EC"/>
    <w:rsid w:val="00D73D87"/>
    <w:rsid w:val="00D73E1C"/>
    <w:rsid w:val="00D74078"/>
    <w:rsid w:val="00D74099"/>
    <w:rsid w:val="00D74326"/>
    <w:rsid w:val="00D74B73"/>
    <w:rsid w:val="00D74F49"/>
    <w:rsid w:val="00D753AF"/>
    <w:rsid w:val="00D7543C"/>
    <w:rsid w:val="00D760B2"/>
    <w:rsid w:val="00D778E5"/>
    <w:rsid w:val="00D77B8E"/>
    <w:rsid w:val="00D811A9"/>
    <w:rsid w:val="00D8344A"/>
    <w:rsid w:val="00D835FF"/>
    <w:rsid w:val="00D83B43"/>
    <w:rsid w:val="00D843E9"/>
    <w:rsid w:val="00D86D9A"/>
    <w:rsid w:val="00D87AAA"/>
    <w:rsid w:val="00D917B9"/>
    <w:rsid w:val="00D919CE"/>
    <w:rsid w:val="00D92DB6"/>
    <w:rsid w:val="00D93A9D"/>
    <w:rsid w:val="00D94A7C"/>
    <w:rsid w:val="00D94B43"/>
    <w:rsid w:val="00D94D9B"/>
    <w:rsid w:val="00D9562F"/>
    <w:rsid w:val="00D95896"/>
    <w:rsid w:val="00D95A16"/>
    <w:rsid w:val="00D976CC"/>
    <w:rsid w:val="00DA1147"/>
    <w:rsid w:val="00DA2BE5"/>
    <w:rsid w:val="00DA3286"/>
    <w:rsid w:val="00DA396C"/>
    <w:rsid w:val="00DA3D86"/>
    <w:rsid w:val="00DA617D"/>
    <w:rsid w:val="00DA734A"/>
    <w:rsid w:val="00DA7DC1"/>
    <w:rsid w:val="00DB1012"/>
    <w:rsid w:val="00DB25D0"/>
    <w:rsid w:val="00DB2983"/>
    <w:rsid w:val="00DB415A"/>
    <w:rsid w:val="00DB4BDF"/>
    <w:rsid w:val="00DB5A49"/>
    <w:rsid w:val="00DB5CDD"/>
    <w:rsid w:val="00DB77D9"/>
    <w:rsid w:val="00DB7AB8"/>
    <w:rsid w:val="00DC042E"/>
    <w:rsid w:val="00DC1257"/>
    <w:rsid w:val="00DC1385"/>
    <w:rsid w:val="00DC1CBB"/>
    <w:rsid w:val="00DC252C"/>
    <w:rsid w:val="00DC3024"/>
    <w:rsid w:val="00DC3474"/>
    <w:rsid w:val="00DC3DC0"/>
    <w:rsid w:val="00DC497D"/>
    <w:rsid w:val="00DC5ADC"/>
    <w:rsid w:val="00DC5B2B"/>
    <w:rsid w:val="00DC68F8"/>
    <w:rsid w:val="00DC6BD2"/>
    <w:rsid w:val="00DC745D"/>
    <w:rsid w:val="00DC7E34"/>
    <w:rsid w:val="00DD0070"/>
    <w:rsid w:val="00DD0884"/>
    <w:rsid w:val="00DD0896"/>
    <w:rsid w:val="00DD1361"/>
    <w:rsid w:val="00DD1DAB"/>
    <w:rsid w:val="00DD23A6"/>
    <w:rsid w:val="00DD247E"/>
    <w:rsid w:val="00DD318D"/>
    <w:rsid w:val="00DD3F3B"/>
    <w:rsid w:val="00DD3F69"/>
    <w:rsid w:val="00DD5A11"/>
    <w:rsid w:val="00DD6BCE"/>
    <w:rsid w:val="00DD7359"/>
    <w:rsid w:val="00DE0288"/>
    <w:rsid w:val="00DE379F"/>
    <w:rsid w:val="00DE40AE"/>
    <w:rsid w:val="00DE4E90"/>
    <w:rsid w:val="00DE7488"/>
    <w:rsid w:val="00DE77FA"/>
    <w:rsid w:val="00DE7E77"/>
    <w:rsid w:val="00DE7FCC"/>
    <w:rsid w:val="00DF04D4"/>
    <w:rsid w:val="00DF0E87"/>
    <w:rsid w:val="00DF1548"/>
    <w:rsid w:val="00DF16E2"/>
    <w:rsid w:val="00DF19D9"/>
    <w:rsid w:val="00DF1BF6"/>
    <w:rsid w:val="00DF210B"/>
    <w:rsid w:val="00DF2666"/>
    <w:rsid w:val="00DF2C78"/>
    <w:rsid w:val="00DF2E12"/>
    <w:rsid w:val="00DF4DDA"/>
    <w:rsid w:val="00DF514A"/>
    <w:rsid w:val="00DF54BA"/>
    <w:rsid w:val="00DF5919"/>
    <w:rsid w:val="00DF65A6"/>
    <w:rsid w:val="00DF6690"/>
    <w:rsid w:val="00DF6804"/>
    <w:rsid w:val="00DF6C2A"/>
    <w:rsid w:val="00DF75B9"/>
    <w:rsid w:val="00E00EF6"/>
    <w:rsid w:val="00E00FB3"/>
    <w:rsid w:val="00E021E5"/>
    <w:rsid w:val="00E02BAB"/>
    <w:rsid w:val="00E02D3A"/>
    <w:rsid w:val="00E030C2"/>
    <w:rsid w:val="00E0358D"/>
    <w:rsid w:val="00E03B54"/>
    <w:rsid w:val="00E04323"/>
    <w:rsid w:val="00E0435B"/>
    <w:rsid w:val="00E0459C"/>
    <w:rsid w:val="00E047CB"/>
    <w:rsid w:val="00E05308"/>
    <w:rsid w:val="00E05967"/>
    <w:rsid w:val="00E065A3"/>
    <w:rsid w:val="00E0694F"/>
    <w:rsid w:val="00E06CED"/>
    <w:rsid w:val="00E070A2"/>
    <w:rsid w:val="00E0740D"/>
    <w:rsid w:val="00E075A4"/>
    <w:rsid w:val="00E10564"/>
    <w:rsid w:val="00E1059A"/>
    <w:rsid w:val="00E1086B"/>
    <w:rsid w:val="00E10875"/>
    <w:rsid w:val="00E11276"/>
    <w:rsid w:val="00E11FDC"/>
    <w:rsid w:val="00E12C62"/>
    <w:rsid w:val="00E14108"/>
    <w:rsid w:val="00E147D4"/>
    <w:rsid w:val="00E150BE"/>
    <w:rsid w:val="00E162B5"/>
    <w:rsid w:val="00E16366"/>
    <w:rsid w:val="00E17062"/>
    <w:rsid w:val="00E17400"/>
    <w:rsid w:val="00E17657"/>
    <w:rsid w:val="00E207A4"/>
    <w:rsid w:val="00E21356"/>
    <w:rsid w:val="00E214C1"/>
    <w:rsid w:val="00E21796"/>
    <w:rsid w:val="00E21807"/>
    <w:rsid w:val="00E218F4"/>
    <w:rsid w:val="00E21FC8"/>
    <w:rsid w:val="00E259C5"/>
    <w:rsid w:val="00E2656A"/>
    <w:rsid w:val="00E27409"/>
    <w:rsid w:val="00E2747F"/>
    <w:rsid w:val="00E303F0"/>
    <w:rsid w:val="00E30A8E"/>
    <w:rsid w:val="00E3104F"/>
    <w:rsid w:val="00E320BC"/>
    <w:rsid w:val="00E3251C"/>
    <w:rsid w:val="00E331D5"/>
    <w:rsid w:val="00E33FBF"/>
    <w:rsid w:val="00E34373"/>
    <w:rsid w:val="00E344E7"/>
    <w:rsid w:val="00E34764"/>
    <w:rsid w:val="00E3594F"/>
    <w:rsid w:val="00E37615"/>
    <w:rsid w:val="00E4091E"/>
    <w:rsid w:val="00E412D0"/>
    <w:rsid w:val="00E41ECE"/>
    <w:rsid w:val="00E42B64"/>
    <w:rsid w:val="00E433DC"/>
    <w:rsid w:val="00E444AE"/>
    <w:rsid w:val="00E44AC2"/>
    <w:rsid w:val="00E44EE5"/>
    <w:rsid w:val="00E45448"/>
    <w:rsid w:val="00E456A2"/>
    <w:rsid w:val="00E45819"/>
    <w:rsid w:val="00E47E1F"/>
    <w:rsid w:val="00E50997"/>
    <w:rsid w:val="00E51CB1"/>
    <w:rsid w:val="00E52C33"/>
    <w:rsid w:val="00E52CAC"/>
    <w:rsid w:val="00E53848"/>
    <w:rsid w:val="00E56322"/>
    <w:rsid w:val="00E5634E"/>
    <w:rsid w:val="00E56495"/>
    <w:rsid w:val="00E567D7"/>
    <w:rsid w:val="00E56EC7"/>
    <w:rsid w:val="00E57703"/>
    <w:rsid w:val="00E60982"/>
    <w:rsid w:val="00E610A5"/>
    <w:rsid w:val="00E61F13"/>
    <w:rsid w:val="00E62C62"/>
    <w:rsid w:val="00E630C2"/>
    <w:rsid w:val="00E63B4E"/>
    <w:rsid w:val="00E65067"/>
    <w:rsid w:val="00E6513F"/>
    <w:rsid w:val="00E654C1"/>
    <w:rsid w:val="00E65D97"/>
    <w:rsid w:val="00E66866"/>
    <w:rsid w:val="00E705B0"/>
    <w:rsid w:val="00E707D8"/>
    <w:rsid w:val="00E70C3B"/>
    <w:rsid w:val="00E70C43"/>
    <w:rsid w:val="00E71534"/>
    <w:rsid w:val="00E72A5A"/>
    <w:rsid w:val="00E73354"/>
    <w:rsid w:val="00E74011"/>
    <w:rsid w:val="00E7496C"/>
    <w:rsid w:val="00E75E20"/>
    <w:rsid w:val="00E77DB4"/>
    <w:rsid w:val="00E80BC8"/>
    <w:rsid w:val="00E80C5B"/>
    <w:rsid w:val="00E82803"/>
    <w:rsid w:val="00E855ED"/>
    <w:rsid w:val="00E856F0"/>
    <w:rsid w:val="00E8592D"/>
    <w:rsid w:val="00E85AD5"/>
    <w:rsid w:val="00E8661F"/>
    <w:rsid w:val="00E870D5"/>
    <w:rsid w:val="00E87361"/>
    <w:rsid w:val="00E8739C"/>
    <w:rsid w:val="00E90DD9"/>
    <w:rsid w:val="00E920BC"/>
    <w:rsid w:val="00E9242D"/>
    <w:rsid w:val="00E92A05"/>
    <w:rsid w:val="00E94023"/>
    <w:rsid w:val="00E944AF"/>
    <w:rsid w:val="00E949F8"/>
    <w:rsid w:val="00E95582"/>
    <w:rsid w:val="00E95CBB"/>
    <w:rsid w:val="00E95D63"/>
    <w:rsid w:val="00E96E59"/>
    <w:rsid w:val="00E973BC"/>
    <w:rsid w:val="00E97AC3"/>
    <w:rsid w:val="00EA04E3"/>
    <w:rsid w:val="00EA0D06"/>
    <w:rsid w:val="00EA108B"/>
    <w:rsid w:val="00EA13A5"/>
    <w:rsid w:val="00EA144F"/>
    <w:rsid w:val="00EA1F88"/>
    <w:rsid w:val="00EA293D"/>
    <w:rsid w:val="00EA2992"/>
    <w:rsid w:val="00EA4CB2"/>
    <w:rsid w:val="00EA53A1"/>
    <w:rsid w:val="00EA5726"/>
    <w:rsid w:val="00EA60EE"/>
    <w:rsid w:val="00EA67E1"/>
    <w:rsid w:val="00EA6AB2"/>
    <w:rsid w:val="00EB0F3C"/>
    <w:rsid w:val="00EB1141"/>
    <w:rsid w:val="00EB1607"/>
    <w:rsid w:val="00EB177E"/>
    <w:rsid w:val="00EB2508"/>
    <w:rsid w:val="00EB3C1E"/>
    <w:rsid w:val="00EB5034"/>
    <w:rsid w:val="00EB5255"/>
    <w:rsid w:val="00EB5C47"/>
    <w:rsid w:val="00EB5DE4"/>
    <w:rsid w:val="00EB72CD"/>
    <w:rsid w:val="00EC0C84"/>
    <w:rsid w:val="00EC13D6"/>
    <w:rsid w:val="00EC1A6B"/>
    <w:rsid w:val="00EC2ADE"/>
    <w:rsid w:val="00EC2C46"/>
    <w:rsid w:val="00EC2CD9"/>
    <w:rsid w:val="00EC43EB"/>
    <w:rsid w:val="00EC492D"/>
    <w:rsid w:val="00EC4F92"/>
    <w:rsid w:val="00EC5124"/>
    <w:rsid w:val="00EC547E"/>
    <w:rsid w:val="00EC5A0A"/>
    <w:rsid w:val="00EC64E3"/>
    <w:rsid w:val="00EC72BE"/>
    <w:rsid w:val="00EC72EA"/>
    <w:rsid w:val="00ED003D"/>
    <w:rsid w:val="00ED0639"/>
    <w:rsid w:val="00ED0FBE"/>
    <w:rsid w:val="00ED27E0"/>
    <w:rsid w:val="00ED2A30"/>
    <w:rsid w:val="00ED2F6D"/>
    <w:rsid w:val="00ED327E"/>
    <w:rsid w:val="00ED3553"/>
    <w:rsid w:val="00ED375E"/>
    <w:rsid w:val="00ED3B63"/>
    <w:rsid w:val="00ED3C2A"/>
    <w:rsid w:val="00ED470E"/>
    <w:rsid w:val="00ED51B2"/>
    <w:rsid w:val="00ED5405"/>
    <w:rsid w:val="00ED5BC5"/>
    <w:rsid w:val="00ED5F53"/>
    <w:rsid w:val="00ED6969"/>
    <w:rsid w:val="00ED6B3B"/>
    <w:rsid w:val="00ED7638"/>
    <w:rsid w:val="00ED76A7"/>
    <w:rsid w:val="00EE00F6"/>
    <w:rsid w:val="00EE0CA0"/>
    <w:rsid w:val="00EE0F50"/>
    <w:rsid w:val="00EE4EBB"/>
    <w:rsid w:val="00EE4F58"/>
    <w:rsid w:val="00EE5243"/>
    <w:rsid w:val="00EE5962"/>
    <w:rsid w:val="00EF08D1"/>
    <w:rsid w:val="00EF15F2"/>
    <w:rsid w:val="00EF1DB0"/>
    <w:rsid w:val="00EF3617"/>
    <w:rsid w:val="00EF397C"/>
    <w:rsid w:val="00EF4755"/>
    <w:rsid w:val="00EF4B7A"/>
    <w:rsid w:val="00EF577C"/>
    <w:rsid w:val="00EF6186"/>
    <w:rsid w:val="00EF7135"/>
    <w:rsid w:val="00EF7A95"/>
    <w:rsid w:val="00F00A4B"/>
    <w:rsid w:val="00F01716"/>
    <w:rsid w:val="00F01C8B"/>
    <w:rsid w:val="00F01D69"/>
    <w:rsid w:val="00F01F6E"/>
    <w:rsid w:val="00F020E9"/>
    <w:rsid w:val="00F027DB"/>
    <w:rsid w:val="00F02B3A"/>
    <w:rsid w:val="00F02D0A"/>
    <w:rsid w:val="00F02FB2"/>
    <w:rsid w:val="00F03C23"/>
    <w:rsid w:val="00F03DCE"/>
    <w:rsid w:val="00F0427F"/>
    <w:rsid w:val="00F04553"/>
    <w:rsid w:val="00F04CDF"/>
    <w:rsid w:val="00F110A7"/>
    <w:rsid w:val="00F1122D"/>
    <w:rsid w:val="00F1207E"/>
    <w:rsid w:val="00F122C9"/>
    <w:rsid w:val="00F12E6B"/>
    <w:rsid w:val="00F1447C"/>
    <w:rsid w:val="00F14A7A"/>
    <w:rsid w:val="00F1556F"/>
    <w:rsid w:val="00F15C8A"/>
    <w:rsid w:val="00F160AC"/>
    <w:rsid w:val="00F16B36"/>
    <w:rsid w:val="00F1733B"/>
    <w:rsid w:val="00F211DB"/>
    <w:rsid w:val="00F213D5"/>
    <w:rsid w:val="00F21449"/>
    <w:rsid w:val="00F2187D"/>
    <w:rsid w:val="00F228BF"/>
    <w:rsid w:val="00F22985"/>
    <w:rsid w:val="00F22E09"/>
    <w:rsid w:val="00F24371"/>
    <w:rsid w:val="00F2498A"/>
    <w:rsid w:val="00F24D2F"/>
    <w:rsid w:val="00F250CA"/>
    <w:rsid w:val="00F25289"/>
    <w:rsid w:val="00F2603D"/>
    <w:rsid w:val="00F2714B"/>
    <w:rsid w:val="00F30191"/>
    <w:rsid w:val="00F30320"/>
    <w:rsid w:val="00F3204A"/>
    <w:rsid w:val="00F33161"/>
    <w:rsid w:val="00F3383E"/>
    <w:rsid w:val="00F33F9C"/>
    <w:rsid w:val="00F34806"/>
    <w:rsid w:val="00F35AF9"/>
    <w:rsid w:val="00F35EB6"/>
    <w:rsid w:val="00F36131"/>
    <w:rsid w:val="00F365D5"/>
    <w:rsid w:val="00F36D65"/>
    <w:rsid w:val="00F36EF0"/>
    <w:rsid w:val="00F3791E"/>
    <w:rsid w:val="00F40007"/>
    <w:rsid w:val="00F40688"/>
    <w:rsid w:val="00F4121C"/>
    <w:rsid w:val="00F4136F"/>
    <w:rsid w:val="00F414F4"/>
    <w:rsid w:val="00F4195A"/>
    <w:rsid w:val="00F41C6F"/>
    <w:rsid w:val="00F41E6F"/>
    <w:rsid w:val="00F424EA"/>
    <w:rsid w:val="00F42C30"/>
    <w:rsid w:val="00F43550"/>
    <w:rsid w:val="00F43B9D"/>
    <w:rsid w:val="00F447CF"/>
    <w:rsid w:val="00F45611"/>
    <w:rsid w:val="00F45CFF"/>
    <w:rsid w:val="00F465A7"/>
    <w:rsid w:val="00F46A75"/>
    <w:rsid w:val="00F47535"/>
    <w:rsid w:val="00F47C04"/>
    <w:rsid w:val="00F50B7C"/>
    <w:rsid w:val="00F51BE4"/>
    <w:rsid w:val="00F521C9"/>
    <w:rsid w:val="00F527A5"/>
    <w:rsid w:val="00F53019"/>
    <w:rsid w:val="00F5381C"/>
    <w:rsid w:val="00F5476D"/>
    <w:rsid w:val="00F55096"/>
    <w:rsid w:val="00F550E6"/>
    <w:rsid w:val="00F5549F"/>
    <w:rsid w:val="00F573A8"/>
    <w:rsid w:val="00F600B0"/>
    <w:rsid w:val="00F608A1"/>
    <w:rsid w:val="00F609E9"/>
    <w:rsid w:val="00F61DE9"/>
    <w:rsid w:val="00F62E91"/>
    <w:rsid w:val="00F639AD"/>
    <w:rsid w:val="00F639E8"/>
    <w:rsid w:val="00F63AF9"/>
    <w:rsid w:val="00F63B45"/>
    <w:rsid w:val="00F66CC9"/>
    <w:rsid w:val="00F66E1A"/>
    <w:rsid w:val="00F670F5"/>
    <w:rsid w:val="00F6763C"/>
    <w:rsid w:val="00F67E67"/>
    <w:rsid w:val="00F706FB"/>
    <w:rsid w:val="00F70956"/>
    <w:rsid w:val="00F716C9"/>
    <w:rsid w:val="00F71DDA"/>
    <w:rsid w:val="00F72744"/>
    <w:rsid w:val="00F72AC9"/>
    <w:rsid w:val="00F74122"/>
    <w:rsid w:val="00F74345"/>
    <w:rsid w:val="00F744C1"/>
    <w:rsid w:val="00F76268"/>
    <w:rsid w:val="00F768E8"/>
    <w:rsid w:val="00F76C60"/>
    <w:rsid w:val="00F77054"/>
    <w:rsid w:val="00F77459"/>
    <w:rsid w:val="00F80A0A"/>
    <w:rsid w:val="00F80CB7"/>
    <w:rsid w:val="00F81569"/>
    <w:rsid w:val="00F81599"/>
    <w:rsid w:val="00F82529"/>
    <w:rsid w:val="00F82B19"/>
    <w:rsid w:val="00F82C7F"/>
    <w:rsid w:val="00F83394"/>
    <w:rsid w:val="00F83590"/>
    <w:rsid w:val="00F83A43"/>
    <w:rsid w:val="00F8571A"/>
    <w:rsid w:val="00F870D3"/>
    <w:rsid w:val="00F90C54"/>
    <w:rsid w:val="00F9212D"/>
    <w:rsid w:val="00F92CDD"/>
    <w:rsid w:val="00F937A4"/>
    <w:rsid w:val="00F938C9"/>
    <w:rsid w:val="00F94E3C"/>
    <w:rsid w:val="00F95FBC"/>
    <w:rsid w:val="00F965DA"/>
    <w:rsid w:val="00F9777D"/>
    <w:rsid w:val="00F97F8D"/>
    <w:rsid w:val="00FA009E"/>
    <w:rsid w:val="00FA0661"/>
    <w:rsid w:val="00FA0823"/>
    <w:rsid w:val="00FA18A2"/>
    <w:rsid w:val="00FA2540"/>
    <w:rsid w:val="00FA2EBB"/>
    <w:rsid w:val="00FA33C3"/>
    <w:rsid w:val="00FA3517"/>
    <w:rsid w:val="00FA396C"/>
    <w:rsid w:val="00FA406A"/>
    <w:rsid w:val="00FA452B"/>
    <w:rsid w:val="00FA471F"/>
    <w:rsid w:val="00FA4B16"/>
    <w:rsid w:val="00FA5ED5"/>
    <w:rsid w:val="00FA60CF"/>
    <w:rsid w:val="00FA7151"/>
    <w:rsid w:val="00FA7592"/>
    <w:rsid w:val="00FB06F8"/>
    <w:rsid w:val="00FB0A9A"/>
    <w:rsid w:val="00FB0D81"/>
    <w:rsid w:val="00FB12C2"/>
    <w:rsid w:val="00FB229A"/>
    <w:rsid w:val="00FB2E9E"/>
    <w:rsid w:val="00FB3BB1"/>
    <w:rsid w:val="00FB4259"/>
    <w:rsid w:val="00FB47B5"/>
    <w:rsid w:val="00FB4D02"/>
    <w:rsid w:val="00FB503A"/>
    <w:rsid w:val="00FB5041"/>
    <w:rsid w:val="00FB5130"/>
    <w:rsid w:val="00FB516C"/>
    <w:rsid w:val="00FB5ED9"/>
    <w:rsid w:val="00FB6FE2"/>
    <w:rsid w:val="00FB7946"/>
    <w:rsid w:val="00FC0370"/>
    <w:rsid w:val="00FC19FD"/>
    <w:rsid w:val="00FC2385"/>
    <w:rsid w:val="00FC2BFA"/>
    <w:rsid w:val="00FC30F6"/>
    <w:rsid w:val="00FC4456"/>
    <w:rsid w:val="00FC46EA"/>
    <w:rsid w:val="00FC46ED"/>
    <w:rsid w:val="00FC5C1C"/>
    <w:rsid w:val="00FC6603"/>
    <w:rsid w:val="00FC687B"/>
    <w:rsid w:val="00FC6A4B"/>
    <w:rsid w:val="00FC6C12"/>
    <w:rsid w:val="00FC767D"/>
    <w:rsid w:val="00FD0236"/>
    <w:rsid w:val="00FD0C7B"/>
    <w:rsid w:val="00FD12B6"/>
    <w:rsid w:val="00FD18F4"/>
    <w:rsid w:val="00FD1C4C"/>
    <w:rsid w:val="00FD1E3A"/>
    <w:rsid w:val="00FD3437"/>
    <w:rsid w:val="00FD481D"/>
    <w:rsid w:val="00FD50FD"/>
    <w:rsid w:val="00FD539F"/>
    <w:rsid w:val="00FD54DB"/>
    <w:rsid w:val="00FD619F"/>
    <w:rsid w:val="00FD6537"/>
    <w:rsid w:val="00FD6F39"/>
    <w:rsid w:val="00FD7947"/>
    <w:rsid w:val="00FD7A4C"/>
    <w:rsid w:val="00FD7AF2"/>
    <w:rsid w:val="00FE08EB"/>
    <w:rsid w:val="00FE0C96"/>
    <w:rsid w:val="00FE0D1C"/>
    <w:rsid w:val="00FE0F68"/>
    <w:rsid w:val="00FE1F11"/>
    <w:rsid w:val="00FE281B"/>
    <w:rsid w:val="00FE34F7"/>
    <w:rsid w:val="00FE3821"/>
    <w:rsid w:val="00FE383A"/>
    <w:rsid w:val="00FE3B2E"/>
    <w:rsid w:val="00FE444C"/>
    <w:rsid w:val="00FE4D9D"/>
    <w:rsid w:val="00FE5CB8"/>
    <w:rsid w:val="00FE5E3E"/>
    <w:rsid w:val="00FE60CA"/>
    <w:rsid w:val="00FE6C26"/>
    <w:rsid w:val="00FE7EA0"/>
    <w:rsid w:val="00FF041F"/>
    <w:rsid w:val="00FF08D1"/>
    <w:rsid w:val="00FF0C1D"/>
    <w:rsid w:val="00FF0C76"/>
    <w:rsid w:val="00FF186E"/>
    <w:rsid w:val="00FF1F7A"/>
    <w:rsid w:val="00FF20FB"/>
    <w:rsid w:val="00FF29D5"/>
    <w:rsid w:val="00FF3B34"/>
    <w:rsid w:val="00FF4B09"/>
    <w:rsid w:val="00FF4C5F"/>
    <w:rsid w:val="00FF4E9A"/>
    <w:rsid w:val="00FF56B4"/>
    <w:rsid w:val="00FF5AD9"/>
    <w:rsid w:val="00FF5DE9"/>
    <w:rsid w:val="00FF5F56"/>
    <w:rsid w:val="00FF601A"/>
    <w:rsid w:val="00FF735B"/>
    <w:rsid w:val="00FF793D"/>
    <w:rsid w:val="00FF7C2B"/>
    <w:rsid w:val="00FF7F0E"/>
    <w:rsid w:val="01290F7E"/>
    <w:rsid w:val="013C117D"/>
    <w:rsid w:val="015D1E09"/>
    <w:rsid w:val="0269538C"/>
    <w:rsid w:val="02697903"/>
    <w:rsid w:val="02785724"/>
    <w:rsid w:val="02F96569"/>
    <w:rsid w:val="03930086"/>
    <w:rsid w:val="03EA7B21"/>
    <w:rsid w:val="04096EAE"/>
    <w:rsid w:val="04245B63"/>
    <w:rsid w:val="04736C5E"/>
    <w:rsid w:val="047B5AA5"/>
    <w:rsid w:val="04B35139"/>
    <w:rsid w:val="04C335CE"/>
    <w:rsid w:val="04C66DA5"/>
    <w:rsid w:val="04D24852"/>
    <w:rsid w:val="055E50A5"/>
    <w:rsid w:val="057E6E4F"/>
    <w:rsid w:val="059F74A8"/>
    <w:rsid w:val="05C00DD2"/>
    <w:rsid w:val="05CD3A90"/>
    <w:rsid w:val="05D610DF"/>
    <w:rsid w:val="05F83EAE"/>
    <w:rsid w:val="06345BF6"/>
    <w:rsid w:val="063E7D85"/>
    <w:rsid w:val="065F10D4"/>
    <w:rsid w:val="07210964"/>
    <w:rsid w:val="07293586"/>
    <w:rsid w:val="07295285"/>
    <w:rsid w:val="07636392"/>
    <w:rsid w:val="07770C56"/>
    <w:rsid w:val="080737D2"/>
    <w:rsid w:val="086B7F16"/>
    <w:rsid w:val="087F6312"/>
    <w:rsid w:val="08C134D3"/>
    <w:rsid w:val="092217DD"/>
    <w:rsid w:val="093A7294"/>
    <w:rsid w:val="09B13C82"/>
    <w:rsid w:val="0A263993"/>
    <w:rsid w:val="0A2D3AC2"/>
    <w:rsid w:val="0AA755DF"/>
    <w:rsid w:val="0AA75F30"/>
    <w:rsid w:val="0B0848AC"/>
    <w:rsid w:val="0B120D44"/>
    <w:rsid w:val="0B5F288C"/>
    <w:rsid w:val="0B9F47EF"/>
    <w:rsid w:val="0BD27BF6"/>
    <w:rsid w:val="0BDA6F49"/>
    <w:rsid w:val="0C3B3C7D"/>
    <w:rsid w:val="0C6C55E1"/>
    <w:rsid w:val="0CAB2EAE"/>
    <w:rsid w:val="0D155A4E"/>
    <w:rsid w:val="0D3B67F0"/>
    <w:rsid w:val="0D406B01"/>
    <w:rsid w:val="0D621C7D"/>
    <w:rsid w:val="0DB928B1"/>
    <w:rsid w:val="0E2F0D43"/>
    <w:rsid w:val="0E3C7979"/>
    <w:rsid w:val="0E73034D"/>
    <w:rsid w:val="0EAD149C"/>
    <w:rsid w:val="0ECB14D3"/>
    <w:rsid w:val="0F13775A"/>
    <w:rsid w:val="0F1869D9"/>
    <w:rsid w:val="0F1B4006"/>
    <w:rsid w:val="0F5F45FE"/>
    <w:rsid w:val="0F9A112B"/>
    <w:rsid w:val="0FAD4A2B"/>
    <w:rsid w:val="100030EB"/>
    <w:rsid w:val="106D2F64"/>
    <w:rsid w:val="108D4A90"/>
    <w:rsid w:val="10A122E9"/>
    <w:rsid w:val="10B63710"/>
    <w:rsid w:val="10F10820"/>
    <w:rsid w:val="111B2E63"/>
    <w:rsid w:val="111C2F7A"/>
    <w:rsid w:val="113A22F6"/>
    <w:rsid w:val="116457F1"/>
    <w:rsid w:val="11665CA1"/>
    <w:rsid w:val="116C6D9B"/>
    <w:rsid w:val="12046FD4"/>
    <w:rsid w:val="12176D07"/>
    <w:rsid w:val="13302014"/>
    <w:rsid w:val="138D5A92"/>
    <w:rsid w:val="13951726"/>
    <w:rsid w:val="14020F06"/>
    <w:rsid w:val="14396509"/>
    <w:rsid w:val="145520B0"/>
    <w:rsid w:val="14641C30"/>
    <w:rsid w:val="147541B9"/>
    <w:rsid w:val="14A2736F"/>
    <w:rsid w:val="14DD2C3C"/>
    <w:rsid w:val="15051099"/>
    <w:rsid w:val="150A2B53"/>
    <w:rsid w:val="15514E35"/>
    <w:rsid w:val="15FA0031"/>
    <w:rsid w:val="16087E1D"/>
    <w:rsid w:val="163B0AEA"/>
    <w:rsid w:val="16612C47"/>
    <w:rsid w:val="16764AFF"/>
    <w:rsid w:val="17076F59"/>
    <w:rsid w:val="17196313"/>
    <w:rsid w:val="17701D14"/>
    <w:rsid w:val="17735226"/>
    <w:rsid w:val="17B33C4A"/>
    <w:rsid w:val="1836295C"/>
    <w:rsid w:val="186E164B"/>
    <w:rsid w:val="187D188E"/>
    <w:rsid w:val="189F624C"/>
    <w:rsid w:val="195F3F08"/>
    <w:rsid w:val="1A1C66C0"/>
    <w:rsid w:val="1A42393B"/>
    <w:rsid w:val="1A42525E"/>
    <w:rsid w:val="1A512B08"/>
    <w:rsid w:val="1AAD45DE"/>
    <w:rsid w:val="1AE21D25"/>
    <w:rsid w:val="1B046F80"/>
    <w:rsid w:val="1B3267B5"/>
    <w:rsid w:val="1B40161D"/>
    <w:rsid w:val="1B441859"/>
    <w:rsid w:val="1B5C1961"/>
    <w:rsid w:val="1B6606B1"/>
    <w:rsid w:val="1B8E6B5D"/>
    <w:rsid w:val="1BE1340D"/>
    <w:rsid w:val="1C195C3E"/>
    <w:rsid w:val="1C5E7925"/>
    <w:rsid w:val="1CFD070F"/>
    <w:rsid w:val="1D5F6196"/>
    <w:rsid w:val="1D6132A5"/>
    <w:rsid w:val="1D8E56D5"/>
    <w:rsid w:val="1DB80F70"/>
    <w:rsid w:val="1E187740"/>
    <w:rsid w:val="1E4A3DC4"/>
    <w:rsid w:val="1E7A43DA"/>
    <w:rsid w:val="1EA44877"/>
    <w:rsid w:val="1EE9556E"/>
    <w:rsid w:val="1F7C644B"/>
    <w:rsid w:val="1FE7539E"/>
    <w:rsid w:val="203C51DB"/>
    <w:rsid w:val="20671BE0"/>
    <w:rsid w:val="208127B6"/>
    <w:rsid w:val="20963CB8"/>
    <w:rsid w:val="20A81A1B"/>
    <w:rsid w:val="20B07FB6"/>
    <w:rsid w:val="20B646FB"/>
    <w:rsid w:val="20CF7985"/>
    <w:rsid w:val="20F128DE"/>
    <w:rsid w:val="213B74B1"/>
    <w:rsid w:val="215A2310"/>
    <w:rsid w:val="21D33F51"/>
    <w:rsid w:val="21DD0904"/>
    <w:rsid w:val="21DE318A"/>
    <w:rsid w:val="21EF5B80"/>
    <w:rsid w:val="21F4671D"/>
    <w:rsid w:val="22576990"/>
    <w:rsid w:val="22F47480"/>
    <w:rsid w:val="23642EE4"/>
    <w:rsid w:val="23DC0243"/>
    <w:rsid w:val="23DE1C48"/>
    <w:rsid w:val="240210CD"/>
    <w:rsid w:val="240D5B95"/>
    <w:rsid w:val="243B4AD7"/>
    <w:rsid w:val="24BC58BF"/>
    <w:rsid w:val="24BF09F7"/>
    <w:rsid w:val="24F20D07"/>
    <w:rsid w:val="25276E09"/>
    <w:rsid w:val="252D53FE"/>
    <w:rsid w:val="25AD7F9C"/>
    <w:rsid w:val="25DC6521"/>
    <w:rsid w:val="25EC2D81"/>
    <w:rsid w:val="266130F3"/>
    <w:rsid w:val="269F2187"/>
    <w:rsid w:val="26B5137A"/>
    <w:rsid w:val="26EF5EFE"/>
    <w:rsid w:val="277057A2"/>
    <w:rsid w:val="282246DF"/>
    <w:rsid w:val="28CF05AE"/>
    <w:rsid w:val="28F2772E"/>
    <w:rsid w:val="29160837"/>
    <w:rsid w:val="29206EB8"/>
    <w:rsid w:val="292A6EC8"/>
    <w:rsid w:val="29595666"/>
    <w:rsid w:val="29874881"/>
    <w:rsid w:val="29E325E0"/>
    <w:rsid w:val="2A0F67BB"/>
    <w:rsid w:val="2A452503"/>
    <w:rsid w:val="2B4029D3"/>
    <w:rsid w:val="2BA936A8"/>
    <w:rsid w:val="2BD26FFA"/>
    <w:rsid w:val="2C315A5A"/>
    <w:rsid w:val="2C4B1C25"/>
    <w:rsid w:val="2D0346FA"/>
    <w:rsid w:val="2D5675FC"/>
    <w:rsid w:val="2D9E56F5"/>
    <w:rsid w:val="2DEA6095"/>
    <w:rsid w:val="2E063A44"/>
    <w:rsid w:val="2E4E7456"/>
    <w:rsid w:val="2E667F96"/>
    <w:rsid w:val="2E8226AB"/>
    <w:rsid w:val="2EE57278"/>
    <w:rsid w:val="2FAD1FC1"/>
    <w:rsid w:val="2FD065E6"/>
    <w:rsid w:val="2FD96870"/>
    <w:rsid w:val="301B4FD1"/>
    <w:rsid w:val="30474734"/>
    <w:rsid w:val="304E16EE"/>
    <w:rsid w:val="30580BC9"/>
    <w:rsid w:val="30980BBB"/>
    <w:rsid w:val="311E2ED7"/>
    <w:rsid w:val="313172C7"/>
    <w:rsid w:val="313528AE"/>
    <w:rsid w:val="315619EE"/>
    <w:rsid w:val="315C449C"/>
    <w:rsid w:val="31662A68"/>
    <w:rsid w:val="3195526C"/>
    <w:rsid w:val="31B82709"/>
    <w:rsid w:val="31D05482"/>
    <w:rsid w:val="32282DB8"/>
    <w:rsid w:val="322C7E6A"/>
    <w:rsid w:val="32400B34"/>
    <w:rsid w:val="329E6876"/>
    <w:rsid w:val="32D3412D"/>
    <w:rsid w:val="333015F2"/>
    <w:rsid w:val="334B6320"/>
    <w:rsid w:val="33D934D4"/>
    <w:rsid w:val="33F93F6B"/>
    <w:rsid w:val="33FE2F6A"/>
    <w:rsid w:val="340E07E5"/>
    <w:rsid w:val="34235BF7"/>
    <w:rsid w:val="34730DA8"/>
    <w:rsid w:val="34B41245"/>
    <w:rsid w:val="34CD5664"/>
    <w:rsid w:val="34FA0636"/>
    <w:rsid w:val="358C5FA8"/>
    <w:rsid w:val="359027A9"/>
    <w:rsid w:val="35C15DF1"/>
    <w:rsid w:val="36074A7F"/>
    <w:rsid w:val="36091D76"/>
    <w:rsid w:val="361728E1"/>
    <w:rsid w:val="36237179"/>
    <w:rsid w:val="36584736"/>
    <w:rsid w:val="36923549"/>
    <w:rsid w:val="36A54032"/>
    <w:rsid w:val="36B75FBF"/>
    <w:rsid w:val="36B85B13"/>
    <w:rsid w:val="36BD0C45"/>
    <w:rsid w:val="37013002"/>
    <w:rsid w:val="37236AD2"/>
    <w:rsid w:val="375A306E"/>
    <w:rsid w:val="37E00298"/>
    <w:rsid w:val="37FB44AE"/>
    <w:rsid w:val="3805122C"/>
    <w:rsid w:val="380729ED"/>
    <w:rsid w:val="387D344D"/>
    <w:rsid w:val="38B302F9"/>
    <w:rsid w:val="38F12CD3"/>
    <w:rsid w:val="38F94775"/>
    <w:rsid w:val="392971ED"/>
    <w:rsid w:val="39325651"/>
    <w:rsid w:val="398E34A3"/>
    <w:rsid w:val="3A872856"/>
    <w:rsid w:val="3B0671D3"/>
    <w:rsid w:val="3B1F0A63"/>
    <w:rsid w:val="3B3763D1"/>
    <w:rsid w:val="3B516536"/>
    <w:rsid w:val="3B774C9F"/>
    <w:rsid w:val="3BFC3A26"/>
    <w:rsid w:val="3C0C7A1C"/>
    <w:rsid w:val="3C1C24B4"/>
    <w:rsid w:val="3C2F6E1E"/>
    <w:rsid w:val="3C4F64BA"/>
    <w:rsid w:val="3CD337ED"/>
    <w:rsid w:val="3CDA245A"/>
    <w:rsid w:val="3D1E06B7"/>
    <w:rsid w:val="3D324146"/>
    <w:rsid w:val="3D326FB7"/>
    <w:rsid w:val="3D3D60AA"/>
    <w:rsid w:val="3D7810B9"/>
    <w:rsid w:val="3D9D3CB5"/>
    <w:rsid w:val="3EC174DC"/>
    <w:rsid w:val="3EDA0523"/>
    <w:rsid w:val="3EF868E3"/>
    <w:rsid w:val="3F6C7DE3"/>
    <w:rsid w:val="3FDF4CDC"/>
    <w:rsid w:val="407A6407"/>
    <w:rsid w:val="40A86BF9"/>
    <w:rsid w:val="4103084B"/>
    <w:rsid w:val="41A86249"/>
    <w:rsid w:val="4200449D"/>
    <w:rsid w:val="423A3BCC"/>
    <w:rsid w:val="424E57D2"/>
    <w:rsid w:val="42B26C49"/>
    <w:rsid w:val="433A6FE6"/>
    <w:rsid w:val="43480868"/>
    <w:rsid w:val="4350713C"/>
    <w:rsid w:val="436653E0"/>
    <w:rsid w:val="43C4431A"/>
    <w:rsid w:val="443F5AC6"/>
    <w:rsid w:val="447C74E9"/>
    <w:rsid w:val="44B951CC"/>
    <w:rsid w:val="44CD14E0"/>
    <w:rsid w:val="44F20B0B"/>
    <w:rsid w:val="44FC4AEF"/>
    <w:rsid w:val="452E5F4C"/>
    <w:rsid w:val="45467DAC"/>
    <w:rsid w:val="45612018"/>
    <w:rsid w:val="458946E9"/>
    <w:rsid w:val="459D68BA"/>
    <w:rsid w:val="45A47C0E"/>
    <w:rsid w:val="45DB537A"/>
    <w:rsid w:val="460C7C2A"/>
    <w:rsid w:val="461E495F"/>
    <w:rsid w:val="46577FD6"/>
    <w:rsid w:val="4695582D"/>
    <w:rsid w:val="46D955A7"/>
    <w:rsid w:val="47133957"/>
    <w:rsid w:val="47A07E0C"/>
    <w:rsid w:val="47BE3568"/>
    <w:rsid w:val="47D152DD"/>
    <w:rsid w:val="481170B3"/>
    <w:rsid w:val="484511DE"/>
    <w:rsid w:val="48470766"/>
    <w:rsid w:val="4870272E"/>
    <w:rsid w:val="491C63D6"/>
    <w:rsid w:val="4961203A"/>
    <w:rsid w:val="49DC7715"/>
    <w:rsid w:val="4A023139"/>
    <w:rsid w:val="4A075620"/>
    <w:rsid w:val="4A391857"/>
    <w:rsid w:val="4A7B576F"/>
    <w:rsid w:val="4A922EB1"/>
    <w:rsid w:val="4AAA5DEA"/>
    <w:rsid w:val="4AB66ACA"/>
    <w:rsid w:val="4AF561A9"/>
    <w:rsid w:val="4B113360"/>
    <w:rsid w:val="4C4A0649"/>
    <w:rsid w:val="4C726D24"/>
    <w:rsid w:val="4C7E5ECA"/>
    <w:rsid w:val="4C876AA5"/>
    <w:rsid w:val="4CD43695"/>
    <w:rsid w:val="4D0E00FB"/>
    <w:rsid w:val="4D176606"/>
    <w:rsid w:val="4D7129D7"/>
    <w:rsid w:val="4DCF425A"/>
    <w:rsid w:val="4DEC4FB0"/>
    <w:rsid w:val="4E075D8A"/>
    <w:rsid w:val="4E284AB5"/>
    <w:rsid w:val="4E9F3F15"/>
    <w:rsid w:val="4EC00FAD"/>
    <w:rsid w:val="4ED65279"/>
    <w:rsid w:val="4EE65743"/>
    <w:rsid w:val="4F9843DC"/>
    <w:rsid w:val="4FC62A8C"/>
    <w:rsid w:val="4FE20F0D"/>
    <w:rsid w:val="4FE51552"/>
    <w:rsid w:val="50045F9B"/>
    <w:rsid w:val="501E4797"/>
    <w:rsid w:val="50284B92"/>
    <w:rsid w:val="50504C4B"/>
    <w:rsid w:val="50506965"/>
    <w:rsid w:val="509C6E7C"/>
    <w:rsid w:val="5162104E"/>
    <w:rsid w:val="51D64607"/>
    <w:rsid w:val="52686738"/>
    <w:rsid w:val="52750967"/>
    <w:rsid w:val="52C32746"/>
    <w:rsid w:val="52C8137C"/>
    <w:rsid w:val="53065A01"/>
    <w:rsid w:val="535D6653"/>
    <w:rsid w:val="53A039CC"/>
    <w:rsid w:val="53A1505A"/>
    <w:rsid w:val="53C12230"/>
    <w:rsid w:val="54063E08"/>
    <w:rsid w:val="543437E8"/>
    <w:rsid w:val="544D1B39"/>
    <w:rsid w:val="54F73313"/>
    <w:rsid w:val="54F80955"/>
    <w:rsid w:val="55051D48"/>
    <w:rsid w:val="555170A7"/>
    <w:rsid w:val="556A2ED8"/>
    <w:rsid w:val="5587536D"/>
    <w:rsid w:val="559B174B"/>
    <w:rsid w:val="55CD55A9"/>
    <w:rsid w:val="55CE0CF4"/>
    <w:rsid w:val="55DB7EE4"/>
    <w:rsid w:val="564927D4"/>
    <w:rsid w:val="56B22A9C"/>
    <w:rsid w:val="56B844F7"/>
    <w:rsid w:val="575267EE"/>
    <w:rsid w:val="577F3E60"/>
    <w:rsid w:val="57B72A76"/>
    <w:rsid w:val="57C3426C"/>
    <w:rsid w:val="57CE1F93"/>
    <w:rsid w:val="588743D1"/>
    <w:rsid w:val="5887701A"/>
    <w:rsid w:val="59215342"/>
    <w:rsid w:val="59242A56"/>
    <w:rsid w:val="59C0439F"/>
    <w:rsid w:val="5A040EEC"/>
    <w:rsid w:val="5A063411"/>
    <w:rsid w:val="5ABE2233"/>
    <w:rsid w:val="5AF727FF"/>
    <w:rsid w:val="5AF90908"/>
    <w:rsid w:val="5B4E2FFA"/>
    <w:rsid w:val="5B7254E2"/>
    <w:rsid w:val="5BC86087"/>
    <w:rsid w:val="5BD62414"/>
    <w:rsid w:val="5BDF5D95"/>
    <w:rsid w:val="5BFE7528"/>
    <w:rsid w:val="5C2F3FCE"/>
    <w:rsid w:val="5C3D2493"/>
    <w:rsid w:val="5CC87555"/>
    <w:rsid w:val="5CC941D8"/>
    <w:rsid w:val="5D0B07E3"/>
    <w:rsid w:val="5D670CEE"/>
    <w:rsid w:val="5D826E69"/>
    <w:rsid w:val="5D8D11F8"/>
    <w:rsid w:val="5E2467F1"/>
    <w:rsid w:val="5E5166CA"/>
    <w:rsid w:val="5E525EFE"/>
    <w:rsid w:val="5E90358F"/>
    <w:rsid w:val="5ECE3876"/>
    <w:rsid w:val="5F1A2B43"/>
    <w:rsid w:val="5F3F0AFC"/>
    <w:rsid w:val="5F5C099A"/>
    <w:rsid w:val="5F612B5C"/>
    <w:rsid w:val="5F824661"/>
    <w:rsid w:val="5FA8056B"/>
    <w:rsid w:val="5FB837BB"/>
    <w:rsid w:val="5FE74F09"/>
    <w:rsid w:val="6007774F"/>
    <w:rsid w:val="60CC405A"/>
    <w:rsid w:val="60E41662"/>
    <w:rsid w:val="61243557"/>
    <w:rsid w:val="61E215D8"/>
    <w:rsid w:val="621B3775"/>
    <w:rsid w:val="6227202C"/>
    <w:rsid w:val="62364782"/>
    <w:rsid w:val="62D83F8A"/>
    <w:rsid w:val="63556314"/>
    <w:rsid w:val="6394356A"/>
    <w:rsid w:val="63C61B2C"/>
    <w:rsid w:val="63CF4AE5"/>
    <w:rsid w:val="63D40BE9"/>
    <w:rsid w:val="64102431"/>
    <w:rsid w:val="64A5243A"/>
    <w:rsid w:val="64D861FC"/>
    <w:rsid w:val="64F531DE"/>
    <w:rsid w:val="65363F24"/>
    <w:rsid w:val="65373578"/>
    <w:rsid w:val="65535D17"/>
    <w:rsid w:val="65E971E8"/>
    <w:rsid w:val="665B7AE6"/>
    <w:rsid w:val="666220BE"/>
    <w:rsid w:val="66C8504F"/>
    <w:rsid w:val="66E53E53"/>
    <w:rsid w:val="66FF432F"/>
    <w:rsid w:val="671F124A"/>
    <w:rsid w:val="67715572"/>
    <w:rsid w:val="677A33C6"/>
    <w:rsid w:val="681F6961"/>
    <w:rsid w:val="68610A2F"/>
    <w:rsid w:val="68805514"/>
    <w:rsid w:val="688B4586"/>
    <w:rsid w:val="69060F99"/>
    <w:rsid w:val="69316E2F"/>
    <w:rsid w:val="693628B6"/>
    <w:rsid w:val="694E2071"/>
    <w:rsid w:val="695771B9"/>
    <w:rsid w:val="69766163"/>
    <w:rsid w:val="697A3B33"/>
    <w:rsid w:val="698C35C3"/>
    <w:rsid w:val="69967687"/>
    <w:rsid w:val="69D44760"/>
    <w:rsid w:val="69F3745B"/>
    <w:rsid w:val="6A4234BE"/>
    <w:rsid w:val="6A520EC7"/>
    <w:rsid w:val="6A742890"/>
    <w:rsid w:val="6AA03B9D"/>
    <w:rsid w:val="6AA302AD"/>
    <w:rsid w:val="6AF87E20"/>
    <w:rsid w:val="6B322639"/>
    <w:rsid w:val="6B921248"/>
    <w:rsid w:val="6B954F50"/>
    <w:rsid w:val="6BD050D2"/>
    <w:rsid w:val="6C636C38"/>
    <w:rsid w:val="6C7C7008"/>
    <w:rsid w:val="6CA52A46"/>
    <w:rsid w:val="6DB34098"/>
    <w:rsid w:val="6DB545B6"/>
    <w:rsid w:val="6DE02FB4"/>
    <w:rsid w:val="6E514CED"/>
    <w:rsid w:val="6E647160"/>
    <w:rsid w:val="6EB563D5"/>
    <w:rsid w:val="6ED92677"/>
    <w:rsid w:val="6F225983"/>
    <w:rsid w:val="6F282B2F"/>
    <w:rsid w:val="6F4D4C8B"/>
    <w:rsid w:val="6F763CE1"/>
    <w:rsid w:val="6FFC5590"/>
    <w:rsid w:val="706D1DD0"/>
    <w:rsid w:val="70856B87"/>
    <w:rsid w:val="708629C4"/>
    <w:rsid w:val="70D527EE"/>
    <w:rsid w:val="71121A14"/>
    <w:rsid w:val="715B5300"/>
    <w:rsid w:val="71AB64FF"/>
    <w:rsid w:val="71D27F8A"/>
    <w:rsid w:val="720A0815"/>
    <w:rsid w:val="724F045F"/>
    <w:rsid w:val="72553024"/>
    <w:rsid w:val="72DE1323"/>
    <w:rsid w:val="72E35E66"/>
    <w:rsid w:val="73122968"/>
    <w:rsid w:val="731F5D5E"/>
    <w:rsid w:val="73285551"/>
    <w:rsid w:val="73833573"/>
    <w:rsid w:val="73C51AD5"/>
    <w:rsid w:val="740A60B4"/>
    <w:rsid w:val="741E793C"/>
    <w:rsid w:val="74273CFD"/>
    <w:rsid w:val="745E3944"/>
    <w:rsid w:val="74673E02"/>
    <w:rsid w:val="74FD2A1F"/>
    <w:rsid w:val="758A51A5"/>
    <w:rsid w:val="7604699B"/>
    <w:rsid w:val="7635099D"/>
    <w:rsid w:val="76682A3C"/>
    <w:rsid w:val="77362627"/>
    <w:rsid w:val="77762421"/>
    <w:rsid w:val="77B56B1F"/>
    <w:rsid w:val="77CD76B1"/>
    <w:rsid w:val="77CE5F66"/>
    <w:rsid w:val="780103C1"/>
    <w:rsid w:val="780F09F4"/>
    <w:rsid w:val="78A90480"/>
    <w:rsid w:val="78B43685"/>
    <w:rsid w:val="794E5888"/>
    <w:rsid w:val="799E6E99"/>
    <w:rsid w:val="79C4398C"/>
    <w:rsid w:val="7A364017"/>
    <w:rsid w:val="7A6651F6"/>
    <w:rsid w:val="7A8265E1"/>
    <w:rsid w:val="7AD95625"/>
    <w:rsid w:val="7B476A33"/>
    <w:rsid w:val="7B686D42"/>
    <w:rsid w:val="7B841746"/>
    <w:rsid w:val="7C6C5AC7"/>
    <w:rsid w:val="7CC6544B"/>
    <w:rsid w:val="7CE85E6B"/>
    <w:rsid w:val="7D0239FF"/>
    <w:rsid w:val="7D442ADE"/>
    <w:rsid w:val="7D5E40CD"/>
    <w:rsid w:val="7D987985"/>
    <w:rsid w:val="7DBF4FA6"/>
    <w:rsid w:val="7DCD56F2"/>
    <w:rsid w:val="7DD6409E"/>
    <w:rsid w:val="7ECC0307"/>
    <w:rsid w:val="7F001CE7"/>
    <w:rsid w:val="7F1E1016"/>
    <w:rsid w:val="7F214D3D"/>
    <w:rsid w:val="7F3177DE"/>
    <w:rsid w:val="7F747C6F"/>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nhideWhenUsed="0" w:uiPriority="0" w:semiHidden="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99"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qFormat="1"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bCs/>
      <w:color w:val="000000"/>
      <w:kern w:val="2"/>
      <w:sz w:val="21"/>
      <w:szCs w:val="21"/>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kern w:val="44"/>
      <w:sz w:val="30"/>
      <w:szCs w:val="30"/>
    </w:rPr>
  </w:style>
  <w:style w:type="paragraph" w:styleId="4">
    <w:name w:val="heading 2"/>
    <w:basedOn w:val="1"/>
    <w:next w:val="1"/>
    <w:link w:val="53"/>
    <w:qFormat/>
    <w:locked/>
    <w:uiPriority w:val="0"/>
    <w:pPr>
      <w:keepNext/>
      <w:keepLines/>
      <w:spacing w:before="260" w:after="260" w:line="416" w:lineRule="auto"/>
      <w:outlineLvl w:val="1"/>
    </w:pPr>
    <w:rPr>
      <w:rFonts w:ascii="等线 Light" w:hAnsi="等线 Light" w:eastAsia="等线 Light"/>
      <w:b/>
      <w:bCs w:val="0"/>
      <w:sz w:val="32"/>
      <w:szCs w:val="32"/>
    </w:rPr>
  </w:style>
  <w:style w:type="paragraph" w:styleId="5">
    <w:name w:val="heading 8"/>
    <w:basedOn w:val="1"/>
    <w:next w:val="1"/>
    <w:link w:val="56"/>
    <w:qFormat/>
    <w:locked/>
    <w:uiPriority w:val="0"/>
    <w:pPr>
      <w:keepNext/>
      <w:keepLines/>
      <w:spacing w:before="240" w:after="64" w:line="320" w:lineRule="auto"/>
      <w:outlineLvl w:val="7"/>
    </w:pPr>
    <w:rPr>
      <w:rFonts w:ascii="等线 Light" w:hAnsi="等线 Light" w:eastAsia="等线 Light"/>
      <w:sz w:val="24"/>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pPr>
      <w:autoSpaceDE w:val="0"/>
      <w:autoSpaceDN w:val="0"/>
      <w:adjustRightInd w:val="0"/>
      <w:spacing w:before="100" w:beforeAutospacing="1" w:after="200" w:line="273" w:lineRule="auto"/>
    </w:pPr>
    <w:rPr>
      <w:spacing w:val="-1"/>
      <w:kern w:val="30"/>
      <w:position w:val="-1"/>
      <w:sz w:val="30"/>
      <w:szCs w:val="30"/>
    </w:rPr>
  </w:style>
  <w:style w:type="paragraph" w:styleId="6">
    <w:name w:val="E-mail Signature"/>
    <w:basedOn w:val="1"/>
    <w:next w:val="7"/>
    <w:qFormat/>
    <w:locked/>
    <w:uiPriority w:val="0"/>
    <w:pPr>
      <w:spacing w:line="460" w:lineRule="exact"/>
      <w:ind w:firstLine="200"/>
    </w:pPr>
  </w:style>
  <w:style w:type="paragraph" w:customStyle="1" w:styleId="7">
    <w:name w:val="文章"/>
    <w:next w:val="8"/>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8">
    <w:name w:val="List"/>
    <w:basedOn w:val="1"/>
    <w:next w:val="9"/>
    <w:qFormat/>
    <w:locked/>
    <w:uiPriority w:val="0"/>
    <w:pPr>
      <w:ind w:left="200" w:hanging="200" w:hangingChars="200"/>
    </w:pPr>
  </w:style>
  <w:style w:type="paragraph" w:styleId="9">
    <w:name w:val="List Bullet 2"/>
    <w:basedOn w:val="1"/>
    <w:next w:val="10"/>
    <w:qFormat/>
    <w:locked/>
    <w:uiPriority w:val="0"/>
    <w:pPr>
      <w:numPr>
        <w:ilvl w:val="0"/>
        <w:numId w:val="1"/>
      </w:numPr>
    </w:pPr>
  </w:style>
  <w:style w:type="paragraph" w:customStyle="1" w:styleId="10">
    <w:name w:val="xl70"/>
    <w:basedOn w:val="1"/>
    <w:next w:val="1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szCs w:val="20"/>
    </w:rPr>
  </w:style>
  <w:style w:type="paragraph" w:customStyle="1" w:styleId="11">
    <w:name w:val="正文缩进1"/>
    <w:basedOn w:val="1"/>
    <w:next w:val="12"/>
    <w:qFormat/>
    <w:uiPriority w:val="0"/>
    <w:pPr>
      <w:spacing w:before="156" w:beforeLines="50" w:after="156" w:afterLines="50"/>
      <w:ind w:firstLine="1048" w:firstLineChars="435"/>
      <w:jc w:val="center"/>
    </w:pPr>
    <w:rPr>
      <w:rFonts w:ascii="宋体" w:hAnsi="宋体"/>
      <w:b/>
      <w:kern w:val="24"/>
      <w:sz w:val="24"/>
    </w:rPr>
  </w:style>
  <w:style w:type="paragraph" w:customStyle="1" w:styleId="12">
    <w:name w:val="td1"/>
    <w:basedOn w:val="1"/>
    <w:next w:val="1"/>
    <w:qFormat/>
    <w:uiPriority w:val="0"/>
    <w:pPr>
      <w:widowControl/>
      <w:spacing w:before="280" w:after="280" w:line="300" w:lineRule="atLeast"/>
      <w:ind w:firstLine="200"/>
    </w:pPr>
    <w:rPr>
      <w:sz w:val="18"/>
    </w:rPr>
  </w:style>
  <w:style w:type="paragraph" w:styleId="13">
    <w:name w:val="Normal Indent"/>
    <w:basedOn w:val="1"/>
    <w:unhideWhenUsed/>
    <w:qFormat/>
    <w:locked/>
    <w:uiPriority w:val="99"/>
    <w:pPr>
      <w:ind w:firstLine="420" w:firstLineChars="200"/>
    </w:pPr>
    <w:rPr>
      <w:rFonts w:ascii="宋体" w:hAnsi="宋体" w:cs="宋体"/>
      <w:bCs w:val="0"/>
      <w:color w:val="auto"/>
      <w:kern w:val="0"/>
      <w:sz w:val="20"/>
      <w:szCs w:val="20"/>
    </w:rPr>
  </w:style>
  <w:style w:type="paragraph" w:styleId="14">
    <w:name w:val="caption"/>
    <w:basedOn w:val="1"/>
    <w:next w:val="1"/>
    <w:link w:val="100"/>
    <w:qFormat/>
    <w:locked/>
    <w:uiPriority w:val="0"/>
    <w:pPr>
      <w:spacing w:line="360" w:lineRule="auto"/>
      <w:jc w:val="center"/>
    </w:pPr>
    <w:rPr>
      <w:rFonts w:ascii="等线 Light" w:hAnsi="等线 Light"/>
      <w:b/>
      <w:bCs w:val="0"/>
      <w:color w:val="auto"/>
    </w:rPr>
  </w:style>
  <w:style w:type="paragraph" w:styleId="15">
    <w:name w:val="annotation text"/>
    <w:basedOn w:val="1"/>
    <w:link w:val="50"/>
    <w:qFormat/>
    <w:uiPriority w:val="99"/>
    <w:pPr>
      <w:jc w:val="left"/>
    </w:pPr>
    <w:rPr>
      <w:kern w:val="0"/>
      <w:sz w:val="24"/>
      <w:szCs w:val="20"/>
    </w:rPr>
  </w:style>
  <w:style w:type="paragraph" w:styleId="16">
    <w:name w:val="Body Text"/>
    <w:basedOn w:val="1"/>
    <w:link w:val="61"/>
    <w:qFormat/>
    <w:uiPriority w:val="0"/>
    <w:pPr>
      <w:widowControl/>
      <w:snapToGrid w:val="0"/>
      <w:spacing w:before="60" w:after="160" w:line="259" w:lineRule="auto"/>
      <w:ind w:right="113"/>
    </w:pPr>
    <w:rPr>
      <w:kern w:val="0"/>
      <w:sz w:val="18"/>
      <w:szCs w:val="20"/>
    </w:rPr>
  </w:style>
  <w:style w:type="paragraph" w:styleId="17">
    <w:name w:val="Body Text Indent"/>
    <w:basedOn w:val="1"/>
    <w:link w:val="54"/>
    <w:qFormat/>
    <w:uiPriority w:val="0"/>
    <w:pPr>
      <w:spacing w:after="120"/>
      <w:ind w:left="420" w:leftChars="200"/>
    </w:pPr>
    <w:rPr>
      <w:kern w:val="0"/>
      <w:sz w:val="24"/>
      <w:szCs w:val="20"/>
    </w:rPr>
  </w:style>
  <w:style w:type="paragraph" w:styleId="18">
    <w:name w:val="Plain Text"/>
    <w:basedOn w:val="1"/>
    <w:next w:val="19"/>
    <w:link w:val="51"/>
    <w:unhideWhenUsed/>
    <w:qFormat/>
    <w:locked/>
    <w:uiPriority w:val="99"/>
    <w:rPr>
      <w:rFonts w:ascii="宋体" w:hAnsi="Courier New" w:cs="宋体"/>
    </w:rPr>
  </w:style>
  <w:style w:type="paragraph" w:styleId="19">
    <w:name w:val="toc 1"/>
    <w:basedOn w:val="1"/>
    <w:next w:val="1"/>
    <w:qFormat/>
    <w:locked/>
    <w:uiPriority w:val="0"/>
  </w:style>
  <w:style w:type="paragraph" w:styleId="20">
    <w:name w:val="Date"/>
    <w:basedOn w:val="1"/>
    <w:next w:val="1"/>
    <w:link w:val="69"/>
    <w:qFormat/>
    <w:uiPriority w:val="0"/>
    <w:pPr>
      <w:ind w:left="100" w:leftChars="2500"/>
    </w:pPr>
    <w:rPr>
      <w:kern w:val="0"/>
      <w:sz w:val="24"/>
      <w:szCs w:val="20"/>
    </w:rPr>
  </w:style>
  <w:style w:type="paragraph" w:styleId="21">
    <w:name w:val="Balloon Text"/>
    <w:basedOn w:val="1"/>
    <w:link w:val="66"/>
    <w:semiHidden/>
    <w:qFormat/>
    <w:uiPriority w:val="0"/>
    <w:rPr>
      <w:kern w:val="0"/>
      <w:sz w:val="18"/>
      <w:szCs w:val="20"/>
    </w:rPr>
  </w:style>
  <w:style w:type="paragraph" w:styleId="22">
    <w:name w:val="footer"/>
    <w:basedOn w:val="1"/>
    <w:link w:val="57"/>
    <w:qFormat/>
    <w:uiPriority w:val="99"/>
    <w:pPr>
      <w:tabs>
        <w:tab w:val="center" w:pos="4153"/>
        <w:tab w:val="right" w:pos="8306"/>
      </w:tabs>
      <w:snapToGrid w:val="0"/>
      <w:jc w:val="left"/>
    </w:pPr>
    <w:rPr>
      <w:kern w:val="0"/>
      <w:sz w:val="18"/>
      <w:szCs w:val="20"/>
    </w:rPr>
  </w:style>
  <w:style w:type="paragraph" w:styleId="23">
    <w:name w:val="header"/>
    <w:basedOn w:val="1"/>
    <w:link w:val="63"/>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Body Text Indent 3"/>
    <w:basedOn w:val="1"/>
    <w:link w:val="46"/>
    <w:qFormat/>
    <w:locked/>
    <w:uiPriority w:val="0"/>
    <w:pPr>
      <w:spacing w:after="120"/>
      <w:ind w:left="420" w:leftChars="200"/>
    </w:pPr>
    <w:rPr>
      <w:sz w:val="16"/>
      <w:szCs w:val="16"/>
    </w:rPr>
  </w:style>
  <w:style w:type="paragraph" w:styleId="25">
    <w:name w:val="table of figures"/>
    <w:basedOn w:val="1"/>
    <w:next w:val="1"/>
    <w:qFormat/>
    <w:locked/>
    <w:uiPriority w:val="0"/>
    <w:pPr>
      <w:ind w:left="200" w:leftChars="200" w:hanging="200" w:hangingChars="200"/>
    </w:pPr>
  </w:style>
  <w:style w:type="paragraph" w:styleId="26">
    <w:name w:val="toc 2"/>
    <w:basedOn w:val="1"/>
    <w:next w:val="1"/>
    <w:qFormat/>
    <w:locked/>
    <w:uiPriority w:val="39"/>
    <w:pPr>
      <w:tabs>
        <w:tab w:val="right" w:leader="dot" w:pos="8834"/>
      </w:tabs>
      <w:spacing w:line="360" w:lineRule="auto"/>
      <w:ind w:left="420" w:leftChars="200"/>
      <w:jc w:val="center"/>
    </w:pPr>
  </w:style>
  <w:style w:type="paragraph" w:styleId="27">
    <w:name w:val="Normal (Web)"/>
    <w:basedOn w:val="1"/>
    <w:link w:val="55"/>
    <w:qFormat/>
    <w:uiPriority w:val="99"/>
    <w:pPr>
      <w:widowControl/>
      <w:spacing w:before="100" w:beforeAutospacing="1" w:after="100" w:afterAutospacing="1"/>
      <w:jc w:val="left"/>
    </w:pPr>
    <w:rPr>
      <w:rFonts w:ascii="宋体" w:hAnsi="宋体"/>
      <w:kern w:val="0"/>
      <w:sz w:val="24"/>
      <w:szCs w:val="20"/>
    </w:rPr>
  </w:style>
  <w:style w:type="paragraph" w:styleId="28">
    <w:name w:val="annotation subject"/>
    <w:basedOn w:val="15"/>
    <w:next w:val="15"/>
    <w:link w:val="64"/>
    <w:semiHidden/>
    <w:qFormat/>
    <w:uiPriority w:val="0"/>
    <w:rPr>
      <w:b/>
    </w:rPr>
  </w:style>
  <w:style w:type="paragraph" w:styleId="29">
    <w:name w:val="Body Text First Indent"/>
    <w:basedOn w:val="16"/>
    <w:link w:val="102"/>
    <w:unhideWhenUsed/>
    <w:qFormat/>
    <w:locked/>
    <w:uiPriority w:val="99"/>
    <w:pPr>
      <w:widowControl w:val="0"/>
      <w:spacing w:before="0" w:after="120" w:line="360" w:lineRule="auto"/>
      <w:ind w:right="0" w:firstLine="420" w:firstLineChars="100"/>
    </w:pPr>
    <w:rPr>
      <w:bCs w:val="0"/>
      <w:color w:val="auto"/>
      <w:kern w:val="2"/>
      <w:sz w:val="21"/>
      <w:szCs w:val="24"/>
    </w:rPr>
  </w:style>
  <w:style w:type="table" w:styleId="31">
    <w:name w:val="Table Grid"/>
    <w:basedOn w:val="3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locked/>
    <w:uiPriority w:val="22"/>
    <w:rPr>
      <w:b/>
      <w:bCs/>
    </w:rPr>
  </w:style>
  <w:style w:type="character" w:styleId="34">
    <w:name w:val="page number"/>
    <w:qFormat/>
    <w:locked/>
    <w:uiPriority w:val="0"/>
  </w:style>
  <w:style w:type="character" w:styleId="35">
    <w:name w:val="Hyperlink"/>
    <w:unhideWhenUsed/>
    <w:qFormat/>
    <w:locked/>
    <w:uiPriority w:val="99"/>
    <w:rPr>
      <w:color w:val="0000FF"/>
      <w:u w:val="single"/>
    </w:rPr>
  </w:style>
  <w:style w:type="character" w:styleId="36">
    <w:name w:val="annotation reference"/>
    <w:semiHidden/>
    <w:qFormat/>
    <w:uiPriority w:val="0"/>
    <w:rPr>
      <w:sz w:val="21"/>
    </w:rPr>
  </w:style>
  <w:style w:type="paragraph" w:customStyle="1" w:styleId="37">
    <w:name w:val="Default"/>
    <w:basedOn w:val="38"/>
    <w:next w:val="1"/>
    <w:link w:val="96"/>
    <w:qFormat/>
    <w:uiPriority w:val="0"/>
    <w:pPr>
      <w:autoSpaceDE w:val="0"/>
      <w:autoSpaceDN w:val="0"/>
      <w:spacing w:line="360" w:lineRule="auto"/>
      <w:ind w:firstLine="200"/>
    </w:pPr>
  </w:style>
  <w:style w:type="paragraph" w:customStyle="1" w:styleId="38">
    <w:name w:val="纯文本1"/>
    <w:basedOn w:val="1"/>
    <w:next w:val="18"/>
    <w:qFormat/>
    <w:uiPriority w:val="0"/>
    <w:pPr>
      <w:adjustRightInd w:val="0"/>
      <w:jc w:val="center"/>
      <w:textAlignment w:val="baseline"/>
    </w:pPr>
    <w:rPr>
      <w:rFonts w:hAnsi="Courier New"/>
    </w:rPr>
  </w:style>
  <w:style w:type="paragraph" w:customStyle="1" w:styleId="39">
    <w:name w:val="正文1"/>
    <w:qFormat/>
    <w:uiPriority w:val="0"/>
    <w:pPr>
      <w:jc w:val="both"/>
    </w:pPr>
    <w:rPr>
      <w:rFonts w:ascii="Times New Roman" w:hAnsi="Times New Roman" w:eastAsia="宋体" w:cs="Times New Roman"/>
      <w:bCs/>
      <w:color w:val="000000"/>
      <w:kern w:val="2"/>
      <w:sz w:val="21"/>
      <w:szCs w:val="21"/>
      <w:lang w:val="en-US" w:eastAsia="zh-CN" w:bidi="ar-SA"/>
    </w:rPr>
  </w:style>
  <w:style w:type="paragraph" w:customStyle="1" w:styleId="40">
    <w:name w:val="表格文字"/>
    <w:basedOn w:val="1"/>
    <w:qFormat/>
    <w:uiPriority w:val="0"/>
    <w:pPr>
      <w:snapToGrid w:val="0"/>
      <w:jc w:val="center"/>
    </w:pPr>
    <w:rPr>
      <w:rFonts w:ascii="宋体"/>
      <w:bCs w:val="0"/>
      <w:color w:val="auto"/>
    </w:rPr>
  </w:style>
  <w:style w:type="paragraph" w:customStyle="1" w:styleId="41">
    <w:name w:val="表标题"/>
    <w:basedOn w:val="1"/>
    <w:link w:val="103"/>
    <w:qFormat/>
    <w:uiPriority w:val="0"/>
    <w:pPr>
      <w:spacing w:line="520" w:lineRule="exact"/>
      <w:jc w:val="center"/>
      <w:textAlignment w:val="baseline"/>
    </w:pPr>
    <w:rPr>
      <w:b/>
      <w:kern w:val="0"/>
    </w:rPr>
  </w:style>
  <w:style w:type="paragraph" w:customStyle="1" w:styleId="42">
    <w:name w:val="样式35"/>
    <w:basedOn w:val="43"/>
    <w:next w:val="44"/>
    <w:qFormat/>
    <w:uiPriority w:val="0"/>
    <w:pPr>
      <w:spacing w:line="312" w:lineRule="auto"/>
      <w:ind w:firstLine="567"/>
    </w:pPr>
    <w:rPr>
      <w:rFonts w:ascii="宋体" w:hAnsi="宋体" w:cs="宋体"/>
      <w:sz w:val="28"/>
      <w:szCs w:val="28"/>
    </w:rPr>
  </w:style>
  <w:style w:type="paragraph" w:customStyle="1" w:styleId="43">
    <w:name w:val="表 内容"/>
    <w:basedOn w:val="1"/>
    <w:qFormat/>
    <w:uiPriority w:val="0"/>
    <w:pPr>
      <w:adjustRightInd w:val="0"/>
      <w:snapToGrid w:val="0"/>
      <w:spacing w:beforeLines="15"/>
      <w:jc w:val="center"/>
    </w:pPr>
    <w:rPr>
      <w:kern w:val="0"/>
      <w:sz w:val="20"/>
    </w:rPr>
  </w:style>
  <w:style w:type="paragraph" w:customStyle="1" w:styleId="44">
    <w:name w:val="font6"/>
    <w:basedOn w:val="1"/>
    <w:next w:val="26"/>
    <w:qFormat/>
    <w:uiPriority w:val="0"/>
    <w:pPr>
      <w:widowControl/>
      <w:spacing w:before="280" w:after="280"/>
    </w:pPr>
  </w:style>
  <w:style w:type="paragraph" w:customStyle="1" w:styleId="45">
    <w:name w:val="正文 首行缩进:  2 字符"/>
    <w:basedOn w:val="1"/>
    <w:qFormat/>
    <w:uiPriority w:val="0"/>
    <w:pPr>
      <w:suppressAutoHyphens/>
      <w:ind w:firstLine="579" w:firstLineChars="200"/>
    </w:pPr>
    <w:rPr>
      <w:rFonts w:cs="宋体"/>
    </w:rPr>
  </w:style>
  <w:style w:type="character" w:customStyle="1" w:styleId="46">
    <w:name w:val="正文文本缩进 3 字符"/>
    <w:link w:val="24"/>
    <w:qFormat/>
    <w:uiPriority w:val="0"/>
    <w:rPr>
      <w:bCs/>
      <w:color w:val="000000"/>
      <w:kern w:val="2"/>
      <w:sz w:val="16"/>
      <w:szCs w:val="16"/>
    </w:rPr>
  </w:style>
  <w:style w:type="character" w:customStyle="1" w:styleId="47">
    <w:name w:val="16"/>
    <w:qFormat/>
    <w:uiPriority w:val="0"/>
    <w:rPr>
      <w:rFonts w:hint="default" w:ascii="Times New Roman" w:hAnsi="Times New Roman" w:cs="Times New Roman"/>
      <w:color w:val="000000"/>
      <w:sz w:val="21"/>
      <w:szCs w:val="21"/>
    </w:rPr>
  </w:style>
  <w:style w:type="character" w:customStyle="1" w:styleId="48">
    <w:name w:val="表格 Char"/>
    <w:link w:val="49"/>
    <w:qFormat/>
    <w:locked/>
    <w:uiPriority w:val="0"/>
    <w:rPr>
      <w:rFonts w:ascii="宋体"/>
      <w:sz w:val="21"/>
    </w:rPr>
  </w:style>
  <w:style w:type="paragraph" w:customStyle="1" w:styleId="49">
    <w:name w:val="表格"/>
    <w:basedOn w:val="1"/>
    <w:next w:val="1"/>
    <w:link w:val="48"/>
    <w:qFormat/>
    <w:uiPriority w:val="0"/>
    <w:pPr>
      <w:adjustRightInd w:val="0"/>
      <w:snapToGrid w:val="0"/>
      <w:spacing w:beforeLines="10" w:afterLines="10" w:line="259" w:lineRule="auto"/>
      <w:jc w:val="center"/>
    </w:pPr>
    <w:rPr>
      <w:rFonts w:ascii="宋体"/>
      <w:kern w:val="0"/>
      <w:szCs w:val="20"/>
    </w:rPr>
  </w:style>
  <w:style w:type="character" w:customStyle="1" w:styleId="50">
    <w:name w:val="批注文字 字符"/>
    <w:link w:val="15"/>
    <w:qFormat/>
    <w:locked/>
    <w:uiPriority w:val="0"/>
    <w:rPr>
      <w:rFonts w:ascii="Times New Roman" w:hAnsi="Times New Roman" w:eastAsia="宋体"/>
      <w:sz w:val="24"/>
    </w:rPr>
  </w:style>
  <w:style w:type="character" w:customStyle="1" w:styleId="51">
    <w:name w:val="纯文本 字符"/>
    <w:link w:val="18"/>
    <w:qFormat/>
    <w:uiPriority w:val="99"/>
    <w:rPr>
      <w:rFonts w:ascii="宋体" w:hAnsi="Courier New" w:cs="宋体"/>
      <w:kern w:val="2"/>
      <w:sz w:val="21"/>
      <w:szCs w:val="21"/>
    </w:rPr>
  </w:style>
  <w:style w:type="character" w:customStyle="1" w:styleId="52">
    <w:name w:val="18"/>
    <w:qFormat/>
    <w:uiPriority w:val="0"/>
    <w:rPr>
      <w:rFonts w:hint="default" w:ascii="Times New Roman" w:hAnsi="Times New Roman" w:cs="Times New Roman"/>
      <w:color w:val="000000"/>
      <w:sz w:val="21"/>
      <w:szCs w:val="21"/>
      <w:vertAlign w:val="subscript"/>
    </w:rPr>
  </w:style>
  <w:style w:type="character" w:customStyle="1" w:styleId="53">
    <w:name w:val="标题 2 字符"/>
    <w:link w:val="4"/>
    <w:qFormat/>
    <w:uiPriority w:val="0"/>
    <w:rPr>
      <w:rFonts w:ascii="等线 Light" w:hAnsi="等线 Light" w:eastAsia="等线 Light" w:cs="Times New Roman"/>
      <w:b/>
      <w:bCs/>
      <w:kern w:val="2"/>
      <w:sz w:val="32"/>
      <w:szCs w:val="32"/>
    </w:rPr>
  </w:style>
  <w:style w:type="character" w:customStyle="1" w:styleId="54">
    <w:name w:val="正文文本缩进 字符"/>
    <w:link w:val="17"/>
    <w:semiHidden/>
    <w:qFormat/>
    <w:locked/>
    <w:uiPriority w:val="0"/>
    <w:rPr>
      <w:rFonts w:ascii="Times New Roman" w:hAnsi="Times New Roman" w:eastAsia="宋体"/>
      <w:sz w:val="24"/>
    </w:rPr>
  </w:style>
  <w:style w:type="character" w:customStyle="1" w:styleId="55">
    <w:name w:val="普通(网站) 字符"/>
    <w:link w:val="27"/>
    <w:qFormat/>
    <w:locked/>
    <w:uiPriority w:val="0"/>
    <w:rPr>
      <w:rFonts w:ascii="宋体" w:hAnsi="宋体" w:eastAsia="宋体"/>
      <w:sz w:val="24"/>
    </w:rPr>
  </w:style>
  <w:style w:type="character" w:customStyle="1" w:styleId="56">
    <w:name w:val="标题 8 字符"/>
    <w:link w:val="5"/>
    <w:qFormat/>
    <w:uiPriority w:val="0"/>
    <w:rPr>
      <w:rFonts w:ascii="等线 Light" w:hAnsi="等线 Light" w:eastAsia="等线 Light" w:cs="Times New Roman"/>
      <w:bCs/>
      <w:color w:val="000000"/>
      <w:kern w:val="2"/>
      <w:sz w:val="24"/>
      <w:szCs w:val="24"/>
    </w:rPr>
  </w:style>
  <w:style w:type="character" w:customStyle="1" w:styleId="57">
    <w:name w:val="页脚 字符1"/>
    <w:link w:val="22"/>
    <w:qFormat/>
    <w:locked/>
    <w:uiPriority w:val="99"/>
    <w:rPr>
      <w:sz w:val="18"/>
    </w:rPr>
  </w:style>
  <w:style w:type="character" w:customStyle="1" w:styleId="58">
    <w:name w:val="17"/>
    <w:qFormat/>
    <w:uiPriority w:val="0"/>
    <w:rPr>
      <w:rFonts w:hint="eastAsia" w:ascii="宋体" w:hAnsi="宋体" w:eastAsia="宋体"/>
      <w:color w:val="000000"/>
      <w:sz w:val="21"/>
      <w:szCs w:val="21"/>
    </w:rPr>
  </w:style>
  <w:style w:type="character" w:customStyle="1" w:styleId="59">
    <w:name w:val="15"/>
    <w:qFormat/>
    <w:uiPriority w:val="0"/>
    <w:rPr>
      <w:rFonts w:hint="default" w:ascii="Times New Roman" w:hAnsi="Times New Roman" w:cs="Times New Roman"/>
      <w:sz w:val="21"/>
      <w:szCs w:val="21"/>
    </w:rPr>
  </w:style>
  <w:style w:type="character" w:customStyle="1" w:styleId="60">
    <w:name w:val="日期 字符"/>
    <w:semiHidden/>
    <w:qFormat/>
    <w:uiPriority w:val="0"/>
    <w:rPr>
      <w:rFonts w:ascii="Times New Roman" w:hAnsi="Times New Roman" w:eastAsia="宋体"/>
      <w:sz w:val="24"/>
    </w:rPr>
  </w:style>
  <w:style w:type="character" w:customStyle="1" w:styleId="61">
    <w:name w:val="正文文本 字符"/>
    <w:link w:val="16"/>
    <w:qFormat/>
    <w:locked/>
    <w:uiPriority w:val="0"/>
    <w:rPr>
      <w:sz w:val="18"/>
    </w:rPr>
  </w:style>
  <w:style w:type="character" w:customStyle="1" w:styleId="62">
    <w:name w:val="批注文字 字符2"/>
    <w:qFormat/>
    <w:locked/>
    <w:uiPriority w:val="0"/>
    <w:rPr>
      <w:rFonts w:ascii="Times New Roman" w:hAnsi="Times New Roman" w:eastAsia="宋体"/>
      <w:sz w:val="24"/>
    </w:rPr>
  </w:style>
  <w:style w:type="character" w:customStyle="1" w:styleId="63">
    <w:name w:val="页眉 字符"/>
    <w:link w:val="23"/>
    <w:qFormat/>
    <w:locked/>
    <w:uiPriority w:val="0"/>
    <w:rPr>
      <w:sz w:val="18"/>
    </w:rPr>
  </w:style>
  <w:style w:type="character" w:customStyle="1" w:styleId="64">
    <w:name w:val="批注主题 字符"/>
    <w:link w:val="28"/>
    <w:semiHidden/>
    <w:qFormat/>
    <w:locked/>
    <w:uiPriority w:val="0"/>
    <w:rPr>
      <w:rFonts w:ascii="Times New Roman" w:hAnsi="Times New Roman" w:eastAsia="宋体"/>
      <w:b/>
      <w:kern w:val="2"/>
      <w:sz w:val="24"/>
    </w:rPr>
  </w:style>
  <w:style w:type="character" w:customStyle="1" w:styleId="65">
    <w:name w:val="正文文本 字符1"/>
    <w:semiHidden/>
    <w:qFormat/>
    <w:uiPriority w:val="0"/>
    <w:rPr>
      <w:rFonts w:ascii="Times New Roman" w:hAnsi="Times New Roman" w:eastAsia="宋体"/>
      <w:sz w:val="24"/>
    </w:rPr>
  </w:style>
  <w:style w:type="character" w:customStyle="1" w:styleId="66">
    <w:name w:val="批注框文本 字符"/>
    <w:link w:val="21"/>
    <w:semiHidden/>
    <w:qFormat/>
    <w:locked/>
    <w:uiPriority w:val="0"/>
    <w:rPr>
      <w:rFonts w:ascii="Times New Roman" w:hAnsi="Times New Roman" w:eastAsia="宋体"/>
      <w:sz w:val="18"/>
    </w:rPr>
  </w:style>
  <w:style w:type="character" w:customStyle="1" w:styleId="67">
    <w:name w:val="页脚 字符"/>
    <w:qFormat/>
    <w:uiPriority w:val="99"/>
  </w:style>
  <w:style w:type="character" w:customStyle="1" w:styleId="68">
    <w:name w:val="批注文字 字符1"/>
    <w:semiHidden/>
    <w:qFormat/>
    <w:uiPriority w:val="0"/>
    <w:rPr>
      <w:rFonts w:ascii="Times New Roman" w:hAnsi="Times New Roman" w:eastAsia="宋体"/>
      <w:sz w:val="24"/>
    </w:rPr>
  </w:style>
  <w:style w:type="character" w:customStyle="1" w:styleId="69">
    <w:name w:val="日期 字符1"/>
    <w:link w:val="20"/>
    <w:qFormat/>
    <w:locked/>
    <w:uiPriority w:val="0"/>
    <w:rPr>
      <w:rFonts w:ascii="Times New Roman" w:hAnsi="Times New Roman" w:eastAsia="宋体"/>
      <w:sz w:val="24"/>
    </w:rPr>
  </w:style>
  <w:style w:type="character" w:customStyle="1" w:styleId="70">
    <w:name w:val="19"/>
    <w:qFormat/>
    <w:uiPriority w:val="0"/>
    <w:rPr>
      <w:rFonts w:hint="default" w:ascii="Times New Roman" w:hAnsi="Times New Roman" w:cs="Times New Roman"/>
      <w:color w:val="000000"/>
      <w:sz w:val="21"/>
      <w:szCs w:val="21"/>
    </w:rPr>
  </w:style>
  <w:style w:type="paragraph" w:customStyle="1" w:styleId="71">
    <w:name w:val="正文_10"/>
    <w:qFormat/>
    <w:uiPriority w:val="0"/>
    <w:pPr>
      <w:widowControl w:val="0"/>
      <w:jc w:val="both"/>
    </w:pPr>
    <w:rPr>
      <w:rFonts w:ascii="Times New Roman" w:hAnsi="Times New Roman" w:eastAsia="宋体" w:cs="Times New Roman"/>
      <w:bCs/>
      <w:color w:val="000000"/>
      <w:kern w:val="2"/>
      <w:sz w:val="21"/>
      <w:szCs w:val="22"/>
      <w:lang w:val="en-US" w:eastAsia="zh-CN" w:bidi="ar-SA"/>
    </w:rPr>
  </w:style>
  <w:style w:type="paragraph" w:customStyle="1" w:styleId="72">
    <w:name w:val="正文 New"/>
    <w:basedOn w:val="1"/>
    <w:qFormat/>
    <w:uiPriority w:val="0"/>
    <w:rPr>
      <w:rFonts w:ascii="Calibri" w:hAnsi="Calibri" w:eastAsia="仿宋_GB2312" w:cs="宋体"/>
      <w:sz w:val="32"/>
      <w:szCs w:val="32"/>
    </w:rPr>
  </w:style>
  <w:style w:type="paragraph" w:customStyle="1" w:styleId="7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4">
    <w:name w:val="无间隔1"/>
    <w:basedOn w:val="1"/>
    <w:link w:val="84"/>
    <w:qFormat/>
    <w:uiPriority w:val="99"/>
  </w:style>
  <w:style w:type="paragraph" w:customStyle="1" w:styleId="75">
    <w:name w:val="p0"/>
    <w:basedOn w:val="1"/>
    <w:qFormat/>
    <w:uiPriority w:val="0"/>
    <w:pPr>
      <w:widowControl/>
    </w:pPr>
    <w:rPr>
      <w:rFonts w:ascii="Calibri" w:hAnsi="Calibri" w:cs="宋体"/>
      <w:bCs w:val="0"/>
      <w:color w:val="auto"/>
      <w:kern w:val="0"/>
    </w:rPr>
  </w:style>
  <w:style w:type="paragraph" w:customStyle="1" w:styleId="76">
    <w:name w:val="Body Text 22"/>
    <w:basedOn w:val="1"/>
    <w:qFormat/>
    <w:uiPriority w:val="0"/>
    <w:pPr>
      <w:adjustRightInd w:val="0"/>
      <w:spacing w:line="440" w:lineRule="atLeast"/>
      <w:ind w:firstLine="480"/>
    </w:pPr>
    <w:rPr>
      <w:rFonts w:eastAsia="仿宋_GB2312"/>
      <w:sz w:val="24"/>
    </w:rPr>
  </w:style>
  <w:style w:type="paragraph" w:customStyle="1" w:styleId="77">
    <w:name w:val="报告表小段"/>
    <w:basedOn w:val="1"/>
    <w:qFormat/>
    <w:uiPriority w:val="0"/>
    <w:pPr>
      <w:spacing w:before="120" w:after="100" w:afterAutospacing="1" w:line="360" w:lineRule="auto"/>
      <w:ind w:firstLine="451" w:firstLineChars="188"/>
    </w:pPr>
    <w:rPr>
      <w:rFonts w:ascii="宋体" w:hAnsi="宋体" w:cs="宋体"/>
      <w:bCs w:val="0"/>
      <w:sz w:val="24"/>
    </w:rPr>
  </w:style>
  <w:style w:type="paragraph" w:customStyle="1" w:styleId="78">
    <w:name w:val="样式 表格 32 + 首行缩进:  2 字符"/>
    <w:basedOn w:val="1"/>
    <w:qFormat/>
    <w:uiPriority w:val="0"/>
    <w:pPr>
      <w:autoSpaceDE w:val="0"/>
      <w:autoSpaceDN w:val="0"/>
      <w:adjustRightInd w:val="0"/>
      <w:spacing w:line="0" w:lineRule="atLeast"/>
      <w:jc w:val="center"/>
      <w:textAlignment w:val="baseline"/>
    </w:pPr>
    <w:rPr>
      <w:bCs w:val="0"/>
      <w:color w:val="auto"/>
      <w:kern w:val="0"/>
      <w:sz w:val="24"/>
      <w:szCs w:val="24"/>
    </w:rPr>
  </w:style>
  <w:style w:type="paragraph" w:customStyle="1" w:styleId="79">
    <w:name w:val="图表文字"/>
    <w:basedOn w:val="1"/>
    <w:qFormat/>
    <w:uiPriority w:val="0"/>
    <w:pPr>
      <w:widowControl/>
      <w:jc w:val="center"/>
    </w:pPr>
    <w:rPr>
      <w:kern w:val="0"/>
    </w:rPr>
  </w:style>
  <w:style w:type="paragraph" w:customStyle="1" w:styleId="80">
    <w:name w:val="custom_unionstyle"/>
    <w:basedOn w:val="1"/>
    <w:qFormat/>
    <w:uiPriority w:val="0"/>
    <w:pPr>
      <w:widowControl/>
      <w:spacing w:before="100" w:beforeAutospacing="1" w:after="100" w:afterAutospacing="1"/>
      <w:jc w:val="left"/>
    </w:pPr>
    <w:rPr>
      <w:rFonts w:ascii="宋体" w:hAnsi="宋体" w:cs="宋体"/>
      <w:kern w:val="0"/>
      <w:sz w:val="24"/>
    </w:rPr>
  </w:style>
  <w:style w:type="paragraph" w:customStyle="1" w:styleId="81">
    <w:name w:val="正文内容"/>
    <w:basedOn w:val="1"/>
    <w:qFormat/>
    <w:uiPriority w:val="0"/>
    <w:pPr>
      <w:ind w:firstLine="200" w:firstLineChars="200"/>
    </w:pPr>
    <w:rPr>
      <w:kern w:val="0"/>
      <w:sz w:val="24"/>
    </w:rPr>
  </w:style>
  <w:style w:type="paragraph" w:customStyle="1" w:styleId="82">
    <w:name w:val="修订1"/>
    <w:hidden/>
    <w:unhideWhenUsed/>
    <w:qFormat/>
    <w:uiPriority w:val="99"/>
    <w:rPr>
      <w:rFonts w:ascii="Times New Roman" w:hAnsi="Times New Roman" w:eastAsia="宋体" w:cs="Times New Roman"/>
      <w:bCs/>
      <w:color w:val="000000"/>
      <w:kern w:val="2"/>
      <w:sz w:val="21"/>
      <w:szCs w:val="21"/>
      <w:lang w:val="en-US" w:eastAsia="zh-CN" w:bidi="ar-SA"/>
    </w:rPr>
  </w:style>
  <w:style w:type="paragraph" w:customStyle="1" w:styleId="83">
    <w:name w:val="普通(网站)1"/>
    <w:basedOn w:val="1"/>
    <w:qFormat/>
    <w:uiPriority w:val="0"/>
    <w:pPr>
      <w:widowControl/>
      <w:spacing w:before="100" w:beforeAutospacing="1" w:after="100" w:afterAutospacing="1"/>
      <w:jc w:val="left"/>
    </w:pPr>
    <w:rPr>
      <w:rFonts w:hint="eastAsia" w:ascii="宋体" w:hAnsi="宋体"/>
      <w:bCs w:val="0"/>
      <w:color w:val="auto"/>
      <w:sz w:val="24"/>
      <w:szCs w:val="20"/>
    </w:rPr>
  </w:style>
  <w:style w:type="character" w:customStyle="1" w:styleId="84">
    <w:name w:val="无间隔 字符"/>
    <w:link w:val="74"/>
    <w:qFormat/>
    <w:uiPriority w:val="99"/>
    <w:rPr>
      <w:bCs/>
      <w:color w:val="000000"/>
      <w:kern w:val="2"/>
      <w:sz w:val="21"/>
      <w:szCs w:val="21"/>
    </w:rPr>
  </w:style>
  <w:style w:type="character" w:customStyle="1" w:styleId="85">
    <w:name w:val="未处理的提及1"/>
    <w:basedOn w:val="32"/>
    <w:unhideWhenUsed/>
    <w:qFormat/>
    <w:uiPriority w:val="99"/>
    <w:rPr>
      <w:color w:val="605E5C"/>
      <w:shd w:val="clear" w:color="auto" w:fill="E1DFDD"/>
    </w:rPr>
  </w:style>
  <w:style w:type="paragraph" w:customStyle="1" w:styleId="86">
    <w:name w:val="修订2"/>
    <w:hidden/>
    <w:semiHidden/>
    <w:qFormat/>
    <w:uiPriority w:val="99"/>
    <w:rPr>
      <w:rFonts w:ascii="Times New Roman" w:hAnsi="Times New Roman" w:eastAsia="宋体" w:cs="Times New Roman"/>
      <w:bCs/>
      <w:color w:val="000000"/>
      <w:kern w:val="2"/>
      <w:sz w:val="21"/>
      <w:szCs w:val="21"/>
      <w:lang w:val="en-US" w:eastAsia="zh-CN" w:bidi="ar-SA"/>
    </w:rPr>
  </w:style>
  <w:style w:type="paragraph" w:customStyle="1" w:styleId="87">
    <w:name w:val="列表段落1"/>
    <w:basedOn w:val="1"/>
    <w:qFormat/>
    <w:uiPriority w:val="34"/>
    <w:pPr>
      <w:ind w:firstLine="420" w:firstLineChars="200"/>
    </w:pPr>
  </w:style>
  <w:style w:type="paragraph" w:customStyle="1" w:styleId="88">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89">
    <w:name w:val="修订3"/>
    <w:hidden/>
    <w:semiHidden/>
    <w:qFormat/>
    <w:uiPriority w:val="99"/>
    <w:rPr>
      <w:rFonts w:ascii="Times New Roman" w:hAnsi="Times New Roman" w:eastAsia="宋体" w:cs="Times New Roman"/>
      <w:bCs/>
      <w:color w:val="000000"/>
      <w:kern w:val="2"/>
      <w:sz w:val="21"/>
      <w:szCs w:val="21"/>
      <w:lang w:val="en-US" w:eastAsia="zh-CN" w:bidi="ar-SA"/>
    </w:rPr>
  </w:style>
  <w:style w:type="paragraph" w:customStyle="1" w:styleId="90">
    <w:name w:val="目录 21"/>
    <w:basedOn w:val="1"/>
    <w:next w:val="1"/>
    <w:qFormat/>
    <w:uiPriority w:val="0"/>
    <w:pPr>
      <w:snapToGrid w:val="0"/>
      <w:spacing w:before="100" w:beforeAutospacing="1" w:after="100" w:afterAutospacing="1" w:line="360" w:lineRule="auto"/>
      <w:ind w:left="420" w:leftChars="200"/>
    </w:pPr>
    <w:rPr>
      <w:bCs w:val="0"/>
      <w:color w:val="auto"/>
    </w:rPr>
  </w:style>
  <w:style w:type="paragraph" w:customStyle="1" w:styleId="91">
    <w:name w:val="环评正文文字"/>
    <w:basedOn w:val="1"/>
    <w:qFormat/>
    <w:uiPriority w:val="0"/>
    <w:pPr>
      <w:adjustRightInd w:val="0"/>
      <w:snapToGrid w:val="0"/>
      <w:spacing w:line="360" w:lineRule="auto"/>
      <w:ind w:firstLine="200" w:firstLineChars="200"/>
      <w:jc w:val="left"/>
      <w:textAlignment w:val="baseline"/>
    </w:pPr>
    <w:rPr>
      <w:bCs w:val="0"/>
      <w:color w:val="auto"/>
      <w:kern w:val="0"/>
    </w:rPr>
  </w:style>
  <w:style w:type="paragraph" w:customStyle="1" w:styleId="92">
    <w:name w:val="表格格式"/>
    <w:basedOn w:val="1"/>
    <w:qFormat/>
    <w:uiPriority w:val="0"/>
    <w:pPr>
      <w:jc w:val="center"/>
    </w:pPr>
    <w:rPr>
      <w:rFonts w:ascii="宋体" w:hAnsi="宋体"/>
      <w:bCs w:val="0"/>
      <w:color w:val="auto"/>
    </w:rPr>
  </w:style>
  <w:style w:type="paragraph" w:customStyle="1" w:styleId="93">
    <w:name w:val="正文3"/>
    <w:qFormat/>
    <w:uiPriority w:val="0"/>
    <w:pPr>
      <w:jc w:val="both"/>
    </w:pPr>
    <w:rPr>
      <w:rFonts w:ascii="仿宋_GB2312" w:hAnsi="宋体" w:eastAsia="宋体" w:cs="宋体"/>
      <w:kern w:val="2"/>
      <w:sz w:val="21"/>
      <w:szCs w:val="21"/>
      <w:lang w:val="en-US" w:eastAsia="zh-CN" w:bidi="ar-SA"/>
    </w:rPr>
  </w:style>
  <w:style w:type="paragraph" w:customStyle="1" w:styleId="94">
    <w:name w:val="Char Char Char Char Char Char"/>
    <w:basedOn w:val="1"/>
    <w:qFormat/>
    <w:uiPriority w:val="0"/>
    <w:rPr>
      <w:bCs w:val="0"/>
      <w:color w:val="auto"/>
      <w:sz w:val="24"/>
      <w:szCs w:val="24"/>
    </w:rPr>
  </w:style>
  <w:style w:type="paragraph" w:customStyle="1" w:styleId="95">
    <w:name w:val="目录 22"/>
    <w:basedOn w:val="1"/>
    <w:next w:val="1"/>
    <w:qFormat/>
    <w:uiPriority w:val="39"/>
    <w:pPr>
      <w:tabs>
        <w:tab w:val="right" w:leader="dot" w:pos="8834"/>
      </w:tabs>
      <w:snapToGrid w:val="0"/>
      <w:spacing w:line="360" w:lineRule="auto"/>
      <w:ind w:left="420" w:leftChars="200"/>
    </w:pPr>
    <w:rPr>
      <w:bCs w:val="0"/>
      <w:color w:val="auto"/>
      <w:szCs w:val="24"/>
    </w:rPr>
  </w:style>
  <w:style w:type="character" w:customStyle="1" w:styleId="96">
    <w:name w:val="Default Char"/>
    <w:link w:val="37"/>
    <w:qFormat/>
    <w:uiPriority w:val="0"/>
    <w:rPr>
      <w:rFonts w:cs="宋体"/>
      <w:bCs/>
      <w:color w:val="000000"/>
      <w:kern w:val="2"/>
      <w:sz w:val="21"/>
      <w:szCs w:val="21"/>
    </w:rPr>
  </w:style>
  <w:style w:type="paragraph" w:customStyle="1" w:styleId="97">
    <w:name w:val="表内字（陈）"/>
    <w:basedOn w:val="1"/>
    <w:qFormat/>
    <w:uiPriority w:val="0"/>
    <w:pPr>
      <w:widowControl/>
      <w:spacing w:line="300" w:lineRule="exact"/>
      <w:jc w:val="center"/>
    </w:pPr>
    <w:rPr>
      <w:color w:val="auto"/>
      <w:kern w:val="0"/>
      <w:szCs w:val="20"/>
    </w:rPr>
  </w:style>
  <w:style w:type="character" w:customStyle="1" w:styleId="98">
    <w:name w:val="表格正文 Char"/>
    <w:link w:val="99"/>
    <w:qFormat/>
    <w:locked/>
    <w:uiPriority w:val="0"/>
    <w:rPr>
      <w:sz w:val="21"/>
    </w:rPr>
  </w:style>
  <w:style w:type="paragraph" w:customStyle="1" w:styleId="99">
    <w:name w:val="表格正文"/>
    <w:basedOn w:val="1"/>
    <w:link w:val="98"/>
    <w:qFormat/>
    <w:uiPriority w:val="0"/>
    <w:pPr>
      <w:adjustRightInd w:val="0"/>
      <w:snapToGrid w:val="0"/>
      <w:jc w:val="center"/>
    </w:pPr>
    <w:rPr>
      <w:bCs w:val="0"/>
      <w:color w:val="auto"/>
      <w:kern w:val="0"/>
      <w:szCs w:val="20"/>
    </w:rPr>
  </w:style>
  <w:style w:type="character" w:customStyle="1" w:styleId="100">
    <w:name w:val="题注 字符"/>
    <w:basedOn w:val="32"/>
    <w:link w:val="14"/>
    <w:qFormat/>
    <w:uiPriority w:val="0"/>
    <w:rPr>
      <w:rFonts w:ascii="等线 Light" w:hAnsi="等线 Light"/>
      <w:b/>
      <w:kern w:val="2"/>
      <w:sz w:val="21"/>
      <w:szCs w:val="21"/>
    </w:rPr>
  </w:style>
  <w:style w:type="paragraph" w:customStyle="1" w:styleId="101">
    <w:name w:val="正文4"/>
    <w:basedOn w:val="1"/>
    <w:qFormat/>
    <w:uiPriority w:val="0"/>
    <w:pPr>
      <w:widowControl/>
    </w:pPr>
    <w:rPr>
      <w:rFonts w:ascii="等线" w:hAnsi="等线" w:cs="宋体"/>
      <w:bCs w:val="0"/>
      <w:color w:val="auto"/>
    </w:rPr>
  </w:style>
  <w:style w:type="character" w:customStyle="1" w:styleId="102">
    <w:name w:val="正文文本首行缩进 字符"/>
    <w:basedOn w:val="61"/>
    <w:link w:val="29"/>
    <w:qFormat/>
    <w:uiPriority w:val="99"/>
    <w:rPr>
      <w:kern w:val="2"/>
      <w:sz w:val="21"/>
      <w:szCs w:val="24"/>
    </w:rPr>
  </w:style>
  <w:style w:type="character" w:customStyle="1" w:styleId="103">
    <w:name w:val="表标题 Char"/>
    <w:link w:val="41"/>
    <w:qFormat/>
    <w:uiPriority w:val="0"/>
    <w:rPr>
      <w:b/>
      <w:bCs/>
      <w:color w:val="000000"/>
      <w:sz w:val="21"/>
      <w:szCs w:val="21"/>
    </w:rPr>
  </w:style>
  <w:style w:type="paragraph" w:customStyle="1" w:styleId="104">
    <w:name w:val="修订4"/>
    <w:hidden/>
    <w:semiHidden/>
    <w:qFormat/>
    <w:uiPriority w:val="99"/>
    <w:rPr>
      <w:rFonts w:ascii="Times New Roman" w:hAnsi="Times New Roman" w:eastAsia="宋体" w:cs="Times New Roman"/>
      <w:bCs/>
      <w:color w:val="000000"/>
      <w:kern w:val="2"/>
      <w:sz w:val="21"/>
      <w:szCs w:val="21"/>
      <w:lang w:val="en-US" w:eastAsia="zh-CN" w:bidi="ar-SA"/>
    </w:rPr>
  </w:style>
  <w:style w:type="character" w:customStyle="1" w:styleId="105">
    <w:name w:val="cf01"/>
    <w:basedOn w:val="32"/>
    <w:qFormat/>
    <w:uiPriority w:val="0"/>
    <w:rPr>
      <w:rFonts w:hint="eastAsia" w:ascii="Microsoft YaHei UI" w:hAnsi="Microsoft YaHei UI" w:eastAsia="Microsoft YaHei UI"/>
      <w:sz w:val="18"/>
      <w:szCs w:val="18"/>
    </w:rPr>
  </w:style>
  <w:style w:type="paragraph" w:customStyle="1" w:styleId="106">
    <w:name w:val="Table Paragraph"/>
    <w:basedOn w:val="1"/>
    <w:qFormat/>
    <w:uiPriority w:val="0"/>
    <w:rPr>
      <w:rFonts w:ascii="宋体" w:hAnsi="宋体" w:cs="宋体"/>
      <w:bCs w:val="0"/>
      <w:color w:val="auto"/>
    </w:rPr>
  </w:style>
  <w:style w:type="paragraph" w:customStyle="1" w:styleId="107">
    <w:name w:val="List Paragraph1"/>
    <w:basedOn w:val="1"/>
    <w:qFormat/>
    <w:uiPriority w:val="0"/>
    <w:pPr>
      <w:snapToGrid w:val="0"/>
      <w:spacing w:line="360" w:lineRule="auto"/>
      <w:ind w:firstLine="420" w:firstLineChars="200"/>
    </w:pPr>
    <w:rPr>
      <w:bCs w:val="0"/>
      <w:color w:val="auto"/>
    </w:rPr>
  </w:style>
  <w:style w:type="paragraph" w:customStyle="1" w:styleId="108">
    <w:name w:val="小四 间距1.5 缩进2"/>
    <w:basedOn w:val="1"/>
    <w:qFormat/>
    <w:uiPriority w:val="0"/>
    <w:pPr>
      <w:spacing w:line="360" w:lineRule="auto"/>
      <w:ind w:firstLine="415" w:firstLineChars="173"/>
    </w:pPr>
    <w:rPr>
      <w:rFonts w:ascii="Calibri" w:hAnsi="Calibri"/>
      <w:bCs w:val="0"/>
      <w:color w:val="auto"/>
      <w:sz w:val="24"/>
      <w:szCs w:val="24"/>
    </w:rPr>
  </w:style>
  <w:style w:type="table" w:customStyle="1" w:styleId="109">
    <w:name w:val="网格型2"/>
    <w:basedOn w:val="30"/>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0">
    <w:name w:val="列表段落11"/>
    <w:basedOn w:val="1"/>
    <w:qFormat/>
    <w:uiPriority w:val="0"/>
    <w:pPr>
      <w:snapToGrid w:val="0"/>
      <w:spacing w:line="360" w:lineRule="auto"/>
      <w:ind w:firstLine="420" w:firstLineChars="200"/>
    </w:pPr>
    <w:rPr>
      <w:bCs w:val="0"/>
      <w:color w:val="auto"/>
    </w:rPr>
  </w:style>
  <w:style w:type="character" w:customStyle="1" w:styleId="111">
    <w:name w:val="font21"/>
    <w:basedOn w:val="32"/>
    <w:qFormat/>
    <w:uiPriority w:val="0"/>
    <w:rPr>
      <w:rFonts w:hint="default" w:ascii="Times New Roman" w:hAnsi="Times New Roman" w:cs="Times New Roman"/>
      <w:b/>
      <w:bCs/>
      <w:color w:val="000000"/>
      <w:sz w:val="21"/>
      <w:szCs w:val="21"/>
      <w:u w:val="none"/>
    </w:rPr>
  </w:style>
  <w:style w:type="character" w:customStyle="1" w:styleId="112">
    <w:name w:val="font01"/>
    <w:basedOn w:val="32"/>
    <w:qFormat/>
    <w:uiPriority w:val="0"/>
    <w:rPr>
      <w:rFonts w:hint="default" w:ascii="Times New Roman" w:hAnsi="Times New Roman" w:cs="Times New Roman"/>
      <w:color w:val="000000"/>
      <w:sz w:val="21"/>
      <w:szCs w:val="21"/>
      <w:u w:val="none"/>
    </w:rPr>
  </w:style>
  <w:style w:type="character" w:customStyle="1" w:styleId="113">
    <w:name w:val="font11"/>
    <w:basedOn w:val="32"/>
    <w:qFormat/>
    <w:uiPriority w:val="0"/>
    <w:rPr>
      <w:rFonts w:hint="eastAsia" w:ascii="宋体" w:hAnsi="宋体" w:eastAsia="宋体"/>
      <w:b/>
      <w:bCs/>
      <w:color w:val="000000"/>
      <w:sz w:val="21"/>
      <w:szCs w:val="21"/>
      <w:u w:val="none"/>
    </w:rPr>
  </w:style>
  <w:style w:type="paragraph" w:customStyle="1" w:styleId="114">
    <w:name w:val="修订5"/>
    <w:hidden/>
    <w:unhideWhenUsed/>
    <w:qFormat/>
    <w:uiPriority w:val="99"/>
    <w:rPr>
      <w:rFonts w:ascii="Times New Roman" w:hAnsi="Times New Roman" w:eastAsia="宋体" w:cs="Times New Roman"/>
      <w:bC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numbering" Target="numbering.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emf"/><Relationship Id="rId14" Type="http://schemas.openxmlformats.org/officeDocument/2006/relationships/oleObject" Target="embeddings/oleObject2.bin"/><Relationship Id="rId13" Type="http://schemas.openxmlformats.org/officeDocument/2006/relationships/image" Target="media/image7.emf"/><Relationship Id="rId12" Type="http://schemas.openxmlformats.org/officeDocument/2006/relationships/oleObject" Target="embeddings/oleObject1.bin"/><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3B964-EA77-47D6-8E85-2907F6C45124}">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63</Pages>
  <Words>51248</Words>
  <Characters>59370</Characters>
  <Lines>526</Lines>
  <Paragraphs>148</Paragraphs>
  <TotalTime>14</TotalTime>
  <ScaleCrop>false</ScaleCrop>
  <LinksUpToDate>false</LinksUpToDate>
  <CharactersWithSpaces>59805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2023-11-01T06:59:00Z</dcterms:created>
  <dc:creator>lhj</dc:creator>
  <cp:lastModifiedBy>廖攸库</cp:lastModifiedBy>
  <cp:lastPrinted>2022-03-17T00:58:00Z</cp:lastPrinted>
  <dcterms:modified xsi:type="dcterms:W3CDTF">2023-11-28T06:52:42Z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3C1748BDBC6F45C4BFE6EF5F62D3A1D4_13</vt:lpwstr>
  </property>
</Properties>
</file>