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line="240" w:lineRule="auto"/>
        <w:ind w:firstLine="0" w:firstLineChars="0"/>
        <w:jc w:val="center"/>
        <w:rPr>
          <w:rFonts w:hint="default" w:ascii="Times New Roman" w:hAnsi="Times New Roman" w:eastAsia="宋体" w:cs="Times New Roman"/>
          <w:color w:val="auto"/>
          <w:sz w:val="36"/>
          <w:szCs w:val="36"/>
        </w:rPr>
      </w:pPr>
    </w:p>
    <w:p>
      <w:pPr>
        <w:spacing w:beforeLines="0" w:line="240" w:lineRule="auto"/>
        <w:ind w:firstLine="0" w:firstLineChars="0"/>
        <w:jc w:val="center"/>
        <w:rPr>
          <w:rFonts w:hint="default" w:ascii="Times New Roman" w:hAnsi="Times New Roman" w:eastAsia="宋体" w:cs="Times New Roman"/>
          <w:color w:val="auto"/>
          <w:sz w:val="36"/>
          <w:szCs w:val="36"/>
        </w:rPr>
      </w:pPr>
    </w:p>
    <w:p>
      <w:pPr>
        <w:spacing w:beforeLines="0" w:line="240" w:lineRule="auto"/>
        <w:ind w:firstLine="0" w:firstLineChars="0"/>
        <w:jc w:val="center"/>
        <w:rPr>
          <w:rFonts w:hint="default" w:ascii="Times New Roman" w:hAnsi="Times New Roman" w:eastAsia="宋体" w:cs="Times New Roman"/>
          <w:color w:val="auto"/>
          <w:sz w:val="36"/>
          <w:szCs w:val="36"/>
        </w:rPr>
      </w:pPr>
    </w:p>
    <w:p>
      <w:pPr>
        <w:spacing w:beforeLines="0" w:line="240" w:lineRule="auto"/>
        <w:ind w:firstLine="0" w:firstLineChars="0"/>
        <w:jc w:val="center"/>
        <w:rPr>
          <w:rFonts w:hint="default" w:ascii="Times New Roman" w:hAnsi="Times New Roman" w:eastAsia="宋体" w:cs="Times New Roman"/>
          <w:color w:val="auto"/>
          <w:sz w:val="36"/>
          <w:szCs w:val="36"/>
        </w:rPr>
      </w:pPr>
    </w:p>
    <w:p>
      <w:pPr>
        <w:adjustRightInd w:val="0"/>
        <w:snapToGrid w:val="0"/>
        <w:spacing w:beforeLines="0" w:line="240" w:lineRule="auto"/>
        <w:ind w:firstLine="0" w:firstLineChars="0"/>
        <w:jc w:val="center"/>
        <w:outlineLvl w:val="0"/>
        <w:rPr>
          <w:rFonts w:hint="default" w:ascii="Times New Roman" w:hAnsi="Times New Roman" w:eastAsia="宋体" w:cs="Times New Roman"/>
          <w:bCs/>
          <w:color w:val="auto"/>
          <w:sz w:val="72"/>
          <w:szCs w:val="72"/>
        </w:rPr>
      </w:pPr>
      <w:r>
        <w:rPr>
          <w:rFonts w:hint="default" w:ascii="Times New Roman" w:hAnsi="Times New Roman" w:eastAsia="宋体" w:cs="Times New Roman"/>
          <w:bCs/>
          <w:color w:val="auto"/>
          <w:sz w:val="72"/>
          <w:szCs w:val="72"/>
        </w:rPr>
        <w:t>建设项目环境影响报告表</w:t>
      </w:r>
    </w:p>
    <w:p>
      <w:pPr>
        <w:adjustRightInd w:val="0"/>
        <w:snapToGrid w:val="0"/>
        <w:spacing w:before="0" w:beforeLines="0" w:line="240" w:lineRule="auto"/>
        <w:ind w:firstLine="0" w:firstLineChars="0"/>
        <w:jc w:val="center"/>
        <w:rPr>
          <w:rFonts w:hint="default" w:ascii="Times New Roman" w:hAnsi="Times New Roman" w:eastAsia="宋体" w:cs="Times New Roman"/>
          <w:bCs/>
          <w:color w:val="auto"/>
          <w:sz w:val="48"/>
          <w:szCs w:val="48"/>
        </w:rPr>
      </w:pPr>
      <w:r>
        <w:rPr>
          <w:rFonts w:hint="default" w:ascii="Times New Roman" w:hAnsi="Times New Roman" w:eastAsia="宋体" w:cs="Times New Roman"/>
          <w:bCs/>
          <w:color w:val="auto"/>
          <w:sz w:val="48"/>
          <w:szCs w:val="48"/>
        </w:rPr>
        <w:t>（污染影响类）</w:t>
      </w:r>
    </w:p>
    <w:p>
      <w:pPr>
        <w:bidi w:val="0"/>
        <w:spacing w:beforeLines="0" w:line="240" w:lineRule="auto"/>
        <w:ind w:firstLine="0" w:firstLineChars="0"/>
        <w:jc w:val="center"/>
        <w:rPr>
          <w:rFonts w:hint="default" w:ascii="Times New Roman" w:hAnsi="Times New Roman" w:eastAsia="宋体" w:cs="Times New Roman"/>
          <w:color w:val="auto"/>
        </w:rPr>
      </w:pPr>
    </w:p>
    <w:p>
      <w:pPr>
        <w:spacing w:beforeLines="0" w:line="240" w:lineRule="auto"/>
        <w:ind w:firstLine="0" w:firstLineChars="0"/>
        <w:jc w:val="center"/>
        <w:rPr>
          <w:rFonts w:hint="default" w:ascii="Times New Roman" w:hAnsi="Times New Roman" w:eastAsia="宋体" w:cs="Times New Roman"/>
          <w:color w:val="auto"/>
          <w:sz w:val="52"/>
          <w:szCs w:val="52"/>
        </w:rPr>
      </w:pPr>
    </w:p>
    <w:p>
      <w:pPr>
        <w:spacing w:beforeLines="0" w:line="240" w:lineRule="auto"/>
        <w:ind w:firstLine="0" w:firstLineChars="0"/>
        <w:jc w:val="center"/>
        <w:rPr>
          <w:rFonts w:hint="default" w:ascii="Times New Roman" w:hAnsi="Times New Roman" w:eastAsia="宋体" w:cs="Times New Roman"/>
          <w:color w:val="auto"/>
          <w:sz w:val="44"/>
          <w:szCs w:val="44"/>
        </w:rPr>
      </w:pPr>
    </w:p>
    <w:p>
      <w:pPr>
        <w:spacing w:beforeLines="0" w:line="240" w:lineRule="auto"/>
        <w:ind w:firstLine="0" w:firstLineChars="0"/>
        <w:jc w:val="center"/>
        <w:rPr>
          <w:rFonts w:hint="default" w:ascii="Times New Roman" w:hAnsi="Times New Roman" w:eastAsia="宋体" w:cs="Times New Roman"/>
          <w:color w:val="auto"/>
          <w:sz w:val="44"/>
          <w:szCs w:val="44"/>
        </w:rPr>
      </w:pPr>
    </w:p>
    <w:p>
      <w:pPr>
        <w:spacing w:beforeLines="0" w:line="240" w:lineRule="auto"/>
        <w:ind w:firstLine="0" w:firstLineChars="0"/>
        <w:jc w:val="center"/>
        <w:rPr>
          <w:rFonts w:hint="default" w:ascii="Times New Roman" w:hAnsi="Times New Roman" w:eastAsia="宋体" w:cs="Times New Roman"/>
          <w:color w:val="auto"/>
          <w:sz w:val="44"/>
          <w:szCs w:val="44"/>
        </w:rPr>
      </w:pPr>
    </w:p>
    <w:p>
      <w:pPr>
        <w:spacing w:beforeLines="0" w:line="240" w:lineRule="auto"/>
        <w:ind w:firstLine="0" w:firstLineChars="0"/>
        <w:jc w:val="center"/>
        <w:rPr>
          <w:rFonts w:hint="default" w:ascii="Times New Roman" w:hAnsi="Times New Roman" w:eastAsia="宋体" w:cs="Times New Roman"/>
          <w:color w:val="auto"/>
          <w:sz w:val="44"/>
          <w:szCs w:val="44"/>
        </w:rPr>
      </w:pPr>
    </w:p>
    <w:p>
      <w:pPr>
        <w:adjustRightInd w:val="0"/>
        <w:snapToGrid w:val="0"/>
        <w:spacing w:beforeLines="0" w:line="240" w:lineRule="auto"/>
        <w:ind w:firstLine="0" w:firstLineChars="0"/>
        <w:jc w:val="center"/>
        <w:rPr>
          <w:rFonts w:hint="default" w:ascii="Times New Roman" w:hAnsi="Times New Roman" w:eastAsia="宋体" w:cs="Times New Roman"/>
          <w:color w:val="auto"/>
          <w:sz w:val="36"/>
          <w:szCs w:val="36"/>
          <w:u w:val="single"/>
          <w:lang w:eastAsia="zh-CN"/>
        </w:rPr>
      </w:pPr>
      <w:r>
        <w:rPr>
          <w:rFonts w:hint="default" w:ascii="Times New Roman" w:hAnsi="Times New Roman" w:eastAsia="宋体" w:cs="Times New Roman"/>
          <w:color w:val="auto"/>
          <w:sz w:val="36"/>
          <w:szCs w:val="36"/>
        </w:rPr>
        <w:t>项目名称：</w:t>
      </w:r>
      <w:r>
        <w:rPr>
          <w:rFonts w:hint="eastAsia" w:cs="Times New Roman"/>
          <w:color w:val="auto"/>
          <w:sz w:val="36"/>
          <w:szCs w:val="36"/>
          <w:u w:val="single"/>
          <w:lang w:eastAsia="zh-CN"/>
        </w:rPr>
        <w:t>广东万镭科技有限公司建设项目</w:t>
      </w:r>
    </w:p>
    <w:p>
      <w:pPr>
        <w:adjustRightInd w:val="0"/>
        <w:snapToGrid w:val="0"/>
        <w:spacing w:beforeLines="0" w:line="240" w:lineRule="auto"/>
        <w:ind w:firstLine="0" w:firstLineChars="0"/>
        <w:jc w:val="center"/>
        <w:rPr>
          <w:rFonts w:hint="default" w:ascii="Times New Roman" w:hAnsi="Times New Roman" w:eastAsia="宋体" w:cs="Times New Roman"/>
          <w:color w:val="auto"/>
          <w:sz w:val="36"/>
          <w:szCs w:val="36"/>
        </w:rPr>
      </w:pPr>
    </w:p>
    <w:p>
      <w:pPr>
        <w:adjustRightInd w:val="0"/>
        <w:snapToGrid w:val="0"/>
        <w:spacing w:beforeLines="0" w:line="240" w:lineRule="auto"/>
        <w:ind w:firstLine="0" w:firstLineChars="0"/>
        <w:jc w:val="center"/>
        <w:rPr>
          <w:rFonts w:hint="default" w:ascii="Times New Roman" w:hAnsi="Times New Roman" w:eastAsia="宋体" w:cs="Times New Roman"/>
          <w:color w:val="auto"/>
          <w:sz w:val="36"/>
          <w:szCs w:val="36"/>
          <w:u w:val="single"/>
        </w:rPr>
      </w:pPr>
      <w:r>
        <w:rPr>
          <w:rFonts w:hint="default" w:ascii="Times New Roman" w:hAnsi="Times New Roman" w:eastAsia="宋体" w:cs="Times New Roman"/>
          <w:color w:val="auto"/>
          <w:sz w:val="36"/>
          <w:szCs w:val="36"/>
        </w:rPr>
        <w:t>建设单位（盖章）：</w:t>
      </w:r>
      <w:r>
        <w:rPr>
          <w:rFonts w:hint="eastAsia" w:cs="Times New Roman"/>
          <w:color w:val="auto"/>
          <w:sz w:val="36"/>
          <w:szCs w:val="36"/>
          <w:u w:val="single"/>
          <w:lang w:eastAsia="zh-CN"/>
        </w:rPr>
        <w:t>广东万镭科技有限公司</w:t>
      </w:r>
    </w:p>
    <w:p>
      <w:pPr>
        <w:adjustRightInd w:val="0"/>
        <w:snapToGrid w:val="0"/>
        <w:spacing w:beforeLines="0" w:line="240" w:lineRule="auto"/>
        <w:ind w:firstLine="0" w:firstLineChars="0"/>
        <w:jc w:val="center"/>
        <w:rPr>
          <w:rFonts w:hint="default" w:ascii="Times New Roman" w:hAnsi="Times New Roman" w:eastAsia="宋体" w:cs="Times New Roman"/>
          <w:color w:val="auto"/>
          <w:sz w:val="36"/>
          <w:szCs w:val="36"/>
        </w:rPr>
      </w:pPr>
    </w:p>
    <w:p>
      <w:pPr>
        <w:adjustRightInd w:val="0"/>
        <w:snapToGrid w:val="0"/>
        <w:spacing w:beforeLines="0" w:line="240" w:lineRule="auto"/>
        <w:ind w:firstLine="0" w:firstLineChars="0"/>
        <w:jc w:val="center"/>
        <w:rPr>
          <w:rFonts w:hint="default" w:ascii="Times New Roman" w:hAnsi="Times New Roman" w:eastAsia="宋体" w:cs="Times New Roman"/>
          <w:color w:val="auto"/>
          <w:sz w:val="36"/>
          <w:szCs w:val="36"/>
          <w:u w:val="single"/>
        </w:rPr>
      </w:pPr>
      <w:r>
        <w:rPr>
          <w:rFonts w:hint="default" w:ascii="Times New Roman" w:hAnsi="Times New Roman" w:eastAsia="宋体" w:cs="Times New Roman"/>
          <w:color w:val="auto"/>
          <w:sz w:val="36"/>
          <w:szCs w:val="36"/>
        </w:rPr>
        <w:t>编制日期：</w:t>
      </w:r>
      <w:r>
        <w:rPr>
          <w:rFonts w:hint="default" w:ascii="Times New Roman" w:hAnsi="Times New Roman" w:eastAsia="宋体" w:cs="Times New Roman"/>
          <w:color w:val="auto"/>
          <w:sz w:val="36"/>
          <w:szCs w:val="36"/>
          <w:u w:val="single"/>
        </w:rPr>
        <w:t xml:space="preserve"> </w:t>
      </w:r>
      <w:r>
        <w:rPr>
          <w:rFonts w:hint="default" w:ascii="Times New Roman" w:hAnsi="Times New Roman" w:eastAsia="宋体" w:cs="Times New Roman"/>
          <w:color w:val="auto"/>
          <w:sz w:val="36"/>
          <w:szCs w:val="36"/>
          <w:u w:val="single"/>
          <w:lang w:val="en-US" w:eastAsia="zh-CN"/>
        </w:rPr>
        <w:t>2023年</w:t>
      </w:r>
      <w:r>
        <w:rPr>
          <w:rFonts w:hint="eastAsia" w:cs="Times New Roman"/>
          <w:color w:val="auto"/>
          <w:sz w:val="36"/>
          <w:szCs w:val="36"/>
          <w:u w:val="single"/>
          <w:lang w:val="en-US" w:eastAsia="zh-CN"/>
        </w:rPr>
        <w:t>12</w:t>
      </w:r>
      <w:r>
        <w:rPr>
          <w:rFonts w:hint="default" w:ascii="Times New Roman" w:hAnsi="Times New Roman" w:eastAsia="宋体" w:cs="Times New Roman"/>
          <w:color w:val="auto"/>
          <w:sz w:val="36"/>
          <w:szCs w:val="36"/>
          <w:u w:val="single"/>
          <w:lang w:val="en-US" w:eastAsia="zh-CN"/>
        </w:rPr>
        <w:t>月</w:t>
      </w:r>
      <w:r>
        <w:rPr>
          <w:rFonts w:hint="default" w:ascii="Times New Roman" w:hAnsi="Times New Roman" w:eastAsia="宋体" w:cs="Times New Roman"/>
          <w:color w:val="auto"/>
          <w:sz w:val="36"/>
          <w:szCs w:val="36"/>
          <w:u w:val="single"/>
        </w:rPr>
        <w:t xml:space="preserve">  </w:t>
      </w:r>
    </w:p>
    <w:p>
      <w:pPr>
        <w:adjustRightInd w:val="0"/>
        <w:snapToGrid w:val="0"/>
        <w:spacing w:beforeLines="0" w:line="240" w:lineRule="auto"/>
        <w:ind w:firstLine="0" w:firstLineChars="0"/>
        <w:jc w:val="center"/>
        <w:rPr>
          <w:rFonts w:hint="default" w:ascii="Times New Roman" w:hAnsi="Times New Roman" w:eastAsia="宋体" w:cs="Times New Roman"/>
          <w:color w:val="auto"/>
          <w:sz w:val="36"/>
          <w:szCs w:val="36"/>
        </w:rPr>
      </w:pPr>
      <w:bookmarkStart w:id="0" w:name="_Hlk57884087"/>
    </w:p>
    <w:p>
      <w:pPr>
        <w:adjustRightInd w:val="0"/>
        <w:snapToGrid w:val="0"/>
        <w:spacing w:beforeLines="0" w:line="240" w:lineRule="auto"/>
        <w:ind w:firstLine="0" w:firstLineChars="0"/>
        <w:jc w:val="center"/>
        <w:rPr>
          <w:rFonts w:hint="default" w:ascii="Times New Roman" w:hAnsi="Times New Roman" w:eastAsia="宋体" w:cs="Times New Roman"/>
          <w:color w:val="auto"/>
          <w:sz w:val="36"/>
          <w:szCs w:val="36"/>
        </w:rPr>
      </w:pPr>
    </w:p>
    <w:p>
      <w:pPr>
        <w:adjustRightInd w:val="0"/>
        <w:snapToGrid w:val="0"/>
        <w:spacing w:beforeLines="0" w:line="240" w:lineRule="auto"/>
        <w:ind w:firstLine="0" w:firstLineChars="0"/>
        <w:jc w:val="center"/>
        <w:rPr>
          <w:rFonts w:hint="default" w:ascii="Times New Roman" w:hAnsi="Times New Roman" w:eastAsia="宋体" w:cs="Times New Roman"/>
          <w:color w:val="auto"/>
          <w:sz w:val="36"/>
          <w:szCs w:val="36"/>
        </w:rPr>
      </w:pPr>
    </w:p>
    <w:bookmarkEnd w:id="0"/>
    <w:p>
      <w:pPr>
        <w:adjustRightInd w:val="0"/>
        <w:snapToGrid w:val="0"/>
        <w:spacing w:beforeLines="0" w:line="240" w:lineRule="auto"/>
        <w:ind w:firstLine="0" w:firstLineChars="0"/>
        <w:jc w:val="center"/>
        <w:rPr>
          <w:rFonts w:hint="default" w:ascii="Times New Roman" w:hAnsi="Times New Roman" w:eastAsia="宋体" w:cs="Times New Roman"/>
          <w:color w:val="auto"/>
          <w:sz w:val="36"/>
          <w:szCs w:val="36"/>
        </w:rPr>
      </w:pPr>
      <w:r>
        <w:rPr>
          <w:rFonts w:hint="default" w:ascii="Times New Roman" w:hAnsi="Times New Roman" w:eastAsia="宋体" w:cs="Times New Roman"/>
          <w:color w:val="auto"/>
          <w:sz w:val="36"/>
          <w:szCs w:val="36"/>
        </w:rPr>
        <w:t>中华人民共和国生态环境部制</w:t>
      </w:r>
    </w:p>
    <w:p>
      <w:pPr>
        <w:adjustRightInd w:val="0"/>
        <w:snapToGrid w:val="0"/>
        <w:rPr>
          <w:rFonts w:hint="default" w:ascii="Times New Roman" w:hAnsi="Times New Roman" w:eastAsia="宋体" w:cs="Times New Roman"/>
          <w:color w:val="auto"/>
          <w:sz w:val="36"/>
          <w:szCs w:val="36"/>
          <w:lang w:eastAsia="zh-CN"/>
        </w:rPr>
        <w:sectPr>
          <w:footerReference r:id="rId5" w:type="default"/>
          <w:footerReference r:id="rId6" w:type="even"/>
          <w:pgSz w:w="11906" w:h="16838"/>
          <w:pgMar w:top="1134" w:right="1134" w:bottom="1134" w:left="1134" w:header="851" w:footer="1077" w:gutter="0"/>
          <w:pgBorders>
            <w:top w:val="none" w:sz="0" w:space="0"/>
            <w:left w:val="none" w:sz="0" w:space="0"/>
            <w:bottom w:val="none" w:sz="0" w:space="0"/>
            <w:right w:val="none" w:sz="0" w:space="0"/>
          </w:pgBorders>
          <w:pgNumType w:start="3"/>
          <w:cols w:space="720" w:num="1"/>
          <w:docGrid w:linePitch="312" w:charSpace="0"/>
        </w:sectPr>
      </w:pPr>
    </w:p>
    <w:p>
      <w:pPr>
        <w:pStyle w:val="22"/>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一、建设项目基本情况</w:t>
      </w: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94"/>
        <w:gridCol w:w="1216"/>
        <w:gridCol w:w="2555"/>
        <w:gridCol w:w="2453"/>
        <w:gridCol w:w="294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5" w:type="pct"/>
            <w:gridSpan w:val="2"/>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建设项目名称</w:t>
            </w:r>
          </w:p>
        </w:tc>
        <w:tc>
          <w:tcPr>
            <w:tcW w:w="4114" w:type="pct"/>
            <w:gridSpan w:val="3"/>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eastAsia" w:cs="Times New Roman"/>
                <w:color w:val="auto"/>
                <w:sz w:val="24"/>
                <w:lang w:eastAsia="zh-CN"/>
              </w:rPr>
              <w:t>广东万镭科技有限公司建设项目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5" w:type="pct"/>
            <w:gridSpan w:val="2"/>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项目代码</w:t>
            </w:r>
          </w:p>
        </w:tc>
        <w:tc>
          <w:tcPr>
            <w:tcW w:w="4114" w:type="pct"/>
            <w:gridSpan w:val="3"/>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2312-441322-04-01-124970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5" w:type="pct"/>
            <w:gridSpan w:val="2"/>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建设单位联系人</w:t>
            </w:r>
          </w:p>
        </w:tc>
        <w:tc>
          <w:tcPr>
            <w:tcW w:w="1322" w:type="pct"/>
            <w:noWrap w:val="0"/>
            <w:vAlign w:val="center"/>
          </w:tcPr>
          <w:p>
            <w:pPr>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lang w:val="en-US" w:eastAsia="zh-CN"/>
              </w:rPr>
            </w:pPr>
            <w:r>
              <w:rPr>
                <w:rFonts w:hint="eastAsia" w:cs="Times New Roman"/>
                <w:color w:val="auto"/>
                <w:kern w:val="2"/>
                <w:sz w:val="24"/>
                <w:szCs w:val="24"/>
                <w:highlight w:val="none"/>
                <w:lang w:val="en-US" w:eastAsia="zh-CN" w:bidi="ar"/>
              </w:rPr>
              <w:t>***</w:t>
            </w:r>
          </w:p>
        </w:tc>
        <w:tc>
          <w:tcPr>
            <w:tcW w:w="1269"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联系方式</w:t>
            </w:r>
          </w:p>
        </w:tc>
        <w:tc>
          <w:tcPr>
            <w:tcW w:w="1522" w:type="pct"/>
            <w:noWrap w:val="0"/>
            <w:vAlign w:val="center"/>
          </w:tcPr>
          <w:p>
            <w:pPr>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5" w:type="pct"/>
            <w:gridSpan w:val="2"/>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建设地点</w:t>
            </w:r>
          </w:p>
        </w:tc>
        <w:tc>
          <w:tcPr>
            <w:tcW w:w="4114" w:type="pct"/>
            <w:gridSpan w:val="3"/>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kern w:val="2"/>
                <w:sz w:val="24"/>
                <w:szCs w:val="24"/>
                <w:u w:val="single"/>
                <w:lang w:val="en-US" w:eastAsia="zh-CN" w:bidi="ar"/>
              </w:rPr>
              <w:t>广东</w:t>
            </w:r>
            <w:r>
              <w:rPr>
                <w:rFonts w:hint="default" w:ascii="Times New Roman" w:hAnsi="Times New Roman" w:eastAsia="宋体" w:cs="Times New Roman"/>
                <w:color w:val="auto"/>
                <w:kern w:val="2"/>
                <w:sz w:val="24"/>
                <w:szCs w:val="24"/>
                <w:lang w:val="en-US" w:eastAsia="zh-CN" w:bidi="ar"/>
              </w:rPr>
              <w:t>省</w:t>
            </w:r>
            <w:r>
              <w:rPr>
                <w:rFonts w:hint="default" w:ascii="Times New Roman" w:hAnsi="Times New Roman" w:eastAsia="宋体" w:cs="Times New Roman"/>
                <w:color w:val="auto"/>
                <w:kern w:val="2"/>
                <w:sz w:val="24"/>
                <w:szCs w:val="24"/>
                <w:u w:val="single"/>
                <w:lang w:val="en-US" w:eastAsia="zh-CN" w:bidi="ar"/>
              </w:rPr>
              <w:t>惠州</w:t>
            </w:r>
            <w:r>
              <w:rPr>
                <w:rFonts w:hint="default" w:ascii="Times New Roman" w:hAnsi="Times New Roman" w:eastAsia="宋体" w:cs="Times New Roman"/>
                <w:color w:val="auto"/>
                <w:kern w:val="2"/>
                <w:sz w:val="24"/>
                <w:szCs w:val="24"/>
                <w:lang w:val="en-US" w:eastAsia="zh-CN" w:bidi="ar"/>
              </w:rPr>
              <w:t>市</w:t>
            </w:r>
            <w:r>
              <w:rPr>
                <w:rFonts w:hint="default" w:ascii="Times New Roman" w:hAnsi="Times New Roman" w:eastAsia="宋体" w:cs="Times New Roman"/>
                <w:color w:val="auto"/>
                <w:kern w:val="2"/>
                <w:sz w:val="24"/>
                <w:szCs w:val="24"/>
                <w:u w:val="single"/>
                <w:lang w:val="en-US" w:eastAsia="zh-CN" w:bidi="ar"/>
              </w:rPr>
              <w:t>博罗</w:t>
            </w:r>
            <w:r>
              <w:rPr>
                <w:rFonts w:hint="default" w:ascii="Times New Roman" w:hAnsi="Times New Roman" w:eastAsia="宋体" w:cs="Times New Roman"/>
                <w:color w:val="auto"/>
                <w:kern w:val="2"/>
                <w:sz w:val="24"/>
                <w:szCs w:val="24"/>
                <w:lang w:val="en-US" w:eastAsia="zh-CN" w:bidi="ar"/>
              </w:rPr>
              <w:t>县（区）</w:t>
            </w:r>
            <w:r>
              <w:rPr>
                <w:rFonts w:hint="default" w:ascii="Times New Roman" w:hAnsi="Times New Roman" w:eastAsia="宋体" w:cs="Times New Roman"/>
                <w:color w:val="auto"/>
                <w:kern w:val="2"/>
                <w:sz w:val="24"/>
                <w:szCs w:val="24"/>
                <w:u w:val="single"/>
                <w:lang w:val="en-US" w:eastAsia="zh-CN" w:bidi="ar"/>
              </w:rPr>
              <w:t>石湾</w:t>
            </w:r>
            <w:r>
              <w:rPr>
                <w:rFonts w:hint="default" w:ascii="Times New Roman" w:hAnsi="Times New Roman" w:eastAsia="宋体" w:cs="Times New Roman"/>
                <w:color w:val="auto"/>
                <w:kern w:val="2"/>
                <w:sz w:val="24"/>
                <w:szCs w:val="24"/>
                <w:lang w:val="en-US" w:eastAsia="zh-CN" w:bidi="ar"/>
              </w:rPr>
              <w:t>镇</w:t>
            </w:r>
            <w:r>
              <w:rPr>
                <w:rFonts w:hint="default" w:ascii="Times New Roman" w:hAnsi="Times New Roman" w:eastAsia="宋体" w:cs="Times New Roman"/>
                <w:color w:val="auto"/>
                <w:kern w:val="2"/>
                <w:sz w:val="24"/>
                <w:szCs w:val="24"/>
                <w:u w:val="single"/>
                <w:lang w:val="en-US" w:eastAsia="zh-CN" w:bidi="ar"/>
              </w:rPr>
              <w:t>科技园大道南侧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5" w:type="pct"/>
            <w:gridSpan w:val="2"/>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地理坐标</w:t>
            </w:r>
          </w:p>
        </w:tc>
        <w:tc>
          <w:tcPr>
            <w:tcW w:w="4114" w:type="pct"/>
            <w:gridSpan w:val="3"/>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（113</w:t>
            </w:r>
            <w:r>
              <w:rPr>
                <w:rFonts w:hint="eastAsia" w:cs="Times New Roman"/>
                <w:color w:val="auto"/>
                <w:sz w:val="24"/>
                <w:u w:val="single"/>
                <w:lang w:val="en-US" w:eastAsia="zh-CN"/>
              </w:rPr>
              <w:t>度</w:t>
            </w:r>
            <w:r>
              <w:rPr>
                <w:rFonts w:hint="default" w:ascii="Times New Roman" w:hAnsi="Times New Roman" w:eastAsia="宋体" w:cs="Times New Roman"/>
                <w:color w:val="auto"/>
                <w:sz w:val="24"/>
              </w:rPr>
              <w:t>54</w:t>
            </w:r>
            <w:r>
              <w:rPr>
                <w:rFonts w:hint="eastAsia" w:cs="Times New Roman"/>
                <w:color w:val="auto"/>
                <w:sz w:val="24"/>
                <w:u w:val="single"/>
                <w:lang w:val="en-US" w:eastAsia="zh-CN"/>
              </w:rPr>
              <w:t>分</w:t>
            </w:r>
            <w:r>
              <w:rPr>
                <w:rFonts w:hint="default" w:ascii="Times New Roman" w:hAnsi="Times New Roman" w:eastAsia="宋体" w:cs="Times New Roman"/>
                <w:color w:val="auto"/>
                <w:sz w:val="24"/>
              </w:rPr>
              <w:t>31.853</w:t>
            </w:r>
            <w:r>
              <w:rPr>
                <w:rFonts w:hint="eastAsia" w:cs="Times New Roman"/>
                <w:color w:val="auto"/>
                <w:sz w:val="24"/>
                <w:u w:val="single"/>
                <w:lang w:val="en-US" w:eastAsia="zh-CN"/>
              </w:rPr>
              <w:t>秒</w:t>
            </w:r>
            <w:r>
              <w:rPr>
                <w:rFonts w:hint="default" w:ascii="Times New Roman" w:hAnsi="Times New Roman" w:eastAsia="宋体" w:cs="Times New Roman"/>
                <w:color w:val="auto"/>
                <w:sz w:val="24"/>
                <w:lang w:eastAsia="zh-CN"/>
              </w:rPr>
              <w:t>（113.908848</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，23</w:t>
            </w:r>
            <w:r>
              <w:rPr>
                <w:rFonts w:hint="eastAsia" w:cs="Times New Roman"/>
                <w:color w:val="auto"/>
                <w:sz w:val="24"/>
                <w:u w:val="single"/>
                <w:lang w:val="en-US" w:eastAsia="zh-CN"/>
              </w:rPr>
              <w:t>度</w:t>
            </w:r>
            <w:r>
              <w:rPr>
                <w:rFonts w:hint="default" w:ascii="Times New Roman" w:hAnsi="Times New Roman" w:eastAsia="宋体" w:cs="Times New Roman"/>
                <w:color w:val="auto"/>
                <w:sz w:val="24"/>
              </w:rPr>
              <w:t>10</w:t>
            </w:r>
            <w:r>
              <w:rPr>
                <w:rFonts w:hint="eastAsia" w:cs="Times New Roman"/>
                <w:color w:val="auto"/>
                <w:sz w:val="24"/>
                <w:u w:val="single"/>
                <w:lang w:val="en-US" w:eastAsia="zh-CN"/>
              </w:rPr>
              <w:t>分</w:t>
            </w:r>
            <w:r>
              <w:rPr>
                <w:rFonts w:hint="default" w:ascii="Times New Roman" w:hAnsi="Times New Roman" w:eastAsia="宋体" w:cs="Times New Roman"/>
                <w:color w:val="auto"/>
                <w:sz w:val="24"/>
              </w:rPr>
              <w:t>8.545</w:t>
            </w:r>
            <w:r>
              <w:rPr>
                <w:rFonts w:hint="eastAsia" w:cs="Times New Roman"/>
                <w:color w:val="auto"/>
                <w:sz w:val="24"/>
                <w:u w:val="single"/>
                <w:lang w:val="en-US" w:eastAsia="zh-CN"/>
              </w:rPr>
              <w:t>秒</w:t>
            </w:r>
            <w:r>
              <w:rPr>
                <w:rFonts w:hint="default" w:ascii="Times New Roman" w:hAnsi="Times New Roman" w:eastAsia="宋体" w:cs="Times New Roman"/>
                <w:color w:val="auto"/>
                <w:sz w:val="24"/>
                <w:lang w:eastAsia="zh-CN"/>
              </w:rPr>
              <w:t>（23.169040</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885" w:type="pct"/>
            <w:gridSpan w:val="2"/>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国民经济</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行业类别</w:t>
            </w:r>
          </w:p>
        </w:tc>
        <w:tc>
          <w:tcPr>
            <w:tcW w:w="1322" w:type="pct"/>
            <w:noWrap w:val="0"/>
            <w:vAlign w:val="center"/>
          </w:tcPr>
          <w:p>
            <w:pPr>
              <w:pStyle w:val="5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C33</w:t>
            </w:r>
            <w:r>
              <w:rPr>
                <w:rFonts w:hint="default" w:ascii="Times New Roman" w:hAnsi="Times New Roman" w:eastAsia="宋体" w:cs="Times New Roman"/>
                <w:color w:val="auto"/>
                <w:lang w:eastAsia="zh-CN"/>
              </w:rPr>
              <w:t>11 金属结构制造；C3351建筑、家具用金属配件制造；</w:t>
            </w:r>
          </w:p>
          <w:p>
            <w:pPr>
              <w:pStyle w:val="5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C3352建筑装饰及水暖管道零件制造；</w:t>
            </w:r>
          </w:p>
          <w:p>
            <w:pPr>
              <w:pStyle w:val="5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lang w:eastAsia="zh-CN"/>
              </w:rPr>
            </w:pPr>
          </w:p>
        </w:tc>
        <w:tc>
          <w:tcPr>
            <w:tcW w:w="1269"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bookmarkStart w:id="1" w:name="_Hlk49843745"/>
            <w:r>
              <w:rPr>
                <w:rFonts w:hint="default" w:ascii="Times New Roman" w:hAnsi="Times New Roman" w:eastAsia="宋体" w:cs="Times New Roman"/>
                <w:color w:val="auto"/>
                <w:sz w:val="24"/>
              </w:rPr>
              <w:t>建设项目</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行业类别</w:t>
            </w:r>
            <w:bookmarkEnd w:id="1"/>
          </w:p>
        </w:tc>
        <w:tc>
          <w:tcPr>
            <w:tcW w:w="1522"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三十、金属制品业 33-66结构性金属制品制造331；建筑、安全用金属制品制造 335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885" w:type="pct"/>
            <w:gridSpan w:val="2"/>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建设性质</w:t>
            </w:r>
          </w:p>
        </w:tc>
        <w:tc>
          <w:tcPr>
            <w:tcW w:w="1322" w:type="pct"/>
            <w:noWrap w:val="0"/>
            <w:vAlign w:val="center"/>
          </w:tcPr>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sym w:font="Wingdings 2" w:char="0052"/>
            </w:r>
            <w:r>
              <w:rPr>
                <w:rFonts w:hint="default" w:ascii="Times New Roman" w:hAnsi="Times New Roman" w:eastAsia="宋体" w:cs="Times New Roman"/>
                <w:color w:val="auto"/>
                <w:sz w:val="24"/>
              </w:rPr>
              <w:t>新建（迁建）</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sym w:font="Wingdings 2" w:char="00A3"/>
            </w:r>
            <w:r>
              <w:rPr>
                <w:rFonts w:hint="default" w:ascii="Times New Roman" w:hAnsi="Times New Roman" w:eastAsia="宋体" w:cs="Times New Roman"/>
                <w:color w:val="auto"/>
                <w:sz w:val="24"/>
              </w:rPr>
              <w:t>改建</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sym w:font="Wingdings 2" w:char="00A3"/>
            </w:r>
            <w:r>
              <w:rPr>
                <w:rFonts w:hint="default" w:ascii="Times New Roman" w:hAnsi="Times New Roman" w:eastAsia="宋体" w:cs="Times New Roman"/>
                <w:color w:val="auto"/>
                <w:sz w:val="24"/>
              </w:rPr>
              <w:t>扩建</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□技术改造</w:t>
            </w:r>
          </w:p>
        </w:tc>
        <w:tc>
          <w:tcPr>
            <w:tcW w:w="1269"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申报情形</w:t>
            </w:r>
          </w:p>
        </w:tc>
        <w:tc>
          <w:tcPr>
            <w:tcW w:w="1522" w:type="pct"/>
            <w:noWrap w:val="0"/>
            <w:vAlign w:val="center"/>
          </w:tcPr>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sym w:font="Wingdings 2" w:char="0052"/>
            </w:r>
            <w:r>
              <w:rPr>
                <w:rFonts w:hint="default" w:ascii="Times New Roman" w:hAnsi="Times New Roman" w:eastAsia="宋体" w:cs="Times New Roman"/>
                <w:color w:val="auto"/>
                <w:sz w:val="24"/>
              </w:rPr>
              <w:t xml:space="preserve">首次申报项目             </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sym w:font="Wingdings 2" w:char="00A3"/>
            </w:r>
            <w:r>
              <w:rPr>
                <w:rFonts w:hint="default" w:ascii="Times New Roman" w:hAnsi="Times New Roman" w:eastAsia="宋体" w:cs="Times New Roman"/>
                <w:color w:val="auto"/>
                <w:sz w:val="24"/>
              </w:rPr>
              <w:t>不予批准后再次申报项目</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□超五年重新审核项目     </w:t>
            </w:r>
          </w:p>
          <w:p>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885" w:type="pct"/>
            <w:gridSpan w:val="2"/>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项目审批（核准/</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备案）部门（选填）</w:t>
            </w:r>
          </w:p>
        </w:tc>
        <w:tc>
          <w:tcPr>
            <w:tcW w:w="1322"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rPr>
              <w:t>/</w:t>
            </w:r>
          </w:p>
        </w:tc>
        <w:tc>
          <w:tcPr>
            <w:tcW w:w="1269"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项目审批（核准/</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备案）文号（选填）</w:t>
            </w:r>
          </w:p>
        </w:tc>
        <w:tc>
          <w:tcPr>
            <w:tcW w:w="1522"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5" w:type="pct"/>
            <w:gridSpan w:val="2"/>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总投资（万元）</w:t>
            </w:r>
          </w:p>
        </w:tc>
        <w:tc>
          <w:tcPr>
            <w:tcW w:w="1322"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800</w:t>
            </w:r>
          </w:p>
        </w:tc>
        <w:tc>
          <w:tcPr>
            <w:tcW w:w="1269" w:type="pct"/>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环保投资（万元）</w:t>
            </w:r>
          </w:p>
        </w:tc>
        <w:tc>
          <w:tcPr>
            <w:tcW w:w="1522"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lang w:val="en-US" w:eastAsia="zh-CN"/>
              </w:rPr>
            </w:pPr>
            <w:r>
              <w:rPr>
                <w:rFonts w:hint="eastAsia"/>
                <w:lang w:val="en-US" w:eastAsia="zh-CN"/>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85" w:type="pct"/>
            <w:gridSpan w:val="2"/>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环保投资占比（%）</w:t>
            </w:r>
          </w:p>
        </w:tc>
        <w:tc>
          <w:tcPr>
            <w:tcW w:w="1322"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lang w:val="en-US" w:eastAsia="zh-CN"/>
              </w:rPr>
            </w:pPr>
            <w:r>
              <w:rPr>
                <w:rFonts w:hint="eastAsia"/>
                <w:lang w:val="en-US" w:eastAsia="zh-CN"/>
              </w:rPr>
              <w:t>3.75</w:t>
            </w:r>
          </w:p>
        </w:tc>
        <w:tc>
          <w:tcPr>
            <w:tcW w:w="1269" w:type="pct"/>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施工工期</w:t>
            </w:r>
          </w:p>
        </w:tc>
        <w:tc>
          <w:tcPr>
            <w:tcW w:w="1522"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2个月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5" w:type="pct"/>
            <w:gridSpan w:val="2"/>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是否开工建设</w:t>
            </w:r>
          </w:p>
        </w:tc>
        <w:tc>
          <w:tcPr>
            <w:tcW w:w="1322"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sym w:font="Wingdings 2" w:char="0052"/>
            </w:r>
            <w:r>
              <w:rPr>
                <w:rFonts w:hint="default" w:ascii="Times New Roman" w:hAnsi="Times New Roman" w:eastAsia="宋体" w:cs="Times New Roman"/>
                <w:color w:val="auto"/>
                <w:sz w:val="24"/>
              </w:rPr>
              <w:t>否</w:t>
            </w:r>
          </w:p>
          <w:p>
            <w:pPr>
              <w:keepNext w:val="0"/>
              <w:keepLines w:val="0"/>
              <w:suppressLineNumbers w:val="0"/>
              <w:adjustRightInd/>
              <w:snapToGrid/>
              <w:spacing w:before="0" w:beforeAutospacing="0" w:after="0" w:afterAutospacing="0" w:line="240" w:lineRule="auto"/>
              <w:ind w:left="0" w:right="0" w:firstLine="0" w:firstLineChars="0"/>
              <w:rPr>
                <w:rFonts w:hint="default" w:ascii="Times New Roman" w:hAnsi="Times New Roman" w:eastAsia="宋体" w:cs="Times New Roman"/>
                <w:color w:val="auto"/>
                <w:sz w:val="24"/>
                <w:lang w:val="en-US"/>
              </w:rPr>
            </w:pPr>
            <w:r>
              <w:rPr>
                <w:rFonts w:hint="default" w:ascii="Times New Roman" w:hAnsi="Times New Roman" w:eastAsia="宋体" w:cs="Times New Roman"/>
                <w:color w:val="auto"/>
                <w:sz w:val="24"/>
              </w:rPr>
              <w:sym w:font="Wingdings 2" w:char="00A3"/>
            </w:r>
            <w:r>
              <w:rPr>
                <w:rFonts w:hint="default" w:ascii="Times New Roman" w:hAnsi="Times New Roman" w:eastAsia="宋体" w:cs="Times New Roman"/>
                <w:color w:val="auto"/>
                <w:sz w:val="24"/>
              </w:rPr>
              <w:t>是：</w:t>
            </w:r>
            <w:r>
              <w:rPr>
                <w:rFonts w:hint="eastAsia" w:cs="Times New Roman"/>
                <w:color w:val="auto"/>
                <w:sz w:val="24"/>
                <w:u w:val="single"/>
                <w:lang w:val="en-US" w:eastAsia="zh-CN"/>
              </w:rPr>
              <w:t xml:space="preserve">     </w:t>
            </w:r>
          </w:p>
        </w:tc>
        <w:tc>
          <w:tcPr>
            <w:tcW w:w="1269" w:type="pct"/>
            <w:noWrap w:val="0"/>
            <w:tcMar>
              <w:top w:w="16" w:type="dxa"/>
              <w:left w:w="16" w:type="dxa"/>
              <w:right w:w="16"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pacing w:val="-6"/>
                <w:sz w:val="24"/>
              </w:rPr>
            </w:pPr>
            <w:r>
              <w:rPr>
                <w:rFonts w:hint="default" w:ascii="Times New Roman" w:hAnsi="Times New Roman" w:eastAsia="宋体" w:cs="Times New Roman"/>
                <w:color w:val="auto"/>
                <w:spacing w:val="-6"/>
                <w:sz w:val="24"/>
              </w:rPr>
              <w:t>用地（用海）</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6"/>
                <w:sz w:val="24"/>
              </w:rPr>
              <w:t>面积（m</w:t>
            </w:r>
            <w:r>
              <w:rPr>
                <w:rFonts w:hint="default" w:ascii="Times New Roman" w:hAnsi="Times New Roman" w:eastAsia="宋体" w:cs="Times New Roman"/>
                <w:color w:val="auto"/>
                <w:spacing w:val="-6"/>
                <w:sz w:val="24"/>
                <w:vertAlign w:val="superscript"/>
              </w:rPr>
              <w:t>2</w:t>
            </w:r>
            <w:r>
              <w:rPr>
                <w:rFonts w:hint="default" w:ascii="Times New Roman" w:hAnsi="Times New Roman" w:eastAsia="宋体" w:cs="Times New Roman"/>
                <w:color w:val="auto"/>
                <w:spacing w:val="-6"/>
                <w:sz w:val="24"/>
              </w:rPr>
              <w:t>）</w:t>
            </w:r>
          </w:p>
        </w:tc>
        <w:tc>
          <w:tcPr>
            <w:tcW w:w="1522"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1500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5" w:type="pct"/>
            <w:gridSpan w:val="2"/>
            <w:noWrap w:val="0"/>
            <w:vAlign w:val="center"/>
          </w:tcPr>
          <w:p>
            <w:pPr>
              <w:keepNext w:val="0"/>
              <w:keepLines w:val="0"/>
              <w:suppressLineNumbers w:val="0"/>
              <w:autoSpaceDE w:val="0"/>
              <w:autoSpaceDN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专项评价设置情况</w:t>
            </w:r>
          </w:p>
        </w:tc>
        <w:tc>
          <w:tcPr>
            <w:tcW w:w="4114" w:type="pct"/>
            <w:gridSpan w:val="3"/>
            <w:noWrap w:val="0"/>
            <w:vAlign w:val="center"/>
          </w:tcPr>
          <w:p>
            <w:pPr>
              <w:keepNext w:val="0"/>
              <w:keepLines w:val="0"/>
              <w:suppressLineNumbers w:val="0"/>
              <w:autoSpaceDE w:val="0"/>
              <w:autoSpaceDN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5" w:type="pct"/>
            <w:gridSpan w:val="2"/>
            <w:noWrap w:val="0"/>
            <w:vAlign w:val="center"/>
          </w:tcPr>
          <w:p>
            <w:pPr>
              <w:keepNext w:val="0"/>
              <w:keepLines w:val="0"/>
              <w:suppressLineNumbers w:val="0"/>
              <w:autoSpaceDE w:val="0"/>
              <w:autoSpaceDN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sz w:val="24"/>
              </w:rPr>
              <w:t>规划情况</w:t>
            </w:r>
          </w:p>
        </w:tc>
        <w:tc>
          <w:tcPr>
            <w:tcW w:w="4114" w:type="pct"/>
            <w:gridSpan w:val="3"/>
            <w:noWrap w:val="0"/>
            <w:vAlign w:val="center"/>
          </w:tcPr>
          <w:p>
            <w:pPr>
              <w:keepNext w:val="0"/>
              <w:keepLines w:val="0"/>
              <w:suppressLineNumbers w:val="0"/>
              <w:autoSpaceDE w:val="0"/>
              <w:autoSpaceDN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5" w:type="pct"/>
            <w:gridSpan w:val="2"/>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规划环境影响</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sz w:val="24"/>
              </w:rPr>
              <w:t>评价情况</w:t>
            </w:r>
          </w:p>
        </w:tc>
        <w:tc>
          <w:tcPr>
            <w:tcW w:w="4114" w:type="pct"/>
            <w:gridSpan w:val="3"/>
            <w:noWrap w:val="0"/>
            <w:vAlign w:val="center"/>
          </w:tcPr>
          <w:p>
            <w:pPr>
              <w:keepNext w:val="0"/>
              <w:keepLines w:val="0"/>
              <w:suppressLineNumbers w:val="0"/>
              <w:autoSpaceDE w:val="0"/>
              <w:autoSpaceDN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5" w:type="pct"/>
            <w:gridSpan w:val="2"/>
            <w:noWrap w:val="0"/>
            <w:vAlign w:val="center"/>
          </w:tcPr>
          <w:p>
            <w:pPr>
              <w:keepNext w:val="0"/>
              <w:keepLines w:val="0"/>
              <w:suppressLineNumbers w:val="0"/>
              <w:autoSpaceDE w:val="0"/>
              <w:autoSpaceDN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规划及规划环境影响评价符合性分析</w:t>
            </w:r>
          </w:p>
        </w:tc>
        <w:tc>
          <w:tcPr>
            <w:tcW w:w="4114" w:type="pct"/>
            <w:gridSpan w:val="3"/>
            <w:noWrap w:val="0"/>
            <w:vAlign w:val="center"/>
          </w:tcPr>
          <w:p>
            <w:pPr>
              <w:keepNext w:val="0"/>
              <w:keepLines w:val="0"/>
              <w:suppressLineNumbers w:val="0"/>
              <w:autoSpaceDE w:val="0"/>
              <w:autoSpaceDN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6" w:type="pct"/>
            <w:noWrap w:val="0"/>
            <w:vAlign w:val="center"/>
          </w:tcPr>
          <w:p>
            <w:pPr>
              <w:keepNext w:val="0"/>
              <w:keepLines w:val="0"/>
              <w:suppressLineNumbers w:val="0"/>
              <w:autoSpaceDE w:val="0"/>
              <w:autoSpaceDN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其他符合性分析</w:t>
            </w:r>
          </w:p>
        </w:tc>
        <w:tc>
          <w:tcPr>
            <w:tcW w:w="4743" w:type="pct"/>
            <w:gridSpan w:val="4"/>
            <w:noWrap w:val="0"/>
            <w:vAlign w:val="center"/>
          </w:tcPr>
          <w:p>
            <w:pPr>
              <w:keepNext w:val="0"/>
              <w:keepLines w:val="0"/>
              <w:widowControl w:val="0"/>
              <w:numPr>
                <w:ilvl w:val="0"/>
                <w:numId w:val="4"/>
              </w:numPr>
              <w:suppressLineNumbers w:val="0"/>
              <w:autoSpaceDE w:val="0"/>
              <w:autoSpaceDN w:val="0"/>
              <w:adjustRightInd w:val="0"/>
              <w:snapToGrid w:val="0"/>
              <w:spacing w:before="0" w:beforeAutospacing="0" w:after="0" w:afterAutospacing="0" w:line="360" w:lineRule="auto"/>
              <w:ind w:left="0" w:leftChars="0" w:right="0" w:firstLine="480" w:firstLineChars="200"/>
              <w:jc w:val="left"/>
              <w:rPr>
                <w:rFonts w:hint="default"/>
              </w:rPr>
            </w:pPr>
            <w:bookmarkStart w:id="2" w:name="广东省三线一单生态环境分区管控方案的相符性分析"/>
            <w:r>
              <w:rPr>
                <w:rFonts w:hint="default"/>
                <w:lang w:val="en-US" w:eastAsia="zh-CN"/>
              </w:rPr>
              <w:t>与《博罗县“三线一单”生态环境分区管控研究报告》的相符性：</w:t>
            </w:r>
          </w:p>
          <w:p>
            <w:pPr>
              <w:pStyle w:val="8"/>
              <w:keepNext w:val="0"/>
              <w:keepLines w:val="0"/>
              <w:widowControl w:val="0"/>
              <w:suppressLineNumbers w:val="0"/>
              <w:spacing w:before="0" w:beforeAutospacing="0" w:after="160" w:afterAutospacing="0"/>
              <w:ind w:left="0" w:right="0"/>
              <w:jc w:val="center"/>
              <w:rPr>
                <w:rFonts w:hint="default"/>
              </w:rPr>
            </w:pPr>
            <w:r>
              <w:rPr>
                <w:rFonts w:hint="default"/>
              </w:rPr>
              <w:t xml:space="preserve">表1- </w:t>
            </w:r>
            <w:r>
              <w:rPr>
                <w:rFonts w:hint="default"/>
              </w:rPr>
              <w:fldChar w:fldCharType="begin"/>
            </w:r>
            <w:r>
              <w:rPr>
                <w:rFonts w:hint="default"/>
              </w:rPr>
              <w:instrText xml:space="preserve"> SEQ 表1- \* ARABIC </w:instrText>
            </w:r>
            <w:r>
              <w:rPr>
                <w:rFonts w:hint="default"/>
              </w:rPr>
              <w:fldChar w:fldCharType="separate"/>
            </w:r>
            <w:r>
              <w:rPr>
                <w:rFonts w:hint="default"/>
              </w:rPr>
              <w:t>1</w:t>
            </w:r>
            <w:r>
              <w:rPr>
                <w:rFonts w:hint="default"/>
              </w:rPr>
              <w:fldChar w:fldCharType="end"/>
            </w:r>
            <w:r>
              <w:rPr>
                <w:rFonts w:hint="default"/>
                <w:lang w:val="en-US" w:eastAsia="zh-CN"/>
              </w:rPr>
              <w:t>项目与博罗县“三线一单”相符性分析情况表</w:t>
            </w:r>
          </w:p>
          <w:tbl>
            <w:tblPr>
              <w:tblStyle w:val="26"/>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64"/>
              <w:gridCol w:w="628"/>
              <w:gridCol w:w="763"/>
              <w:gridCol w:w="2900"/>
              <w:gridCol w:w="37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791"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序号</w:t>
                  </w:r>
                </w:p>
              </w:tc>
              <w:tc>
                <w:tcPr>
                  <w:tcW w:w="1273" w:type="dxa"/>
                  <w:gridSpan w:val="2"/>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三线</w:t>
                  </w:r>
                </w:p>
              </w:tc>
              <w:tc>
                <w:tcPr>
                  <w:tcW w:w="2653"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三线内容</w:t>
                  </w:r>
                </w:p>
              </w:tc>
              <w:tc>
                <w:tcPr>
                  <w:tcW w:w="3470"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本项目对照分析情况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91"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w:t>
                  </w:r>
                </w:p>
              </w:tc>
              <w:tc>
                <w:tcPr>
                  <w:tcW w:w="1273" w:type="dxa"/>
                  <w:gridSpan w:val="2"/>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生态保护红线和一般生态空间</w:t>
                  </w:r>
                </w:p>
              </w:tc>
              <w:tc>
                <w:tcPr>
                  <w:tcW w:w="2653"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根据《博罗县分类环境管控单元及环境准入负面清单》，全县生态保护红线面积 408.014 平方公里，占全县国土面积的 14.29%；一般生态空间面积 344.5 平方公里，占全县国土面积的12.07%。其中石湾镇生态保护红线面积0平方公里，一般生态空间0平方公里，生态空间一般管控区面积为81.290平方公里。</w:t>
                  </w:r>
                </w:p>
              </w:tc>
              <w:tc>
                <w:tcPr>
                  <w:tcW w:w="3470"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选址位于广东省惠州市博罗县石湾镇科技园大道南侧，根据《博罗县“三线一单”生态环境分区管控研究报告》的表3.3-2、博罗县生态保护红线分布图和博罗县“三线一单”生态环境分区管控图集》（以下简称《图集》）的博罗县生态空间最终划定情况（详见附图</w:t>
                  </w:r>
                  <w:r>
                    <w:rPr>
                      <w:rFonts w:hint="eastAsia"/>
                      <w:lang w:val="en-US" w:eastAsia="zh-CN"/>
                    </w:rPr>
                    <w:t>12</w:t>
                  </w:r>
                  <w:r>
                    <w:rPr>
                      <w:rFonts w:hint="default"/>
                      <w:lang w:val="en-US" w:eastAsia="zh-CN"/>
                    </w:rPr>
                    <w:t>），项目位于 ZH44132220001博罗沙河流域重点管控单元，项目不在生态保护红线和一般生态空间范围内。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8" w:hRule="atLeast"/>
              </w:trPr>
              <w:tc>
                <w:tcPr>
                  <w:tcW w:w="791" w:type="dxa"/>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2</w:t>
                  </w:r>
                </w:p>
              </w:tc>
              <w:tc>
                <w:tcPr>
                  <w:tcW w:w="575" w:type="dxa"/>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环境质量底线</w:t>
                  </w:r>
                </w:p>
              </w:tc>
              <w:tc>
                <w:tcPr>
                  <w:tcW w:w="698"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大气</w:t>
                  </w:r>
                </w:p>
              </w:tc>
              <w:tc>
                <w:tcPr>
                  <w:tcW w:w="2653"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大气环境质量继续位居全国前列：PM2.5、空气质量优良天数比例等主要指标达到“十四五”目标要求，臭氧污染得到有效遏制。</w:t>
                  </w:r>
                </w:p>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 xml:space="preserve">石湾镇大气环境优先保护单元面积为0平方公里，大气环境布局敏感重点管控区面积为0，大气环境高排放重点管控区面积为81.29平方公里，大气环境弱扩散重点管控区为0，大气环境一般管控区面积为0平方公里。 </w:t>
                  </w:r>
                </w:p>
              </w:tc>
              <w:tc>
                <w:tcPr>
                  <w:tcW w:w="3470"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所在区域空气环境功能区划为二类区，根据引用的《2022年惠州市生态环境状况公报》，项目所在区域环境空气质量满足《环境空气质量标准》（GB3095-2012）及其修改单二级标准；根据引用的监测结果表明，TSP满足《环境空气质量标准》（GB3095-2012）及其 2018 年修改单二级标准的要求；非甲烷总烃达到《大气污染物综合排放标准详解》中推荐的浓度限值要求；TVOC8小时平均浓度均能满足《环境影响评价技术导则 大气环境》（HJ 2.2-2018）附录D的标准值要求，无超标现象。</w:t>
                  </w:r>
                </w:p>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根据《博罗县“三线一单”生态环境分区管控研究报告》，项目选址属于大气环境高排放重点管控区。（详见附图9）。项目产生的颗粒物</w:t>
                  </w:r>
                  <w:r>
                    <w:rPr>
                      <w:rFonts w:hint="eastAsia"/>
                      <w:lang w:val="en-US" w:eastAsia="zh-CN"/>
                    </w:rPr>
                    <w:t>经滤筒除尘后由15m排气筒排放（DA001、DA002），</w:t>
                  </w:r>
                  <w:r>
                    <w:rPr>
                      <w:rFonts w:hint="default"/>
                      <w:lang w:val="en-US" w:eastAsia="zh-CN"/>
                    </w:rPr>
                    <w:t>VOCs收集后经水喷淋塔+活性炭吸附装置处理达标后由15m排气筒（DA00</w:t>
                  </w:r>
                  <w:r>
                    <w:rPr>
                      <w:rFonts w:hint="eastAsia"/>
                      <w:lang w:val="en-US" w:eastAsia="zh-CN"/>
                    </w:rPr>
                    <w:t>3</w:t>
                  </w:r>
                  <w:r>
                    <w:rPr>
                      <w:rFonts w:hint="default"/>
                      <w:lang w:val="en-US" w:eastAsia="zh-CN"/>
                    </w:rPr>
                    <w:t>、DA00</w:t>
                  </w:r>
                  <w:r>
                    <w:rPr>
                      <w:rFonts w:hint="eastAsia"/>
                      <w:lang w:val="en-US" w:eastAsia="zh-CN"/>
                    </w:rPr>
                    <w:t>4</w:t>
                  </w:r>
                  <w:r>
                    <w:rPr>
                      <w:rFonts w:hint="default"/>
                      <w:lang w:val="en-US" w:eastAsia="zh-CN"/>
                    </w:rPr>
                    <w:t>）排放，废气经处理后排放对大气环境质量影响不大。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7" w:hRule="atLeast"/>
              </w:trPr>
              <w:tc>
                <w:tcPr>
                  <w:tcW w:w="791" w:type="dxa"/>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575" w:type="dxa"/>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698"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水</w:t>
                  </w:r>
                </w:p>
              </w:tc>
              <w:tc>
                <w:tcPr>
                  <w:tcW w:w="2653"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全县水环境质量持续改善：国考、省考断面优良水质比例达到省下达的考核要求，全面消除劣Ⅴ类水体； 县级以上集中式饮用水水源水质 达到或优于Ⅲ类水体比例保持在 100% ，镇级及以下集  中式饮用水水源水质得到进一步保障。</w:t>
                  </w:r>
                </w:p>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石湾镇水环境优先保护区面积为0，水环境生活污染重点管控区面积为42.956平方公里，水环境一般管控区的面积为7.433平方公里，水环境工业污染重点管控区面积为30.901平方公里。</w:t>
                  </w:r>
                </w:p>
              </w:tc>
              <w:tc>
                <w:tcPr>
                  <w:tcW w:w="3470"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根据《博罗县“三线一单”生态环境分区管控研究报告》，项目选址属于水环境工业污染重点管控区（详见附图</w:t>
                  </w:r>
                  <w:r>
                    <w:rPr>
                      <w:rFonts w:hint="eastAsia"/>
                      <w:lang w:val="en-US" w:eastAsia="zh-CN"/>
                    </w:rPr>
                    <w:t>10</w:t>
                  </w:r>
                  <w:r>
                    <w:rPr>
                      <w:rFonts w:hint="default"/>
                      <w:lang w:val="en-US" w:eastAsia="zh-CN"/>
                    </w:rPr>
                    <w:t>）。</w:t>
                  </w:r>
                </w:p>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根据现状调查分析，石湾镇中心排渠氨氮、总磷、阴离子表面活性剂、粪大肠杆菌群出现不同程度的超标，石湾镇中心排渠水质无法满足《地表水环境质量标准》（GB3838-2002）Ⅴ类水标准。从超标项目上来看，纳污水体在一定程度上受到有机污染，水环境质量现状较差。鉴于项目区域水质较差，地方政府一方面应加快城镇生活污水处理厂及其管网的建设，另一方面环保部门需加强工业污染源的监管，确保水质达标：①加快片区生活污水处理厂建设进度：本项目所在地属于石湾镇大牛垒污水处理厂的纳污范围。片区内部分企业生活污水直接经化粪池处理后排放，这是造成水质污染日益严重的重要原因。因此，随着片区内企业的增加，片区必须尽快集中生活污水处理厂的建设进度，以削减进入排污渠的污染物总量。②清理河涌淤泥，并妥善处理处置。③加强石湾镇工业企业环境管理：石湾镇排污企业偷排、漏排不达标污水以及超水量排放污水也是造成排污渠污染的主要因素之一，因此，环境监察部门应严查严惩石湾镇偷排漏排企业，使企业做到达标且不超水量排放。</w:t>
                  </w:r>
                </w:p>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项目无生产废水外排，生活污水由三级化粪池预处理达标后经市政管网纳入博罗县石湾镇大牛垒污水处理厂进行处理。对附近的水体影响较小。</w:t>
                  </w:r>
                </w:p>
                <w:p>
                  <w:pPr>
                    <w:pStyle w:val="52"/>
                    <w:keepNext w:val="0"/>
                    <w:keepLines w:val="0"/>
                    <w:suppressLineNumbers w:val="0"/>
                    <w:bidi w:val="0"/>
                    <w:spacing w:before="0" w:beforeAutospacing="0" w:after="0" w:afterAutospacing="0"/>
                    <w:ind w:left="0" w:right="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1" w:type="dxa"/>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575" w:type="dxa"/>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698"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土壤</w:t>
                  </w:r>
                </w:p>
              </w:tc>
              <w:tc>
                <w:tcPr>
                  <w:tcW w:w="2653"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土壤环境风险得到有效管控， 受污染耕地安全利用率及污 染地块安全利用率均达到   “十四五”目标要求。石湾镇的建设用地一般管控区面积为26.089平方公里，未利用地一般管控区的面积为6.939平方公里。</w:t>
                  </w:r>
                </w:p>
              </w:tc>
              <w:tc>
                <w:tcPr>
                  <w:tcW w:w="3470"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根据《博罗县“三线一单”生态环境分区管控研究报告》，项目选址属于博罗县土壤环境一般管控区-不含农用地，（详见附图1</w:t>
                  </w:r>
                  <w:r>
                    <w:rPr>
                      <w:rFonts w:hint="eastAsia"/>
                      <w:lang w:val="en-US" w:eastAsia="zh-CN"/>
                    </w:rPr>
                    <w:t>1</w:t>
                  </w:r>
                  <w:r>
                    <w:rPr>
                      <w:rFonts w:hint="default"/>
                      <w:lang w:val="en-US" w:eastAsia="zh-CN"/>
                    </w:rPr>
                    <w:t>）。</w:t>
                  </w:r>
                </w:p>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本项目废气污染因子为总VOCs和颗粒物，不涉及重金属大气沉降，也不涉及地面漫流和垂直渗入，建设项目用地范围地面全部硬化，且本项目拟对危废间进行防腐防渗防泄漏处理，危废残液等不会渗透进土壤里。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7" w:hRule="atLeast"/>
              </w:trPr>
              <w:tc>
                <w:tcPr>
                  <w:tcW w:w="791"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3</w:t>
                  </w:r>
                </w:p>
              </w:tc>
              <w:tc>
                <w:tcPr>
                  <w:tcW w:w="1273" w:type="dxa"/>
                  <w:gridSpan w:val="2"/>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资源利用上线</w:t>
                  </w:r>
                </w:p>
              </w:tc>
              <w:tc>
                <w:tcPr>
                  <w:tcW w:w="2653"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绿色发展水平稳步提升，资 源能源利用效率持续提高。 水资源、土地资源、岸线资 源等达到或优于国家和省下 达的总量和强度控制目标。博罗县土地资源优先保护区面积为834.505平方公里，比例为29.23%；能源（煤炭）重点管控区面积为394.927平方公里，比例为13.83%矿产资源开采敏感区面积为633.776平方公里，比例为22.20%。</w:t>
                  </w:r>
                </w:p>
              </w:tc>
              <w:tc>
                <w:tcPr>
                  <w:tcW w:w="3470"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项目土地资源管控分区为一般管控区，不在高污染燃料禁燃区（能源（煤炭）重点管控区）、不在博罗县矿产资源开采敏感区（详见附图</w:t>
                  </w:r>
                  <w:r>
                    <w:rPr>
                      <w:rFonts w:hint="eastAsia"/>
                      <w:lang w:val="en-US" w:eastAsia="zh-CN"/>
                    </w:rPr>
                    <w:t>13、附图14</w:t>
                  </w:r>
                  <w:r>
                    <w:rPr>
                      <w:rFonts w:hint="default"/>
                      <w:lang w:val="en-US" w:eastAsia="zh-CN"/>
                    </w:rPr>
                    <w:t>），项目运营期消耗一定量的水资源、电能，由当地市政供水供电，区域水电资源较充足，项目消耗量没有超出资源负荷，不触碰资源利用上线。</w:t>
                  </w:r>
                </w:p>
              </w:tc>
            </w:tr>
          </w:tbl>
          <w:p>
            <w:pPr>
              <w:keepNext w:val="0"/>
              <w:keepLines w:val="0"/>
              <w:widowControl/>
              <w:suppressLineNumbers w:val="0"/>
              <w:spacing w:before="0" w:beforeAutospacing="0" w:after="0" w:afterAutospacing="0" w:line="360" w:lineRule="auto"/>
              <w:ind w:left="0" w:right="0" w:firstLine="480" w:firstLineChars="200"/>
              <w:jc w:val="left"/>
              <w:rPr>
                <w:rFonts w:hint="default"/>
              </w:rPr>
            </w:pPr>
            <w:r>
              <w:rPr>
                <w:rFonts w:hint="default"/>
                <w:lang w:val="en-US" w:eastAsia="zh-CN"/>
              </w:rPr>
              <w:t>②与生态环境准入清单相符性分析</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rPr>
            </w:pPr>
            <w:r>
              <w:rPr>
                <w:rFonts w:hint="default"/>
                <w:lang w:val="en-US" w:eastAsia="zh-CN"/>
              </w:rPr>
              <w:t>项目选址位于广东省惠州市博罗县石湾镇科技园大道南侧，根据《博罗县“三线一单”生态环境分区管控研究报告》，项目位于 ZH44132220001 博罗沙河流域重点管控单元，与该单元生态环境准入清单相符性分析如下表</w:t>
            </w:r>
            <w:r>
              <w:rPr>
                <w:rFonts w:hint="default"/>
                <w:lang w:val="en-US" w:eastAsia="zh-CN"/>
              </w:rPr>
              <w:fldChar w:fldCharType="begin"/>
            </w:r>
            <w:r>
              <w:rPr>
                <w:rFonts w:hint="default"/>
                <w:lang w:val="en-US" w:eastAsia="zh-CN"/>
              </w:rPr>
              <w:instrText xml:space="preserve"> REF _Ref3731 \h </w:instrText>
            </w:r>
            <w:r>
              <w:rPr>
                <w:rFonts w:hint="default"/>
                <w:lang w:val="en-US" w:eastAsia="zh-CN"/>
              </w:rPr>
              <w:fldChar w:fldCharType="separate"/>
            </w:r>
            <w:r>
              <w:rPr>
                <w:rFonts w:hint="default"/>
              </w:rPr>
              <w:t>表1- 2</w:t>
            </w:r>
            <w:r>
              <w:rPr>
                <w:rFonts w:hint="default"/>
                <w:lang w:val="en-US" w:eastAsia="zh-CN"/>
              </w:rPr>
              <w:fldChar w:fldCharType="end"/>
            </w:r>
            <w:r>
              <w:rPr>
                <w:rFonts w:hint="default"/>
                <w:lang w:val="en-US" w:eastAsia="zh-CN"/>
              </w:rPr>
              <w:t>。</w:t>
            </w:r>
          </w:p>
          <w:p>
            <w:pPr>
              <w:pStyle w:val="8"/>
              <w:keepNext w:val="0"/>
              <w:keepLines w:val="0"/>
              <w:widowControl w:val="0"/>
              <w:suppressLineNumbers w:val="0"/>
              <w:spacing w:before="0" w:beforeAutospacing="0" w:after="160" w:afterAutospacing="0"/>
              <w:ind w:left="0" w:right="0"/>
              <w:jc w:val="center"/>
              <w:rPr>
                <w:rFonts w:hint="default"/>
              </w:rPr>
            </w:pPr>
            <w:bookmarkStart w:id="3" w:name="_Ref26977"/>
            <w:bookmarkEnd w:id="3"/>
            <w:bookmarkStart w:id="4" w:name="_Ref3731"/>
            <w:r>
              <w:rPr>
                <w:rFonts w:hint="default"/>
              </w:rPr>
              <w:t xml:space="preserve">表1- </w:t>
            </w:r>
            <w:r>
              <w:rPr>
                <w:rFonts w:hint="default"/>
              </w:rPr>
              <w:fldChar w:fldCharType="begin"/>
            </w:r>
            <w:r>
              <w:rPr>
                <w:rFonts w:hint="default"/>
              </w:rPr>
              <w:instrText xml:space="preserve"> SEQ 表1- \* ARABIC </w:instrText>
            </w:r>
            <w:r>
              <w:rPr>
                <w:rFonts w:hint="default"/>
              </w:rPr>
              <w:fldChar w:fldCharType="separate"/>
            </w:r>
            <w:r>
              <w:rPr>
                <w:rFonts w:hint="default"/>
              </w:rPr>
              <w:t>2</w:t>
            </w:r>
            <w:r>
              <w:rPr>
                <w:rFonts w:hint="default"/>
              </w:rPr>
              <w:fldChar w:fldCharType="end"/>
            </w:r>
            <w:bookmarkEnd w:id="4"/>
            <w:r>
              <w:rPr>
                <w:rFonts w:hint="default"/>
                <w:lang w:val="en-US" w:eastAsia="zh-CN"/>
              </w:rPr>
              <w:t>与重点管控单元生态环境准入清单相符性表</w:t>
            </w:r>
          </w:p>
          <w:tbl>
            <w:tblPr>
              <w:tblStyle w:val="26"/>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61"/>
              <w:gridCol w:w="4159"/>
              <w:gridCol w:w="2850"/>
              <w:gridCol w:w="97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类别</w:t>
                  </w: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管控要求</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项目情况</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区域布局管控</w:t>
                  </w: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1-1. 【产业/鼓励引导类】饮用水水源保护区外的区域，重点发展电子信息、智能家电、先进材料等产业。</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选址属于饮用水水源保护区外区域，项目主要从事钣金件、灯饰配件、散热器的生产。符合：《产业结构调整指导目录(2019年本)》（国家发展和改革委员会第29号令）及《国家发展改革委关于修改&lt;产业结构调整指导目录（2019年本）&gt;有关条款的决定》和《市场准入负面清单（2022年版）》。</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项目项目主要从事钣金件、灯饰配件、散热器的生产，不在上述禁止建设项目范围内。</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5" w:hRule="atLeast"/>
              </w:trPr>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1-3.【产业/限制类】严格限制化工、包装印刷、工业涂装等高 VOCs排放建设项目。</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项目主要从事主要从事钣金件、灯饰配件、散热器的生产，生产过程中喷粉和喷漆会产生VOCs，涉VOCs物料为粉末涂料和水性油漆，根据《低挥发性有机化合物含量涂料产品技术要求》（GB/T 38597-2020），均属于低VOCs含量涂料</w:t>
                  </w:r>
                  <w:r>
                    <w:rPr>
                      <w:rFonts w:hint="default"/>
                      <w:lang w:eastAsia="zh-CN"/>
                    </w:rPr>
                    <w:t>。</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5" w:hRule="atLeast"/>
              </w:trPr>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1-4.【生态/限制类】 一般生态空间内可开展生态保护红线内允许的活动，在不影响主导生态功能的前提下，还可开展国家和省规定不纳入环评管理的项目建设，以及生态旅游、基础设施建设、 村庄建设等人为活动。</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项目不在生态保护红线和一般生态空间范围内。</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5" w:hRule="atLeast"/>
              </w:trPr>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1-5. 【水/禁止类】饮用水水源保护区涉及园洲镇东江饮用水水源保护区，饮用水水源保护区按照《广东省水污染防治条例》“第五章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根据《惠州市饮用水源保护区划调整方案》（粤府函[2014]188号）、《广东省人民政府关于调整惠州市部分饮用水水源保护区的批复》（粤府函〔2019〕270号）和《惠州市人民政府关于&lt;惠州市乡镇级及以下集中式饮用水水源保护区划定调整方案&gt;的批复》（惠府函[2020]317号），项目所在地不属于饮用水源保护区。</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5" w:hRule="atLeast"/>
              </w:trPr>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1-6. 【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项目主要从事钣金件、灯饰配件、散热器的生产，不属于禁止类的项目。</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5" w:hRule="atLeast"/>
              </w:trPr>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1-7.【水/禁止类】 畜禽禁养区内不得从事畜禽养殖业。</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项目主要从事钣金件、灯饰配件、散热器的生产，不属于禁止类的项目。</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5" w:hRule="atLeast"/>
              </w:trPr>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1-8. 【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项目主要从事钣金件、灯饰配件、散热器的生产，不属于养殖业的项目。</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rPr>
                  </w:pPr>
                  <w:r>
                    <w:rPr>
                      <w:rFonts w:hint="default"/>
                      <w:lang w:val="en-US" w:eastAsia="zh-CN"/>
                    </w:rPr>
                    <w:t>项目主要从事钣金件、灯饰配件、散热器的生产，涉VOCs物料为粉末涂料和水性油漆，根据《低挥发性有机化合物含量涂料产品技术要求》（GB/T 38597-2020），均属于低VOCs含量涂料。</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区域布局管控</w:t>
                  </w: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1-10. 【大气/鼓励引导类】大气环境高排放重点管控区内，强化达标监管，引导工业项目落地集聚发展，有序推进区域内行业企业提标改造。</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项目在大气环境高排放重点管控区，项目项目喷漆喷粉产生的颗粒物和总VOCs收集后经水喷淋塔+活性炭吸附装置处理达标后由15m排气筒（DA00</w:t>
                  </w:r>
                  <w:r>
                    <w:rPr>
                      <w:rFonts w:hint="eastAsia"/>
                      <w:lang w:val="en-US" w:eastAsia="zh-CN"/>
                    </w:rPr>
                    <w:t>3</w:t>
                  </w:r>
                  <w:r>
                    <w:rPr>
                      <w:rFonts w:hint="default"/>
                      <w:lang w:val="en-US" w:eastAsia="zh-CN"/>
                    </w:rPr>
                    <w:t>、DA00</w:t>
                  </w:r>
                  <w:r>
                    <w:rPr>
                      <w:rFonts w:hint="eastAsia"/>
                      <w:lang w:val="en-US" w:eastAsia="zh-CN"/>
                    </w:rPr>
                    <w:t>4</w:t>
                  </w:r>
                  <w:r>
                    <w:rPr>
                      <w:rFonts w:hint="default"/>
                      <w:lang w:val="en-US" w:eastAsia="zh-CN"/>
                    </w:rPr>
                    <w:t>）排放，喷砂产生的颗粒物收集后经滤筒除尘处理达标后由15m排气筒(</w:t>
                  </w:r>
                  <w:r>
                    <w:rPr>
                      <w:rFonts w:hint="eastAsia"/>
                      <w:lang w:val="en-US" w:eastAsia="zh-CN"/>
                    </w:rPr>
                    <w:t>DA001、</w:t>
                  </w:r>
                  <w:r>
                    <w:rPr>
                      <w:rFonts w:hint="default"/>
                      <w:lang w:val="en-US" w:eastAsia="zh-CN"/>
                    </w:rPr>
                    <w:t>DA00</w:t>
                  </w:r>
                  <w:r>
                    <w:rPr>
                      <w:rFonts w:hint="eastAsia"/>
                      <w:lang w:val="en-US" w:eastAsia="zh-CN"/>
                    </w:rPr>
                    <w:t>2</w:t>
                  </w:r>
                  <w:r>
                    <w:rPr>
                      <w:rFonts w:hint="default"/>
                      <w:lang w:val="en-US" w:eastAsia="zh-CN"/>
                    </w:rPr>
                    <w:t>)排放。</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1-11. 【土壤/禁止类】禁止在重金属重点防控区域内新建、改建、扩建增加重金属污染物排放总量的建设项目。</w:t>
                  </w:r>
                </w:p>
              </w:tc>
              <w:tc>
                <w:tcPr>
                  <w:tcW w:w="1592"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项目不产生排放重金属污染物排放总量。</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1-12. 【土壤/限制类】重金属污染防控非重点区新建、改扩建重金属排放项目，应落实重金属总量替代与削减要求，严格控制重点行业发展规模。强化涉重金属污染行业建设项目环评审批管理，严格执行环保“三同时”制度。</w:t>
                  </w:r>
                </w:p>
              </w:tc>
              <w:tc>
                <w:tcPr>
                  <w:tcW w:w="1592"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1-13. 【岸线/综合类】严格水域岸线用途管制，土地开发利用应按照有关法律法规和技术标准要求，留足河道和湖库的管理和保护范围，非法挤占的应限期退出。</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项目选址不属于水域岸线。</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能源资源利用</w:t>
                  </w: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2-1.【能源/鼓励引导类】鼓励降低煤炭消耗、能源消耗，引导光伏等多种形式的新能源利用。</w:t>
                  </w:r>
                </w:p>
              </w:tc>
              <w:tc>
                <w:tcPr>
                  <w:tcW w:w="1592"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项目生产过程中仅使用电能，无需使用其他能源。</w:t>
                  </w:r>
                </w:p>
              </w:tc>
              <w:tc>
                <w:tcPr>
                  <w:tcW w:w="546"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2-2.【能源/综合类】根据本地区大气环境质量改善要求逐步扩大高污染燃料禁燃区范围。</w:t>
                  </w:r>
                </w:p>
              </w:tc>
              <w:tc>
                <w:tcPr>
                  <w:tcW w:w="1592"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546"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污染排放管控</w:t>
                  </w: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3-1.【水/限制类】单元内城镇生活污水处理厂出水水质 COD、氨氮、总磷排放执行国家《地表水环境质量》（GB3838-2002）Ⅴ类标准，其余指标执行国家《城镇污水处理厂污染物排放标》（GB18918-2002）一级 A 标准与广东省《水污染物排放限值》较严值的标准。</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项目生产过程中无生产性废水外排，生活污水经化粪池预处理后通过市政管网排入石湾镇大牛垒污水处理厂进行处理。</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3-2. 【水/限制类】严格控制流域内增加水污染物排放或对东江水质、水环境安全构成影响的项目。</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项目无生产废水外排；项目生活污水经三级化粪池预处理后经市政管网进入石湾镇大牛垒污水处理厂深度处理。</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rPr>
                  </w:pPr>
                  <w:r>
                    <w:rPr>
                      <w:rFonts w:hint="default"/>
                      <w:lang w:val="en-US" w:eastAsia="zh-CN"/>
                    </w:rPr>
                    <w:t>项目生活污水经三级化粪池预处理后经市政管网进入石湾镇大牛垒污水处理厂深度处理，生活垃圾收集后由环卫部门清运。</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3-4.  【水/综合类】强化农业面源污染治理，控制农药化肥使用量。</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项目不属于农业类项目。</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3-5.【大气/限制类】重点行业新建涉VOCs排放的工业企业原则上应入园进区。新建项目VOCs实施倍量替代。</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项目主要从事钣金件、灯饰配件、散热器的生产，不属于重点行业。废气总量由惠州市生态环境局博罗分局进行分配。</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3-6.【土壤/禁止类】禁止向农用地排放重金属或者其他有毒有害物质含量超标的污水、污泥，以及可能造成土壤污染的清淤底泥、尾矿、矿渣等。</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项目生产过程中不产生重金属或者其他有毒有害物质含量超标的污水、污泥等。</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环境风险防控</w:t>
                  </w: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4-1. 【水/综合类】城镇污水处理厂应采取有效措施，防止事故废水直接排入水</w:t>
                  </w:r>
                </w:p>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体。</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项目主要从事钣金件、灯饰配件、散热器的生产，不属于城镇污水处理厂。</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4-2. 【水/综合类】加强饮用水水源保护区内环境风险排查，开展风险评估及水环境预警监测。</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项目选址不属于饮用水水源保护区内。</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p>
              </w:tc>
              <w:tc>
                <w:tcPr>
                  <w:tcW w:w="232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592"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项目生产过程中不生产、储存和使用有毒有害气体。</w:t>
                  </w:r>
                </w:p>
              </w:tc>
              <w:tc>
                <w:tcPr>
                  <w:tcW w:w="546"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符合</w:t>
                  </w:r>
                </w:p>
              </w:tc>
            </w:tr>
          </w:tbl>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default"/>
              </w:rPr>
            </w:pPr>
            <w:r>
              <w:rPr>
                <w:rFonts w:hint="default"/>
                <w:lang w:val="en-US" w:eastAsia="zh-CN"/>
              </w:rPr>
              <w:t>综上，本项目建设符合博罗县“三线一单”要求。</w:t>
            </w:r>
          </w:p>
          <w:bookmarkEnd w:id="2"/>
          <w:p>
            <w:pPr>
              <w:pStyle w:val="53"/>
              <w:keepNext w:val="0"/>
              <w:keepLines w:val="0"/>
              <w:numPr>
                <w:ilvl w:val="0"/>
                <w:numId w:val="4"/>
              </w:numPr>
              <w:suppressLineNumbers w:val="0"/>
              <w:spacing w:before="0" w:beforeAutospacing="0" w:after="0" w:afterAutospacing="0"/>
              <w:ind w:left="0" w:leftChars="0" w:right="0" w:rightChars="0" w:firstLine="400" w:firstLineChars="0"/>
              <w:rPr>
                <w:rFonts w:hint="default"/>
              </w:rPr>
            </w:pPr>
            <w:r>
              <w:rPr>
                <w:rFonts w:hint="default"/>
              </w:rPr>
              <w:t>项目与产业政策符合性分析：</w:t>
            </w:r>
          </w:p>
          <w:p>
            <w:pPr>
              <w:pStyle w:val="53"/>
              <w:keepNext w:val="0"/>
              <w:keepLines w:val="0"/>
              <w:suppressLineNumbers w:val="0"/>
              <w:spacing w:before="0" w:beforeAutospacing="0" w:after="0" w:afterAutospacing="0"/>
              <w:ind w:left="0" w:right="0"/>
              <w:rPr>
                <w:rFonts w:hint="default"/>
              </w:rPr>
            </w:pPr>
            <w:r>
              <w:rPr>
                <w:rFonts w:hint="default"/>
              </w:rPr>
              <w:t>项目项目主要从事钣金件、灯饰配件、散热器的生产，属于《国民经济行业分类》(GB／T4754-2017)（按第1号修改单修订）中的C3311 金属结构制造</w:t>
            </w:r>
            <w:r>
              <w:rPr>
                <w:rFonts w:hint="default"/>
                <w:lang w:eastAsia="zh-CN"/>
              </w:rPr>
              <w:t>、</w:t>
            </w:r>
            <w:r>
              <w:rPr>
                <w:rFonts w:hint="default"/>
              </w:rPr>
              <w:t>C3351建筑、家具用金属配件制造</w:t>
            </w:r>
            <w:r>
              <w:rPr>
                <w:rFonts w:hint="default"/>
                <w:lang w:eastAsia="zh-CN"/>
              </w:rPr>
              <w:t>、</w:t>
            </w:r>
            <w:r>
              <w:rPr>
                <w:rFonts w:hint="default"/>
              </w:rPr>
              <w:t>C3352建筑装饰及水暖管道零件制造</w:t>
            </w:r>
            <w:r>
              <w:rPr>
                <w:rFonts w:hint="default"/>
                <w:lang w:val="en-US" w:eastAsia="zh-CN"/>
              </w:rPr>
              <w:t>，因此</w:t>
            </w:r>
            <w:r>
              <w:rPr>
                <w:rFonts w:hint="default"/>
              </w:rPr>
              <w:t>项目不属于《产业结构调整指导目录（20</w:t>
            </w:r>
            <w:r>
              <w:rPr>
                <w:rFonts w:hint="default"/>
                <w:lang w:val="en-US" w:eastAsia="zh-CN"/>
              </w:rPr>
              <w:t>21</w:t>
            </w:r>
            <w:r>
              <w:rPr>
                <w:rFonts w:hint="default"/>
              </w:rPr>
              <w:t>年</w:t>
            </w:r>
            <w:r>
              <w:rPr>
                <w:rFonts w:hint="default"/>
                <w:lang w:val="en-US" w:eastAsia="zh-CN"/>
              </w:rPr>
              <w:t>修订版</w:t>
            </w:r>
            <w:r>
              <w:rPr>
                <w:rFonts w:hint="default"/>
              </w:rPr>
              <w:t>）》中的鼓励类、限制类和淘汰类；属于允许类生产项目；</w:t>
            </w:r>
            <w:r>
              <w:rPr>
                <w:rFonts w:hint="default"/>
                <w:lang w:val="en-US" w:eastAsia="zh-CN"/>
              </w:rPr>
              <w:t>项目不在</w:t>
            </w:r>
            <w:r>
              <w:rPr>
                <w:rFonts w:hint="default"/>
              </w:rPr>
              <w:t>《市场准入负面清单》（202</w:t>
            </w:r>
            <w:r>
              <w:rPr>
                <w:rFonts w:hint="default"/>
                <w:lang w:val="en-US" w:eastAsia="zh-CN"/>
              </w:rPr>
              <w:t>2</w:t>
            </w:r>
            <w:r>
              <w:rPr>
                <w:rFonts w:hint="default"/>
              </w:rPr>
              <w:t>年版）</w:t>
            </w:r>
            <w:r>
              <w:rPr>
                <w:rFonts w:hint="default"/>
                <w:lang w:val="en-US" w:eastAsia="zh-CN"/>
              </w:rPr>
              <w:t>中，属于允许类项目。</w:t>
            </w:r>
          </w:p>
          <w:p>
            <w:pPr>
              <w:keepNext w:val="0"/>
              <w:keepLines w:val="0"/>
              <w:numPr>
                <w:ilvl w:val="0"/>
                <w:numId w:val="4"/>
              </w:numPr>
              <w:suppressLineNumbers w:val="0"/>
              <w:autoSpaceDE w:val="0"/>
              <w:autoSpaceDN w:val="0"/>
              <w:adjustRightInd/>
              <w:snapToGrid/>
              <w:spacing w:before="0" w:beforeAutospacing="0" w:after="0" w:afterAutospacing="0" w:line="360" w:lineRule="auto"/>
              <w:ind w:left="0" w:leftChars="0" w:right="0" w:rightChars="0" w:firstLine="400" w:firstLineChars="0"/>
              <w:jc w:val="left"/>
              <w:rPr>
                <w:rFonts w:hint="default"/>
              </w:rPr>
            </w:pPr>
            <w:r>
              <w:rPr>
                <w:rFonts w:hint="default"/>
              </w:rPr>
              <w:t>项目与用地规划相符性分析：</w:t>
            </w:r>
          </w:p>
          <w:p>
            <w:pPr>
              <w:pStyle w:val="53"/>
              <w:keepNext w:val="0"/>
              <w:keepLines w:val="0"/>
              <w:suppressLineNumbers w:val="0"/>
              <w:spacing w:before="0" w:beforeAutospacing="0" w:after="0" w:afterAutospacing="0"/>
              <w:ind w:left="0" w:right="0"/>
              <w:rPr>
                <w:rFonts w:hint="default"/>
              </w:rPr>
            </w:pPr>
            <w:r>
              <w:rPr>
                <w:rFonts w:hint="default"/>
              </w:rPr>
              <w:t>项目用地在</w:t>
            </w:r>
            <w:r>
              <w:rPr>
                <w:rFonts w:hint="default"/>
                <w:lang w:eastAsia="zh-CN"/>
              </w:rPr>
              <w:t>惠州市博罗县石湾镇科技园大道南侧</w:t>
            </w:r>
            <w:r>
              <w:rPr>
                <w:rFonts w:hint="eastAsia"/>
                <w:lang w:eastAsia="zh-CN"/>
              </w:rPr>
              <w:t>，</w:t>
            </w:r>
            <w:r>
              <w:rPr>
                <w:rFonts w:hint="default"/>
              </w:rPr>
              <w:t>根据建设单位提供的</w:t>
            </w:r>
            <w:r>
              <w:rPr>
                <w:rFonts w:hint="default"/>
                <w:lang w:val="en-US" w:eastAsia="zh-CN"/>
              </w:rPr>
              <w:t>用地证明</w:t>
            </w:r>
            <w:r>
              <w:rPr>
                <w:rFonts w:hint="default"/>
              </w:rPr>
              <w:t>（详见附件2），该用地为</w:t>
            </w:r>
            <w:r>
              <w:rPr>
                <w:rFonts w:hint="default"/>
                <w:lang w:val="en-US" w:eastAsia="zh-CN"/>
              </w:rPr>
              <w:t>二类工业</w:t>
            </w:r>
            <w:r>
              <w:rPr>
                <w:rFonts w:hint="default"/>
              </w:rPr>
              <w:t>用地，具有合法性</w:t>
            </w:r>
            <w:r>
              <w:rPr>
                <w:rFonts w:hint="default"/>
                <w:lang w:eastAsia="zh-CN"/>
              </w:rPr>
              <w:t>，</w:t>
            </w:r>
            <w:r>
              <w:rPr>
                <w:rFonts w:hint="default"/>
              </w:rPr>
              <w:t>符合土地利用规划。</w:t>
            </w:r>
          </w:p>
          <w:p>
            <w:pPr>
              <w:keepNext w:val="0"/>
              <w:keepLines w:val="0"/>
              <w:numPr>
                <w:ilvl w:val="0"/>
                <w:numId w:val="4"/>
              </w:numPr>
              <w:suppressLineNumbers w:val="0"/>
              <w:autoSpaceDE w:val="0"/>
              <w:autoSpaceDN w:val="0"/>
              <w:adjustRightInd/>
              <w:snapToGrid/>
              <w:spacing w:before="0" w:beforeAutospacing="0" w:after="0" w:afterAutospacing="0" w:line="360" w:lineRule="auto"/>
              <w:ind w:left="0" w:leftChars="0" w:right="0" w:rightChars="0" w:firstLine="400" w:firstLineChars="0"/>
              <w:jc w:val="left"/>
              <w:rPr>
                <w:rFonts w:hint="default"/>
              </w:rPr>
            </w:pPr>
            <w:r>
              <w:rPr>
                <w:rFonts w:hint="default"/>
              </w:rPr>
              <w:t>项目与环境功能区相符性分析：</w:t>
            </w:r>
          </w:p>
          <w:p>
            <w:pPr>
              <w:pStyle w:val="53"/>
              <w:keepNext w:val="0"/>
              <w:keepLines w:val="0"/>
              <w:suppressLineNumbers w:val="0"/>
              <w:spacing w:before="0" w:beforeAutospacing="0" w:after="0" w:afterAutospacing="0"/>
              <w:ind w:left="0" w:right="0"/>
              <w:rPr>
                <w:rFonts w:hint="default"/>
              </w:rPr>
            </w:pPr>
            <w:r>
              <w:rPr>
                <w:rFonts w:hint="default"/>
                <w:lang w:eastAsia="zh-CN"/>
              </w:rPr>
              <w:t>（</w:t>
            </w:r>
            <w:r>
              <w:rPr>
                <w:rFonts w:hint="default"/>
                <w:lang w:val="en-US" w:eastAsia="zh-CN"/>
              </w:rPr>
              <w:t>1</w:t>
            </w:r>
            <w:r>
              <w:rPr>
                <w:rFonts w:hint="default"/>
                <w:lang w:eastAsia="zh-CN"/>
              </w:rPr>
              <w:t>）</w:t>
            </w:r>
            <w:r>
              <w:rPr>
                <w:rFonts w:hint="default"/>
              </w:rPr>
              <w:t>根据《惠州市饮用水源保护区划调整方案》（粤府函[2014]188号）、《广东省人民政府关于调整惠州市部分饮用水水源保护区的批复》（粤府函〔2019〕270号）和《惠州市人民政府关于&lt;惠州市乡镇级及以下集中式饮用水水源保护区划定调整方案&gt;的批复》（惠府函[2020]317号）</w:t>
            </w:r>
            <w:r>
              <w:rPr>
                <w:rFonts w:hint="default"/>
                <w:lang w:val="en-US" w:eastAsia="zh-CN"/>
              </w:rPr>
              <w:t>以及《</w:t>
            </w:r>
            <w:bookmarkStart w:id="5" w:name="惠州市饮用水源保护区图"/>
            <w:r>
              <w:rPr>
                <w:rFonts w:hint="default"/>
                <w:lang w:val="en-US" w:eastAsia="zh-CN"/>
              </w:rPr>
              <w:t>惠州市饮用水源保护区图</w:t>
            </w:r>
            <w:bookmarkEnd w:id="5"/>
            <w:r>
              <w:rPr>
                <w:rFonts w:hint="default"/>
                <w:lang w:val="en-US" w:eastAsia="zh-CN"/>
              </w:rPr>
              <w:t>》</w:t>
            </w:r>
            <w:r>
              <w:rPr>
                <w:rFonts w:hint="default"/>
              </w:rPr>
              <w:t>，项目所在地不属于饮用水源保护区。</w:t>
            </w:r>
          </w:p>
          <w:p>
            <w:pPr>
              <w:pStyle w:val="53"/>
              <w:keepNext w:val="0"/>
              <w:keepLines w:val="0"/>
              <w:suppressLineNumbers w:val="0"/>
              <w:spacing w:before="0" w:beforeAutospacing="0" w:after="0" w:afterAutospacing="0"/>
              <w:ind w:left="0" w:right="0"/>
              <w:rPr>
                <w:rFonts w:hint="default"/>
              </w:rPr>
            </w:pPr>
            <w:r>
              <w:rPr>
                <w:rFonts w:hint="default"/>
                <w:lang w:eastAsia="zh-CN"/>
              </w:rPr>
              <w:t>（</w:t>
            </w:r>
            <w:r>
              <w:rPr>
                <w:rFonts w:hint="default"/>
                <w:lang w:val="en-US" w:eastAsia="zh-CN"/>
              </w:rPr>
              <w:t>2</w:t>
            </w:r>
            <w:r>
              <w:rPr>
                <w:rFonts w:hint="default"/>
                <w:lang w:eastAsia="zh-CN"/>
              </w:rPr>
              <w:t>）</w:t>
            </w:r>
            <w:r>
              <w:rPr>
                <w:rFonts w:hint="default"/>
              </w:rPr>
              <w:t>根据《惠州市环境空气质量功能区划分方案》（2021年修订）（惠市环[2021]1号），所在区域空气环境功能区划为二类</w:t>
            </w:r>
            <w:r>
              <w:rPr>
                <w:rFonts w:hint="default"/>
                <w:lang w:val="en-US" w:eastAsia="zh-CN"/>
              </w:rPr>
              <w:t>功能</w:t>
            </w:r>
            <w:r>
              <w:rPr>
                <w:rFonts w:hint="default"/>
              </w:rPr>
              <w:t>区，</w:t>
            </w:r>
            <w:r>
              <w:rPr>
                <w:rFonts w:hint="default"/>
                <w:lang w:val="en-US" w:eastAsia="zh-CN"/>
              </w:rPr>
              <w:t>不属于</w:t>
            </w:r>
            <w:r>
              <w:rPr>
                <w:rFonts w:hint="default"/>
              </w:rPr>
              <w:t>环境空气质量一类功能区；</w:t>
            </w:r>
          </w:p>
          <w:p>
            <w:pPr>
              <w:pStyle w:val="53"/>
              <w:keepNext w:val="0"/>
              <w:keepLines w:val="0"/>
              <w:suppressLineNumbers w:val="0"/>
              <w:spacing w:before="0" w:beforeAutospacing="0" w:after="0" w:afterAutospacing="0"/>
              <w:ind w:left="0" w:right="0"/>
              <w:rPr>
                <w:rFonts w:hint="default"/>
              </w:rPr>
            </w:pPr>
            <w:r>
              <w:rPr>
                <w:rFonts w:hint="default"/>
                <w:lang w:eastAsia="zh-CN"/>
              </w:rPr>
              <w:t>（</w:t>
            </w:r>
            <w:r>
              <w:rPr>
                <w:rFonts w:hint="default"/>
                <w:lang w:val="en-US" w:eastAsia="zh-CN"/>
              </w:rPr>
              <w:t>3</w:t>
            </w:r>
            <w:r>
              <w:rPr>
                <w:rFonts w:hint="default"/>
                <w:lang w:eastAsia="zh-CN"/>
              </w:rPr>
              <w:t>）</w:t>
            </w:r>
            <w:r>
              <w:rPr>
                <w:rFonts w:hint="default"/>
                <w:lang w:val="en-US" w:eastAsia="zh-CN"/>
              </w:rPr>
              <w:t>对照</w:t>
            </w:r>
            <w:r>
              <w:rPr>
                <w:rFonts w:hint="default"/>
              </w:rPr>
              <w:t>《惠州市声环境功能区划分方案</w:t>
            </w:r>
            <w:r>
              <w:rPr>
                <w:rFonts w:hint="default"/>
                <w:lang w:eastAsia="zh-CN"/>
              </w:rPr>
              <w:t>（</w:t>
            </w:r>
            <w:r>
              <w:rPr>
                <w:rFonts w:hint="default"/>
                <w:lang w:val="en-US" w:eastAsia="zh-CN"/>
              </w:rPr>
              <w:t>2022年</w:t>
            </w:r>
            <w:r>
              <w:rPr>
                <w:rFonts w:hint="default"/>
                <w:lang w:eastAsia="zh-CN"/>
              </w:rPr>
              <w:t>）</w:t>
            </w:r>
            <w:r>
              <w:rPr>
                <w:rFonts w:hint="default"/>
              </w:rPr>
              <w:t>》（惠</w:t>
            </w:r>
            <w:r>
              <w:rPr>
                <w:rFonts w:hint="default"/>
                <w:lang w:val="en-US" w:eastAsia="zh-CN"/>
              </w:rPr>
              <w:t>市环</w:t>
            </w:r>
            <w:r>
              <w:rPr>
                <w:rFonts w:hint="default"/>
              </w:rPr>
              <w:t>[20</w:t>
            </w:r>
            <w:r>
              <w:rPr>
                <w:rFonts w:hint="default"/>
                <w:lang w:val="en-US" w:eastAsia="zh-CN"/>
              </w:rPr>
              <w:t>22</w:t>
            </w:r>
            <w:r>
              <w:rPr>
                <w:rFonts w:hint="default"/>
              </w:rPr>
              <w:t>]</w:t>
            </w:r>
            <w:r>
              <w:rPr>
                <w:rFonts w:hint="default"/>
                <w:lang w:val="en-US" w:eastAsia="zh-CN"/>
              </w:rPr>
              <w:t>33</w:t>
            </w:r>
            <w:r>
              <w:rPr>
                <w:rFonts w:hint="default"/>
              </w:rPr>
              <w:t>号），</w:t>
            </w:r>
            <w:r>
              <w:rPr>
                <w:rFonts w:hint="default"/>
                <w:lang w:eastAsia="zh-CN"/>
              </w:rPr>
              <w:t>项目</w:t>
            </w:r>
            <w:r>
              <w:rPr>
                <w:rFonts w:hint="default"/>
                <w:lang w:val="en-US" w:eastAsia="zh-CN"/>
              </w:rPr>
              <w:t>所在地</w:t>
            </w:r>
            <w:r>
              <w:rPr>
                <w:rFonts w:hint="default"/>
              </w:rPr>
              <w:t>属于未规划区域，经现场勘查，</w:t>
            </w:r>
            <w:r>
              <w:rPr>
                <w:rFonts w:hint="default"/>
                <w:lang w:eastAsia="zh-CN"/>
              </w:rPr>
              <w:t>项目</w:t>
            </w:r>
            <w:r>
              <w:rPr>
                <w:rFonts w:hint="default"/>
              </w:rPr>
              <w:t>周边为</w:t>
            </w:r>
            <w:r>
              <w:rPr>
                <w:rFonts w:hint="default"/>
                <w:lang w:val="en-US" w:eastAsia="zh-CN"/>
              </w:rPr>
              <w:t>工业聚集地、居民楼</w:t>
            </w:r>
            <w:r>
              <w:rPr>
                <w:rFonts w:hint="default"/>
              </w:rPr>
              <w:t>，</w:t>
            </w:r>
            <w:r>
              <w:rPr>
                <w:rFonts w:hint="default"/>
                <w:lang w:val="en-US" w:eastAsia="zh-CN"/>
              </w:rPr>
              <w:t>位于集镇，不属于集镇之外的工业集中区，根据</w:t>
            </w:r>
            <w:r>
              <w:rPr>
                <w:rFonts w:hint="default"/>
                <w:lang w:eastAsia="zh-CN"/>
              </w:rPr>
              <w:t>“</w:t>
            </w:r>
            <w:r>
              <w:rPr>
                <w:rFonts w:hint="default"/>
                <w:lang w:val="en-US" w:eastAsia="zh-CN"/>
              </w:rPr>
              <w:t>集镇</w:t>
            </w:r>
            <w:r>
              <w:rPr>
                <w:rFonts w:hint="default"/>
                <w:lang w:eastAsia="zh-CN"/>
              </w:rPr>
              <w:t>执行2类声环境功能区要求”</w:t>
            </w:r>
            <w:r>
              <w:rPr>
                <w:rFonts w:hint="default"/>
              </w:rPr>
              <w:t>划为2类声环境功能区，不属于声环境1类区。</w:t>
            </w:r>
            <w:r>
              <w:rPr>
                <w:rFonts w:hint="default"/>
                <w:lang w:val="en-US" w:eastAsia="zh-CN"/>
              </w:rPr>
              <w:t>故本项目</w:t>
            </w:r>
            <w:r>
              <w:rPr>
                <w:rFonts w:hint="default"/>
              </w:rPr>
              <w:t>选址符合环境功能区划的要求。</w:t>
            </w:r>
          </w:p>
          <w:p>
            <w:pPr>
              <w:keepNext w:val="0"/>
              <w:keepLines w:val="0"/>
              <w:numPr>
                <w:ilvl w:val="0"/>
                <w:numId w:val="4"/>
              </w:numPr>
              <w:suppressLineNumbers w:val="0"/>
              <w:autoSpaceDE w:val="0"/>
              <w:autoSpaceDN w:val="0"/>
              <w:adjustRightInd/>
              <w:snapToGrid/>
              <w:spacing w:before="0" w:beforeAutospacing="0" w:after="0" w:afterAutospacing="0" w:line="360" w:lineRule="auto"/>
              <w:ind w:left="0" w:leftChars="0" w:right="0" w:rightChars="0" w:firstLine="400" w:firstLineChars="0"/>
              <w:jc w:val="left"/>
              <w:rPr>
                <w:rFonts w:hint="default"/>
              </w:rPr>
            </w:pPr>
            <w:r>
              <w:rPr>
                <w:rFonts w:hint="default"/>
              </w:rPr>
              <w:t>项目与《关于严格限制东江流域水污染项目建设进一步做好东江水质保护工作的通知》（粤府函〔2011〕339号）及其补充通知（粤府函〔2013〕231号）的相符性分析：</w:t>
            </w:r>
          </w:p>
          <w:p>
            <w:pPr>
              <w:pStyle w:val="53"/>
              <w:keepNext w:val="0"/>
              <w:keepLines w:val="0"/>
              <w:suppressLineNumbers w:val="0"/>
              <w:spacing w:before="0" w:beforeAutospacing="0" w:after="0" w:afterAutospacing="0"/>
              <w:ind w:left="0" w:right="0"/>
              <w:rPr>
                <w:rFonts w:hint="default"/>
              </w:rPr>
            </w:pPr>
            <w:r>
              <w:rPr>
                <w:rFonts w:hint="default"/>
              </w:rPr>
              <w:t>①《关于严格限制东江流域水污染项目建设进一步做好东江水质保护工作的通知》（粤府函[2011]339号）部分内容</w:t>
            </w:r>
          </w:p>
          <w:p>
            <w:pPr>
              <w:pStyle w:val="53"/>
              <w:keepNext w:val="0"/>
              <w:keepLines w:val="0"/>
              <w:suppressLineNumbers w:val="0"/>
              <w:spacing w:before="0" w:beforeAutospacing="0" w:after="0" w:afterAutospacing="0"/>
              <w:ind w:left="0" w:right="0"/>
              <w:rPr>
                <w:rFonts w:hint="default"/>
              </w:rPr>
            </w:pPr>
            <w:r>
              <w:rPr>
                <w:rFonts w:hint="default"/>
              </w:rPr>
              <w:t>根据《广东省人民政府关于严格限制东江流域水污染项目建设进一步做好东江水质保护工作的通知》（粤府函[2011]339号）：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pStyle w:val="53"/>
              <w:keepNext w:val="0"/>
              <w:keepLines w:val="0"/>
              <w:suppressLineNumbers w:val="0"/>
              <w:spacing w:before="0" w:beforeAutospacing="0" w:after="0" w:afterAutospacing="0"/>
              <w:ind w:left="0" w:right="0"/>
              <w:rPr>
                <w:rFonts w:hint="default"/>
              </w:rPr>
            </w:pPr>
            <w:r>
              <w:rPr>
                <w:rFonts w:hint="default"/>
              </w:rPr>
              <w:t>②《广东省人民政府关于严格限制东江流域水污染项目建设进一步做好东江水质保护工作的补充通知》（粤府函〔2013〕231号）部分内容</w:t>
            </w:r>
          </w:p>
          <w:p>
            <w:pPr>
              <w:pStyle w:val="53"/>
              <w:keepNext w:val="0"/>
              <w:keepLines w:val="0"/>
              <w:suppressLineNumbers w:val="0"/>
              <w:spacing w:before="0" w:beforeAutospacing="0" w:after="0" w:afterAutospacing="0"/>
              <w:ind w:left="0" w:right="0"/>
              <w:rPr>
                <w:rFonts w:hint="default"/>
              </w:rPr>
            </w:pPr>
            <w:r>
              <w:rPr>
                <w:rFonts w:hint="default"/>
              </w:rPr>
              <w:t>I.增加东江一级支流沙河为流域严格控制污染项目建设的支流。</w:t>
            </w:r>
          </w:p>
          <w:p>
            <w:pPr>
              <w:pStyle w:val="53"/>
              <w:keepNext w:val="0"/>
              <w:keepLines w:val="0"/>
              <w:suppressLineNumbers w:val="0"/>
              <w:spacing w:before="0" w:beforeAutospacing="0" w:after="0" w:afterAutospacing="0"/>
              <w:ind w:left="0" w:right="0"/>
              <w:rPr>
                <w:rFonts w:hint="default"/>
              </w:rPr>
            </w:pPr>
            <w:r>
              <w:rPr>
                <w:rFonts w:hint="default"/>
              </w:rPr>
              <w:t>II.符合下列条件之一的建设项目，不列入禁止建设和暂停审批范围：</w:t>
            </w:r>
          </w:p>
          <w:p>
            <w:pPr>
              <w:pStyle w:val="53"/>
              <w:keepNext w:val="0"/>
              <w:keepLines w:val="0"/>
              <w:suppressLineNumbers w:val="0"/>
              <w:spacing w:before="0" w:beforeAutospacing="0" w:after="0" w:afterAutospacing="0"/>
              <w:ind w:left="0" w:right="0"/>
              <w:rPr>
                <w:rFonts w:hint="default"/>
              </w:rPr>
            </w:pPr>
            <w:r>
              <w:rPr>
                <w:rFonts w:hint="default"/>
              </w:rPr>
              <w:t>a.建设地点位于东江流域，但不排放废水或废水不排入东江及其支流，不会对东江水质和水环境安全构成影响的项目；</w:t>
            </w:r>
          </w:p>
          <w:p>
            <w:pPr>
              <w:pStyle w:val="53"/>
              <w:keepNext w:val="0"/>
              <w:keepLines w:val="0"/>
              <w:suppressLineNumbers w:val="0"/>
              <w:spacing w:before="0" w:beforeAutospacing="0" w:after="0" w:afterAutospacing="0"/>
              <w:ind w:left="0" w:right="0"/>
              <w:rPr>
                <w:rFonts w:hint="default"/>
              </w:rPr>
            </w:pPr>
            <w:r>
              <w:rPr>
                <w:rFonts w:hint="default"/>
              </w:rPr>
              <w:t>b.通过提高清洁生产和污染防治水平，能够做到增产不增污、增产减污、技改减污的改（扩）建项目及同流域内迁建减污项目；</w:t>
            </w:r>
          </w:p>
          <w:p>
            <w:pPr>
              <w:pStyle w:val="53"/>
              <w:keepNext w:val="0"/>
              <w:keepLines w:val="0"/>
              <w:suppressLineNumbers w:val="0"/>
              <w:spacing w:before="0" w:beforeAutospacing="0" w:after="0" w:afterAutospacing="0"/>
              <w:ind w:left="0" w:right="0"/>
              <w:rPr>
                <w:rFonts w:hint="default"/>
              </w:rPr>
            </w:pPr>
            <w:r>
              <w:rPr>
                <w:rFonts w:hint="default"/>
              </w:rPr>
              <w:t>c.流域内拟迁入重污染行业统一规划、统一定点基地，且符合基地规划环评审查意见的建设项目。</w:t>
            </w:r>
          </w:p>
          <w:p>
            <w:pPr>
              <w:pStyle w:val="53"/>
              <w:keepNext w:val="0"/>
              <w:keepLines w:val="0"/>
              <w:suppressLineNumbers w:val="0"/>
              <w:spacing w:before="0" w:beforeAutospacing="0" w:after="0" w:afterAutospacing="0"/>
              <w:ind w:left="0" w:right="0"/>
              <w:rPr>
                <w:rFonts w:hint="default"/>
              </w:rPr>
            </w:pPr>
            <w:r>
              <w:rPr>
                <w:rFonts w:hint="default"/>
              </w:rPr>
              <w:t>III.对《通知》附件</w:t>
            </w:r>
            <w:r>
              <w:rPr>
                <w:rFonts w:hint="default"/>
                <w:lang w:eastAsia="zh-CN"/>
              </w:rPr>
              <w:t>“</w:t>
            </w:r>
            <w:r>
              <w:rPr>
                <w:rFonts w:hint="default"/>
              </w:rPr>
              <w:t>东江流域包含的主要行政区域</w:t>
            </w:r>
            <w:r>
              <w:rPr>
                <w:rFonts w:hint="default"/>
                <w:lang w:eastAsia="zh-CN"/>
              </w:rPr>
              <w:t>”</w:t>
            </w:r>
            <w:r>
              <w:rPr>
                <w:rFonts w:hint="default"/>
              </w:rPr>
              <w:t>作适当调整：</w:t>
            </w:r>
          </w:p>
          <w:p>
            <w:pPr>
              <w:pStyle w:val="53"/>
              <w:keepNext w:val="0"/>
              <w:keepLines w:val="0"/>
              <w:suppressLineNumbers w:val="0"/>
              <w:spacing w:before="0" w:beforeAutospacing="0" w:after="0" w:afterAutospacing="0"/>
              <w:ind w:left="0" w:right="0"/>
              <w:rPr>
                <w:rFonts w:hint="default"/>
              </w:rPr>
            </w:pPr>
            <w:r>
              <w:rPr>
                <w:rFonts w:hint="default"/>
              </w:rPr>
              <w:t>………………</w:t>
            </w:r>
          </w:p>
          <w:p>
            <w:pPr>
              <w:pStyle w:val="53"/>
              <w:keepNext w:val="0"/>
              <w:keepLines w:val="0"/>
              <w:suppressLineNumbers w:val="0"/>
              <w:spacing w:before="0" w:beforeAutospacing="0" w:after="0" w:afterAutospacing="0"/>
              <w:ind w:left="0" w:right="0"/>
              <w:rPr>
                <w:rFonts w:hint="default"/>
              </w:rPr>
            </w:pPr>
            <w:r>
              <w:rPr>
                <w:rFonts w:hint="default"/>
              </w:rPr>
              <w:t>c.惠州市的适用区域调整为除大亚湾经济技术开发区和惠阳区沿海地区、惠东县沿海地区（稔山镇、吉隆镇、铁涌镇、平海镇、巽寮办事处）之外废水排入东江及其支流的全部范围；</w:t>
            </w:r>
          </w:p>
          <w:p>
            <w:pPr>
              <w:pStyle w:val="53"/>
              <w:keepNext w:val="0"/>
              <w:keepLines w:val="0"/>
              <w:suppressLineNumbers w:val="0"/>
              <w:spacing w:before="0" w:beforeAutospacing="0" w:after="0" w:afterAutospacing="0"/>
              <w:ind w:left="0" w:right="0"/>
              <w:rPr>
                <w:rFonts w:hint="default"/>
              </w:rPr>
            </w:pPr>
            <w:r>
              <w:rPr>
                <w:rFonts w:hint="default"/>
              </w:rPr>
              <w:t>………………</w:t>
            </w:r>
          </w:p>
          <w:p>
            <w:pPr>
              <w:pStyle w:val="53"/>
              <w:keepNext w:val="0"/>
              <w:keepLines w:val="0"/>
              <w:suppressLineNumbers w:val="0"/>
              <w:spacing w:before="0" w:beforeAutospacing="0" w:after="0" w:afterAutospacing="0"/>
              <w:ind w:left="0" w:right="0"/>
              <w:rPr>
                <w:rFonts w:hint="default"/>
              </w:rPr>
            </w:pPr>
            <w:r>
              <w:rPr>
                <w:rFonts w:hint="default"/>
              </w:rPr>
              <w:t>相符性分析：</w:t>
            </w:r>
            <w:r>
              <w:rPr>
                <w:rFonts w:hint="default"/>
                <w:lang w:eastAsia="zh-CN"/>
              </w:rPr>
              <w:t>本项目属于C</w:t>
            </w:r>
            <w:r>
              <w:rPr>
                <w:rFonts w:hint="default"/>
                <w:lang w:val="en-US" w:eastAsia="zh-CN"/>
              </w:rPr>
              <w:t>3311金属结构制造和C335建筑、安全用金属制品制造</w:t>
            </w:r>
            <w:r>
              <w:rPr>
                <w:rFonts w:hint="default"/>
              </w:rPr>
              <w:t>项目，不涉及酸洗、磷化，且不属于禁止审批和暂停审批的行业，项目无生产废水排放，生活污水经三级化粪池预处理后进入</w:t>
            </w:r>
            <w:r>
              <w:rPr>
                <w:rFonts w:hint="default"/>
                <w:lang w:val="en-US" w:eastAsia="zh-CN"/>
              </w:rPr>
              <w:t>石湾镇大牛垒污水处理厂</w:t>
            </w:r>
            <w:r>
              <w:rPr>
                <w:rFonts w:hint="default"/>
              </w:rPr>
              <w:t>处理，</w:t>
            </w:r>
            <w:r>
              <w:rPr>
                <w:rFonts w:hint="default"/>
                <w:lang w:val="en-US" w:eastAsia="zh-CN"/>
              </w:rPr>
              <w:t>尾水</w:t>
            </w:r>
            <w:r>
              <w:rPr>
                <w:rFonts w:hint="default"/>
              </w:rPr>
              <w:t>处理达标后</w:t>
            </w:r>
            <w:r>
              <w:rPr>
                <w:rFonts w:hint="default"/>
                <w:lang w:val="en-US" w:eastAsia="zh-CN"/>
              </w:rPr>
              <w:t>排入石湾镇中心排渠</w:t>
            </w:r>
            <w:r>
              <w:rPr>
                <w:rFonts w:hint="default"/>
              </w:rPr>
              <w:t>。因此，本项目污水的排放符合《关于严格限制东江流域水污染项目建设进一步做好东江水质保护工作的通知》（粤府[2011]339号）及《广东省人民政府关于严格限制东江流域水污染项目建设进一步做好东江水质保护工作的补充通知》（粤府函[2013]231号）的相关规定。</w:t>
            </w:r>
          </w:p>
          <w:p>
            <w:pPr>
              <w:keepNext w:val="0"/>
              <w:keepLines w:val="0"/>
              <w:numPr>
                <w:ilvl w:val="0"/>
                <w:numId w:val="4"/>
              </w:numPr>
              <w:suppressLineNumbers w:val="0"/>
              <w:adjustRightInd/>
              <w:snapToGrid/>
              <w:spacing w:before="0" w:beforeAutospacing="0" w:after="0" w:afterAutospacing="0" w:line="360" w:lineRule="auto"/>
              <w:ind w:left="0" w:leftChars="0" w:right="0" w:rightChars="0" w:firstLine="400" w:firstLineChars="0"/>
              <w:rPr>
                <w:rFonts w:hint="default"/>
              </w:rPr>
            </w:pPr>
            <w:r>
              <w:rPr>
                <w:rFonts w:hint="default"/>
              </w:rPr>
              <w:t>与《广东省水污染防治条例》（2020年11月27日广东省第十三届人民代表大会常务委员会第二十六次会议通过）相符性分析</w:t>
            </w:r>
          </w:p>
          <w:p>
            <w:pPr>
              <w:pStyle w:val="53"/>
              <w:keepNext w:val="0"/>
              <w:keepLines w:val="0"/>
              <w:suppressLineNumbers w:val="0"/>
              <w:spacing w:before="0" w:beforeAutospacing="0" w:after="0" w:afterAutospacing="0"/>
              <w:ind w:left="0" w:right="0"/>
              <w:rPr>
                <w:rFonts w:hint="default"/>
              </w:rPr>
            </w:pPr>
            <w:r>
              <w:rPr>
                <w:rFonts w:hint="default"/>
              </w:rPr>
              <w:t>第十七条 新建、改建、扩建直接或者间接向水体排放污染物的建设项目和其他水上设施，应当符合生态环境准入清单要求，并依法进行环境影响评价。......</w:t>
            </w:r>
          </w:p>
          <w:p>
            <w:pPr>
              <w:pStyle w:val="53"/>
              <w:keepNext w:val="0"/>
              <w:keepLines w:val="0"/>
              <w:suppressLineNumbers w:val="0"/>
              <w:spacing w:before="0" w:beforeAutospacing="0" w:after="0" w:afterAutospacing="0"/>
              <w:ind w:left="0" w:right="0"/>
              <w:rPr>
                <w:rFonts w:hint="default"/>
              </w:rPr>
            </w:pPr>
            <w:r>
              <w:rPr>
                <w:rFonts w:hint="default"/>
              </w:rPr>
              <w:t>第二十条 本省根据国家有关规定，对直接或者间接向水体排放废水、污水的企业事业单位和其他生产经营者实行排污许可管理。</w:t>
            </w:r>
          </w:p>
          <w:p>
            <w:pPr>
              <w:pStyle w:val="53"/>
              <w:keepNext w:val="0"/>
              <w:keepLines w:val="0"/>
              <w:suppressLineNumbers w:val="0"/>
              <w:spacing w:before="0" w:beforeAutospacing="0" w:after="0" w:afterAutospacing="0"/>
              <w:ind w:left="0" w:right="0"/>
              <w:rPr>
                <w:rFonts w:hint="default"/>
              </w:rPr>
            </w:pPr>
            <w:r>
              <w:rPr>
                <w:rFonts w:hint="default"/>
              </w:rPr>
              <w:t>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p>
          <w:p>
            <w:pPr>
              <w:pStyle w:val="53"/>
              <w:keepNext w:val="0"/>
              <w:keepLines w:val="0"/>
              <w:suppressLineNumbers w:val="0"/>
              <w:spacing w:before="0" w:beforeAutospacing="0" w:after="0" w:afterAutospacing="0"/>
              <w:ind w:left="0" w:right="0"/>
              <w:rPr>
                <w:rFonts w:hint="default"/>
              </w:rPr>
            </w:pPr>
            <w:r>
              <w:rPr>
                <w:rFonts w:hint="default"/>
              </w:rPr>
              <w:t>第二十二条 排污单位应当按照经批准或者备案的环境影响评价文件要求建设水污染防治设施。水污染防治设施应当与主体工程同时设计、同时施工、同时投入使用。</w:t>
            </w:r>
          </w:p>
          <w:p>
            <w:pPr>
              <w:pStyle w:val="53"/>
              <w:keepNext w:val="0"/>
              <w:keepLines w:val="0"/>
              <w:suppressLineNumbers w:val="0"/>
              <w:spacing w:before="0" w:beforeAutospacing="0" w:after="0" w:afterAutospacing="0"/>
              <w:ind w:left="0" w:right="0"/>
              <w:rPr>
                <w:rFonts w:hint="default"/>
              </w:rPr>
            </w:pPr>
            <w:r>
              <w:rPr>
                <w:rFonts w:hint="default"/>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pStyle w:val="53"/>
              <w:keepNext w:val="0"/>
              <w:keepLines w:val="0"/>
              <w:suppressLineNumbers w:val="0"/>
              <w:spacing w:before="0" w:beforeAutospacing="0" w:after="0" w:afterAutospacing="0"/>
              <w:ind w:left="0" w:right="0"/>
              <w:rPr>
                <w:rFonts w:hint="default"/>
              </w:rPr>
            </w:pPr>
            <w:r>
              <w:rPr>
                <w:rFonts w:hint="default"/>
              </w:rPr>
              <w:t>......</w:t>
            </w:r>
          </w:p>
          <w:p>
            <w:pPr>
              <w:pStyle w:val="53"/>
              <w:keepNext w:val="0"/>
              <w:keepLines w:val="0"/>
              <w:suppressLineNumbers w:val="0"/>
              <w:spacing w:before="0" w:beforeAutospacing="0" w:after="0" w:afterAutospacing="0"/>
              <w:ind w:left="0" w:right="0"/>
              <w:rPr>
                <w:rFonts w:hint="default"/>
              </w:rPr>
            </w:pPr>
            <w:r>
              <w:rPr>
                <w:rFonts w:hint="default"/>
              </w:rPr>
              <w:t>向工业集聚区污水集中处理设施或者城镇污水集中处理设施排放工业废水的，应当按照有关规定进行预处理，达到集中处理设施处理工艺要求后方可以排放。</w:t>
            </w:r>
          </w:p>
          <w:p>
            <w:pPr>
              <w:pStyle w:val="53"/>
              <w:keepNext w:val="0"/>
              <w:keepLines w:val="0"/>
              <w:suppressLineNumbers w:val="0"/>
              <w:spacing w:before="0" w:beforeAutospacing="0" w:after="0" w:afterAutospacing="0"/>
              <w:ind w:left="0" w:right="0"/>
              <w:rPr>
                <w:rFonts w:hint="default"/>
              </w:rPr>
            </w:pPr>
            <w:r>
              <w:rPr>
                <w:rFonts w:hint="default"/>
              </w:rPr>
              <w:t>相符性分析：项目</w:t>
            </w:r>
            <w:r>
              <w:rPr>
                <w:rFonts w:hint="default"/>
                <w:lang w:val="en-US" w:eastAsia="zh-CN"/>
              </w:rPr>
              <w:t>无生产废水外排。</w:t>
            </w:r>
            <w:r>
              <w:rPr>
                <w:rFonts w:hint="default"/>
              </w:rPr>
              <w:t>项目生活污水经</w:t>
            </w:r>
            <w:r>
              <w:rPr>
                <w:rFonts w:hint="default"/>
                <w:lang w:eastAsia="zh-CN"/>
              </w:rPr>
              <w:t>三级化粪池</w:t>
            </w:r>
            <w:r>
              <w:rPr>
                <w:rFonts w:hint="default"/>
              </w:rPr>
              <w:t>预处理后</w:t>
            </w:r>
            <w:r>
              <w:rPr>
                <w:rFonts w:hint="default"/>
                <w:lang w:val="en-US" w:eastAsia="zh-CN"/>
              </w:rPr>
              <w:t>纳入石湾镇大牛垒污水处理厂</w:t>
            </w:r>
            <w:r>
              <w:rPr>
                <w:rFonts w:hint="default"/>
              </w:rPr>
              <w:t>处理，</w:t>
            </w:r>
            <w:r>
              <w:rPr>
                <w:rFonts w:hint="default"/>
                <w:lang w:val="en-US" w:eastAsia="zh-CN"/>
              </w:rPr>
              <w:t>尾水</w:t>
            </w:r>
            <w:r>
              <w:rPr>
                <w:rFonts w:hint="default"/>
              </w:rPr>
              <w:t>处理达标后</w:t>
            </w:r>
            <w:r>
              <w:rPr>
                <w:rFonts w:hint="default"/>
                <w:lang w:val="en-US" w:eastAsia="zh-CN"/>
              </w:rPr>
              <w:t>排入石湾镇中心排渠</w:t>
            </w:r>
            <w:r>
              <w:rPr>
                <w:rFonts w:hint="default"/>
              </w:rPr>
              <w:t>。本项目符合生态环境准入清单要求，并依法进行环境影响评价。本项目待取得环评批复后按照规定向生态环境主管部门</w:t>
            </w:r>
            <w:r>
              <w:rPr>
                <w:rFonts w:hint="default"/>
                <w:lang w:val="en-US" w:eastAsia="zh-CN"/>
              </w:rPr>
              <w:t>进行排污登记</w:t>
            </w:r>
            <w:r>
              <w:rPr>
                <w:rFonts w:hint="default"/>
              </w:rPr>
              <w:t>，并按要求排放水污染物。此外，本项目将进行“三同时”建设，按照批准的环境影响评价文件要求建设水污染防治设施。</w:t>
            </w:r>
            <w:r>
              <w:rPr>
                <w:rFonts w:hint="default"/>
                <w:lang w:val="en-US" w:eastAsia="zh-CN"/>
              </w:rPr>
              <w:t>因此</w:t>
            </w:r>
            <w:r>
              <w:rPr>
                <w:rFonts w:hint="default"/>
              </w:rPr>
              <w:t>本项目与《广东省水污染防治条例》相符。</w:t>
            </w:r>
          </w:p>
          <w:p>
            <w:pPr>
              <w:keepNext w:val="0"/>
              <w:keepLines w:val="0"/>
              <w:numPr>
                <w:ilvl w:val="0"/>
                <w:numId w:val="4"/>
              </w:numPr>
              <w:suppressLineNumbers w:val="0"/>
              <w:spacing w:before="0" w:beforeAutospacing="0" w:after="0" w:afterAutospacing="0" w:line="360" w:lineRule="auto"/>
              <w:ind w:left="0" w:leftChars="0" w:right="0" w:rightChars="0" w:firstLine="400" w:firstLineChars="0"/>
              <w:jc w:val="left"/>
              <w:rPr>
                <w:rFonts w:hint="default"/>
              </w:rPr>
            </w:pPr>
            <w:r>
              <w:rPr>
                <w:rFonts w:hint="default"/>
              </w:rPr>
              <w:t>项目与《关于印发&lt;惠州市202</w:t>
            </w:r>
            <w:r>
              <w:rPr>
                <w:rFonts w:hint="default"/>
                <w:lang w:val="en-US" w:eastAsia="zh-CN"/>
              </w:rPr>
              <w:t>2</w:t>
            </w:r>
            <w:r>
              <w:rPr>
                <w:rFonts w:hint="default"/>
              </w:rPr>
              <w:t>年水污染防治攻坚</w:t>
            </w:r>
            <w:r>
              <w:rPr>
                <w:rFonts w:hint="default"/>
                <w:lang w:val="en-US" w:eastAsia="zh-CN"/>
              </w:rPr>
              <w:t>工作</w:t>
            </w:r>
            <w:r>
              <w:rPr>
                <w:rFonts w:hint="default"/>
              </w:rPr>
              <w:t>方案&gt;的通知》（惠市环〔202</w:t>
            </w:r>
            <w:r>
              <w:rPr>
                <w:rFonts w:hint="default"/>
                <w:lang w:val="en-US" w:eastAsia="zh-CN"/>
              </w:rPr>
              <w:t>2</w:t>
            </w:r>
            <w:r>
              <w:rPr>
                <w:rFonts w:hint="default"/>
              </w:rPr>
              <w:t>〕1</w:t>
            </w:r>
            <w:r>
              <w:rPr>
                <w:rFonts w:hint="default"/>
                <w:lang w:val="en-US" w:eastAsia="zh-CN"/>
              </w:rPr>
              <w:t>2</w:t>
            </w:r>
            <w:r>
              <w:rPr>
                <w:rFonts w:hint="default"/>
              </w:rPr>
              <w:t>号）相符性分析：</w:t>
            </w:r>
          </w:p>
          <w:p>
            <w:pPr>
              <w:pStyle w:val="53"/>
              <w:keepNext w:val="0"/>
              <w:keepLines w:val="0"/>
              <w:suppressLineNumbers w:val="0"/>
              <w:spacing w:before="0" w:beforeAutospacing="0" w:after="0" w:afterAutospacing="0"/>
              <w:ind w:left="0" w:right="0"/>
              <w:rPr>
                <w:rFonts w:hint="default"/>
              </w:rPr>
            </w:pPr>
            <w:r>
              <w:rPr>
                <w:rFonts w:hint="default"/>
              </w:rPr>
              <w:t>一、202</w:t>
            </w:r>
            <w:r>
              <w:rPr>
                <w:rFonts w:hint="default"/>
                <w:lang w:val="en-US" w:eastAsia="zh-CN"/>
              </w:rPr>
              <w:t>2</w:t>
            </w:r>
            <w:r>
              <w:rPr>
                <w:rFonts w:hint="default"/>
              </w:rPr>
              <w:t>年攻坚目标</w:t>
            </w:r>
          </w:p>
          <w:p>
            <w:pPr>
              <w:pStyle w:val="53"/>
              <w:keepNext w:val="0"/>
              <w:keepLines w:val="0"/>
              <w:suppressLineNumbers w:val="0"/>
              <w:adjustRightInd/>
              <w:snapToGrid/>
              <w:spacing w:before="0" w:beforeAutospacing="0" w:after="0" w:afterAutospacing="0"/>
              <w:ind w:left="0" w:right="0" w:firstLine="480"/>
              <w:rPr>
                <w:rFonts w:hint="default"/>
              </w:rPr>
            </w:pPr>
            <w:r>
              <w:rPr>
                <w:rFonts w:hint="default"/>
                <w:lang w:val="en-US" w:eastAsia="zh-CN"/>
              </w:rPr>
              <w:t>惠东县</w:t>
            </w:r>
            <w:r>
              <w:rPr>
                <w:rFonts w:hint="default"/>
              </w:rPr>
              <w:t>：东江干流博罗城下（新角）、石龙北水质保持Ⅱ类，黄大仙、沙河河口、公庄泰美断面巩固Ⅱ类水质，显岗水库达到Ⅱ类以上，辖区内东江、沙河、公庄河主要支流水质全面达标、稳步提升。</w:t>
            </w:r>
          </w:p>
          <w:p>
            <w:pPr>
              <w:pStyle w:val="53"/>
              <w:keepNext w:val="0"/>
              <w:keepLines w:val="0"/>
              <w:suppressLineNumbers w:val="0"/>
              <w:adjustRightInd/>
              <w:snapToGrid/>
              <w:spacing w:before="0" w:beforeAutospacing="0" w:after="0" w:afterAutospacing="0"/>
              <w:ind w:left="0" w:right="0"/>
              <w:rPr>
                <w:rFonts w:hint="default"/>
              </w:rPr>
            </w:pPr>
            <w:r>
              <w:rPr>
                <w:rFonts w:hint="default"/>
              </w:rPr>
              <w:t>.....</w:t>
            </w:r>
          </w:p>
          <w:p>
            <w:pPr>
              <w:pStyle w:val="53"/>
              <w:keepNext w:val="0"/>
              <w:keepLines w:val="0"/>
              <w:suppressLineNumbers w:val="0"/>
              <w:adjustRightInd/>
              <w:snapToGrid/>
              <w:spacing w:before="0" w:beforeAutospacing="0" w:after="0" w:afterAutospacing="0"/>
              <w:ind w:left="0" w:right="0"/>
              <w:rPr>
                <w:rFonts w:hint="default"/>
              </w:rPr>
            </w:pPr>
            <w:r>
              <w:rPr>
                <w:rFonts w:hint="default"/>
              </w:rPr>
              <w:t>（</w:t>
            </w:r>
            <w:r>
              <w:rPr>
                <w:rFonts w:hint="default"/>
                <w:lang w:val="en-US" w:eastAsia="zh-CN"/>
              </w:rPr>
              <w:t>七</w:t>
            </w:r>
            <w:r>
              <w:rPr>
                <w:rFonts w:hint="default"/>
              </w:rPr>
              <w:t>）持续开展工业污染防治</w:t>
            </w:r>
          </w:p>
          <w:p>
            <w:pPr>
              <w:pStyle w:val="53"/>
              <w:keepNext w:val="0"/>
              <w:keepLines w:val="0"/>
              <w:suppressLineNumbers w:val="0"/>
              <w:adjustRightInd/>
              <w:snapToGrid/>
              <w:spacing w:before="0" w:beforeAutospacing="0" w:after="0" w:afterAutospacing="0"/>
              <w:ind w:left="0" w:right="0"/>
              <w:rPr>
                <w:rFonts w:hint="default"/>
              </w:rPr>
            </w:pPr>
            <w:r>
              <w:rPr>
                <w:rFonts w:hint="default"/>
              </w:rPr>
              <w:t>推动涉水固定污染源排污许可提质增效，组织做好新增源排污许可发证登记工作，强化排污许可“一证式”执法监管。优化工业废水处理工艺，推动不能稳定达标的工业废水处理设施提标改造。对淡水河、沙河、潼湖水等存在工业污染的重点流域，组织开展联合执法、交叉执法。持续实施“双随机、一公开”监管，严厉打击重点排污单位自动监测数据弄虚作假违法行为。</w:t>
            </w:r>
          </w:p>
          <w:p>
            <w:pPr>
              <w:pStyle w:val="53"/>
              <w:keepNext w:val="0"/>
              <w:keepLines w:val="0"/>
              <w:suppressLineNumbers w:val="0"/>
              <w:adjustRightInd/>
              <w:snapToGrid/>
              <w:spacing w:before="0" w:beforeAutospacing="0" w:after="0" w:afterAutospacing="0"/>
              <w:ind w:left="0" w:right="0"/>
              <w:rPr>
                <w:rFonts w:hint="default"/>
              </w:rPr>
            </w:pPr>
            <w:r>
              <w:rPr>
                <w:rFonts w:hint="default"/>
              </w:rPr>
              <w:t>抓好有色金属、建材、化工、纺织、造纸等重点行业清洁生产。继续推进生态工业示范园区建设，探索开展省级以上产业园区“污水零直排区”试点工作。</w:t>
            </w:r>
          </w:p>
          <w:p>
            <w:pPr>
              <w:pStyle w:val="53"/>
              <w:keepNext w:val="0"/>
              <w:keepLines w:val="0"/>
              <w:suppressLineNumbers w:val="0"/>
              <w:adjustRightInd/>
              <w:snapToGrid/>
              <w:spacing w:before="0" w:beforeAutospacing="0" w:after="0" w:afterAutospacing="0"/>
              <w:ind w:left="0" w:right="0"/>
              <w:rPr>
                <w:rFonts w:hint="default"/>
              </w:rPr>
            </w:pPr>
            <w:r>
              <w:rPr>
                <w:rFonts w:hint="default"/>
              </w:rPr>
              <w:t>（九）深入开展农村生活污水治理。</w:t>
            </w:r>
          </w:p>
          <w:p>
            <w:pPr>
              <w:pStyle w:val="53"/>
              <w:keepNext w:val="0"/>
              <w:keepLines w:val="0"/>
              <w:suppressLineNumbers w:val="0"/>
              <w:adjustRightInd/>
              <w:snapToGrid/>
              <w:spacing w:before="0" w:beforeAutospacing="0" w:after="0" w:afterAutospacing="0"/>
              <w:ind w:left="0" w:right="0"/>
              <w:rPr>
                <w:rFonts w:hint="default"/>
              </w:rPr>
            </w:pPr>
            <w:r>
              <w:rPr>
                <w:rFonts w:hint="default"/>
              </w:rPr>
              <w:t>落实分区管控，优先推进水环境敏感、人口相对聚集、重点攻坚断面等重点区域农村生活污水治理，因地制宜、分类施策，有序推进农村生活污水治理，出台《全市农村生活污水治理攻动方案》，6月底前公开县域农村生活污水治理方案，每半年开展一次日处理20吨及以上农村生活污水处理设施出水水质监测。保质保量完成年度民生实事任务，11月底前新增80个以上自然村完成生活污水治理工作，全市农村生活污水治理率达到75%以上。</w:t>
            </w:r>
          </w:p>
          <w:p>
            <w:pPr>
              <w:pStyle w:val="53"/>
              <w:keepNext w:val="0"/>
              <w:keepLines w:val="0"/>
              <w:suppressLineNumbers w:val="0"/>
              <w:adjustRightInd/>
              <w:snapToGrid/>
              <w:spacing w:before="0" w:beforeAutospacing="0" w:after="0" w:afterAutospacing="0"/>
              <w:ind w:left="0" w:right="0"/>
              <w:rPr>
                <w:rFonts w:hint="default"/>
                <w:lang w:val="en-US" w:eastAsia="zh-CN"/>
              </w:rPr>
            </w:pPr>
            <w:r>
              <w:rPr>
                <w:rFonts w:hint="default"/>
              </w:rPr>
              <w:t>相符性分析：项目</w:t>
            </w:r>
            <w:r>
              <w:rPr>
                <w:rFonts w:hint="default"/>
                <w:lang w:val="en-US" w:eastAsia="zh-CN"/>
              </w:rPr>
              <w:t>无生产废水</w:t>
            </w:r>
            <w:r>
              <w:rPr>
                <w:rFonts w:hint="default"/>
              </w:rPr>
              <w:t>外排。项目生活污水经三级化粪池预处理后纳入</w:t>
            </w:r>
            <w:r>
              <w:rPr>
                <w:rFonts w:hint="default"/>
                <w:lang w:eastAsia="zh-CN"/>
              </w:rPr>
              <w:t>石湾镇大牛垒污水处理厂</w:t>
            </w:r>
            <w:r>
              <w:rPr>
                <w:rFonts w:hint="default"/>
              </w:rPr>
              <w:t>处理，尾水处理达标后</w:t>
            </w:r>
            <w:r>
              <w:rPr>
                <w:rFonts w:hint="default"/>
                <w:lang w:eastAsia="zh-CN"/>
              </w:rPr>
              <w:t>排入石湾镇中心排渠</w:t>
            </w:r>
            <w:r>
              <w:rPr>
                <w:rFonts w:hint="default"/>
              </w:rPr>
              <w:t>。因此项目符合《关于印发&lt;惠州市202</w:t>
            </w:r>
            <w:r>
              <w:rPr>
                <w:rFonts w:hint="default"/>
                <w:lang w:val="en-US" w:eastAsia="zh-CN"/>
              </w:rPr>
              <w:t>2</w:t>
            </w:r>
            <w:r>
              <w:rPr>
                <w:rFonts w:hint="default"/>
              </w:rPr>
              <w:t>年水污染防治攻坚战实施方案&gt;的通知》（惠市环〔202</w:t>
            </w:r>
            <w:r>
              <w:rPr>
                <w:rFonts w:hint="default"/>
                <w:lang w:val="en-US" w:eastAsia="zh-CN"/>
              </w:rPr>
              <w:t>2</w:t>
            </w:r>
            <w:r>
              <w:rPr>
                <w:rFonts w:hint="default"/>
              </w:rPr>
              <w:t>〕1</w:t>
            </w:r>
            <w:r>
              <w:rPr>
                <w:rFonts w:hint="default"/>
                <w:lang w:val="en-US" w:eastAsia="zh-CN"/>
              </w:rPr>
              <w:t>2</w:t>
            </w:r>
            <w:r>
              <w:rPr>
                <w:rFonts w:hint="default"/>
              </w:rPr>
              <w:t>号）</w:t>
            </w:r>
            <w:r>
              <w:rPr>
                <w:rFonts w:hint="default"/>
                <w:lang w:val="en-US" w:eastAsia="zh-CN"/>
              </w:rPr>
              <w:t>的要求。</w:t>
            </w:r>
          </w:p>
          <w:p>
            <w:pPr>
              <w:keepNext w:val="0"/>
              <w:keepLines w:val="0"/>
              <w:numPr>
                <w:ilvl w:val="0"/>
                <w:numId w:val="4"/>
              </w:numPr>
              <w:suppressLineNumbers w:val="0"/>
              <w:autoSpaceDE w:val="0"/>
              <w:autoSpaceDN w:val="0"/>
              <w:adjustRightInd/>
              <w:snapToGrid/>
              <w:spacing w:before="0" w:beforeAutospacing="0" w:after="0" w:afterAutospacing="0" w:line="360" w:lineRule="auto"/>
              <w:ind w:left="0" w:leftChars="0" w:right="0" w:rightChars="0" w:firstLine="400" w:firstLineChars="0"/>
              <w:jc w:val="left"/>
              <w:rPr>
                <w:rFonts w:hint="default"/>
              </w:rPr>
            </w:pPr>
            <w:r>
              <w:rPr>
                <w:rFonts w:hint="default"/>
              </w:rPr>
              <w:t>与《广东省2021年大气污染防治工作方案》相符性的分析：</w:t>
            </w:r>
          </w:p>
          <w:p>
            <w:pPr>
              <w:pStyle w:val="53"/>
              <w:keepNext w:val="0"/>
              <w:keepLines w:val="0"/>
              <w:suppressLineNumbers w:val="0"/>
              <w:spacing w:before="0" w:beforeAutospacing="0" w:after="0" w:afterAutospacing="0"/>
              <w:ind w:left="0" w:right="0"/>
              <w:rPr>
                <w:rFonts w:hint="default"/>
              </w:rPr>
            </w:pPr>
            <w:r>
              <w:rPr>
                <w:rFonts w:hint="default"/>
              </w:rPr>
              <w:t>以下内容引用自《广东省2021年大气污染防治工作方案》：8.实施低VOCs含量产品源头替代工程。严格落实国家产品VOCs含量限值标准要求，除现阶段确无法实施替代的工序外，禁止新建生产和使用高VOCs含量原辅材料项目。鼓励在生产和流通消费环节推广使用低VOCs含量原辅材料。将全面使用符合国家、省要求的低VOCs含量原辅材料企业纳入正面清单和政府绿色采购清单。各地级以上市要制定低VOCs含量原辅材料替代计划，根据当地涉VOCs重点行业及物种排放特征，选取若干重点行业，通过明确企业数量和原辅材料替代比例，推进企业实施低VOCs含量原辅材料替代。</w:t>
            </w:r>
          </w:p>
          <w:p>
            <w:pPr>
              <w:pStyle w:val="53"/>
              <w:keepNext w:val="0"/>
              <w:keepLines w:val="0"/>
              <w:suppressLineNumbers w:val="0"/>
              <w:spacing w:before="0" w:beforeAutospacing="0" w:after="0" w:afterAutospacing="0"/>
              <w:ind w:left="0" w:right="0"/>
              <w:rPr>
                <w:rFonts w:hint="default"/>
              </w:rPr>
            </w:pPr>
            <w:r>
              <w:rPr>
                <w:rFonts w:hint="default"/>
              </w:rPr>
              <w:t>相符性分析：本项目为《国民经济行业分类》（GB/T 4754-2017）中</w:t>
            </w:r>
            <w:r>
              <w:rPr>
                <w:rFonts w:hint="default"/>
                <w:lang w:eastAsia="zh-CN"/>
              </w:rPr>
              <w:t>C</w:t>
            </w:r>
            <w:r>
              <w:rPr>
                <w:rFonts w:hint="default"/>
                <w:lang w:val="en-US" w:eastAsia="zh-CN"/>
              </w:rPr>
              <w:t>3311金属结构制造和C335建筑、安全用金属制品制造</w:t>
            </w:r>
            <w:r>
              <w:rPr>
                <w:rFonts w:hint="default"/>
              </w:rPr>
              <w:t>的项目，</w:t>
            </w:r>
            <w:r>
              <w:rPr>
                <w:rFonts w:hint="default"/>
                <w:lang w:val="en-US" w:eastAsia="zh-CN"/>
              </w:rPr>
              <w:t>项目涉VOCs原辅材料为粉末涂料和水性油漆，根据《低挥发性有机化合物含量涂料产品技术要求》（GB/T 38597-2020），不属于高VOCs含量原辅材料，因此项目符合</w:t>
            </w:r>
            <w:r>
              <w:rPr>
                <w:rFonts w:hint="default"/>
              </w:rPr>
              <w:t>《广东省2021年大气污染防治工作方案》</w:t>
            </w:r>
            <w:r>
              <w:rPr>
                <w:rFonts w:hint="default"/>
                <w:lang w:val="en-US" w:eastAsia="zh-CN"/>
              </w:rPr>
              <w:t>的要求</w:t>
            </w:r>
            <w:r>
              <w:rPr>
                <w:rFonts w:hint="default"/>
              </w:rPr>
              <w:t>。</w:t>
            </w:r>
          </w:p>
          <w:p>
            <w:pPr>
              <w:keepNext w:val="0"/>
              <w:keepLines w:val="0"/>
              <w:numPr>
                <w:ilvl w:val="0"/>
                <w:numId w:val="4"/>
              </w:numPr>
              <w:suppressLineNumbers w:val="0"/>
              <w:autoSpaceDE w:val="0"/>
              <w:autoSpaceDN w:val="0"/>
              <w:adjustRightInd/>
              <w:snapToGrid/>
              <w:spacing w:before="0" w:beforeAutospacing="0" w:after="0" w:afterAutospacing="0" w:line="360" w:lineRule="auto"/>
              <w:ind w:left="0" w:leftChars="0" w:right="0" w:rightChars="0" w:firstLine="400" w:firstLineChars="0"/>
              <w:jc w:val="left"/>
              <w:rPr>
                <w:rFonts w:hint="default"/>
              </w:rPr>
            </w:pPr>
            <w:r>
              <w:rPr>
                <w:rFonts w:hint="default"/>
              </w:rPr>
              <w:t>与《挥发性有机物无组织排放控制标准》（GB37822-2019）相符性的分析：</w:t>
            </w:r>
          </w:p>
          <w:p>
            <w:pPr>
              <w:pStyle w:val="8"/>
              <w:keepNext w:val="0"/>
              <w:keepLines w:val="0"/>
              <w:suppressLineNumbers w:val="0"/>
              <w:spacing w:beforeAutospacing="0" w:afterAutospacing="0" w:line="240" w:lineRule="auto"/>
              <w:ind w:left="0" w:right="0" w:firstLine="0" w:firstLineChars="0"/>
              <w:jc w:val="center"/>
              <w:rPr>
                <w:rFonts w:hint="default"/>
              </w:rPr>
            </w:pPr>
            <w:r>
              <w:rPr>
                <w:rFonts w:hint="default"/>
              </w:rPr>
              <w:t xml:space="preserve">表1- </w:t>
            </w:r>
            <w:r>
              <w:rPr>
                <w:rFonts w:hint="default"/>
              </w:rPr>
              <w:fldChar w:fldCharType="begin"/>
            </w:r>
            <w:r>
              <w:rPr>
                <w:rFonts w:hint="default"/>
              </w:rPr>
              <w:instrText xml:space="preserve"> SEQ 表1- \* ARABIC </w:instrText>
            </w:r>
            <w:r>
              <w:rPr>
                <w:rFonts w:hint="default"/>
              </w:rPr>
              <w:fldChar w:fldCharType="separate"/>
            </w:r>
            <w:r>
              <w:rPr>
                <w:rFonts w:hint="default"/>
              </w:rPr>
              <w:t>3</w:t>
            </w:r>
            <w:r>
              <w:rPr>
                <w:rFonts w:hint="default"/>
              </w:rPr>
              <w:fldChar w:fldCharType="end"/>
            </w:r>
            <w:r>
              <w:rPr>
                <w:rFonts w:hint="default"/>
              </w:rPr>
              <w:t>《挥发性有机物无组织排放控制标准》（GB37822-2019）对照分析情况</w:t>
            </w:r>
          </w:p>
          <w:tbl>
            <w:tblPr>
              <w:tblStyle w:val="26"/>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25"/>
              <w:gridCol w:w="4283"/>
              <w:gridCol w:w="36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65" w:type="pct"/>
                  <w:gridSpan w:val="2"/>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规范条件要求</w:t>
                  </w:r>
                </w:p>
              </w:tc>
              <w:tc>
                <w:tcPr>
                  <w:tcW w:w="2034"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本项目相符性分析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73"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VOCs物料储存无组织排放要求</w:t>
                  </w:r>
                </w:p>
              </w:tc>
              <w:tc>
                <w:tcPr>
                  <w:tcW w:w="2391" w:type="pct"/>
                  <w:tcBorders>
                    <w:tl2br w:val="nil"/>
                    <w:tr2bl w:val="nil"/>
                  </w:tcBorders>
                  <w:noWrap w:val="0"/>
                  <w:vAlign w:val="center"/>
                </w:tcPr>
                <w:p>
                  <w:pPr>
                    <w:pStyle w:val="52"/>
                    <w:keepNext w:val="0"/>
                    <w:keepLines w:val="0"/>
                    <w:numPr>
                      <w:ilvl w:val="0"/>
                      <w:numId w:val="5"/>
                    </w:numPr>
                    <w:suppressLineNumbers w:val="0"/>
                    <w:spacing w:before="0" w:beforeAutospacing="0" w:after="0" w:afterAutospacing="0" w:line="240" w:lineRule="auto"/>
                    <w:ind w:left="0" w:right="0" w:firstLine="0" w:firstLineChars="0"/>
                    <w:jc w:val="left"/>
                    <w:rPr>
                      <w:rFonts w:hint="default"/>
                    </w:rPr>
                  </w:pPr>
                  <w:r>
                    <w:rPr>
                      <w:rFonts w:hint="default"/>
                    </w:rPr>
                    <w:t>VOCs物料应储存于密闭的容器、包装袋、储罐、储库、料仓中。</w:t>
                  </w:r>
                </w:p>
                <w:p>
                  <w:pPr>
                    <w:pStyle w:val="52"/>
                    <w:keepNext w:val="0"/>
                    <w:keepLines w:val="0"/>
                    <w:numPr>
                      <w:ilvl w:val="0"/>
                      <w:numId w:val="5"/>
                    </w:numPr>
                    <w:suppressLineNumbers w:val="0"/>
                    <w:spacing w:before="0" w:beforeAutospacing="0" w:after="0" w:afterAutospacing="0" w:line="240" w:lineRule="auto"/>
                    <w:ind w:left="0" w:right="0" w:firstLine="0" w:firstLineChars="0"/>
                    <w:rPr>
                      <w:rFonts w:hint="default"/>
                    </w:rPr>
                  </w:pPr>
                  <w:r>
                    <w:rPr>
                      <w:rFonts w:hint="default"/>
                    </w:rPr>
                    <w:t>盛装VOCs物料的容器或包装袋应存放于室内，或存放于设置有雨棚、遮阳和防渗设施的专用场地。盛装VOCs物料的容器或包装袋在非取用状态时应加盖、封口，保持密闭。</w:t>
                  </w:r>
                </w:p>
                <w:p>
                  <w:pPr>
                    <w:pStyle w:val="52"/>
                    <w:keepNext w:val="0"/>
                    <w:keepLines w:val="0"/>
                    <w:suppressLineNumbers w:val="0"/>
                    <w:spacing w:before="0" w:beforeAutospacing="0" w:after="0" w:afterAutospacing="0" w:line="240" w:lineRule="auto"/>
                    <w:ind w:left="0" w:right="0" w:firstLine="0" w:firstLineChars="0"/>
                    <w:rPr>
                      <w:rFonts w:hint="default"/>
                    </w:rPr>
                  </w:pPr>
                  <w:r>
                    <w:rPr>
                      <w:rFonts w:hint="default"/>
                    </w:rPr>
                    <w:t>VOCs物料储罐应密封良好，其中挥发性有机液体储罐应符合相关规定。</w:t>
                  </w:r>
                </w:p>
                <w:p>
                  <w:pPr>
                    <w:pStyle w:val="52"/>
                    <w:keepNext w:val="0"/>
                    <w:keepLines w:val="0"/>
                    <w:suppressLineNumbers w:val="0"/>
                    <w:spacing w:before="0" w:beforeAutospacing="0" w:after="0" w:afterAutospacing="0" w:line="240" w:lineRule="auto"/>
                    <w:ind w:left="0" w:right="0" w:firstLine="0" w:firstLineChars="0"/>
                    <w:rPr>
                      <w:rFonts w:hint="default"/>
                    </w:rPr>
                  </w:pPr>
                  <w:r>
                    <w:rPr>
                      <w:rFonts w:hint="default"/>
                    </w:rPr>
                    <w:t>VOCs物料储库、料仓应满足对密闭空间的要求。</w:t>
                  </w:r>
                </w:p>
              </w:tc>
              <w:tc>
                <w:tcPr>
                  <w:tcW w:w="2034"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both"/>
                    <w:rPr>
                      <w:rFonts w:hint="default"/>
                    </w:rPr>
                  </w:pPr>
                  <w:r>
                    <w:rPr>
                      <w:rFonts w:hint="default"/>
                    </w:rPr>
                    <w:t>项目含VOCs的物料为</w:t>
                  </w:r>
                  <w:r>
                    <w:rPr>
                      <w:rFonts w:hint="default"/>
                      <w:lang w:val="en-US" w:eastAsia="zh-CN"/>
                    </w:rPr>
                    <w:t>粉末涂料和水性油漆</w:t>
                  </w:r>
                  <w:r>
                    <w:rPr>
                      <w:rFonts w:hint="default"/>
                    </w:rPr>
                    <w:t>，密闭储存在</w:t>
                  </w:r>
                  <w:r>
                    <w:rPr>
                      <w:rFonts w:hint="default"/>
                      <w:lang w:val="en-US" w:eastAsia="zh-CN"/>
                    </w:rPr>
                    <w:t>包装桶</w:t>
                  </w:r>
                  <w:r>
                    <w:rPr>
                      <w:rFonts w:hint="default"/>
                    </w:rPr>
                    <w:t>里面，存放于</w:t>
                  </w:r>
                  <w:r>
                    <w:rPr>
                      <w:rFonts w:hint="default"/>
                      <w:lang w:val="en-US" w:eastAsia="zh-CN"/>
                    </w:rPr>
                    <w:t>化学品仓库</w:t>
                  </w:r>
                  <w:r>
                    <w:rPr>
                      <w:rFonts w:hint="default"/>
                    </w:rPr>
                    <w:t>室内，非取用状态下</w:t>
                  </w:r>
                  <w:r>
                    <w:rPr>
                      <w:rFonts w:hint="default"/>
                      <w:lang w:val="en-US" w:eastAsia="zh-CN"/>
                    </w:rPr>
                    <w:t>封口</w:t>
                  </w:r>
                  <w:r>
                    <w:rPr>
                      <w:rFonts w:hint="default"/>
                    </w:rPr>
                    <w:t>，</w:t>
                  </w:r>
                  <w:r>
                    <w:rPr>
                      <w:rFonts w:hint="default"/>
                      <w:lang w:val="en-US" w:eastAsia="zh-CN"/>
                    </w:rPr>
                    <w:t>保持密闭。</w:t>
                  </w:r>
                  <w:r>
                    <w:rPr>
                      <w:rFonts w:hint="default"/>
                    </w:rPr>
                    <w:t>故满足VOCs物料储存无组织排放要求。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73"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VOCs物料转移和输送无组织排放控制要求</w:t>
                  </w:r>
                </w:p>
              </w:tc>
              <w:tc>
                <w:tcPr>
                  <w:tcW w:w="2391"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left"/>
                    <w:rPr>
                      <w:rFonts w:hint="default"/>
                    </w:rPr>
                  </w:pPr>
                  <w:r>
                    <w:rPr>
                      <w:rFonts w:hint="default"/>
                    </w:rPr>
                    <w:t>1、液态VOCs物料应采用密闭管道输送。</w:t>
                  </w:r>
                </w:p>
                <w:p>
                  <w:pPr>
                    <w:pStyle w:val="52"/>
                    <w:keepNext w:val="0"/>
                    <w:keepLines w:val="0"/>
                    <w:suppressLineNumbers w:val="0"/>
                    <w:spacing w:before="0" w:beforeAutospacing="0" w:after="0" w:afterAutospacing="0" w:line="240" w:lineRule="auto"/>
                    <w:ind w:left="0" w:right="0" w:firstLine="0" w:firstLineChars="0"/>
                    <w:jc w:val="left"/>
                    <w:rPr>
                      <w:rFonts w:hint="default"/>
                    </w:rPr>
                  </w:pPr>
                  <w:r>
                    <w:rPr>
                      <w:rFonts w:hint="default"/>
                    </w:rPr>
                    <w:t>采用非管道输送方式转移液态VOCs物料时，应采用密闭容器、罐车。</w:t>
                  </w:r>
                </w:p>
                <w:p>
                  <w:pPr>
                    <w:pStyle w:val="52"/>
                    <w:keepNext w:val="0"/>
                    <w:keepLines w:val="0"/>
                    <w:suppressLineNumbers w:val="0"/>
                    <w:spacing w:before="0" w:beforeAutospacing="0" w:after="0" w:afterAutospacing="0" w:line="240" w:lineRule="auto"/>
                    <w:ind w:left="0" w:right="0" w:firstLine="0" w:firstLineChars="0"/>
                    <w:jc w:val="left"/>
                    <w:rPr>
                      <w:rFonts w:hint="default"/>
                    </w:rPr>
                  </w:pPr>
                  <w:r>
                    <w:rPr>
                      <w:rFonts w:hint="default"/>
                    </w:rPr>
                    <w:t>2、粉状、粒状VOCs物料应釆用气力输送设备、管状带式输送机、螺旋输送机等密闭输送方式，或者采用密闭的包装袋、容器或罐车进行物料转移。</w:t>
                  </w:r>
                </w:p>
              </w:tc>
              <w:tc>
                <w:tcPr>
                  <w:tcW w:w="2034"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left"/>
                    <w:rPr>
                      <w:rFonts w:hint="default"/>
                      <w:lang w:val="en-US" w:eastAsia="zh-CN"/>
                    </w:rPr>
                  </w:pPr>
                  <w:r>
                    <w:rPr>
                      <w:rFonts w:hint="default"/>
                    </w:rPr>
                    <w:t>企业使用含VOCs物料的过程中，用密闭的桶转移</w:t>
                  </w:r>
                  <w:r>
                    <w:rPr>
                      <w:rFonts w:hint="default"/>
                      <w:lang w:eastAsia="zh-CN"/>
                    </w:rPr>
                    <w:t>，</w:t>
                  </w:r>
                  <w:r>
                    <w:rPr>
                      <w:rFonts w:hint="default"/>
                      <w:lang w:val="en-US" w:eastAsia="zh-CN"/>
                    </w:rPr>
                    <w:t>故满足</w:t>
                  </w:r>
                  <w:r>
                    <w:rPr>
                      <w:rFonts w:hint="default"/>
                    </w:rPr>
                    <w:t>VOCs物料转移和输送无组织排放控制要求</w:t>
                  </w:r>
                  <w:r>
                    <w:rPr>
                      <w:rFonts w:hint="default"/>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573"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含VOCs</w:t>
                  </w:r>
                </w:p>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产品的</w:t>
                  </w:r>
                </w:p>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使用过</w:t>
                  </w:r>
                </w:p>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程</w:t>
                  </w:r>
                </w:p>
              </w:tc>
              <w:tc>
                <w:tcPr>
                  <w:tcW w:w="2391"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left"/>
                    <w:rPr>
                      <w:rFonts w:hint="default"/>
                    </w:rPr>
                  </w:pPr>
                  <w:r>
                    <w:rPr>
                      <w:rFonts w:hint="default"/>
                    </w:rPr>
                    <w:t>1、VOCs质量占比大于等于10%的含VOCs产品，其使用过程应采用密闭设备或在密闭空间内操作，废气应排至VOCs废气收集处理系统：无法密闭的，应采取局部气体收集措施，废气应排至VOCs废气收集处理系统。</w:t>
                  </w:r>
                </w:p>
                <w:p>
                  <w:pPr>
                    <w:pStyle w:val="52"/>
                    <w:keepNext w:val="0"/>
                    <w:keepLines w:val="0"/>
                    <w:suppressLineNumbers w:val="0"/>
                    <w:spacing w:before="0" w:beforeAutospacing="0" w:after="0" w:afterAutospacing="0" w:line="240" w:lineRule="auto"/>
                    <w:ind w:left="0" w:right="0" w:firstLine="0" w:firstLineChars="0"/>
                    <w:jc w:val="left"/>
                    <w:rPr>
                      <w:rFonts w:hint="default"/>
                    </w:rPr>
                  </w:pPr>
                  <w:r>
                    <w:rPr>
                      <w:rFonts w:hint="default"/>
                    </w:rPr>
                    <w:t>2、有机聚合物产品用于制品生产的过程，在混合混炼、塑炼塑化/熔化、加工成型（挤出、注射压制、压延、发泡、纺丝等）等作业中应采用密闭设备或在密闭空间内操作，废气应排至VOCs废气收集处理系统；无法密闭的，应采取局部气体收集措施，废气应排至VOCs废气收集处理系统。</w:t>
                  </w:r>
                </w:p>
                <w:p>
                  <w:pPr>
                    <w:pStyle w:val="52"/>
                    <w:keepNext w:val="0"/>
                    <w:keepLines w:val="0"/>
                    <w:suppressLineNumbers w:val="0"/>
                    <w:spacing w:before="0" w:beforeAutospacing="0" w:after="0" w:afterAutospacing="0" w:line="240" w:lineRule="auto"/>
                    <w:ind w:left="0" w:right="0" w:firstLine="0" w:firstLineChars="0"/>
                    <w:jc w:val="left"/>
                    <w:rPr>
                      <w:rFonts w:hint="default"/>
                    </w:rPr>
                  </w:pPr>
                  <w:r>
                    <w:rPr>
                      <w:rFonts w:hint="default"/>
                    </w:rPr>
                    <w:t>3、企业应建立台账，记录含VOCs原辅材料和含VOCs产品的名称、使用量、回收量、废弃量、去向以及VOCs含量等信息。台账保存期限不少于3年。</w:t>
                  </w:r>
                </w:p>
              </w:tc>
              <w:tc>
                <w:tcPr>
                  <w:tcW w:w="2034"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rPr>
                      <w:rFonts w:hint="default"/>
                      <w:lang w:val="en-US" w:eastAsia="zh-CN"/>
                    </w:rPr>
                  </w:pPr>
                  <w:r>
                    <w:rPr>
                      <w:rFonts w:hint="default"/>
                    </w:rPr>
                    <w:t>项目</w:t>
                  </w:r>
                  <w:r>
                    <w:rPr>
                      <w:rFonts w:hint="default"/>
                      <w:lang w:val="en-US" w:eastAsia="zh-CN"/>
                    </w:rPr>
                    <w:t>涉VOCs物料为粉末涂料和水性油漆，采取局部气体收集措施，废气排至水喷淋塔+活性炭吸附装置，</w:t>
                  </w:r>
                  <w:r>
                    <w:rPr>
                      <w:rFonts w:hint="default"/>
                    </w:rPr>
                    <w:t>经处理达标后</w:t>
                  </w:r>
                  <w:r>
                    <w:rPr>
                      <w:rFonts w:hint="default"/>
                      <w:lang w:val="en-US" w:eastAsia="zh-CN"/>
                    </w:rPr>
                    <w:t>通过15m排气筒排放（DA00</w:t>
                  </w:r>
                  <w:r>
                    <w:rPr>
                      <w:rFonts w:hint="eastAsia"/>
                      <w:lang w:val="en-US" w:eastAsia="zh-CN"/>
                    </w:rPr>
                    <w:t>3</w:t>
                  </w:r>
                  <w:r>
                    <w:rPr>
                      <w:rFonts w:hint="default"/>
                      <w:lang w:val="en-US" w:eastAsia="zh-CN"/>
                    </w:rPr>
                    <w:t>、DA00</w:t>
                  </w:r>
                  <w:r>
                    <w:rPr>
                      <w:rFonts w:hint="eastAsia"/>
                      <w:lang w:val="en-US" w:eastAsia="zh-CN"/>
                    </w:rPr>
                    <w:t>4</w:t>
                  </w:r>
                  <w:r>
                    <w:rPr>
                      <w:rFonts w:hint="default"/>
                      <w:lang w:val="en-US" w:eastAsia="zh-CN"/>
                    </w:rPr>
                    <w:t>）</w:t>
                  </w:r>
                  <w:r>
                    <w:rPr>
                      <w:rFonts w:hint="default"/>
                    </w:rPr>
                    <w:t>；企业建成投产后需</w:t>
                  </w:r>
                  <w:r>
                    <w:rPr>
                      <w:rFonts w:hint="default"/>
                      <w:lang w:val="en-US" w:eastAsia="zh-CN"/>
                    </w:rPr>
                    <w:t>按照</w:t>
                  </w:r>
                  <w:r>
                    <w:rPr>
                      <w:rFonts w:hint="default"/>
                    </w:rPr>
                    <w:t>（GB37822-2019）要求建立涉VOCs的台账，做好含有VOCs等危险废物的转移工作及台账记录。符合（GB37822-2019）要求。</w:t>
                  </w:r>
                  <w:r>
                    <w:rPr>
                      <w:rFonts w:hint="default"/>
                      <w:lang w:val="en-US" w:eastAsia="zh-CN"/>
                    </w:rPr>
                    <w:t>故项目符合含VOCs产品的使用过程。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73"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VOCs</w:t>
                  </w:r>
                </w:p>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无组织</w:t>
                  </w:r>
                </w:p>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排放废</w:t>
                  </w:r>
                </w:p>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气收集</w:t>
                  </w:r>
                </w:p>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处理系</w:t>
                  </w:r>
                </w:p>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统要求</w:t>
                  </w:r>
                </w:p>
              </w:tc>
              <w:tc>
                <w:tcPr>
                  <w:tcW w:w="2391"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left"/>
                    <w:rPr>
                      <w:rFonts w:hint="default"/>
                    </w:rPr>
                  </w:pPr>
                  <w:r>
                    <w:rPr>
                      <w:rFonts w:hint="default"/>
                    </w:rPr>
                    <w:t>1、VOCs废气收集处理系统应与生产工艺设备同步运行。VOCs废气收集处理系统发生故障或检修时，对应的生产工艺设备应停止运行，待检修完毕后同步投入使用：生产工艺设备不能停止运行或不能及时停止运行的，应设置废气应急处理设施或采取其他替代措施。</w:t>
                  </w:r>
                </w:p>
                <w:p>
                  <w:pPr>
                    <w:pStyle w:val="52"/>
                    <w:keepNext w:val="0"/>
                    <w:keepLines w:val="0"/>
                    <w:suppressLineNumbers w:val="0"/>
                    <w:spacing w:before="0" w:beforeAutospacing="0" w:after="0" w:afterAutospacing="0" w:line="240" w:lineRule="auto"/>
                    <w:ind w:left="0" w:right="0" w:firstLine="0" w:firstLineChars="0"/>
                    <w:rPr>
                      <w:rFonts w:hint="default"/>
                    </w:rPr>
                  </w:pPr>
                  <w:r>
                    <w:rPr>
                      <w:rFonts w:hint="default"/>
                    </w:rPr>
                    <w:t>2、废气收集系统要求：企业应考虑生产工艺、操作方式、废气性质、处理方法等因素，对VOCs废气进行分类收集。废气收集系统排风罩（集气罩）的设置应符合GBT16758的规定。采用外部风罩的，应按GBT16758、AQT42742016规定的方法测量控制风速，测量点应选取在距排风罩开口面最远处的VOCs无组织排放位置，控制风速不应低于0.3m/s（行业相关规范有具体规定的，按相关规定执行）。废气收集系统的输送管道应密闭。</w:t>
                  </w:r>
                </w:p>
              </w:tc>
              <w:tc>
                <w:tcPr>
                  <w:tcW w:w="2034"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left"/>
                    <w:rPr>
                      <w:rFonts w:hint="default"/>
                      <w:lang w:val="en-US" w:eastAsia="zh-CN"/>
                    </w:rPr>
                  </w:pPr>
                  <w:r>
                    <w:rPr>
                      <w:rFonts w:hint="default"/>
                    </w:rPr>
                    <w:t>企业应严格按照环保要求，VOCs废气收集处理系统与生产工艺设备同步运行。项目</w:t>
                  </w:r>
                  <w:r>
                    <w:rPr>
                      <w:rFonts w:hint="default"/>
                      <w:lang w:val="en-US" w:eastAsia="zh-CN"/>
                    </w:rPr>
                    <w:t>产生VOCs的工艺采用直连管收集，输送管道密闭负压，废气排至水喷淋塔+活性炭吸附装置，</w:t>
                  </w:r>
                  <w:r>
                    <w:rPr>
                      <w:rFonts w:hint="default"/>
                    </w:rPr>
                    <w:t>经处理达标后通过15m排气筒排放（DA00</w:t>
                  </w:r>
                  <w:r>
                    <w:rPr>
                      <w:rFonts w:hint="eastAsia"/>
                      <w:lang w:val="en-US" w:eastAsia="zh-CN"/>
                    </w:rPr>
                    <w:t>3</w:t>
                  </w:r>
                  <w:r>
                    <w:rPr>
                      <w:rFonts w:hint="default"/>
                    </w:rPr>
                    <w:t>、DA00</w:t>
                  </w:r>
                  <w:r>
                    <w:rPr>
                      <w:rFonts w:hint="eastAsia"/>
                      <w:lang w:val="en-US" w:eastAsia="zh-CN"/>
                    </w:rPr>
                    <w:t>4</w:t>
                  </w:r>
                  <w:r>
                    <w:rPr>
                      <w:rFonts w:hint="default"/>
                    </w:rPr>
                    <w:t>）。</w:t>
                  </w:r>
                  <w:r>
                    <w:rPr>
                      <w:rFonts w:hint="default"/>
                      <w:lang w:val="en-US" w:eastAsia="zh-CN"/>
                    </w:rPr>
                    <w:t>因此符合VOCs无组织排放废气收集处理系统要求。</w:t>
                  </w:r>
                </w:p>
                <w:p>
                  <w:pPr>
                    <w:pStyle w:val="52"/>
                    <w:keepNext w:val="0"/>
                    <w:keepLines w:val="0"/>
                    <w:suppressLineNumbers w:val="0"/>
                    <w:spacing w:before="0" w:beforeAutospacing="0" w:after="0" w:afterAutospacing="0" w:line="240" w:lineRule="auto"/>
                    <w:ind w:left="0" w:right="0" w:firstLine="0" w:firstLineChars="0"/>
                    <w:jc w:val="center"/>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73"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记录</w:t>
                  </w:r>
                </w:p>
                <w:p>
                  <w:pPr>
                    <w:pStyle w:val="52"/>
                    <w:keepNext w:val="0"/>
                    <w:keepLines w:val="0"/>
                    <w:suppressLineNumbers w:val="0"/>
                    <w:spacing w:before="0" w:beforeAutospacing="0" w:after="0" w:afterAutospacing="0" w:line="240" w:lineRule="auto"/>
                    <w:ind w:left="0" w:right="0" w:firstLine="0" w:firstLineChars="0"/>
                    <w:jc w:val="center"/>
                    <w:rPr>
                      <w:rFonts w:hint="default"/>
                    </w:rPr>
                  </w:pPr>
                  <w:r>
                    <w:rPr>
                      <w:rFonts w:hint="default"/>
                    </w:rPr>
                    <w:t>要求</w:t>
                  </w:r>
                </w:p>
              </w:tc>
              <w:tc>
                <w:tcPr>
                  <w:tcW w:w="2391"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left"/>
                    <w:rPr>
                      <w:rFonts w:hint="default"/>
                    </w:rPr>
                  </w:pPr>
                  <w:r>
                    <w:rPr>
                      <w:rFonts w:hint="default"/>
                    </w:rPr>
                    <w:t>企业应建立台账，记录废气收集系统、VOCs处理设施的主要运行和维护信息，如运行时间、废气处理量、操作温度、停留时间、吸附剂再生/更换周期和更换量、催化剂更换周期和更换量、吸收液</w:t>
                  </w:r>
                  <w:r>
                    <w:rPr>
                      <w:rFonts w:hint="default"/>
                      <w:lang w:eastAsia="zh-CN"/>
                    </w:rPr>
                    <w:t>pH</w:t>
                  </w:r>
                  <w:r>
                    <w:rPr>
                      <w:rFonts w:hint="default"/>
                    </w:rPr>
                    <w:t>值等关键运行参数。台账保存期限不少于3年。</w:t>
                  </w:r>
                </w:p>
              </w:tc>
              <w:tc>
                <w:tcPr>
                  <w:tcW w:w="2034" w:type="pct"/>
                  <w:tcBorders>
                    <w:tl2br w:val="nil"/>
                    <w:tr2bl w:val="nil"/>
                  </w:tcBorders>
                  <w:noWrap w:val="0"/>
                  <w:vAlign w:val="center"/>
                </w:tcPr>
                <w:p>
                  <w:pPr>
                    <w:pStyle w:val="52"/>
                    <w:keepNext w:val="0"/>
                    <w:keepLines w:val="0"/>
                    <w:suppressLineNumbers w:val="0"/>
                    <w:spacing w:before="0" w:beforeAutospacing="0" w:after="0" w:afterAutospacing="0" w:line="240" w:lineRule="auto"/>
                    <w:ind w:left="0" w:right="0" w:firstLine="0" w:firstLineChars="0"/>
                    <w:jc w:val="both"/>
                    <w:rPr>
                      <w:rFonts w:hint="default"/>
                    </w:rPr>
                  </w:pPr>
                  <w:r>
                    <w:rPr>
                      <w:rFonts w:hint="eastAsia"/>
                      <w:lang w:val="en-US" w:eastAsia="zh-CN"/>
                    </w:rPr>
                    <w:t>项目</w:t>
                  </w:r>
                  <w:r>
                    <w:rPr>
                      <w:rFonts w:hint="default"/>
                    </w:rPr>
                    <w:t>建成投产后需按照（GB37822-2019）要求建立涉VOCs的台账，做好含有VOCs等危险废物的转移工作及台账记录。</w:t>
                  </w:r>
                </w:p>
              </w:tc>
            </w:tr>
          </w:tbl>
          <w:p>
            <w:pPr>
              <w:pStyle w:val="53"/>
              <w:keepNext w:val="0"/>
              <w:keepLines w:val="0"/>
              <w:suppressLineNumbers w:val="0"/>
              <w:spacing w:before="0" w:beforeAutospacing="0" w:after="0" w:afterAutospacing="0"/>
              <w:ind w:left="0" w:right="0"/>
              <w:rPr>
                <w:rFonts w:hint="default"/>
              </w:rPr>
            </w:pPr>
            <w:r>
              <w:rPr>
                <w:rFonts w:hint="default"/>
              </w:rPr>
              <w:t>相符性分析：</w:t>
            </w:r>
            <w:r>
              <w:rPr>
                <w:rFonts w:hint="default"/>
                <w:lang w:val="en-US" w:eastAsia="zh-CN"/>
              </w:rPr>
              <w:t>综上所述，项目符合《挥发性有机物无组织排放控制标准》（GB37822-2019）的要求。</w:t>
            </w:r>
          </w:p>
          <w:p>
            <w:pPr>
              <w:keepNext w:val="0"/>
              <w:keepLines w:val="0"/>
              <w:numPr>
                <w:ilvl w:val="0"/>
                <w:numId w:val="4"/>
              </w:numPr>
              <w:suppressLineNumbers w:val="0"/>
              <w:autoSpaceDE w:val="0"/>
              <w:autoSpaceDN w:val="0"/>
              <w:adjustRightInd/>
              <w:snapToGrid/>
              <w:spacing w:before="0" w:beforeAutospacing="0" w:after="0" w:afterAutospacing="0" w:line="360" w:lineRule="auto"/>
              <w:ind w:left="0" w:leftChars="0" w:right="0" w:rightChars="0" w:firstLine="400" w:firstLineChars="0"/>
              <w:jc w:val="left"/>
              <w:rPr>
                <w:rFonts w:hint="default"/>
              </w:rPr>
            </w:pPr>
            <w:r>
              <w:rPr>
                <w:rFonts w:hint="default"/>
              </w:rPr>
              <w:t>与《关于印发</w:t>
            </w:r>
            <w:r>
              <w:rPr>
                <w:rFonts w:hint="default"/>
                <w:lang w:val="en-US" w:eastAsia="zh-CN"/>
              </w:rPr>
              <w:t>&lt;</w:t>
            </w:r>
            <w:r>
              <w:rPr>
                <w:rFonts w:hint="default"/>
              </w:rPr>
              <w:t>广东省臭氧污染防治（氮氧化物和挥发性有机物协同减排）实施方案（2023-2025年）</w:t>
            </w:r>
            <w:r>
              <w:rPr>
                <w:rFonts w:hint="default"/>
                <w:lang w:val="en-US" w:eastAsia="zh-CN"/>
              </w:rPr>
              <w:t>&gt;</w:t>
            </w:r>
            <w:r>
              <w:rPr>
                <w:rFonts w:hint="default"/>
              </w:rPr>
              <w:t>的通知》的相符性分析</w:t>
            </w:r>
          </w:p>
          <w:p>
            <w:pPr>
              <w:pStyle w:val="53"/>
              <w:keepNext w:val="0"/>
              <w:keepLines w:val="0"/>
              <w:suppressLineNumbers w:val="0"/>
              <w:spacing w:before="0" w:beforeAutospacing="0" w:after="0" w:afterAutospacing="0"/>
              <w:ind w:left="0" w:right="0"/>
              <w:rPr>
                <w:rFonts w:hint="default"/>
              </w:rPr>
            </w:pPr>
            <w:r>
              <w:rPr>
                <w:rFonts w:hint="default"/>
              </w:rPr>
              <w:t>根据关于印发《广东省臭氧污染防治（氮氧化物和挥发性有机物协同减排）实施方案（2023-2025年）》的通知：</w:t>
            </w:r>
          </w:p>
          <w:p>
            <w:pPr>
              <w:pStyle w:val="53"/>
              <w:keepNext w:val="0"/>
              <w:keepLines w:val="0"/>
              <w:suppressLineNumbers w:val="0"/>
              <w:spacing w:before="0" w:beforeAutospacing="0" w:after="0" w:afterAutospacing="0"/>
              <w:ind w:left="0" w:right="0"/>
              <w:rPr>
                <w:rFonts w:hint="default"/>
                <w:lang w:val="en-US" w:eastAsia="zh-CN"/>
              </w:rPr>
            </w:pPr>
            <w:r>
              <w:rPr>
                <w:rFonts w:hint="default"/>
                <w:lang w:val="en-US" w:eastAsia="zh-CN"/>
              </w:rPr>
              <w:t>10．其他涉VOCs排放行业控制</w:t>
            </w:r>
          </w:p>
          <w:p>
            <w:pPr>
              <w:pStyle w:val="53"/>
              <w:keepNext w:val="0"/>
              <w:keepLines w:val="0"/>
              <w:suppressLineNumbers w:val="0"/>
              <w:spacing w:before="0" w:beforeAutospacing="0" w:after="0" w:afterAutospacing="0"/>
              <w:ind w:left="0" w:right="0"/>
              <w:rPr>
                <w:rFonts w:hint="default"/>
                <w:lang w:val="en-US" w:eastAsia="zh-CN"/>
              </w:rPr>
            </w:pPr>
            <w:r>
              <w:rPr>
                <w:rFonts w:hint="default"/>
                <w:lang w:val="en-US" w:eastAsia="zh-CN"/>
              </w:rPr>
              <w:t>工作目标：以工业涂装、橡胶塑料制品等行业为重点，开展涉VOCs企业达标治理，强化源头、无组织、末端全流程治理。</w:t>
            </w:r>
          </w:p>
          <w:p>
            <w:pPr>
              <w:pStyle w:val="53"/>
              <w:keepNext w:val="0"/>
              <w:keepLines w:val="0"/>
              <w:suppressLineNumbers w:val="0"/>
              <w:spacing w:before="0" w:beforeAutospacing="0" w:after="0" w:afterAutospacing="0"/>
              <w:ind w:left="0" w:right="0"/>
              <w:rPr>
                <w:rFonts w:hint="default"/>
                <w:lang w:val="en-US" w:eastAsia="zh-CN"/>
              </w:rPr>
            </w:pPr>
            <w:r>
              <w:rPr>
                <w:rFonts w:hint="default"/>
                <w:lang w:val="en-US" w:eastAsia="zh-CN"/>
              </w:rPr>
              <w:t>工作要求：加快推进工程机械、钢结构、船舶制造等行业低VOCs含量原辅材料替代，引导生产和使用企业供应和使用符合国家质量标准产品；企业无组织排放控制措施及相关限值应符合《挥发性有机物无组织排放控制标准（GB37822）》、《固定污染源挥发性有机物排放综合标准（DB44/2367）》和《广东省生态环境厅关于实施厂区内挥发性有机物无组织排放监控要求的通告》（粤环发〔2021〕4号）要求，无法实现低VOCs原辅材料替代的工序，宜在密闭设备、密闭空间作业或安装二次密闭设施；新、改、扩建项目限制使用光催化、光氧化、水喷淋（吸收可溶性VOCs除外）、低温等离子等低效VOCs治理设施（恶臭处理除外），组织排查光催化、光氧化、水喷淋、低温等离子及上述组合技术的低效VOCs治理设施，对无法稳定达标的实施更换或升级改造。（省生态环境厅牵头，省工业和信息化厅等参加）</w:t>
            </w:r>
          </w:p>
          <w:p>
            <w:pPr>
              <w:pStyle w:val="57"/>
              <w:keepNext w:val="0"/>
              <w:keepLines w:val="0"/>
              <w:suppressLineNumbers w:val="0"/>
              <w:bidi w:val="0"/>
              <w:spacing w:before="0" w:beforeAutospacing="0" w:after="0" w:afterAutospacing="0"/>
              <w:ind w:left="0" w:right="0"/>
              <w:rPr>
                <w:rFonts w:hint="default"/>
                <w:lang w:val="en-US" w:eastAsia="zh-CN"/>
              </w:rPr>
            </w:pPr>
            <w:r>
              <w:rPr>
                <w:rFonts w:hint="default"/>
              </w:rPr>
              <w:t>相符性分析：项目主要从事钣金件、灯饰配件、散热器的生产，</w:t>
            </w:r>
            <w:r>
              <w:rPr>
                <w:rFonts w:hint="default"/>
                <w:lang w:val="en-US" w:eastAsia="zh-CN"/>
              </w:rPr>
              <w:t>项目喷粉和喷漆产生的总VOCs经水喷淋塔+活性炭吸附装置处理达标后通过15m排气筒排放（DA00</w:t>
            </w:r>
            <w:r>
              <w:rPr>
                <w:rFonts w:hint="eastAsia"/>
                <w:lang w:val="en-US" w:eastAsia="zh-CN"/>
              </w:rPr>
              <w:t>3</w:t>
            </w:r>
            <w:r>
              <w:rPr>
                <w:rFonts w:hint="default"/>
                <w:lang w:val="en-US" w:eastAsia="zh-CN"/>
              </w:rPr>
              <w:t>、DA00</w:t>
            </w:r>
            <w:r>
              <w:rPr>
                <w:rFonts w:hint="eastAsia"/>
                <w:lang w:val="en-US" w:eastAsia="zh-CN"/>
              </w:rPr>
              <w:t>4</w:t>
            </w:r>
            <w:r>
              <w:rPr>
                <w:rFonts w:hint="default"/>
                <w:lang w:val="en-US" w:eastAsia="zh-CN"/>
              </w:rPr>
              <w:t>）。企业无组织排放控制措施及相关限值符合《挥发性有机物无组织排放控制标准（GB37822）》、《固定污染源挥发性有机物排放综合标准（DB44/2367）》和《广东省生态环境厅关于实施厂区内挥发性有机物无组织排放监控要求的通告》（粤环发〔2021〕4号）的要求。</w:t>
            </w:r>
          </w:p>
          <w:p>
            <w:pPr>
              <w:pStyle w:val="57"/>
              <w:keepNext w:val="0"/>
              <w:keepLines w:val="0"/>
              <w:suppressLineNumbers w:val="0"/>
              <w:bidi w:val="0"/>
              <w:spacing w:before="0" w:beforeAutospacing="0" w:after="0" w:afterAutospacing="0"/>
              <w:ind w:left="0" w:right="0"/>
              <w:rPr>
                <w:rFonts w:hint="default"/>
              </w:rPr>
            </w:pPr>
            <w:r>
              <w:rPr>
                <w:rFonts w:hint="default"/>
              </w:rPr>
              <w:t>因此，本项目符合《广东省臭氧污染防治（氮氧化物和挥发性有机物协同减排）实施方案（2023-2025年）》</w:t>
            </w:r>
            <w:r>
              <w:rPr>
                <w:rFonts w:hint="default"/>
                <w:lang w:val="en-US" w:eastAsia="zh-CN"/>
              </w:rPr>
              <w:t>的要求</w:t>
            </w:r>
            <w:r>
              <w:rPr>
                <w:rFonts w:hint="default"/>
              </w:rPr>
              <w:t>。</w:t>
            </w:r>
          </w:p>
          <w:p>
            <w:pPr>
              <w:keepNext w:val="0"/>
              <w:keepLines w:val="0"/>
              <w:widowControl w:val="0"/>
              <w:numPr>
                <w:ilvl w:val="0"/>
                <w:numId w:val="4"/>
              </w:numPr>
              <w:suppressLineNumbers w:val="0"/>
              <w:autoSpaceDE w:val="0"/>
              <w:autoSpaceDN w:val="0"/>
              <w:adjustRightInd w:val="0"/>
              <w:snapToGrid w:val="0"/>
              <w:spacing w:before="0" w:beforeAutospacing="0" w:after="0" w:afterAutospacing="0" w:line="360" w:lineRule="auto"/>
              <w:ind w:left="0" w:leftChars="0" w:right="0" w:rightChars="0" w:firstLine="400" w:firstLineChars="0"/>
              <w:jc w:val="left"/>
              <w:rPr>
                <w:rFonts w:hint="default"/>
              </w:rPr>
            </w:pPr>
            <w:r>
              <w:rPr>
                <w:rFonts w:hint="default"/>
                <w:lang w:val="en-US" w:eastAsia="zh-CN"/>
              </w:rPr>
              <w:t>与《博罗县2021年大气污染防治工作方案》的相符性分析</w:t>
            </w:r>
          </w:p>
          <w:p>
            <w:pPr>
              <w:keepNext w:val="0"/>
              <w:keepLines w:val="0"/>
              <w:widowControl w:val="0"/>
              <w:suppressLineNumbers w:val="0"/>
              <w:spacing w:before="0" w:beforeAutospacing="0" w:after="0" w:afterAutospacing="0" w:line="360" w:lineRule="auto"/>
              <w:ind w:left="0" w:right="0" w:firstLine="480" w:firstLineChars="200"/>
              <w:jc w:val="both"/>
              <w:rPr>
                <w:rFonts w:hint="default"/>
              </w:rPr>
            </w:pPr>
            <w:r>
              <w:rPr>
                <w:rFonts w:hint="default"/>
                <w:lang w:val="en-US" w:eastAsia="zh-CN"/>
              </w:rPr>
              <w:t xml:space="preserve">深入调整产业布局 </w:t>
            </w:r>
          </w:p>
          <w:p>
            <w:pPr>
              <w:keepNext w:val="0"/>
              <w:keepLines w:val="0"/>
              <w:widowControl w:val="0"/>
              <w:suppressLineNumbers w:val="0"/>
              <w:spacing w:before="0" w:beforeAutospacing="0" w:after="0" w:afterAutospacing="0" w:line="360" w:lineRule="auto"/>
              <w:ind w:left="0" w:right="0" w:firstLine="480" w:firstLineChars="200"/>
              <w:jc w:val="both"/>
              <w:rPr>
                <w:rFonts w:hint="default"/>
              </w:rPr>
            </w:pPr>
            <w:r>
              <w:rPr>
                <w:rFonts w:hint="default"/>
                <w:lang w:val="en-US" w:eastAsia="zh-CN"/>
              </w:rPr>
              <w:t>按照省 “一核一带一区”区域发展格局，落实 “三线一单”生态环境分区管控和主体功能区定位等要求，持续优化产业布局。 引导钢铁、石化、燃煤燃油火电等项目在大气受体敏感区、布局敏感区、弱扩散区外布局。</w:t>
            </w:r>
          </w:p>
          <w:p>
            <w:pPr>
              <w:keepNext w:val="0"/>
              <w:keepLines w:val="0"/>
              <w:widowControl w:val="0"/>
              <w:suppressLineNumbers w:val="0"/>
              <w:spacing w:before="0" w:beforeAutospacing="0" w:after="0" w:afterAutospacing="0" w:line="360" w:lineRule="auto"/>
              <w:ind w:left="0" w:right="0" w:firstLine="480" w:firstLineChars="200"/>
              <w:jc w:val="both"/>
              <w:rPr>
                <w:rFonts w:hint="default"/>
              </w:rPr>
            </w:pPr>
            <w:r>
              <w:rPr>
                <w:rFonts w:hint="default"/>
                <w:lang w:val="en-US" w:eastAsia="zh-CN"/>
              </w:rPr>
              <w:t>严格落实国家产品 VOCs 含量限值标准要求，除现阶段确无法实施替代的工序外，禁止新建生产和使用高 VOCs 原辅材料的项目。鼓励在生产和流通环节推广使用低 VOCs含量原辅材料。落实国家、省低 VOCs 含量原辅材料企业相关的正面清单和政府绿色采购清单。</w:t>
            </w:r>
          </w:p>
          <w:p>
            <w:pPr>
              <w:pStyle w:val="22"/>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textAlignment w:val="baseline"/>
              <w:rPr>
                <w:rFonts w:hint="default"/>
              </w:rPr>
            </w:pPr>
            <w:r>
              <w:rPr>
                <w:rFonts w:hint="default"/>
                <w:lang w:val="en-US" w:eastAsia="zh-CN"/>
              </w:rPr>
              <w:t>指导企业使用适宜高效的治理技术，涉 VOCs 重点行业新建、改建和扩建项目不推荐使用光氧化、光催化、低温等离子等低效治理设施，已建项目逐步淘汰光氧化、光催化、低温等离子治理设施。</w:t>
            </w:r>
          </w:p>
          <w:p>
            <w:pPr>
              <w:keepNext w:val="0"/>
              <w:keepLines w:val="0"/>
              <w:widowControl w:val="0"/>
              <w:suppressLineNumbers w:val="0"/>
              <w:spacing w:before="0" w:beforeAutospacing="0" w:after="0" w:afterAutospacing="0" w:line="360" w:lineRule="auto"/>
              <w:ind w:left="0" w:right="0" w:firstLine="480" w:firstLineChars="200"/>
              <w:jc w:val="both"/>
              <w:rPr>
                <w:rFonts w:hint="default"/>
              </w:rPr>
            </w:pPr>
            <w:r>
              <w:rPr>
                <w:rFonts w:hint="default"/>
                <w:lang w:val="en-US" w:eastAsia="zh-CN"/>
              </w:rPr>
              <w:t>指导采用一次性活性炭吸附治理技术的企业，明确活性炭装载量和更换频次，记录更换时间和使用量。</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highlight w:val="none"/>
                <w:lang w:val="en-US" w:eastAsia="zh-CN"/>
              </w:rPr>
            </w:pPr>
            <w:r>
              <w:rPr>
                <w:rFonts w:hint="default"/>
                <w:lang w:val="en-US" w:eastAsia="zh-CN"/>
              </w:rPr>
              <w:t>相符性分析：项目位于惠州市博罗县石湾镇科技园大道南侧，所在区域被划入《惠州市人民政府关于印发惠州市“三线一单”生态环境分区管控方案的通知》（惠府〔2021〕23 号）的博罗沙河流域重点管控单元，项目主要从事钣金件、灯饰配件、散热器的生产，不在该单元禁止建设项目范围内，符合“三线一单”生态环境分区管控和主体功能区定位等要求。不使用高VOCs含量、高反应活性的原辅材料，涉VOCs原辅材料粉末涂料和水性油漆，根据《低挥发性有机化合物含量涂料产品技术要求》（GB/T 38597-2020），为低VOCs原辅材料。涉VOCs原辅材料使用密封式储存。产生VOCs的工序为喷漆、喷粉，建设单位拟在产生总VOCs的位置设置集气装置，并通过“水喷淋塔+活性炭吸附装置”处理后由15m高的排气筒（DA00</w:t>
            </w:r>
            <w:r>
              <w:rPr>
                <w:rFonts w:hint="eastAsia"/>
                <w:lang w:val="en-US" w:eastAsia="zh-CN"/>
              </w:rPr>
              <w:t>3</w:t>
            </w:r>
            <w:r>
              <w:rPr>
                <w:rFonts w:hint="default"/>
                <w:lang w:val="en-US" w:eastAsia="zh-CN"/>
              </w:rPr>
              <w:t>、DA00</w:t>
            </w:r>
            <w:r>
              <w:rPr>
                <w:rFonts w:hint="eastAsia"/>
                <w:lang w:val="en-US" w:eastAsia="zh-CN"/>
              </w:rPr>
              <w:t>4</w:t>
            </w:r>
            <w:r>
              <w:rPr>
                <w:rFonts w:hint="default"/>
                <w:lang w:val="en-US" w:eastAsia="zh-CN"/>
              </w:rPr>
              <w:t>）排放，企业明确了活性炭装载量和更换频次，并记录更换时间和使用量。因此，本项目符合《博罗县2</w:t>
            </w:r>
            <w:r>
              <w:rPr>
                <w:rFonts w:hint="default"/>
                <w:highlight w:val="none"/>
                <w:lang w:val="en-US" w:eastAsia="zh-CN"/>
              </w:rPr>
              <w:t>021年大气污染防治工作方案》要求。</w:t>
            </w:r>
          </w:p>
          <w:p>
            <w:pPr>
              <w:keepNext w:val="0"/>
              <w:keepLines w:val="0"/>
              <w:widowControl w:val="0"/>
              <w:numPr>
                <w:ilvl w:val="0"/>
                <w:numId w:val="4"/>
              </w:numPr>
              <w:suppressLineNumbers w:val="0"/>
              <w:autoSpaceDE w:val="0"/>
              <w:autoSpaceDN w:val="0"/>
              <w:adjustRightInd w:val="0"/>
              <w:snapToGrid w:val="0"/>
              <w:spacing w:before="0" w:beforeAutospacing="0" w:after="0" w:afterAutospacing="0" w:line="360" w:lineRule="auto"/>
              <w:ind w:left="0" w:leftChars="0" w:right="0" w:rightChars="0" w:firstLine="400" w:firstLineChars="0"/>
              <w:jc w:val="left"/>
              <w:rPr>
                <w:rFonts w:hint="default"/>
                <w:b/>
                <w:bCs/>
                <w:highlight w:val="none"/>
                <w:lang w:val="en-US" w:eastAsia="zh-CN"/>
              </w:rPr>
            </w:pPr>
            <w:r>
              <w:rPr>
                <w:rFonts w:hint="default"/>
                <w:b/>
                <w:bCs/>
                <w:highlight w:val="none"/>
                <w:lang w:val="en-US" w:eastAsia="zh-CN"/>
              </w:rPr>
              <w:t>与“关于印发《惠州市2023年大气污染防治工作方案》的通知（惠市环〔202</w:t>
            </w:r>
            <w:r>
              <w:rPr>
                <w:rFonts w:hint="eastAsia"/>
                <w:b/>
                <w:bCs/>
                <w:highlight w:val="none"/>
                <w:lang w:val="en-US" w:eastAsia="zh-CN"/>
              </w:rPr>
              <w:t>3</w:t>
            </w:r>
            <w:r>
              <w:rPr>
                <w:rFonts w:hint="default"/>
                <w:b/>
                <w:bCs/>
                <w:highlight w:val="none"/>
                <w:lang w:val="en-US" w:eastAsia="zh-CN"/>
              </w:rPr>
              <w:t>〕11号）”相符性分</w:t>
            </w:r>
            <w:r>
              <w:rPr>
                <w:rFonts w:hint="eastAsia"/>
                <w:b/>
                <w:bCs/>
                <w:highlight w:val="none"/>
                <w:lang w:val="en-US" w:eastAsia="zh-CN"/>
              </w:rPr>
              <w:t>析</w:t>
            </w:r>
          </w:p>
          <w:p>
            <w:pPr>
              <w:pStyle w:val="8"/>
              <w:keepNext w:val="0"/>
              <w:keepLines w:val="0"/>
              <w:suppressLineNumbers w:val="0"/>
              <w:spacing w:beforeAutospacing="0" w:afterAutospacing="0" w:line="240" w:lineRule="auto"/>
              <w:ind w:left="0" w:right="0" w:firstLine="0" w:firstLineChars="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表1-5“通知”中关于挥发性有机物（VOCs）综合治理要求相符性分析一览表</w:t>
            </w:r>
          </w:p>
          <w:tbl>
            <w:tblPr>
              <w:tblStyle w:val="27"/>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1410"/>
              <w:gridCol w:w="885"/>
              <w:gridCol w:w="4050"/>
              <w:gridCol w:w="20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510"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序号</w:t>
                  </w:r>
                </w:p>
              </w:tc>
              <w:tc>
                <w:tcPr>
                  <w:tcW w:w="1410"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重点工作</w:t>
                  </w:r>
                </w:p>
              </w:tc>
              <w:tc>
                <w:tcPr>
                  <w:tcW w:w="885"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工作要求</w:t>
                  </w:r>
                </w:p>
              </w:tc>
              <w:tc>
                <w:tcPr>
                  <w:tcW w:w="4050"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工作内容</w:t>
                  </w:r>
                </w:p>
              </w:tc>
              <w:tc>
                <w:tcPr>
                  <w:tcW w:w="2081"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本项目相符性分析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0"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w:t>
                  </w:r>
                </w:p>
              </w:tc>
              <w:tc>
                <w:tcPr>
                  <w:tcW w:w="1410" w:type="dxa"/>
                  <w:vMerge w:val="restart"/>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开展大气污染治理减排行动</w:t>
                  </w:r>
                </w:p>
              </w:tc>
              <w:tc>
                <w:tcPr>
                  <w:tcW w:w="885"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推</w:t>
                  </w:r>
                  <w:r>
                    <w:rPr>
                      <w:rFonts w:hint="eastAsia"/>
                      <w:lang w:val="en-US" w:eastAsia="zh-CN"/>
                    </w:rPr>
                    <w:t xml:space="preserve"> </w:t>
                  </w:r>
                  <w:r>
                    <w:rPr>
                      <w:rFonts w:hint="default"/>
                      <w:lang w:val="en-US" w:eastAsia="zh-CN"/>
                    </w:rPr>
                    <w:t>进重</w:t>
                  </w:r>
                  <w:r>
                    <w:rPr>
                      <w:rFonts w:hint="eastAsia"/>
                      <w:lang w:val="en-US" w:eastAsia="zh-CN"/>
                    </w:rPr>
                    <w:t xml:space="preserve"> </w:t>
                  </w:r>
                  <w:r>
                    <w:rPr>
                      <w:rFonts w:hint="default"/>
                      <w:lang w:val="en-US" w:eastAsia="zh-CN"/>
                    </w:rPr>
                    <w:t>点工</w:t>
                  </w:r>
                  <w:r>
                    <w:rPr>
                      <w:rFonts w:hint="eastAsia"/>
                      <w:lang w:val="en-US" w:eastAsia="zh-CN"/>
                    </w:rPr>
                    <w:t xml:space="preserve"> </w:t>
                  </w:r>
                  <w:r>
                    <w:rPr>
                      <w:rFonts w:hint="default"/>
                      <w:lang w:val="en-US" w:eastAsia="zh-CN"/>
                    </w:rPr>
                    <w:t>业领</w:t>
                  </w:r>
                  <w:r>
                    <w:rPr>
                      <w:rFonts w:hint="eastAsia"/>
                      <w:lang w:val="en-US" w:eastAsia="zh-CN"/>
                    </w:rPr>
                    <w:t xml:space="preserve"> </w:t>
                  </w:r>
                  <w:r>
                    <w:rPr>
                      <w:rFonts w:hint="default"/>
                      <w:lang w:val="en-US" w:eastAsia="zh-CN"/>
                    </w:rPr>
                    <w:t>域深</w:t>
                  </w:r>
                  <w:r>
                    <w:rPr>
                      <w:rFonts w:hint="eastAsia"/>
                      <w:lang w:val="en-US" w:eastAsia="zh-CN"/>
                    </w:rPr>
                    <w:t xml:space="preserve"> </w:t>
                  </w:r>
                  <w:r>
                    <w:rPr>
                      <w:rFonts w:hint="default"/>
                      <w:lang w:val="en-US" w:eastAsia="zh-CN"/>
                    </w:rPr>
                    <w:t>度治</w:t>
                  </w:r>
                  <w:r>
                    <w:rPr>
                      <w:rFonts w:hint="eastAsia"/>
                      <w:lang w:val="en-US" w:eastAsia="zh-CN"/>
                    </w:rPr>
                    <w:t xml:space="preserve"> </w:t>
                  </w:r>
                  <w:r>
                    <w:rPr>
                      <w:rFonts w:hint="default"/>
                      <w:lang w:val="en-US" w:eastAsia="zh-CN"/>
                    </w:rPr>
                    <w:t>理</w:t>
                  </w:r>
                </w:p>
              </w:tc>
              <w:tc>
                <w:tcPr>
                  <w:tcW w:w="4050"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加强低VOCs含量原辅材料应用。应用涂装工艺的工业企业应当使用低挥发性有机物含量的涂料，并建立保存期限不少于3年的台账，记录生产原料、辅料的使用量、废弃量、去向以及VOCs含量。新建、改建、扩建的出版物印刷类项目全面使用低VOCs含量的油墨，皮鞋制造、家具制造业类项目基本使用低VOCs含量胶粘剂。房屋建筑和市政工程全面使用低VOCs含量胶粘剂，除特殊功能要求外的室内地坪施工、室外构筑物防护和城市道路交通标志基本使用低VOCs含量涂料。</w:t>
                  </w:r>
                </w:p>
              </w:tc>
              <w:tc>
                <w:tcPr>
                  <w:tcW w:w="2081"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rPr>
                  </w:pPr>
                  <w:r>
                    <w:rPr>
                      <w:rFonts w:hint="eastAsia"/>
                      <w:lang w:val="en-US" w:eastAsia="zh-CN"/>
                    </w:rPr>
                    <w:t>本项目涉VOCs原辅材料粉末涂料和水性油漆，根据《低挥发性有机化合物含量涂料产品技术要求》（GB/T 38597-2020），为低VOCs原辅材料，本项目原辅材料均符合低VOCs含量要求。</w:t>
                  </w:r>
                </w:p>
                <w:p>
                  <w:pPr>
                    <w:pStyle w:val="49"/>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0"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3</w:t>
                  </w:r>
                </w:p>
              </w:tc>
              <w:tc>
                <w:tcPr>
                  <w:tcW w:w="1410" w:type="dxa"/>
                  <w:vMerge w:val="continue"/>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p>
              </w:tc>
              <w:tc>
                <w:tcPr>
                  <w:tcW w:w="885"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清 理整 治低 效治 理设 施</w:t>
                  </w:r>
                </w:p>
                <w:p>
                  <w:pPr>
                    <w:pStyle w:val="49"/>
                    <w:keepNext w:val="0"/>
                    <w:keepLines w:val="0"/>
                    <w:suppressLineNumbers w:val="0"/>
                    <w:bidi w:val="0"/>
                    <w:spacing w:before="0" w:beforeAutospacing="0" w:after="0" w:afterAutospacing="0"/>
                    <w:ind w:left="0" w:right="0"/>
                    <w:rPr>
                      <w:rFonts w:hint="default"/>
                      <w:lang w:val="en-US" w:eastAsia="zh-CN"/>
                    </w:rPr>
                  </w:pPr>
                </w:p>
              </w:tc>
              <w:tc>
                <w:tcPr>
                  <w:tcW w:w="4050"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新、改、扩建项目限制使用光催化、光</w:t>
                  </w:r>
                  <w:r>
                    <w:rPr>
                      <w:rFonts w:hint="default"/>
                      <w:lang w:val="en-US" w:eastAsia="zh-CN"/>
                    </w:rPr>
                    <w:t>氧化、水喷淋（吸收可溶性VOCs除外）、低温等离子等低效VOC</w:t>
                  </w:r>
                  <w:r>
                    <w:rPr>
                      <w:rFonts w:hint="eastAsia"/>
                      <w:lang w:val="en-US" w:eastAsia="zh-CN"/>
                    </w:rPr>
                    <w:t>s</w:t>
                  </w:r>
                  <w:r>
                    <w:rPr>
                      <w:rFonts w:hint="default"/>
                      <w:lang w:val="en-US" w:eastAsia="zh-CN"/>
                    </w:rPr>
                    <w:t>治理设施（恶臭处理除外）。</w:t>
                  </w:r>
                </w:p>
                <w:p>
                  <w:pPr>
                    <w:pStyle w:val="49"/>
                    <w:keepNext w:val="0"/>
                    <w:keepLines w:val="0"/>
                    <w:suppressLineNumbers w:val="0"/>
                    <w:bidi w:val="0"/>
                    <w:spacing w:before="0" w:beforeAutospacing="0" w:after="0" w:afterAutospacing="0"/>
                    <w:ind w:left="0" w:right="0"/>
                    <w:rPr>
                      <w:rFonts w:hint="default"/>
                      <w:lang w:val="en-US" w:eastAsia="zh-CN"/>
                    </w:rPr>
                  </w:pPr>
                </w:p>
              </w:tc>
              <w:tc>
                <w:tcPr>
                  <w:tcW w:w="2081" w:type="dxa"/>
                  <w:tcBorders>
                    <w:tl2br w:val="nil"/>
                    <w:tr2bl w:val="nil"/>
                  </w:tcBorders>
                  <w:vAlign w:val="center"/>
                </w:tcPr>
                <w:p>
                  <w:pPr>
                    <w:pStyle w:val="49"/>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项目喷粉和喷漆产生的VOCs经水喷淋塔+活性炭吸附装置处理达标后通过15m排气筒排放（DA003、DA004），不属于低效处理设施。</w:t>
                  </w:r>
                </w:p>
              </w:tc>
            </w:tr>
          </w:tbl>
          <w:p>
            <w:pPr>
              <w:pStyle w:val="53"/>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相符性分析：</w:t>
            </w:r>
            <w:r>
              <w:rPr>
                <w:rFonts w:hint="default" w:ascii="Times New Roman" w:hAnsi="Times New Roman" w:eastAsia="宋体" w:cs="Times New Roman"/>
                <w:b w:val="0"/>
                <w:bCs w:val="0"/>
                <w:color w:val="auto"/>
                <w:highlight w:val="none"/>
                <w:lang w:val="en-US" w:eastAsia="zh-CN"/>
              </w:rPr>
              <w:t>综上所述，项目符合《</w:t>
            </w:r>
            <w:r>
              <w:rPr>
                <w:rFonts w:hint="default"/>
                <w:b w:val="0"/>
                <w:bCs w:val="0"/>
                <w:highlight w:val="none"/>
                <w:lang w:val="en-US" w:eastAsia="zh-CN"/>
              </w:rPr>
              <w:t>关于印发</w:t>
            </w:r>
            <w:r>
              <w:rPr>
                <w:rFonts w:hint="eastAsia"/>
                <w:b w:val="0"/>
                <w:bCs w:val="0"/>
                <w:highlight w:val="none"/>
                <w:lang w:val="en-US" w:eastAsia="zh-CN"/>
              </w:rPr>
              <w:t>&lt;</w:t>
            </w:r>
            <w:r>
              <w:rPr>
                <w:rFonts w:hint="default"/>
                <w:b w:val="0"/>
                <w:bCs w:val="0"/>
                <w:highlight w:val="none"/>
                <w:lang w:val="en-US" w:eastAsia="zh-CN"/>
              </w:rPr>
              <w:t>惠州市2023年大气污染防治工作方案</w:t>
            </w:r>
            <w:r>
              <w:rPr>
                <w:rFonts w:hint="eastAsia"/>
                <w:b w:val="0"/>
                <w:bCs w:val="0"/>
                <w:highlight w:val="none"/>
                <w:lang w:val="en-US" w:eastAsia="zh-CN"/>
              </w:rPr>
              <w:t>&gt;</w:t>
            </w:r>
            <w:r>
              <w:rPr>
                <w:rFonts w:hint="default"/>
                <w:b w:val="0"/>
                <w:bCs w:val="0"/>
                <w:highlight w:val="none"/>
                <w:lang w:val="en-US" w:eastAsia="zh-CN"/>
              </w:rPr>
              <w:t>的通知（惠市环</w:t>
            </w:r>
            <w:r>
              <w:rPr>
                <w:rFonts w:hint="default" w:ascii="Times New Roman" w:hAnsi="Times New Roman" w:eastAsia="宋体" w:cs="Times New Roman"/>
                <w:b w:val="0"/>
                <w:bCs w:val="0"/>
                <w:color w:val="auto"/>
                <w:sz w:val="24"/>
                <w:highlight w:val="none"/>
              </w:rPr>
              <w:t>〔202</w:t>
            </w:r>
            <w:r>
              <w:rPr>
                <w:rFonts w:hint="eastAsia" w:ascii="Times New Roman" w:hAnsi="Times New Roman" w:cs="Times New Roman"/>
                <w:b w:val="0"/>
                <w:bCs w:val="0"/>
                <w:color w:val="auto"/>
                <w:sz w:val="24"/>
                <w:highlight w:val="none"/>
                <w:lang w:val="en-US" w:eastAsia="zh-CN"/>
              </w:rPr>
              <w:t>3</w:t>
            </w:r>
            <w:r>
              <w:rPr>
                <w:rFonts w:hint="default" w:ascii="Times New Roman" w:hAnsi="Times New Roman" w:eastAsia="宋体" w:cs="Times New Roman"/>
                <w:b w:val="0"/>
                <w:bCs w:val="0"/>
                <w:color w:val="auto"/>
                <w:sz w:val="24"/>
                <w:highlight w:val="none"/>
              </w:rPr>
              <w:t>〕</w:t>
            </w:r>
            <w:r>
              <w:rPr>
                <w:rFonts w:hint="default"/>
                <w:b w:val="0"/>
                <w:bCs w:val="0"/>
                <w:highlight w:val="none"/>
                <w:lang w:val="en-US" w:eastAsia="zh-CN"/>
              </w:rPr>
              <w:t>11号）</w:t>
            </w:r>
            <w:r>
              <w:rPr>
                <w:rFonts w:hint="default" w:ascii="Times New Roman" w:hAnsi="Times New Roman" w:eastAsia="宋体" w:cs="Times New Roman"/>
                <w:b w:val="0"/>
                <w:bCs w:val="0"/>
                <w:color w:val="auto"/>
                <w:highlight w:val="none"/>
                <w:lang w:val="en-US" w:eastAsia="zh-CN"/>
              </w:rPr>
              <w:t>》（GB37822-2019）的要求。</w:t>
            </w:r>
          </w:p>
          <w:p>
            <w:pPr>
              <w:keepNext w:val="0"/>
              <w:keepLines w:val="0"/>
              <w:widowControl w:val="0"/>
              <w:numPr>
                <w:ilvl w:val="0"/>
                <w:numId w:val="4"/>
              </w:numPr>
              <w:suppressLineNumbers w:val="0"/>
              <w:autoSpaceDE w:val="0"/>
              <w:autoSpaceDN w:val="0"/>
              <w:adjustRightInd w:val="0"/>
              <w:snapToGrid w:val="0"/>
              <w:spacing w:before="0" w:beforeAutospacing="0" w:after="0" w:afterAutospacing="0" w:line="360" w:lineRule="auto"/>
              <w:ind w:left="0" w:leftChars="0" w:right="0" w:rightChars="0" w:firstLine="400" w:firstLineChars="0"/>
              <w:jc w:val="left"/>
              <w:rPr>
                <w:rFonts w:hint="eastAsia" w:ascii="Times New Roman" w:hAnsi="Times New Roman" w:eastAsia="宋体" w:cs="Times New Roman"/>
                <w:b/>
                <w:bCs/>
                <w:highlight w:val="none"/>
                <w:lang w:val="en-US" w:eastAsia="zh-CN"/>
              </w:rPr>
            </w:pPr>
            <w:r>
              <w:rPr>
                <w:rFonts w:hint="eastAsia" w:ascii="Times New Roman" w:hAnsi="Times New Roman" w:eastAsia="宋体" w:cs="Times New Roman"/>
                <w:b/>
                <w:bCs/>
                <w:highlight w:val="none"/>
                <w:lang w:val="en-US" w:eastAsia="zh-CN"/>
              </w:rPr>
              <w:t>与《关于印发&lt;博罗县2023年水污染防治攻坚战工作方案&gt;的通知》(博环攻坚办〔2023〕67号)的相符性分析</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重点断面2023年水质攻坚目标中东江北岸水质目标位II类，其中中心排渠的里波水排闸下和中岗排闸均为V类、沙河河口水质目标位III类</w:t>
            </w:r>
            <w:r>
              <w:rPr>
                <w:rFonts w:hint="default" w:ascii="Times New Roman" w:hAnsi="Times New Roman" w:eastAsia="宋体" w:cs="Times New Roman"/>
                <w:color w:val="auto"/>
                <w:sz w:val="24"/>
                <w:highlight w:val="none"/>
                <w:lang w:val="en-US" w:eastAsia="zh-CN"/>
              </w:rPr>
              <w:t>。</w:t>
            </w:r>
          </w:p>
          <w:p>
            <w:pPr>
              <w:pStyle w:val="22"/>
              <w:keepNext w:val="0"/>
              <w:keepLines w:val="0"/>
              <w:widowControl w:val="0"/>
              <w:numPr>
                <w:ilvl w:val="0"/>
                <w:numId w:val="0"/>
              </w:numPr>
              <w:suppressLineNumbers w:val="0"/>
              <w:autoSpaceDE w:val="0"/>
              <w:autoSpaceDN w:val="0"/>
              <w:adjustRightInd w:val="0"/>
              <w:spacing w:before="0" w:beforeAutospacing="0" w:after="0" w:afterAutospacing="0" w:line="360" w:lineRule="auto"/>
              <w:ind w:left="0" w:right="0" w:rightChars="0" w:firstLine="482" w:firstLineChars="200"/>
              <w:jc w:val="both"/>
              <w:textAlignment w:val="baseline"/>
              <w:rPr>
                <w:rFonts w:hint="eastAsia" w:ascii="Times New Roman" w:hAnsi="Times New Roman" w:eastAsia="宋体" w:cs="Times New Roman"/>
                <w:b w:val="0"/>
                <w:bCs w:val="0"/>
                <w:color w:val="auto"/>
                <w:highlight w:val="none"/>
                <w:lang w:val="en-US" w:eastAsia="zh-CN"/>
              </w:rPr>
            </w:pPr>
            <w:r>
              <w:rPr>
                <w:rFonts w:hint="eastAsia" w:ascii="Times New Roman" w:hAnsi="Times New Roman" w:eastAsia="宋体" w:cs="Times New Roman"/>
                <w:b/>
                <w:bCs/>
                <w:color w:val="auto"/>
                <w:sz w:val="24"/>
                <w:highlight w:val="none"/>
                <w:lang w:val="en-US" w:eastAsia="zh-CN"/>
              </w:rPr>
              <w:t>相符性分析：</w:t>
            </w:r>
            <w:r>
              <w:rPr>
                <w:rFonts w:hint="default" w:ascii="Times New Roman" w:hAnsi="Times New Roman" w:cs="Times New Roman"/>
                <w:color w:val="auto"/>
                <w:sz w:val="24"/>
                <w:highlight w:val="none"/>
              </w:rPr>
              <w:t>本项</w:t>
            </w:r>
            <w:r>
              <w:rPr>
                <w:rFonts w:hint="default" w:ascii="Times New Roman" w:hAnsi="Times New Roman" w:cs="Times New Roman"/>
                <w:color w:val="auto"/>
                <w:kern w:val="0"/>
                <w:sz w:val="24"/>
                <w:highlight w:val="none"/>
              </w:rPr>
              <w:t>目从事</w:t>
            </w:r>
            <w:r>
              <w:rPr>
                <w:rFonts w:hint="default" w:ascii="Times New Roman" w:hAnsi="Times New Roman" w:eastAsia="宋体" w:cs="Times New Roman"/>
                <w:color w:val="auto"/>
                <w:sz w:val="24"/>
                <w:highlight w:val="none"/>
                <w:lang w:val="en-US" w:eastAsia="zh-CN"/>
              </w:rPr>
              <w:t>从事钣金件、灯饰配件、散热器</w:t>
            </w:r>
            <w:r>
              <w:rPr>
                <w:rFonts w:hint="default" w:ascii="Times New Roman" w:hAnsi="Times New Roman" w:cs="Times New Roman"/>
                <w:bCs/>
                <w:color w:val="auto"/>
                <w:sz w:val="24"/>
                <w:highlight w:val="none"/>
              </w:rPr>
              <w:t>的生产</w:t>
            </w:r>
            <w:r>
              <w:rPr>
                <w:rFonts w:hint="default" w:ascii="Times New Roman" w:hAnsi="Times New Roman" w:cs="Times New Roman"/>
                <w:color w:val="auto"/>
                <w:kern w:val="0"/>
                <w:sz w:val="24"/>
                <w:highlight w:val="none"/>
              </w:rPr>
              <w:t>，属于</w:t>
            </w:r>
            <w:r>
              <w:rPr>
                <w:rFonts w:hint="default" w:ascii="Times New Roman" w:hAnsi="Times New Roman" w:cs="Times New Roman"/>
                <w:color w:val="auto"/>
                <w:kern w:val="0"/>
                <w:sz w:val="24"/>
                <w:highlight w:val="none"/>
                <w:lang w:val="en-US" w:eastAsia="zh-CN"/>
              </w:rPr>
              <w:t>金属制造</w:t>
            </w:r>
            <w:r>
              <w:rPr>
                <w:rFonts w:hint="default" w:ascii="Times New Roman" w:hAnsi="Times New Roman" w:cs="Times New Roman"/>
                <w:color w:val="auto"/>
                <w:kern w:val="0"/>
                <w:sz w:val="24"/>
                <w:highlight w:val="none"/>
              </w:rPr>
              <w:t>业，不涉及重金属排放。</w:t>
            </w:r>
            <w:r>
              <w:rPr>
                <w:rFonts w:hint="default" w:ascii="Times New Roman" w:hAnsi="Times New Roman" w:cs="Times New Roman"/>
                <w:color w:val="auto"/>
                <w:sz w:val="24"/>
                <w:highlight w:val="none"/>
              </w:rPr>
              <w:t>项目无生产废水外排。生活污水经三级化粪池预处理后纳入石湾镇大牛垒污水处理厂处理，尾水处理达标后排入石湾镇中心排渠</w:t>
            </w:r>
            <w:r>
              <w:rPr>
                <w:rFonts w:hint="default" w:ascii="Times New Roman" w:hAnsi="Times New Roman" w:cs="Times New Roman"/>
                <w:color w:val="auto"/>
                <w:kern w:val="0"/>
                <w:sz w:val="24"/>
                <w:highlight w:val="none"/>
              </w:rPr>
              <w:t>，</w:t>
            </w:r>
            <w:r>
              <w:rPr>
                <w:rFonts w:hint="eastAsia" w:ascii="Times New Roman" w:hAnsi="Times New Roman" w:cs="Times New Roman"/>
                <w:color w:val="auto"/>
                <w:kern w:val="0"/>
                <w:sz w:val="24"/>
                <w:highlight w:val="none"/>
                <w:lang w:val="en-US" w:eastAsia="zh-CN"/>
              </w:rPr>
              <w:t>对周边水环境影响不大。</w:t>
            </w:r>
            <w:r>
              <w:rPr>
                <w:rFonts w:hint="default" w:ascii="Times New Roman" w:hAnsi="Times New Roman" w:cs="Times New Roman"/>
                <w:color w:val="auto"/>
                <w:kern w:val="0"/>
                <w:sz w:val="24"/>
                <w:highlight w:val="none"/>
              </w:rPr>
              <w:t>因此本项目生活污水排放</w:t>
            </w:r>
            <w:r>
              <w:rPr>
                <w:rFonts w:hint="eastAsia" w:ascii="Times New Roman" w:hAnsi="Times New Roman" w:cs="Times New Roman"/>
                <w:color w:val="auto"/>
                <w:kern w:val="0"/>
                <w:sz w:val="24"/>
                <w:highlight w:val="none"/>
                <w:lang w:val="en-US" w:eastAsia="zh-CN"/>
              </w:rPr>
              <w:t>符合</w:t>
            </w:r>
            <w:r>
              <w:rPr>
                <w:rFonts w:hint="default" w:ascii="Times New Roman" w:hAnsi="Times New Roman" w:eastAsia="宋体" w:cs="Times New Roman"/>
                <w:color w:val="auto"/>
                <w:kern w:val="0"/>
                <w:sz w:val="24"/>
                <w:highlight w:val="none"/>
              </w:rPr>
              <w:t>《关于印发〈博罗县2023年水污染防治攻坚战工作方案〉的通知》(博环攻坚办〔2023〕67号)</w:t>
            </w:r>
            <w:r>
              <w:rPr>
                <w:rFonts w:hint="eastAsia" w:ascii="Times New Roman" w:hAnsi="Times New Roman" w:eastAsia="宋体" w:cs="Times New Roman"/>
                <w:color w:val="auto"/>
                <w:kern w:val="0"/>
                <w:sz w:val="24"/>
                <w:highlight w:val="none"/>
                <w:lang w:val="en-US" w:eastAsia="zh-CN"/>
              </w:rPr>
              <w:t>要求。</w:t>
            </w:r>
          </w:p>
          <w:p>
            <w:pPr>
              <w:pStyle w:val="2"/>
              <w:keepLines w:val="0"/>
              <w:suppressLineNumbers w:val="0"/>
              <w:spacing w:beforeAutospacing="0" w:afterAutospacing="0"/>
              <w:ind w:right="0"/>
              <w:rPr>
                <w:rFonts w:hint="default"/>
                <w:lang w:val="en-US" w:eastAsia="zh-CN"/>
              </w:rPr>
            </w:pPr>
          </w:p>
        </w:tc>
      </w:tr>
    </w:tbl>
    <w:p>
      <w:pPr>
        <w:spacing w:line="360" w:lineRule="auto"/>
        <w:outlineLvl w:val="0"/>
        <w:rPr>
          <w:rFonts w:hint="default" w:ascii="Times New Roman" w:hAnsi="Times New Roman" w:eastAsia="宋体" w:cs="Times New Roman"/>
          <w:color w:val="auto"/>
          <w:sz w:val="30"/>
        </w:rPr>
        <w:sectPr>
          <w:footerReference r:id="rId7" w:type="default"/>
          <w:pgSz w:w="11906" w:h="16838"/>
          <w:pgMar w:top="1134" w:right="1134" w:bottom="1134" w:left="1134"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22"/>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二、建设项目工程分析</w:t>
      </w:r>
    </w:p>
    <w:tbl>
      <w:tblPr>
        <w:tblStyle w:val="2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94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226" w:type="pct"/>
            <w:noWrap w:val="0"/>
            <w:vAlign w:val="center"/>
          </w:tcPr>
          <w:p>
            <w:pPr>
              <w:pStyle w:val="54"/>
              <w:keepNext w:val="0"/>
              <w:keepLines w:val="0"/>
              <w:suppressLineNumbers w:val="0"/>
              <w:ind w:left="0" w:right="0"/>
              <w:rPr>
                <w:rFonts w:hint="default" w:ascii="Times New Roman" w:hAnsi="Times New Roman" w:eastAsia="宋体" w:cs="Times New Roman"/>
                <w:color w:val="auto"/>
                <w:szCs w:val="24"/>
              </w:rPr>
            </w:pPr>
            <w:r>
              <w:rPr>
                <w:rFonts w:hint="default" w:ascii="Times New Roman" w:hAnsi="Times New Roman" w:eastAsia="宋体" w:cs="Times New Roman"/>
                <w:color w:val="auto"/>
              </w:rPr>
              <w:t>建设内容</w:t>
            </w:r>
          </w:p>
        </w:tc>
        <w:tc>
          <w:tcPr>
            <w:tcW w:w="4773" w:type="pct"/>
            <w:noWrap w:val="0"/>
            <w:vAlign w:val="top"/>
          </w:tcPr>
          <w:p>
            <w:pPr>
              <w:keepNext w:val="0"/>
              <w:keepLines w:val="0"/>
              <w:numPr>
                <w:ilvl w:val="0"/>
                <w:numId w:val="6"/>
              </w:numPr>
              <w:suppressLineNumbers w:val="0"/>
              <w:adjustRightInd w:val="0"/>
              <w:snapToGrid w:val="0"/>
              <w:spacing w:before="0" w:beforeAutospacing="0" w:after="0" w:afterAutospacing="0" w:line="360" w:lineRule="auto"/>
              <w:ind w:right="0" w:firstLine="400"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建设项目概况</w:t>
            </w:r>
          </w:p>
          <w:p>
            <w:pPr>
              <w:pStyle w:val="57"/>
              <w:keepNext w:val="0"/>
              <w:keepLines w:val="0"/>
              <w:suppressLineNumbers w:val="0"/>
              <w:adjustRightInd/>
              <w:snapToGrid/>
              <w:spacing w:before="0" w:beforeAutospacing="0" w:after="0" w:afterAutospacing="0"/>
              <w:ind w:left="0" w:right="0"/>
              <w:rPr>
                <w:rFonts w:hint="default" w:ascii="Times New Roman" w:hAnsi="Times New Roman" w:eastAsia="宋体" w:cs="Times New Roman"/>
                <w:color w:val="auto"/>
              </w:rPr>
            </w:pPr>
            <w:r>
              <w:rPr>
                <w:rFonts w:hint="eastAsia" w:cs="Times New Roman"/>
                <w:color w:val="auto"/>
                <w:lang w:eastAsia="zh-CN"/>
              </w:rPr>
              <w:t>广东万镭科技有限公司</w:t>
            </w:r>
            <w:r>
              <w:rPr>
                <w:rFonts w:hint="default" w:ascii="Times New Roman" w:hAnsi="Times New Roman" w:eastAsia="宋体" w:cs="Times New Roman"/>
                <w:color w:val="auto"/>
                <w:lang w:eastAsia="zh-CN"/>
              </w:rPr>
              <w:t>拟在</w:t>
            </w:r>
            <w:r>
              <w:rPr>
                <w:rFonts w:hint="default"/>
                <w:lang w:val="en-US" w:eastAsia="zh-CN"/>
              </w:rPr>
              <w:t>惠州市博罗县石湾镇科技园大道南侧</w:t>
            </w:r>
            <w:r>
              <w:rPr>
                <w:rFonts w:hint="default" w:ascii="Times New Roman" w:hAnsi="Times New Roman" w:eastAsia="宋体" w:cs="Times New Roman"/>
                <w:color w:val="auto"/>
                <w:sz w:val="24"/>
                <w:lang w:eastAsia="zh-CN"/>
              </w:rPr>
              <w:t>（中心坐标：E113.908848°，N23.169040°</w:t>
            </w:r>
            <w:r>
              <w:rPr>
                <w:rFonts w:hint="eastAsia" w:cs="Times New Roman"/>
                <w:color w:val="auto"/>
                <w:lang w:val="en-US" w:eastAsia="zh-CN"/>
              </w:rPr>
              <w:t>新建</w:t>
            </w:r>
            <w:r>
              <w:rPr>
                <w:rFonts w:hint="default" w:ascii="Times New Roman" w:hAnsi="Times New Roman" w:eastAsia="宋体" w:cs="Times New Roman"/>
                <w:color w:val="auto"/>
                <w:lang w:eastAsia="zh-CN"/>
              </w:rPr>
              <w:t>钣金件、灯饰配件和散热器的生产项目</w:t>
            </w:r>
            <w:r>
              <w:rPr>
                <w:rFonts w:hint="default" w:ascii="Times New Roman" w:hAnsi="Times New Roman" w:eastAsia="宋体" w:cs="Times New Roman"/>
                <w:color w:val="auto"/>
                <w:sz w:val="24"/>
                <w:lang w:eastAsia="zh-CN"/>
              </w:rPr>
              <w:t>，占地面积为</w:t>
            </w:r>
            <w:r>
              <w:rPr>
                <w:rFonts w:hint="eastAsia" w:cs="Times New Roman"/>
                <w:color w:val="auto"/>
                <w:sz w:val="24"/>
                <w:lang w:val="en-US" w:eastAsia="zh-CN"/>
              </w:rPr>
              <w:t>1500</w:t>
            </w:r>
            <w:r>
              <w:rPr>
                <w:rFonts w:hint="default" w:ascii="Times New Roman" w:hAnsi="Times New Roman" w:eastAsia="宋体" w:cs="Times New Roman"/>
                <w:color w:val="auto"/>
                <w:sz w:val="24"/>
                <w:lang w:eastAsia="zh-CN"/>
              </w:rPr>
              <w:t>平方米，建筑面积为</w:t>
            </w:r>
            <w:r>
              <w:rPr>
                <w:rFonts w:hint="eastAsia" w:cs="Times New Roman"/>
                <w:color w:val="auto"/>
                <w:sz w:val="24"/>
                <w:lang w:val="en-US" w:eastAsia="zh-CN"/>
              </w:rPr>
              <w:t>3000</w:t>
            </w:r>
            <w:r>
              <w:rPr>
                <w:rFonts w:hint="default" w:ascii="Times New Roman" w:hAnsi="Times New Roman" w:eastAsia="宋体" w:cs="Times New Roman"/>
                <w:color w:val="auto"/>
                <w:sz w:val="24"/>
                <w:lang w:eastAsia="zh-CN"/>
              </w:rPr>
              <w:t>平方米</w:t>
            </w:r>
            <w:r>
              <w:rPr>
                <w:rFonts w:hint="default" w:ascii="Times New Roman" w:hAnsi="Times New Roman" w:eastAsia="宋体" w:cs="Times New Roman"/>
                <w:color w:val="auto"/>
                <w:lang w:eastAsia="zh-CN"/>
              </w:rPr>
              <w:t>。本项目总投资</w:t>
            </w:r>
            <w:r>
              <w:rPr>
                <w:rFonts w:hint="eastAsia" w:cs="Times New Roman"/>
                <w:color w:val="auto"/>
                <w:lang w:val="en-US" w:eastAsia="zh-CN"/>
              </w:rPr>
              <w:t>800</w:t>
            </w:r>
            <w:r>
              <w:rPr>
                <w:rFonts w:hint="default" w:ascii="Times New Roman" w:hAnsi="Times New Roman" w:eastAsia="宋体" w:cs="Times New Roman"/>
                <w:color w:val="auto"/>
                <w:lang w:eastAsia="zh-CN"/>
              </w:rPr>
              <w:t>万元</w:t>
            </w:r>
            <w:r>
              <w:rPr>
                <w:rFonts w:hint="eastAsia" w:cs="Times New Roman"/>
                <w:color w:val="auto"/>
                <w:lang w:eastAsia="zh-CN"/>
              </w:rPr>
              <w:t>，</w:t>
            </w:r>
            <w:r>
              <w:rPr>
                <w:rFonts w:hint="default" w:ascii="Times New Roman" w:hAnsi="Times New Roman" w:eastAsia="宋体" w:cs="Times New Roman"/>
                <w:color w:val="auto"/>
                <w:lang w:eastAsia="zh-CN"/>
              </w:rPr>
              <w:t>年产钣金件50万件、灯饰配件50万件、散热器70万件</w:t>
            </w:r>
            <w:r>
              <w:rPr>
                <w:rFonts w:hint="eastAsia" w:eastAsia="宋体" w:cs="Times New Roman"/>
                <w:color w:val="auto"/>
                <w:lang w:eastAsia="zh-CN"/>
              </w:rPr>
              <w:t>。</w:t>
            </w:r>
          </w:p>
          <w:p>
            <w:pPr>
              <w:keepNext w:val="0"/>
              <w:keepLines w:val="0"/>
              <w:suppressLineNumbers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项目工程组成详见</w:t>
            </w: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REF _Ref27254 \h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rPr>
              <w:t>表2- 1</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w:t>
            </w:r>
          </w:p>
          <w:p>
            <w:pPr>
              <w:pStyle w:val="8"/>
              <w:keepNext w:val="0"/>
              <w:keepLines w:val="0"/>
              <w:suppressLineNumbers w:val="0"/>
              <w:spacing w:beforeAutospacing="0" w:afterAutospacing="0"/>
              <w:ind w:left="0" w:right="0"/>
              <w:rPr>
                <w:rFonts w:hint="default" w:ascii="Times New Roman" w:hAnsi="Times New Roman" w:eastAsia="宋体" w:cs="Times New Roman"/>
                <w:b/>
                <w:color w:val="auto"/>
                <w:sz w:val="24"/>
              </w:rPr>
            </w:pPr>
            <w:r>
              <w:rPr>
                <w:rFonts w:hint="default" w:ascii="Times New Roman" w:hAnsi="Times New Roman" w:eastAsia="宋体" w:cs="Times New Roman"/>
                <w:color w:val="auto"/>
              </w:rPr>
              <w:t xml:space="preserve">表2-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表2-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b/>
                <w:color w:val="auto"/>
                <w:sz w:val="24"/>
              </w:rPr>
              <w:t>项目工程组成一览表</w:t>
            </w:r>
          </w:p>
          <w:tbl>
            <w:tblPr>
              <w:tblStyle w:val="26"/>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1" w:type="dxa"/>
                <w:bottom w:w="0" w:type="dxa"/>
                <w:right w:w="51" w:type="dxa"/>
              </w:tblCellMar>
            </w:tblPr>
            <w:tblGrid>
              <w:gridCol w:w="541"/>
              <w:gridCol w:w="559"/>
              <w:gridCol w:w="559"/>
              <w:gridCol w:w="6789"/>
              <w:gridCol w:w="6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tblHeader/>
                <w:jc w:val="center"/>
              </w:trPr>
              <w:tc>
                <w:tcPr>
                  <w:tcW w:w="541" w:type="dxa"/>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b/>
                      <w:bCs/>
                      <w:color w:val="auto"/>
                    </w:rPr>
                  </w:pPr>
                  <w:bookmarkStart w:id="6" w:name="_Ref27254"/>
                  <w:r>
                    <w:rPr>
                      <w:rFonts w:hint="default"/>
                      <w:b/>
                      <w:bCs/>
                      <w:color w:val="auto"/>
                    </w:rPr>
                    <w:t>工程名称</w:t>
                  </w:r>
                </w:p>
              </w:tc>
              <w:tc>
                <w:tcPr>
                  <w:tcW w:w="1118" w:type="dxa"/>
                  <w:gridSpan w:val="2"/>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b/>
                      <w:bCs/>
                      <w:color w:val="auto"/>
                    </w:rPr>
                  </w:pPr>
                  <w:r>
                    <w:rPr>
                      <w:rFonts w:hint="default"/>
                      <w:b/>
                      <w:bCs/>
                      <w:color w:val="auto"/>
                    </w:rPr>
                    <w:t>工程名称</w:t>
                  </w:r>
                </w:p>
              </w:tc>
              <w:tc>
                <w:tcPr>
                  <w:tcW w:w="7480"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b/>
                      <w:bCs/>
                      <w:color w:val="auto"/>
                    </w:rPr>
                  </w:pPr>
                  <w:r>
                    <w:rPr>
                      <w:rFonts w:hint="default"/>
                      <w:b/>
                      <w:bCs/>
                      <w:color w:val="auto"/>
                    </w:rPr>
                    <w:t>工程内容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tblHeader/>
                <w:jc w:val="center"/>
              </w:trPr>
              <w:tc>
                <w:tcPr>
                  <w:tcW w:w="54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b/>
                      <w:bCs/>
                      <w:color w:val="auto"/>
                    </w:rPr>
                  </w:pPr>
                </w:p>
              </w:tc>
              <w:tc>
                <w:tcPr>
                  <w:tcW w:w="1118" w:type="dxa"/>
                  <w:gridSpan w:val="2"/>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b/>
                      <w:bCs/>
                      <w:color w:val="auto"/>
                    </w:rPr>
                  </w:pP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b/>
                      <w:bCs/>
                      <w:color w:val="auto"/>
                    </w:rPr>
                  </w:pPr>
                  <w:r>
                    <w:rPr>
                      <w:rFonts w:hint="eastAsia"/>
                      <w:b/>
                      <w:bCs/>
                      <w:color w:val="auto"/>
                    </w:rPr>
                    <w:t>项目</w:t>
                  </w:r>
                </w:p>
              </w:tc>
              <w:tc>
                <w:tcPr>
                  <w:tcW w:w="691"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b/>
                      <w:bCs/>
                      <w:color w:val="auto"/>
                    </w:rPr>
                  </w:pPr>
                  <w:r>
                    <w:rPr>
                      <w:rFonts w:hint="default"/>
                      <w:b/>
                      <w:bCs/>
                      <w:color w:val="auto"/>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tblHeader/>
                <w:jc w:val="center"/>
              </w:trPr>
              <w:tc>
                <w:tcPr>
                  <w:tcW w:w="541" w:type="dxa"/>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color w:val="auto"/>
                    </w:rPr>
                    <w:t>主体工程</w:t>
                  </w: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eastAsia="zh-CN"/>
                    </w:rPr>
                    <w:t>车间A</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lang w:val="en-US" w:eastAsia="zh-CN"/>
                    </w:rPr>
                  </w:pPr>
                  <w:r>
                    <w:rPr>
                      <w:rFonts w:hint="eastAsia" w:cs="Times New Roman"/>
                      <w:color w:val="auto"/>
                      <w:lang w:val="en-US" w:eastAsia="zh-CN"/>
                    </w:rPr>
                    <w:t>位于2F，</w:t>
                  </w:r>
                  <w:r>
                    <w:rPr>
                      <w:rFonts w:hint="default" w:ascii="Times New Roman" w:hAnsi="Times New Roman" w:eastAsia="宋体" w:cs="Times New Roman"/>
                      <w:color w:val="auto"/>
                      <w:lang w:val="en-US" w:eastAsia="zh-CN"/>
                    </w:rPr>
                    <w:t>建筑面积为1500m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vertAlign w:val="baseline"/>
                      <w:lang w:val="en-US" w:eastAsia="zh-CN"/>
                    </w:rPr>
                    <w:t>，</w:t>
                  </w:r>
                  <w:r>
                    <w:rPr>
                      <w:rFonts w:hint="default" w:ascii="Times New Roman" w:hAnsi="Times New Roman" w:eastAsia="宋体" w:cs="Times New Roman"/>
                      <w:color w:val="auto"/>
                      <w:lang w:val="en-US" w:eastAsia="zh-CN"/>
                    </w:rPr>
                    <w:t>主要为机械加工区域和喷漆线，有冲压区域、钻孔攻牙区域、折弯区域、喷砂区和喷漆线。</w:t>
                  </w:r>
                </w:p>
              </w:tc>
              <w:tc>
                <w:tcPr>
                  <w:tcW w:w="691" w:type="dxa"/>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r>
                    <w:rPr>
                      <w:rFonts w:hint="eastAsia"/>
                      <w:color w:val="auto"/>
                    </w:rPr>
                    <w:t>租用已建厂房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tblHeader/>
                <w:jc w:val="center"/>
              </w:trPr>
              <w:tc>
                <w:tcPr>
                  <w:tcW w:w="54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lang w:val="en-US" w:eastAsia="zh-CN"/>
                    </w:rPr>
                  </w:pPr>
                  <w:r>
                    <w:rPr>
                      <w:rFonts w:hint="eastAsia"/>
                      <w:color w:val="auto"/>
                      <w:lang w:val="en-US" w:eastAsia="zh-CN"/>
                    </w:rPr>
                    <w:t>车间B</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lang w:val="en-US" w:eastAsia="zh-CN"/>
                    </w:rPr>
                  </w:pPr>
                  <w:r>
                    <w:rPr>
                      <w:rFonts w:hint="eastAsia" w:cs="Times New Roman"/>
                      <w:color w:val="auto"/>
                      <w:lang w:val="en-US" w:eastAsia="zh-CN"/>
                    </w:rPr>
                    <w:t>位于3F，</w:t>
                  </w:r>
                  <w:r>
                    <w:rPr>
                      <w:rFonts w:hint="default" w:ascii="Times New Roman" w:hAnsi="Times New Roman" w:eastAsia="宋体" w:cs="Times New Roman"/>
                      <w:color w:val="auto"/>
                      <w:lang w:val="en-US" w:eastAsia="zh-CN"/>
                    </w:rPr>
                    <w:t>建筑面积为1500m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vertAlign w:val="baseline"/>
                      <w:lang w:val="en-US" w:eastAsia="zh-CN"/>
                    </w:rPr>
                    <w:t>，</w:t>
                  </w:r>
                  <w:r>
                    <w:rPr>
                      <w:rFonts w:hint="default" w:ascii="Times New Roman" w:hAnsi="Times New Roman" w:eastAsia="宋体" w:cs="Times New Roman"/>
                      <w:color w:val="auto"/>
                      <w:lang w:val="en-US" w:eastAsia="zh-CN"/>
                    </w:rPr>
                    <w:t>主要为</w:t>
                  </w:r>
                  <w:r>
                    <w:rPr>
                      <w:rFonts w:hint="eastAsia" w:cs="Times New Roman"/>
                      <w:color w:val="auto"/>
                      <w:lang w:val="en-US" w:eastAsia="zh-CN"/>
                    </w:rPr>
                    <w:t>喷粉线、一般固废间、危废暂存间、成品仓库</w:t>
                  </w:r>
                  <w:r>
                    <w:rPr>
                      <w:rFonts w:hint="default" w:ascii="Times New Roman" w:hAnsi="Times New Roman" w:eastAsia="宋体" w:cs="Times New Roman"/>
                      <w:color w:val="auto"/>
                      <w:lang w:val="en-US" w:eastAsia="zh-CN"/>
                    </w:rPr>
                    <w:t>等</w:t>
                  </w:r>
                </w:p>
              </w:tc>
              <w:tc>
                <w:tcPr>
                  <w:tcW w:w="69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eastAsia"/>
                      <w:color w:val="auto"/>
                    </w:rPr>
                    <w:t>储运工程</w:t>
                  </w: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eastAsia="zh-CN"/>
                    </w:rPr>
                    <w:t>原料仓库</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color w:val="auto"/>
                      <w:lang w:val="en-US" w:eastAsia="zh-CN"/>
                    </w:rPr>
                  </w:pPr>
                  <w:r>
                    <w:rPr>
                      <w:rFonts w:hint="eastAsia"/>
                      <w:color w:val="auto"/>
                      <w:lang w:val="en-US" w:eastAsia="zh-CN"/>
                    </w:rPr>
                    <w:t>位于车间A东南部，</w:t>
                  </w:r>
                  <w:r>
                    <w:rPr>
                      <w:rFonts w:hint="default" w:ascii="Times New Roman" w:hAnsi="Times New Roman" w:eastAsia="宋体" w:cs="Times New Roman"/>
                      <w:color w:val="auto"/>
                      <w:lang w:val="en-US" w:eastAsia="zh-CN"/>
                    </w:rPr>
                    <w:t>建筑面积为200㎡，主要储存铁料、粉末涂料、铝板、</w:t>
                  </w:r>
                  <w:r>
                    <w:rPr>
                      <w:rFonts w:hint="eastAsia" w:ascii="Times New Roman" w:hAnsi="Times New Roman" w:cs="Times New Roman"/>
                      <w:color w:val="auto"/>
                      <w:lang w:val="en-US" w:eastAsia="zh-CN"/>
                    </w:rPr>
                    <w:t>铁砂</w:t>
                  </w:r>
                  <w:r>
                    <w:rPr>
                      <w:rFonts w:hint="default" w:ascii="Times New Roman" w:hAnsi="Times New Roman" w:eastAsia="宋体" w:cs="Times New Roman"/>
                      <w:color w:val="auto"/>
                      <w:lang w:val="en-US" w:eastAsia="zh-CN"/>
                    </w:rPr>
                    <w:t>等</w:t>
                  </w:r>
                </w:p>
              </w:tc>
              <w:tc>
                <w:tcPr>
                  <w:tcW w:w="69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lang w:val="en-US" w:eastAsia="zh-CN"/>
                    </w:rPr>
                  </w:pPr>
                  <w:r>
                    <w:rPr>
                      <w:rFonts w:hint="eastAsia"/>
                      <w:color w:val="auto"/>
                      <w:lang w:val="en-US" w:eastAsia="zh-CN"/>
                    </w:rPr>
                    <w:t>化学品仓库</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lang w:val="en-US" w:eastAsia="zh-CN"/>
                    </w:rPr>
                  </w:pPr>
                  <w:r>
                    <w:rPr>
                      <w:rFonts w:hint="default" w:ascii="Times New Roman" w:hAnsi="Times New Roman" w:eastAsia="宋体" w:cs="Times New Roman"/>
                      <w:color w:val="auto"/>
                      <w:lang w:val="en-US" w:eastAsia="zh-CN"/>
                    </w:rPr>
                    <w:t>位于车间A</w:t>
                  </w:r>
                  <w:r>
                    <w:rPr>
                      <w:rFonts w:hint="eastAsia" w:eastAsia="宋体" w:cs="Times New Roman"/>
                      <w:color w:val="auto"/>
                      <w:lang w:val="en-US" w:eastAsia="zh-CN"/>
                    </w:rPr>
                    <w:t xml:space="preserve"> </w:t>
                  </w:r>
                  <w:r>
                    <w:rPr>
                      <w:rFonts w:hint="default" w:ascii="Times New Roman" w:hAnsi="Times New Roman" w:eastAsia="宋体" w:cs="Times New Roman"/>
                      <w:color w:val="auto"/>
                      <w:lang w:val="en-US" w:eastAsia="zh-CN"/>
                    </w:rPr>
                    <w:t>东</w:t>
                  </w:r>
                  <w:r>
                    <w:rPr>
                      <w:rFonts w:hint="eastAsia" w:ascii="Times New Roman" w:hAnsi="Times New Roman" w:cs="Times New Roman"/>
                      <w:color w:val="auto"/>
                      <w:lang w:val="en-US" w:eastAsia="zh-CN"/>
                    </w:rPr>
                    <w:t>南</w:t>
                  </w:r>
                  <w:r>
                    <w:rPr>
                      <w:rFonts w:hint="default" w:ascii="Times New Roman" w:hAnsi="Times New Roman" w:eastAsia="宋体" w:cs="Times New Roman"/>
                      <w:color w:val="auto"/>
                      <w:lang w:val="en-US" w:eastAsia="zh-CN"/>
                    </w:rPr>
                    <w:t>部，建筑面积为10㎡，主要储存水性油漆等</w:t>
                  </w:r>
                </w:p>
              </w:tc>
              <w:tc>
                <w:tcPr>
                  <w:tcW w:w="69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eastAsia="zh-CN"/>
                    </w:rPr>
                    <w:t>成品仓库</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lang w:val="en-US" w:eastAsia="zh-CN"/>
                    </w:rPr>
                  </w:pPr>
                  <w:r>
                    <w:rPr>
                      <w:rFonts w:hint="eastAsia"/>
                      <w:color w:val="auto"/>
                      <w:lang w:val="en-US" w:eastAsia="zh-CN"/>
                    </w:rPr>
                    <w:t>车间B</w:t>
                  </w:r>
                  <w:r>
                    <w:rPr>
                      <w:rFonts w:hint="default"/>
                      <w:color w:val="auto"/>
                      <w:lang w:val="en-US" w:eastAsia="zh-CN"/>
                    </w:rPr>
                    <w:t>的东南部，建筑面积均为100㎡，主要储存成品产品</w:t>
                  </w:r>
                </w:p>
              </w:tc>
              <w:tc>
                <w:tcPr>
                  <w:tcW w:w="69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eastAsia="zh-CN"/>
                    </w:rPr>
                    <w:t>辅助工程</w:t>
                  </w: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lang w:val="en-US" w:eastAsia="zh-CN"/>
                    </w:rPr>
                  </w:pPr>
                  <w:r>
                    <w:rPr>
                      <w:rFonts w:hint="eastAsia"/>
                      <w:color w:val="auto"/>
                      <w:lang w:val="en-US" w:eastAsia="zh-CN"/>
                    </w:rPr>
                    <w:t>办公室</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lang w:val="en-US" w:eastAsia="zh-CN"/>
                    </w:rPr>
                  </w:pPr>
                  <w:r>
                    <w:rPr>
                      <w:rFonts w:hint="eastAsia"/>
                      <w:color w:val="auto"/>
                      <w:lang w:val="en-US" w:eastAsia="zh-CN"/>
                    </w:rPr>
                    <w:t>办公室位于车间A、车间B西南部，建筑面积均为100㎡，为员工办公使用</w:t>
                  </w:r>
                </w:p>
              </w:tc>
              <w:tc>
                <w:tcPr>
                  <w:tcW w:w="69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color w:val="auto"/>
                    </w:rPr>
                    <w:t>公用工程</w:t>
                  </w: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color w:val="auto"/>
                    </w:rPr>
                    <w:t>给水</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r>
                    <w:rPr>
                      <w:rFonts w:hint="default" w:ascii="Times New Roman" w:hAnsi="Times New Roman" w:eastAsia="宋体" w:cs="Times New Roman"/>
                      <w:color w:val="auto"/>
                    </w:rPr>
                    <w:t>主要用水为生活</w:t>
                  </w:r>
                  <w:r>
                    <w:rPr>
                      <w:rFonts w:hint="default" w:ascii="Times New Roman" w:hAnsi="Times New Roman" w:eastAsia="宋体" w:cs="Times New Roman"/>
                      <w:color w:val="auto"/>
                      <w:lang w:val="en-US" w:eastAsia="zh-CN"/>
                    </w:rPr>
                    <w:t>用水</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调漆用水、</w:t>
                  </w:r>
                  <w:r>
                    <w:rPr>
                      <w:rFonts w:hint="eastAsia" w:ascii="Times New Roman" w:hAnsi="Times New Roman" w:cs="Times New Roman"/>
                      <w:color w:val="auto"/>
                      <w:lang w:val="en-US" w:eastAsia="zh-CN"/>
                    </w:rPr>
                    <w:t>水帘柜用水、</w:t>
                  </w:r>
                  <w:r>
                    <w:rPr>
                      <w:rFonts w:hint="default" w:ascii="Times New Roman" w:hAnsi="Times New Roman" w:eastAsia="宋体" w:cs="Times New Roman"/>
                      <w:color w:val="auto"/>
                      <w:lang w:val="en-US" w:eastAsia="zh-CN"/>
                    </w:rPr>
                    <w:t>喷枪清洗用水、喷淋塔用水</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由</w:t>
                  </w:r>
                  <w:r>
                    <w:rPr>
                      <w:rFonts w:hint="default" w:ascii="Times New Roman" w:hAnsi="Times New Roman" w:eastAsia="宋体" w:cs="Times New Roman"/>
                      <w:color w:val="auto"/>
                    </w:rPr>
                    <w:t>市政供水</w:t>
                  </w:r>
                </w:p>
              </w:tc>
              <w:tc>
                <w:tcPr>
                  <w:tcW w:w="691" w:type="dxa"/>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r>
                    <w:rPr>
                      <w:rFonts w:hint="eastAsia"/>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color w:val="auto"/>
                    </w:rPr>
                    <w:t>排水</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r>
                    <w:rPr>
                      <w:rFonts w:hint="eastAsia"/>
                      <w:color w:val="auto"/>
                    </w:rPr>
                    <w:t>无生产废水排放，生活污水由三级化粪池预处理达标后经市政管网纳石湾镇大牛垒污水处理厂进行处理</w:t>
                  </w:r>
                </w:p>
              </w:tc>
              <w:tc>
                <w:tcPr>
                  <w:tcW w:w="69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color w:val="auto"/>
                    </w:rPr>
                    <w:t>供电</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r>
                    <w:rPr>
                      <w:rFonts w:hint="default"/>
                      <w:color w:val="auto"/>
                    </w:rPr>
                    <w:t>市政供</w:t>
                  </w:r>
                  <w:r>
                    <w:rPr>
                      <w:rFonts w:hint="eastAsia"/>
                      <w:color w:val="auto"/>
                    </w:rPr>
                    <w:t>电</w:t>
                  </w:r>
                </w:p>
              </w:tc>
              <w:tc>
                <w:tcPr>
                  <w:tcW w:w="69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802" w:hRule="atLeast"/>
                <w:jc w:val="center"/>
              </w:trPr>
              <w:tc>
                <w:tcPr>
                  <w:tcW w:w="541" w:type="dxa"/>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color w:val="auto"/>
                    </w:rPr>
                    <w:t>环保工程</w:t>
                  </w: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color w:val="auto"/>
                    </w:rPr>
                    <w:t>废气</w:t>
                  </w:r>
                </w:p>
                <w:p>
                  <w:pPr>
                    <w:pStyle w:val="52"/>
                    <w:keepNext w:val="0"/>
                    <w:keepLines w:val="0"/>
                    <w:suppressLineNumbers w:val="0"/>
                    <w:spacing w:before="0" w:beforeAutospacing="0" w:after="0" w:afterAutospacing="0"/>
                    <w:ind w:left="0" w:right="0"/>
                    <w:rPr>
                      <w:rFonts w:hint="eastAsia"/>
                      <w:color w:val="auto"/>
                      <w:lang w:eastAsia="zh-CN"/>
                    </w:rPr>
                  </w:pPr>
                  <w:r>
                    <w:rPr>
                      <w:rFonts w:hint="default"/>
                      <w:color w:val="auto"/>
                    </w:rPr>
                    <w:t>处理</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喷砂废气：</w:t>
                  </w:r>
                  <w:r>
                    <w:rPr>
                      <w:rFonts w:hint="default" w:ascii="Times New Roman" w:hAnsi="Times New Roman" w:eastAsia="宋体" w:cs="Times New Roman"/>
                      <w:color w:val="auto"/>
                      <w:lang w:val="en-US" w:eastAsia="zh-CN"/>
                    </w:rPr>
                    <w:t>项目喷砂工序产生的颗粒物经“滤筒除尘器”处理后通过1根15m高排气筒（DA001）排放</w:t>
                  </w:r>
                </w:p>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bCs/>
                      <w:color w:val="auto"/>
                      <w:lang w:val="en-US" w:eastAsia="zh-CN"/>
                    </w:rPr>
                    <w:t>喷粉废气：</w:t>
                  </w:r>
                  <w:r>
                    <w:rPr>
                      <w:rFonts w:hint="default" w:ascii="Times New Roman" w:hAnsi="Times New Roman" w:eastAsia="宋体" w:cs="Times New Roman"/>
                      <w:color w:val="auto"/>
                      <w:lang w:val="en-US" w:eastAsia="zh-CN"/>
                    </w:rPr>
                    <w:t>项目喷粉工序产生的颗粒物经</w:t>
                  </w:r>
                  <w:r>
                    <w:rPr>
                      <w:rFonts w:hint="eastAsia"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滤筒式粉尘回收机</w:t>
                  </w:r>
                  <w:r>
                    <w:rPr>
                      <w:rFonts w:hint="eastAsia"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处理后通过1根15m高排气筒（DA002）排放，有机废气经</w:t>
                  </w:r>
                  <w:r>
                    <w:rPr>
                      <w:rFonts w:hint="eastAsia"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水喷淋塔+活性炭吸附装置</w:t>
                  </w:r>
                  <w:r>
                    <w:rPr>
                      <w:rFonts w:hint="eastAsia"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处理后通过1根15m高排气筒（DA003）排放</w:t>
                  </w:r>
                </w:p>
                <w:p>
                  <w:pPr>
                    <w:pStyle w:val="52"/>
                    <w:keepNext w:val="0"/>
                    <w:keepLines w:val="0"/>
                    <w:suppressLineNumbers w:val="0"/>
                    <w:spacing w:before="0" w:beforeAutospacing="0" w:after="0" w:afterAutospacing="0"/>
                    <w:ind w:left="0" w:right="0"/>
                    <w:rPr>
                      <w:rFonts w:hint="default"/>
                      <w:color w:val="auto"/>
                    </w:rPr>
                  </w:pPr>
                  <w:r>
                    <w:rPr>
                      <w:rFonts w:hint="default" w:ascii="Times New Roman" w:hAnsi="Times New Roman" w:eastAsia="宋体" w:cs="Times New Roman"/>
                      <w:b/>
                      <w:bCs/>
                      <w:color w:val="auto"/>
                      <w:lang w:val="en-US" w:eastAsia="zh-CN"/>
                    </w:rPr>
                    <w:t>喷漆废气：</w:t>
                  </w:r>
                  <w:r>
                    <w:rPr>
                      <w:rFonts w:hint="default" w:ascii="Times New Roman" w:hAnsi="Times New Roman" w:eastAsia="宋体" w:cs="Times New Roman"/>
                      <w:color w:val="auto"/>
                      <w:lang w:val="en-US" w:eastAsia="zh-CN"/>
                    </w:rPr>
                    <w:t>项目喷漆产生的颗粒物和有机废气经水喷淋塔+活性炭吸附装置处理后通过1根15m高排气筒（DA004）排放</w:t>
                  </w:r>
                </w:p>
              </w:tc>
              <w:tc>
                <w:tcPr>
                  <w:tcW w:w="691"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eastAsia"/>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831" w:hRule="atLeast"/>
                <w:jc w:val="center"/>
              </w:trPr>
              <w:tc>
                <w:tcPr>
                  <w:tcW w:w="54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p>
              </w:tc>
              <w:tc>
                <w:tcPr>
                  <w:tcW w:w="55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eastAsia"/>
                      <w:color w:val="auto"/>
                    </w:rPr>
                    <w:t>废水处理</w:t>
                  </w:r>
                </w:p>
              </w:tc>
              <w:tc>
                <w:tcPr>
                  <w:tcW w:w="55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color w:val="auto"/>
                    </w:rPr>
                    <w:t>生活污水</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r>
                    <w:rPr>
                      <w:rFonts w:hint="eastAsia"/>
                      <w:color w:val="auto"/>
                    </w:rPr>
                    <w:t>生活污水由三级化粪池预处理达标后经市政管网纳入石湾镇大牛垒污水处理厂进行处理</w:t>
                  </w:r>
                </w:p>
              </w:tc>
              <w:tc>
                <w:tcPr>
                  <w:tcW w:w="691"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eastAsia"/>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08" w:hRule="atLeast"/>
                <w:jc w:val="center"/>
              </w:trPr>
              <w:tc>
                <w:tcPr>
                  <w:tcW w:w="54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color w:val="auto"/>
                    </w:rPr>
                    <w:t>噪声控制</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color w:val="auto"/>
                    </w:rPr>
                    <w:t>隔声、基础减振等</w:t>
                  </w:r>
                </w:p>
              </w:tc>
              <w:tc>
                <w:tcPr>
                  <w:tcW w:w="691"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eastAsia"/>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p>
              </w:tc>
              <w:tc>
                <w:tcPr>
                  <w:tcW w:w="1118" w:type="dxa"/>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color w:val="auto"/>
                    </w:rPr>
                    <w:t>固废处理</w:t>
                  </w:r>
                </w:p>
              </w:tc>
              <w:tc>
                <w:tcPr>
                  <w:tcW w:w="6789"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color w:val="auto"/>
                    </w:rPr>
                  </w:pPr>
                  <w:r>
                    <w:rPr>
                      <w:rFonts w:hint="default" w:ascii="Times New Roman" w:hAnsi="Times New Roman" w:eastAsia="宋体" w:cs="Times New Roman"/>
                      <w:color w:val="auto"/>
                    </w:rPr>
                    <w:t>分类收集妥善处理，</w:t>
                  </w:r>
                  <w:r>
                    <w:rPr>
                      <w:rFonts w:hint="default" w:ascii="Times New Roman" w:hAnsi="Times New Roman" w:eastAsia="宋体" w:cs="Times New Roman"/>
                      <w:color w:val="auto"/>
                      <w:lang w:val="en-US" w:eastAsia="zh-CN"/>
                    </w:rPr>
                    <w:t>危废暂存间</w:t>
                  </w:r>
                  <w:r>
                    <w:rPr>
                      <w:rFonts w:hint="default" w:ascii="Times New Roman" w:hAnsi="Times New Roman" w:eastAsia="宋体" w:cs="Times New Roman"/>
                      <w:color w:val="auto"/>
                    </w:rPr>
                    <w:t>位于</w:t>
                  </w:r>
                  <w:r>
                    <w:rPr>
                      <w:rFonts w:hint="eastAsia" w:eastAsia="宋体" w:cs="Times New Roman"/>
                      <w:color w:val="auto"/>
                      <w:lang w:val="en-US" w:eastAsia="zh-CN"/>
                    </w:rPr>
                    <w:t>车间</w:t>
                  </w:r>
                  <w:r>
                    <w:rPr>
                      <w:rFonts w:hint="eastAsia" w:cs="Times New Roman"/>
                      <w:color w:val="auto"/>
                      <w:lang w:val="en-US" w:eastAsia="zh-CN"/>
                    </w:rPr>
                    <w:t>B</w:t>
                  </w:r>
                  <w:r>
                    <w:rPr>
                      <w:rFonts w:hint="eastAsia" w:ascii="Times New Roman" w:hAnsi="Times New Roman" w:cs="Times New Roman"/>
                      <w:color w:val="auto"/>
                      <w:lang w:val="en-US" w:eastAsia="zh-CN"/>
                    </w:rPr>
                    <w:t>西</w:t>
                  </w:r>
                  <w:r>
                    <w:rPr>
                      <w:rFonts w:hint="eastAsia" w:cs="Times New Roman"/>
                      <w:color w:val="auto"/>
                      <w:lang w:val="en-US" w:eastAsia="zh-CN"/>
                    </w:rPr>
                    <w:t>南</w:t>
                  </w:r>
                  <w:r>
                    <w:rPr>
                      <w:rFonts w:hint="default" w:ascii="Times New Roman" w:hAnsi="Times New Roman" w:eastAsia="宋体" w:cs="Times New Roman"/>
                      <w:color w:val="auto"/>
                      <w:lang w:val="en-US" w:eastAsia="zh-CN"/>
                    </w:rPr>
                    <w:t>部</w:t>
                  </w:r>
                  <w:r>
                    <w:rPr>
                      <w:rFonts w:hint="default" w:ascii="Times New Roman" w:hAnsi="Times New Roman" w:eastAsia="宋体" w:cs="Times New Roman"/>
                      <w:color w:val="auto"/>
                    </w:rPr>
                    <w:t>，建筑面积为</w:t>
                  </w:r>
                  <w:r>
                    <w:rPr>
                      <w:rFonts w:hint="eastAsia" w:eastAsia="宋体" w:cs="Times New Roman"/>
                      <w:color w:val="auto"/>
                      <w:lang w:val="en-US" w:eastAsia="zh-CN"/>
                    </w:rPr>
                    <w:t>10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rPr>
                    <w:t>；一般固体废物暂存区位于</w:t>
                  </w:r>
                  <w:r>
                    <w:rPr>
                      <w:rFonts w:hint="eastAsia" w:eastAsia="宋体" w:cs="Times New Roman"/>
                      <w:color w:val="auto"/>
                      <w:lang w:val="en-US" w:eastAsia="zh-CN"/>
                    </w:rPr>
                    <w:t>车间</w:t>
                  </w:r>
                  <w:r>
                    <w:rPr>
                      <w:rFonts w:hint="eastAsia" w:cs="Times New Roman"/>
                      <w:color w:val="auto"/>
                      <w:lang w:val="en-US" w:eastAsia="zh-CN"/>
                    </w:rPr>
                    <w:t>B</w:t>
                  </w:r>
                  <w:r>
                    <w:rPr>
                      <w:rFonts w:hint="eastAsia" w:ascii="Times New Roman" w:hAnsi="Times New Roman" w:cs="Times New Roman"/>
                      <w:color w:val="auto"/>
                      <w:lang w:val="en-US" w:eastAsia="zh-CN"/>
                    </w:rPr>
                    <w:t>西</w:t>
                  </w:r>
                  <w:r>
                    <w:rPr>
                      <w:rFonts w:hint="eastAsia" w:cs="Times New Roman"/>
                      <w:color w:val="auto"/>
                      <w:lang w:val="en-US" w:eastAsia="zh-CN"/>
                    </w:rPr>
                    <w:t>南</w:t>
                  </w:r>
                  <w:r>
                    <w:rPr>
                      <w:rFonts w:hint="default" w:ascii="Times New Roman" w:hAnsi="Times New Roman" w:eastAsia="宋体" w:cs="Times New Roman"/>
                      <w:color w:val="auto"/>
                      <w:lang w:val="en-US" w:eastAsia="zh-CN"/>
                    </w:rPr>
                    <w:t>部</w:t>
                  </w:r>
                  <w:r>
                    <w:rPr>
                      <w:rFonts w:hint="default" w:ascii="Times New Roman" w:hAnsi="Times New Roman" w:eastAsia="宋体" w:cs="Times New Roman"/>
                      <w:color w:val="auto"/>
                    </w:rPr>
                    <w:t>，建筑面积为</w:t>
                  </w:r>
                  <w:r>
                    <w:rPr>
                      <w:rFonts w:hint="eastAsia" w:eastAsia="宋体" w:cs="Times New Roman"/>
                      <w:color w:val="auto"/>
                      <w:lang w:val="en-US" w:eastAsia="zh-CN"/>
                    </w:rPr>
                    <w:t>10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厂区内</w:t>
                  </w:r>
                  <w:r>
                    <w:rPr>
                      <w:rFonts w:hint="default" w:ascii="Times New Roman" w:hAnsi="Times New Roman" w:eastAsia="宋体" w:cs="Times New Roman"/>
                      <w:color w:val="auto"/>
                    </w:rPr>
                    <w:t>设置有垃圾桶</w:t>
                  </w:r>
                </w:p>
              </w:tc>
              <w:tc>
                <w:tcPr>
                  <w:tcW w:w="691" w:type="dxa"/>
                  <w:tcBorders>
                    <w:tl2br w:val="nil"/>
                    <w:tr2bl w:val="nil"/>
                  </w:tcBorders>
                  <w:noWrap w:val="0"/>
                  <w:vAlign w:val="center"/>
                </w:tcPr>
                <w:p>
                  <w:pPr>
                    <w:pStyle w:val="52"/>
                    <w:keepNext w:val="0"/>
                    <w:keepLines w:val="0"/>
                    <w:suppressLineNumbers w:val="0"/>
                    <w:spacing w:before="0" w:beforeAutospacing="0" w:after="0" w:afterAutospacing="0"/>
                    <w:ind w:left="0" w:right="0"/>
                    <w:rPr>
                      <w:rFonts w:hint="eastAsia"/>
                      <w:color w:val="auto"/>
                    </w:rPr>
                  </w:pPr>
                  <w:r>
                    <w:rPr>
                      <w:rFonts w:hint="eastAsia"/>
                      <w:color w:val="auto"/>
                    </w:rPr>
                    <w:t>/</w:t>
                  </w:r>
                </w:p>
              </w:tc>
            </w:tr>
          </w:tbl>
          <w:p>
            <w:pPr>
              <w:pStyle w:val="8"/>
              <w:keepNext w:val="0"/>
              <w:keepLines w:val="0"/>
              <w:suppressLineNumbers w:val="0"/>
              <w:spacing w:beforeAutospacing="0" w:afterAutospacing="0"/>
              <w:ind w:left="0" w:right="0"/>
              <w:rPr>
                <w:rFonts w:hint="default" w:ascii="Times New Roman" w:hAnsi="Times New Roman" w:eastAsia="宋体" w:cs="Times New Roman"/>
                <w:color w:val="auto"/>
              </w:rPr>
            </w:pPr>
          </w:p>
          <w:bookmarkEnd w:id="6"/>
          <w:p>
            <w:pPr>
              <w:keepNext w:val="0"/>
              <w:keepLines w:val="0"/>
              <w:numPr>
                <w:ilvl w:val="0"/>
                <w:numId w:val="6"/>
              </w:numPr>
              <w:suppressLineNumbers w:val="0"/>
              <w:adjustRightInd w:val="0"/>
              <w:snapToGrid w:val="0"/>
              <w:spacing w:before="0" w:beforeAutospacing="0" w:after="0" w:afterAutospacing="0" w:line="360" w:lineRule="auto"/>
              <w:ind w:right="0" w:firstLine="400"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主要产品及产能</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项目</w:t>
            </w:r>
            <w:r>
              <w:rPr>
                <w:rFonts w:hint="eastAsia" w:cs="Times New Roman"/>
                <w:color w:val="auto"/>
                <w:sz w:val="24"/>
                <w:lang w:val="en-US" w:eastAsia="zh-CN"/>
              </w:rPr>
              <w:t>主要产品和产量</w:t>
            </w:r>
            <w:r>
              <w:rPr>
                <w:rFonts w:hint="default" w:ascii="Times New Roman" w:hAnsi="Times New Roman" w:eastAsia="宋体" w:cs="Times New Roman"/>
                <w:color w:val="auto"/>
                <w:sz w:val="24"/>
                <w:lang w:val="en-US" w:eastAsia="zh-CN"/>
              </w:rPr>
              <w:t>详见</w:t>
            </w:r>
            <w:r>
              <w:rPr>
                <w:rFonts w:hint="default" w:ascii="Times New Roman" w:hAnsi="Times New Roman" w:eastAsia="宋体" w:cs="Times New Roman"/>
                <w:color w:val="auto"/>
                <w:sz w:val="24"/>
                <w:lang w:val="en-US" w:eastAsia="zh-CN"/>
              </w:rPr>
              <w:fldChar w:fldCharType="begin"/>
            </w:r>
            <w:r>
              <w:rPr>
                <w:rFonts w:hint="default" w:ascii="Times New Roman" w:hAnsi="Times New Roman" w:eastAsia="宋体" w:cs="Times New Roman"/>
                <w:color w:val="auto"/>
                <w:sz w:val="24"/>
                <w:lang w:val="en-US" w:eastAsia="zh-CN"/>
              </w:rPr>
              <w:instrText xml:space="preserve"> REF _Ref26250 \h </w:instrText>
            </w:r>
            <w:r>
              <w:rPr>
                <w:rFonts w:hint="default" w:ascii="Times New Roman" w:hAnsi="Times New Roman" w:eastAsia="宋体" w:cs="Times New Roman"/>
                <w:color w:val="auto"/>
                <w:sz w:val="24"/>
                <w:lang w:val="en-US" w:eastAsia="zh-CN"/>
              </w:rPr>
              <w:fldChar w:fldCharType="separate"/>
            </w:r>
            <w:r>
              <w:rPr>
                <w:rFonts w:hint="default" w:ascii="Times New Roman" w:hAnsi="Times New Roman" w:eastAsia="宋体" w:cs="Times New Roman"/>
                <w:color w:val="auto"/>
              </w:rPr>
              <w:t>表2- 2</w:t>
            </w:r>
            <w:r>
              <w:rPr>
                <w:rFonts w:hint="default" w:ascii="Times New Roman" w:hAnsi="Times New Roman" w:eastAsia="宋体" w:cs="Times New Roman"/>
                <w:color w:val="auto"/>
                <w:sz w:val="24"/>
                <w:lang w:val="en-US" w:eastAsia="zh-CN"/>
              </w:rPr>
              <w:fldChar w:fldCharType="end"/>
            </w:r>
            <w:r>
              <w:rPr>
                <w:rFonts w:hint="default" w:ascii="Times New Roman" w:hAnsi="Times New Roman" w:eastAsia="宋体" w:cs="Times New Roman"/>
                <w:color w:val="auto"/>
                <w:sz w:val="24"/>
                <w:lang w:val="en-US" w:eastAsia="zh-CN"/>
              </w:rPr>
              <w:t>。</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color w:val="auto"/>
              </w:rPr>
            </w:pPr>
            <w:bookmarkStart w:id="7" w:name="_Ref26250"/>
          </w:p>
          <w:p>
            <w:pPr>
              <w:pStyle w:val="8"/>
              <w:keepNext w:val="0"/>
              <w:keepLines w:val="0"/>
              <w:suppressLineNumbers w:val="0"/>
              <w:spacing w:beforeAutospacing="0" w:afterAutospacing="0"/>
              <w:ind w:left="0" w:right="0"/>
              <w:jc w:val="center"/>
              <w:rPr>
                <w:rFonts w:hint="default" w:ascii="Times New Roman" w:hAnsi="Times New Roman" w:eastAsia="宋体" w:cs="Times New Roman"/>
                <w:b/>
                <w:color w:val="auto"/>
              </w:rPr>
            </w:pPr>
            <w:r>
              <w:rPr>
                <w:rFonts w:hint="default" w:ascii="Times New Roman" w:hAnsi="Times New Roman" w:eastAsia="宋体" w:cs="Times New Roman"/>
                <w:color w:val="auto"/>
              </w:rPr>
              <w:t xml:space="preserve">表2-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表2-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w:t>
            </w:r>
            <w:r>
              <w:rPr>
                <w:rFonts w:hint="default" w:ascii="Times New Roman" w:hAnsi="Times New Roman" w:eastAsia="宋体" w:cs="Times New Roman"/>
                <w:color w:val="auto"/>
              </w:rPr>
              <w:fldChar w:fldCharType="end"/>
            </w:r>
            <w:bookmarkEnd w:id="7"/>
            <w:r>
              <w:rPr>
                <w:rFonts w:hint="default" w:ascii="Times New Roman" w:hAnsi="Times New Roman" w:eastAsia="宋体" w:cs="Times New Roman"/>
                <w:b/>
                <w:color w:val="auto"/>
              </w:rPr>
              <w:t>项目主要产品及产量一览表</w:t>
            </w:r>
          </w:p>
          <w:tbl>
            <w:tblPr>
              <w:tblStyle w:val="26"/>
              <w:tblW w:w="4996" w:type="pct"/>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427"/>
              <w:gridCol w:w="427"/>
              <w:gridCol w:w="620"/>
              <w:gridCol w:w="1354"/>
              <w:gridCol w:w="1371"/>
              <w:gridCol w:w="2947"/>
              <w:gridCol w:w="1005"/>
              <w:gridCol w:w="1027"/>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rPr>
                    <w:t>序号</w:t>
                  </w:r>
                </w:p>
              </w:tc>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rPr>
                    <w:t>产品名称</w:t>
                  </w:r>
                </w:p>
              </w:tc>
              <w:tc>
                <w:tcPr>
                  <w:tcW w:w="1075" w:type="pct"/>
                  <w:gridSpan w:val="2"/>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年产量</w:t>
                  </w:r>
                </w:p>
              </w:tc>
              <w:tc>
                <w:tcPr>
                  <w:tcW w:w="746"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主要规格（单位mm）</w:t>
                  </w:r>
                </w:p>
              </w:tc>
              <w:tc>
                <w:tcPr>
                  <w:tcW w:w="1604"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主要产品照片</w:t>
                  </w:r>
                </w:p>
              </w:tc>
              <w:tc>
                <w:tcPr>
                  <w:tcW w:w="547" w:type="pct"/>
                  <w:tcBorders>
                    <w:lef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平均单位产品重量（kg）</w:t>
                  </w:r>
                </w:p>
              </w:tc>
              <w:tc>
                <w:tcPr>
                  <w:tcW w:w="559" w:type="pct"/>
                  <w:tcBorders>
                    <w:lef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232"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232"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钣金件</w:t>
                  </w:r>
                </w:p>
              </w:tc>
              <w:tc>
                <w:tcPr>
                  <w:tcW w:w="338"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50万件</w:t>
                  </w:r>
                </w:p>
              </w:tc>
              <w:tc>
                <w:tcPr>
                  <w:tcW w:w="737"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25万件</w:t>
                  </w:r>
                </w:p>
              </w:tc>
              <w:tc>
                <w:tcPr>
                  <w:tcW w:w="746"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500*500*100</w:t>
                  </w:r>
                </w:p>
              </w:tc>
              <w:tc>
                <w:tcPr>
                  <w:tcW w:w="1604"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drawing>
                      <wp:inline distT="0" distB="0" distL="114300" distR="114300">
                        <wp:extent cx="1729105" cy="1819910"/>
                        <wp:effectExtent l="0" t="0" r="0" b="0"/>
                        <wp:docPr id="7" name="图片 7" descr="1eeb9edc546c53396cfb9b0e24a86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eeb9edc546c53396cfb9b0e24a868a"/>
                                <pic:cNvPicPr>
                                  <a:picLocks noChangeAspect="1"/>
                                </pic:cNvPicPr>
                              </pic:nvPicPr>
                              <pic:blipFill>
                                <a:blip r:embed="rId12"/>
                                <a:srcRect l="-184" t="12331" b="8607"/>
                                <a:stretch>
                                  <a:fillRect/>
                                </a:stretch>
                              </pic:blipFill>
                              <pic:spPr>
                                <a:xfrm>
                                  <a:off x="0" y="0"/>
                                  <a:ext cx="1729105" cy="1819910"/>
                                </a:xfrm>
                                <a:prstGeom prst="rect">
                                  <a:avLst/>
                                </a:prstGeom>
                              </pic:spPr>
                            </pic:pic>
                          </a:graphicData>
                        </a:graphic>
                      </wp:inline>
                    </w:drawing>
                  </w:r>
                </w:p>
              </w:tc>
              <w:tc>
                <w:tcPr>
                  <w:tcW w:w="547" w:type="pct"/>
                  <w:tcBorders>
                    <w:lef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1.9</w:t>
                  </w:r>
                </w:p>
              </w:tc>
              <w:tc>
                <w:tcPr>
                  <w:tcW w:w="559" w:type="pct"/>
                  <w:vMerge w:val="restart"/>
                  <w:tcBorders>
                    <w:lef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年产量分别为475t/a、375t/a，</w:t>
                  </w:r>
                  <w:r>
                    <w:rPr>
                      <w:rFonts w:hint="default" w:ascii="Times New Roman" w:hAnsi="Times New Roman" w:eastAsia="宋体" w:cs="Times New Roman"/>
                      <w:color w:val="auto"/>
                      <w:lang w:val="en-US" w:eastAsia="zh-CN"/>
                    </w:rPr>
                    <w:t>用于电脑机箱、机柜</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23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bookmarkStart w:id="8" w:name="_Ref24894"/>
                </w:p>
              </w:tc>
              <w:tc>
                <w:tcPr>
                  <w:tcW w:w="23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p>
              </w:tc>
              <w:tc>
                <w:tcPr>
                  <w:tcW w:w="3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p>
              </w:tc>
              <w:tc>
                <w:tcPr>
                  <w:tcW w:w="737"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25万件</w:t>
                  </w:r>
                </w:p>
              </w:tc>
              <w:tc>
                <w:tcPr>
                  <w:tcW w:w="746"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400*450*5</w:t>
                  </w:r>
                </w:p>
              </w:tc>
              <w:tc>
                <w:tcPr>
                  <w:tcW w:w="1604"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drawing>
                      <wp:inline distT="0" distB="0" distL="114300" distR="114300">
                        <wp:extent cx="1731010" cy="2308860"/>
                        <wp:effectExtent l="0" t="0" r="2540" b="15240"/>
                        <wp:docPr id="43" name="图片 43" descr="39db54c5c86d887c1373f4d8e4a81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39db54c5c86d887c1373f4d8e4a814b"/>
                                <pic:cNvPicPr>
                                  <a:picLocks noChangeAspect="1"/>
                                </pic:cNvPicPr>
                              </pic:nvPicPr>
                              <pic:blipFill>
                                <a:blip r:embed="rId13"/>
                                <a:stretch>
                                  <a:fillRect/>
                                </a:stretch>
                              </pic:blipFill>
                              <pic:spPr>
                                <a:xfrm>
                                  <a:off x="0" y="0"/>
                                  <a:ext cx="1731010" cy="2308860"/>
                                </a:xfrm>
                                <a:prstGeom prst="rect">
                                  <a:avLst/>
                                </a:prstGeom>
                              </pic:spPr>
                            </pic:pic>
                          </a:graphicData>
                        </a:graphic>
                      </wp:inline>
                    </w:drawing>
                  </w:r>
                </w:p>
              </w:tc>
              <w:tc>
                <w:tcPr>
                  <w:tcW w:w="547" w:type="pct"/>
                  <w:tcBorders>
                    <w:lef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1.5</w:t>
                  </w:r>
                </w:p>
              </w:tc>
              <w:tc>
                <w:tcPr>
                  <w:tcW w:w="559" w:type="pct"/>
                  <w:vMerge w:val="continue"/>
                  <w:tcBorders>
                    <w:lef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灯饰配件</w:t>
                  </w:r>
                </w:p>
              </w:tc>
              <w:tc>
                <w:tcPr>
                  <w:tcW w:w="1075" w:type="pct"/>
                  <w:gridSpan w:val="2"/>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50万件</w:t>
                  </w:r>
                </w:p>
              </w:tc>
              <w:tc>
                <w:tcPr>
                  <w:tcW w:w="746"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Φ300*100</w:t>
                  </w:r>
                </w:p>
              </w:tc>
              <w:tc>
                <w:tcPr>
                  <w:tcW w:w="1604"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1725930" cy="2301875"/>
                        <wp:effectExtent l="0" t="0" r="7620" b="3175"/>
                        <wp:docPr id="9" name="图片 9" descr="398556d9dac2086c47ae2579cfcf2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398556d9dac2086c47ae2579cfcf2ab"/>
                                <pic:cNvPicPr>
                                  <a:picLocks noChangeAspect="1"/>
                                </pic:cNvPicPr>
                              </pic:nvPicPr>
                              <pic:blipFill>
                                <a:blip r:embed="rId14"/>
                                <a:stretch>
                                  <a:fillRect/>
                                </a:stretch>
                              </pic:blipFill>
                              <pic:spPr>
                                <a:xfrm>
                                  <a:off x="0" y="0"/>
                                  <a:ext cx="1725930" cy="2301875"/>
                                </a:xfrm>
                                <a:prstGeom prst="rect">
                                  <a:avLst/>
                                </a:prstGeom>
                              </pic:spPr>
                            </pic:pic>
                          </a:graphicData>
                        </a:graphic>
                      </wp:inline>
                    </w:drawing>
                  </w:r>
                </w:p>
              </w:tc>
              <w:tc>
                <w:tcPr>
                  <w:tcW w:w="547" w:type="pct"/>
                  <w:tcBorders>
                    <w:lef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w:t>
                  </w:r>
                </w:p>
              </w:tc>
              <w:tc>
                <w:tcPr>
                  <w:tcW w:w="559" w:type="pct"/>
                  <w:tcBorders>
                    <w:lef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年产量为50t/a，</w:t>
                  </w:r>
                  <w:r>
                    <w:rPr>
                      <w:rFonts w:hint="default" w:ascii="Times New Roman" w:hAnsi="Times New Roman" w:eastAsia="宋体" w:cs="Times New Roman"/>
                      <w:color w:val="auto"/>
                      <w:lang w:val="en-US" w:eastAsia="zh-CN"/>
                    </w:rPr>
                    <w:t>用于射灯、路灯、宫廷灯的配件</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散热器</w:t>
                  </w:r>
                </w:p>
              </w:tc>
              <w:tc>
                <w:tcPr>
                  <w:tcW w:w="1075" w:type="pct"/>
                  <w:gridSpan w:val="2"/>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70万件</w:t>
                  </w:r>
                </w:p>
              </w:tc>
              <w:tc>
                <w:tcPr>
                  <w:tcW w:w="746"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Φ300</w:t>
                  </w:r>
                </w:p>
              </w:tc>
              <w:tc>
                <w:tcPr>
                  <w:tcW w:w="1604" w:type="pct"/>
                  <w:tcBorders>
                    <w:righ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1731645" cy="2308860"/>
                        <wp:effectExtent l="0" t="0" r="1905" b="15240"/>
                        <wp:docPr id="33" name="图片 33" descr="430f1002e851af246b64c995256fe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430f1002e851af246b64c995256fe27"/>
                                <pic:cNvPicPr>
                                  <a:picLocks noChangeAspect="1"/>
                                </pic:cNvPicPr>
                              </pic:nvPicPr>
                              <pic:blipFill>
                                <a:blip r:embed="rId15"/>
                                <a:stretch>
                                  <a:fillRect/>
                                </a:stretch>
                              </pic:blipFill>
                              <pic:spPr>
                                <a:xfrm>
                                  <a:off x="0" y="0"/>
                                  <a:ext cx="1731645" cy="2308860"/>
                                </a:xfrm>
                                <a:prstGeom prst="rect">
                                  <a:avLst/>
                                </a:prstGeom>
                              </pic:spPr>
                            </pic:pic>
                          </a:graphicData>
                        </a:graphic>
                      </wp:inline>
                    </w:drawing>
                  </w:r>
                </w:p>
              </w:tc>
              <w:tc>
                <w:tcPr>
                  <w:tcW w:w="547" w:type="pct"/>
                  <w:tcBorders>
                    <w:lef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w:t>
                  </w:r>
                </w:p>
              </w:tc>
              <w:tc>
                <w:tcPr>
                  <w:tcW w:w="559" w:type="pct"/>
                  <w:tcBorders>
                    <w:left w:val="single" w:color="auto" w:sz="4" w:space="0"/>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年产量为280t/a，</w:t>
                  </w:r>
                  <w:r>
                    <w:rPr>
                      <w:rFonts w:hint="default" w:ascii="Times New Roman" w:hAnsi="Times New Roman" w:eastAsia="宋体" w:cs="Times New Roman"/>
                      <w:color w:val="auto"/>
                      <w:lang w:val="en-US" w:eastAsia="zh-CN"/>
                    </w:rPr>
                    <w:t>用于射灯、路灯、宫廷灯的散热</w:t>
                  </w:r>
                </w:p>
              </w:tc>
            </w:tr>
            <w:bookmarkEnd w:id="8"/>
          </w:tbl>
          <w:p>
            <w:pPr>
              <w:keepNext w:val="0"/>
              <w:keepLines w:val="0"/>
              <w:numPr>
                <w:ilvl w:val="0"/>
                <w:numId w:val="6"/>
              </w:numPr>
              <w:suppressLineNumbers w:val="0"/>
              <w:tabs>
                <w:tab w:val="left" w:pos="3401"/>
              </w:tabs>
              <w:adjustRightInd w:val="0"/>
              <w:snapToGrid w:val="0"/>
              <w:spacing w:before="0" w:beforeAutospacing="0" w:after="0" w:afterAutospacing="0" w:line="360" w:lineRule="auto"/>
              <w:ind w:right="0" w:firstLine="458" w:firstLineChars="200"/>
              <w:rPr>
                <w:rFonts w:hint="default" w:ascii="Times New Roman" w:hAnsi="Times New Roman" w:eastAsia="宋体" w:cs="Times New Roman"/>
                <w:b/>
                <w:bCs/>
                <w:color w:val="auto"/>
                <w:spacing w:val="-6"/>
                <w:sz w:val="24"/>
              </w:rPr>
            </w:pPr>
            <w:r>
              <w:rPr>
                <w:rFonts w:hint="default" w:ascii="Times New Roman" w:hAnsi="Times New Roman" w:eastAsia="宋体" w:cs="Times New Roman"/>
                <w:b/>
                <w:bCs/>
                <w:color w:val="auto"/>
                <w:spacing w:val="-6"/>
                <w:sz w:val="24"/>
              </w:rPr>
              <w:t>原辅材料</w:t>
            </w:r>
            <w:r>
              <w:rPr>
                <w:rFonts w:hint="default" w:ascii="Times New Roman" w:hAnsi="Times New Roman" w:eastAsia="宋体" w:cs="Times New Roman"/>
                <w:b/>
                <w:color w:val="auto"/>
                <w:sz w:val="24"/>
              </w:rPr>
              <w:t>及消耗量</w:t>
            </w:r>
            <w:r>
              <w:rPr>
                <w:rFonts w:hint="default" w:ascii="Times New Roman" w:hAnsi="Times New Roman" w:eastAsia="宋体" w:cs="Times New Roman"/>
                <w:b/>
                <w:color w:val="auto"/>
                <w:sz w:val="24"/>
              </w:rPr>
              <w:tab/>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项目主要原辅材料用量见</w:t>
            </w: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REF _Ref22911 \h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rPr>
              <w:t>表2- 4</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b/>
                <w:color w:val="auto"/>
                <w:sz w:val="24"/>
              </w:rPr>
            </w:pPr>
            <w:bookmarkStart w:id="9" w:name="_Ref22911"/>
            <w:r>
              <w:rPr>
                <w:rFonts w:hint="default" w:ascii="Times New Roman" w:hAnsi="Times New Roman" w:eastAsia="宋体" w:cs="Times New Roman"/>
                <w:color w:val="auto"/>
              </w:rPr>
              <w:t xml:space="preserve">表2-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表2-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w:t>
            </w:r>
            <w:r>
              <w:rPr>
                <w:rFonts w:hint="default" w:ascii="Times New Roman" w:hAnsi="Times New Roman" w:eastAsia="宋体" w:cs="Times New Roman"/>
                <w:color w:val="auto"/>
              </w:rPr>
              <w:fldChar w:fldCharType="end"/>
            </w:r>
            <w:bookmarkEnd w:id="9"/>
            <w:r>
              <w:rPr>
                <w:rFonts w:hint="default" w:ascii="Times New Roman" w:hAnsi="Times New Roman" w:eastAsia="宋体" w:cs="Times New Roman"/>
                <w:b/>
                <w:color w:val="auto"/>
                <w:sz w:val="24"/>
              </w:rPr>
              <w:t>项目主要原辅材料汇总一览表</w:t>
            </w:r>
          </w:p>
          <w:tbl>
            <w:tblPr>
              <w:tblStyle w:val="26"/>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1041"/>
              <w:gridCol w:w="1064"/>
              <w:gridCol w:w="828"/>
              <w:gridCol w:w="1038"/>
              <w:gridCol w:w="1414"/>
              <w:gridCol w:w="1076"/>
              <w:gridCol w:w="1080"/>
              <w:gridCol w:w="10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序号</w:t>
                  </w:r>
                </w:p>
              </w:tc>
              <w:tc>
                <w:tcPr>
                  <w:tcW w:w="5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原辅材料名称</w:t>
                  </w:r>
                </w:p>
              </w:tc>
              <w:tc>
                <w:tcPr>
                  <w:tcW w:w="5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年用量（t/a）</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最大储存量（t）</w:t>
                  </w:r>
                </w:p>
              </w:tc>
              <w:tc>
                <w:tcPr>
                  <w:tcW w:w="5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包装规格</w:t>
                  </w:r>
                </w:p>
              </w:tc>
              <w:tc>
                <w:tcPr>
                  <w:tcW w:w="7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物料形态</w:t>
                  </w:r>
                </w:p>
              </w:tc>
              <w:tc>
                <w:tcPr>
                  <w:tcW w:w="58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储存位置</w:t>
                  </w:r>
                </w:p>
              </w:tc>
              <w:tc>
                <w:tcPr>
                  <w:tcW w:w="58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使用工序</w:t>
                  </w:r>
                </w:p>
              </w:tc>
              <w:tc>
                <w:tcPr>
                  <w:tcW w:w="5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5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铁料</w:t>
                  </w:r>
                </w:p>
              </w:tc>
              <w:tc>
                <w:tcPr>
                  <w:tcW w:w="5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859.3</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c>
                <w:tcPr>
                  <w:tcW w:w="5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散装</w:t>
                  </w:r>
                </w:p>
              </w:tc>
              <w:tc>
                <w:tcPr>
                  <w:tcW w:w="7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固态</w:t>
                  </w:r>
                </w:p>
              </w:tc>
              <w:tc>
                <w:tcPr>
                  <w:tcW w:w="58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原料仓库</w:t>
                  </w:r>
                </w:p>
              </w:tc>
              <w:tc>
                <w:tcPr>
                  <w:tcW w:w="58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开料</w:t>
                  </w:r>
                </w:p>
              </w:tc>
              <w:tc>
                <w:tcPr>
                  <w:tcW w:w="5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按类型有铁板材、铁管、铁方通等。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2</w:t>
                  </w:r>
                </w:p>
              </w:tc>
              <w:tc>
                <w:tcPr>
                  <w:tcW w:w="567"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铝板</w:t>
                  </w:r>
                </w:p>
              </w:tc>
              <w:tc>
                <w:tcPr>
                  <w:tcW w:w="57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lang w:val="en-US" w:eastAsia="zh-CN"/>
                    </w:rPr>
                    <w:t>50.85</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56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散装</w:t>
                  </w:r>
                </w:p>
              </w:tc>
              <w:tc>
                <w:tcPr>
                  <w:tcW w:w="770"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固态</w:t>
                  </w:r>
                </w:p>
              </w:tc>
              <w:tc>
                <w:tcPr>
                  <w:tcW w:w="58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原料仓库</w:t>
                  </w:r>
                </w:p>
              </w:tc>
              <w:tc>
                <w:tcPr>
                  <w:tcW w:w="58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lang w:val="en-US" w:eastAsia="zh-CN"/>
                    </w:rPr>
                    <w:t>开料</w:t>
                  </w:r>
                </w:p>
              </w:tc>
              <w:tc>
                <w:tcPr>
                  <w:tcW w:w="572"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3</w:t>
                  </w:r>
                </w:p>
              </w:tc>
              <w:tc>
                <w:tcPr>
                  <w:tcW w:w="567"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铁砂</w:t>
                  </w:r>
                </w:p>
              </w:tc>
              <w:tc>
                <w:tcPr>
                  <w:tcW w:w="57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8</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w:t>
                  </w:r>
                </w:p>
              </w:tc>
              <w:tc>
                <w:tcPr>
                  <w:tcW w:w="56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50kg/包</w:t>
                  </w:r>
                </w:p>
              </w:tc>
              <w:tc>
                <w:tcPr>
                  <w:tcW w:w="770"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固态</w:t>
                  </w:r>
                </w:p>
              </w:tc>
              <w:tc>
                <w:tcPr>
                  <w:tcW w:w="58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原料仓库</w:t>
                  </w:r>
                </w:p>
              </w:tc>
              <w:tc>
                <w:tcPr>
                  <w:tcW w:w="58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cs="Times New Roman"/>
                      <w:color w:val="auto"/>
                      <w:lang w:val="en-US" w:eastAsia="zh-CN"/>
                    </w:rPr>
                  </w:pPr>
                  <w:r>
                    <w:rPr>
                      <w:rFonts w:hint="eastAsia" w:cs="Times New Roman"/>
                      <w:color w:val="auto"/>
                      <w:lang w:val="en-US" w:eastAsia="zh-CN"/>
                    </w:rPr>
                    <w:t>喷砂</w:t>
                  </w:r>
                </w:p>
              </w:tc>
              <w:tc>
                <w:tcPr>
                  <w:tcW w:w="572"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4</w:t>
                  </w:r>
                </w:p>
              </w:tc>
              <w:tc>
                <w:tcPr>
                  <w:tcW w:w="5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散热器坯件</w:t>
                  </w:r>
                </w:p>
              </w:tc>
              <w:tc>
                <w:tcPr>
                  <w:tcW w:w="5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280.2.</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5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散装</w:t>
                  </w:r>
                </w:p>
              </w:tc>
              <w:tc>
                <w:tcPr>
                  <w:tcW w:w="7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固态</w:t>
                  </w:r>
                </w:p>
              </w:tc>
              <w:tc>
                <w:tcPr>
                  <w:tcW w:w="58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原料仓库</w:t>
                  </w:r>
                </w:p>
              </w:tc>
              <w:tc>
                <w:tcPr>
                  <w:tcW w:w="58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喷砂</w:t>
                  </w:r>
                </w:p>
              </w:tc>
              <w:tc>
                <w:tcPr>
                  <w:tcW w:w="5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铸铝半成品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5</w:t>
                  </w:r>
                </w:p>
              </w:tc>
              <w:tc>
                <w:tcPr>
                  <w:tcW w:w="567"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粉末涂料</w:t>
                  </w:r>
                </w:p>
              </w:tc>
              <w:tc>
                <w:tcPr>
                  <w:tcW w:w="57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54.</w:t>
                  </w:r>
                  <w:r>
                    <w:rPr>
                      <w:rFonts w:hint="eastAsia" w:cs="Times New Roman"/>
                      <w:color w:val="auto"/>
                      <w:lang w:val="en-US" w:eastAsia="zh-CN"/>
                    </w:rPr>
                    <w:t>10</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4</w:t>
                  </w:r>
                </w:p>
              </w:tc>
              <w:tc>
                <w:tcPr>
                  <w:tcW w:w="56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25kg/桶</w:t>
                  </w:r>
                </w:p>
              </w:tc>
              <w:tc>
                <w:tcPr>
                  <w:tcW w:w="770"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粉末固态</w:t>
                  </w:r>
                </w:p>
              </w:tc>
              <w:tc>
                <w:tcPr>
                  <w:tcW w:w="58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原料仓库</w:t>
                  </w:r>
                </w:p>
              </w:tc>
              <w:tc>
                <w:tcPr>
                  <w:tcW w:w="58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喷粉</w:t>
                  </w:r>
                </w:p>
              </w:tc>
              <w:tc>
                <w:tcPr>
                  <w:tcW w:w="572"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6</w:t>
                  </w:r>
                </w:p>
              </w:tc>
              <w:tc>
                <w:tcPr>
                  <w:tcW w:w="5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水性油料</w:t>
                  </w:r>
                </w:p>
              </w:tc>
              <w:tc>
                <w:tcPr>
                  <w:tcW w:w="5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13.56</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5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15kg/桶</w:t>
                  </w:r>
                </w:p>
              </w:tc>
              <w:tc>
                <w:tcPr>
                  <w:tcW w:w="7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液态</w:t>
                  </w:r>
                </w:p>
              </w:tc>
              <w:tc>
                <w:tcPr>
                  <w:tcW w:w="58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化学品仓库</w:t>
                  </w:r>
                </w:p>
              </w:tc>
              <w:tc>
                <w:tcPr>
                  <w:tcW w:w="58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喷漆</w:t>
                  </w:r>
                </w:p>
              </w:tc>
              <w:tc>
                <w:tcPr>
                  <w:tcW w:w="5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7</w:t>
                  </w:r>
                </w:p>
              </w:tc>
              <w:tc>
                <w:tcPr>
                  <w:tcW w:w="5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jc w:val="center"/>
                    <w:rPr>
                      <w:rFonts w:hint="eastAsia" w:ascii="Times New Roman" w:hAnsi="Times New Roman" w:cs="Times New Roman"/>
                      <w:color w:val="auto"/>
                      <w:lang w:val="en-US" w:eastAsia="zh-CN"/>
                    </w:rPr>
                  </w:pPr>
                  <w:r>
                    <w:rPr>
                      <w:rFonts w:hint="eastAsia"/>
                      <w:color w:val="auto"/>
                      <w:lang w:val="en-US" w:eastAsia="zh-CN"/>
                    </w:rPr>
                    <w:t>润滑油</w:t>
                  </w:r>
                </w:p>
              </w:tc>
              <w:tc>
                <w:tcPr>
                  <w:tcW w:w="5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jc w:val="center"/>
                    <w:rPr>
                      <w:rFonts w:hint="eastAsia" w:ascii="Times New Roman" w:hAnsi="Times New Roman" w:cs="Times New Roman"/>
                      <w:color w:val="auto"/>
                      <w:lang w:val="en-US" w:eastAsia="zh-CN"/>
                    </w:rPr>
                  </w:pPr>
                  <w:r>
                    <w:rPr>
                      <w:rFonts w:hint="eastAsia"/>
                      <w:color w:val="auto"/>
                      <w:lang w:val="en-US" w:eastAsia="zh-CN"/>
                    </w:rPr>
                    <w:t>0.8</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jc w:val="center"/>
                    <w:rPr>
                      <w:rFonts w:hint="eastAsia" w:ascii="Times New Roman" w:hAnsi="Times New Roman" w:cs="Times New Roman"/>
                      <w:color w:val="auto"/>
                      <w:lang w:val="en-US" w:eastAsia="zh-CN"/>
                    </w:rPr>
                  </w:pPr>
                  <w:r>
                    <w:rPr>
                      <w:rFonts w:hint="eastAsia"/>
                      <w:color w:val="auto"/>
                      <w:lang w:val="en-US" w:eastAsia="zh-CN"/>
                    </w:rPr>
                    <w:t>0.2</w:t>
                  </w:r>
                </w:p>
              </w:tc>
              <w:tc>
                <w:tcPr>
                  <w:tcW w:w="5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jc w:val="center"/>
                    <w:rPr>
                      <w:rFonts w:hint="eastAsia" w:ascii="Times New Roman" w:hAnsi="Times New Roman" w:cs="Times New Roman"/>
                      <w:color w:val="auto"/>
                      <w:lang w:val="en-US" w:eastAsia="zh-CN"/>
                    </w:rPr>
                  </w:pPr>
                  <w:r>
                    <w:rPr>
                      <w:rFonts w:hint="eastAsia"/>
                      <w:color w:val="auto"/>
                      <w:lang w:val="en-US" w:eastAsia="zh-CN"/>
                    </w:rPr>
                    <w:t>桶装</w:t>
                  </w:r>
                </w:p>
              </w:tc>
              <w:tc>
                <w:tcPr>
                  <w:tcW w:w="7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eastAsia" w:ascii="Times New Roman" w:hAnsi="Times New Roman" w:cs="Times New Roman"/>
                      <w:color w:val="auto"/>
                      <w:lang w:val="en-US" w:eastAsia="zh-CN"/>
                    </w:rPr>
                  </w:pPr>
                  <w:r>
                    <w:rPr>
                      <w:rFonts w:hint="eastAsia"/>
                      <w:color w:val="auto"/>
                      <w:lang w:val="en-US" w:eastAsia="zh-CN"/>
                    </w:rPr>
                    <w:t>液体</w:t>
                  </w:r>
                </w:p>
              </w:tc>
              <w:tc>
                <w:tcPr>
                  <w:tcW w:w="58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jc w:val="center"/>
                    <w:rPr>
                      <w:rFonts w:hint="eastAsia" w:ascii="Times New Roman" w:hAnsi="Times New Roman" w:cs="Times New Roman"/>
                      <w:color w:val="auto"/>
                      <w:lang w:val="en-US" w:eastAsia="zh-CN"/>
                    </w:rPr>
                  </w:pPr>
                  <w:r>
                    <w:rPr>
                      <w:rFonts w:hint="eastAsia"/>
                      <w:color w:val="auto"/>
                      <w:lang w:val="en-US" w:eastAsia="zh-CN"/>
                    </w:rPr>
                    <w:t>化学品仓库</w:t>
                  </w:r>
                </w:p>
              </w:tc>
              <w:tc>
                <w:tcPr>
                  <w:tcW w:w="58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jc w:val="center"/>
                    <w:rPr>
                      <w:rFonts w:hint="eastAsia" w:ascii="Times New Roman" w:hAnsi="Times New Roman" w:cs="Times New Roman"/>
                      <w:color w:val="auto"/>
                      <w:lang w:val="en-US" w:eastAsia="zh-CN"/>
                    </w:rPr>
                  </w:pPr>
                  <w:r>
                    <w:rPr>
                      <w:rFonts w:hint="eastAsia"/>
                      <w:color w:val="auto"/>
                      <w:lang w:val="en-US" w:eastAsia="zh-CN"/>
                    </w:rPr>
                    <w:t>设备维修</w:t>
                  </w:r>
                </w:p>
              </w:tc>
              <w:tc>
                <w:tcPr>
                  <w:tcW w:w="5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eastAsia" w:eastAsia="宋体" w:cs="Times New Roman"/>
                      <w:color w:val="auto"/>
                      <w:lang w:val="en-US" w:eastAsia="zh-CN"/>
                    </w:rPr>
                  </w:pPr>
                  <w:r>
                    <w:rPr>
                      <w:rFonts w:hint="eastAsia"/>
                      <w:color w:val="auto"/>
                      <w:lang w:val="en-US" w:eastAsia="zh-CN"/>
                    </w:rPr>
                    <w:t>/</w:t>
                  </w:r>
                </w:p>
              </w:tc>
            </w:tr>
          </w:tbl>
          <w:p>
            <w:pPr>
              <w:pStyle w:val="53"/>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建设项目</w:t>
            </w:r>
            <w:bookmarkStart w:id="10" w:name="原辅材料理化性质"/>
            <w:r>
              <w:rPr>
                <w:rFonts w:hint="default" w:ascii="Times New Roman" w:hAnsi="Times New Roman" w:eastAsia="宋体" w:cs="Times New Roman"/>
                <w:color w:val="auto"/>
              </w:rPr>
              <w:t>主要原辅材料成分理化性质</w:t>
            </w:r>
            <w:bookmarkEnd w:id="10"/>
            <w:r>
              <w:rPr>
                <w:rFonts w:hint="default" w:ascii="Times New Roman" w:hAnsi="Times New Roman" w:eastAsia="宋体" w:cs="Times New Roman"/>
                <w:color w:val="auto"/>
              </w:rPr>
              <w:t>见</w:t>
            </w: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REF _Ref26299 \h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rPr>
              <w:t>表2- 6</w:t>
            </w:r>
            <w:r>
              <w:rPr>
                <w:rFonts w:hint="default" w:ascii="Times New Roman" w:hAnsi="Times New Roman" w:eastAsia="宋体" w:cs="Times New Roman"/>
                <w:color w:val="auto"/>
                <w:lang w:eastAsia="zh-CN"/>
              </w:rPr>
              <w:fldChar w:fldCharType="end"/>
            </w:r>
            <w:r>
              <w:rPr>
                <w:rFonts w:hint="default" w:ascii="Times New Roman" w:hAnsi="Times New Roman" w:eastAsia="宋体" w:cs="Times New Roman"/>
                <w:color w:val="auto"/>
              </w:rPr>
              <w:t>：</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b/>
                <w:bCs/>
                <w:color w:val="auto"/>
                <w:spacing w:val="-6"/>
              </w:rPr>
            </w:pPr>
            <w:bookmarkStart w:id="11" w:name="_Ref26299"/>
            <w:r>
              <w:rPr>
                <w:rFonts w:hint="default" w:ascii="Times New Roman" w:hAnsi="Times New Roman" w:eastAsia="宋体" w:cs="Times New Roman"/>
                <w:color w:val="auto"/>
              </w:rPr>
              <w:t xml:space="preserve">表2-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表2-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w:t>
            </w:r>
            <w:r>
              <w:rPr>
                <w:rFonts w:hint="default" w:ascii="Times New Roman" w:hAnsi="Times New Roman" w:eastAsia="宋体" w:cs="Times New Roman"/>
                <w:color w:val="auto"/>
              </w:rPr>
              <w:fldChar w:fldCharType="end"/>
            </w:r>
            <w:bookmarkEnd w:id="11"/>
            <w:r>
              <w:rPr>
                <w:rFonts w:hint="default" w:ascii="Times New Roman" w:hAnsi="Times New Roman" w:eastAsia="宋体" w:cs="Times New Roman"/>
                <w:color w:val="auto"/>
                <w:lang w:val="en-US" w:eastAsia="zh-CN"/>
              </w:rPr>
              <w:t>主要</w:t>
            </w:r>
            <w:r>
              <w:rPr>
                <w:rFonts w:hint="default" w:ascii="Times New Roman" w:hAnsi="Times New Roman" w:eastAsia="宋体" w:cs="Times New Roman"/>
                <w:b/>
                <w:bCs/>
                <w:color w:val="auto"/>
                <w:spacing w:val="-6"/>
              </w:rPr>
              <w:t>原辅材料理化性质一览表</w:t>
            </w:r>
          </w:p>
          <w:tbl>
            <w:tblPr>
              <w:tblStyle w:val="26"/>
              <w:tblW w:w="4996"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1689"/>
              <w:gridCol w:w="70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6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序号</w:t>
                  </w:r>
                </w:p>
              </w:tc>
              <w:tc>
                <w:tcPr>
                  <w:tcW w:w="92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成分名称</w:t>
                  </w:r>
                </w:p>
              </w:tc>
              <w:tc>
                <w:tcPr>
                  <w:tcW w:w="381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理化性质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w:t>
                  </w:r>
                </w:p>
              </w:tc>
              <w:tc>
                <w:tcPr>
                  <w:tcW w:w="92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粉末涂料</w:t>
                  </w:r>
                </w:p>
              </w:tc>
              <w:tc>
                <w:tcPr>
                  <w:tcW w:w="381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各色粉末状固体、无味，熔点80-110℃，相对密度（水=1）1.4-1.7g/cm3，爆炸上限90g/m3，爆炸下限35g/m3，不溶于水，粉末粒径（D50）20~50μm。根据粉末涂料的MSDS，主要成分包括：环氧树脂30-40%，聚酯树脂28-38%，填料6-12%，钛白粉0-25%，蜡类助剂1-2%，聚丙烯酸酯1-3%，色料0-2%。粉末涂料中不含溶剂，且《机械行业系数手册》粉末涂料固化过程的挥发性有机物产污系数为1.20千克/吨-原料，产污系数小，根据《低挥发性有机化合物含量涂料产品技术要求》（GB/T 38597-2020）（2021-02-01实施）中“8.1 粉末涂料、无机建筑涂料（含建筑无机粉体涂装材料）、建筑用有机粉体涂料产品中VOC含量通常很少，属于低挥发性有机化合物含量涂料产品。”本项目使用的热固性粉末涂料属于低挥发性有机化合物含量涂料产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92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水性油漆</w:t>
                  </w:r>
                </w:p>
              </w:tc>
              <w:tc>
                <w:tcPr>
                  <w:tcW w:w="381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各色粘稠液体，轻微气味，比重（H2O=1）1.10~1.20，沸点100℃，PH值：7.5~9.5,根据水性油漆MSDS，主要成分包括：改性丙烯酸树脂20%~30%、丙二醇1~5%、2-氨基-2-甲基-1-丙醇0.1%~0.9%、水40~50%、羟乙基纤维素0.1~0.9%、氧化铁红3%~10%、二氧化硅5~15%、2,2,4三甲基-1，3-戊二醇单异丁酸酯1~10%和其他组分1~5%。其VOCs成分含量占比为2.1%~10.9%，本项目取10.9%，密度取1.20g/cm³，可得项目水性油漆VOCs含量为130.8g/L。根据《低挥发性有机化合物含量涂料产品技术要求》（GB/T 38597-2020）（2021-02-01实施），水性涂料中型材涂料的VOCs限值要求为250g/l,项目水性油漆VOCs含量为130.8g/L＜250g/l，则本项目水性油漆符合低挥发性有机化合物含量涂料产品。</w:t>
                  </w:r>
                </w:p>
              </w:tc>
            </w:tr>
          </w:tbl>
          <w:p>
            <w:pPr>
              <w:keepNext w:val="0"/>
              <w:keepLines w:val="0"/>
              <w:widowControl w:val="0"/>
              <w:suppressLineNumbers w:val="0"/>
              <w:adjustRightInd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b/>
                <w:bCs w:val="0"/>
                <w:color w:val="auto"/>
                <w:kern w:val="2"/>
                <w:sz w:val="24"/>
                <w:szCs w:val="24"/>
              </w:rPr>
            </w:pPr>
            <w:r>
              <w:rPr>
                <w:rFonts w:hint="default" w:ascii="Times New Roman" w:hAnsi="Times New Roman" w:eastAsia="宋体" w:cs="Times New Roman"/>
                <w:b/>
                <w:bCs w:val="0"/>
                <w:color w:val="auto"/>
                <w:kern w:val="2"/>
                <w:sz w:val="24"/>
                <w:szCs w:val="24"/>
                <w:lang w:val="en-US" w:eastAsia="zh-CN" w:bidi="ar"/>
              </w:rPr>
              <w:t>（1）项目粉末涂料用量核算：</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根据建设单位提供的资料，项目产品90%需要喷粉，而有10%需要喷漆，喷粉产品喷涂次数为1次，喷粉涂层厚度为0.05mm。项目粉末涂料用量详见</w:t>
            </w: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REF _Ref32489 \h </w:instrText>
            </w:r>
            <w:r>
              <w:rPr>
                <w:rFonts w:hint="default" w:ascii="Times New Roman" w:hAnsi="Times New Roman" w:eastAsia="宋体" w:cs="Times New Roman"/>
                <w:color w:val="auto"/>
                <w:lang w:val="en-US" w:eastAsia="zh-CN"/>
              </w:rPr>
              <w:fldChar w:fldCharType="separate"/>
            </w:r>
            <w:r>
              <w:t>表2- 7</w:t>
            </w:r>
            <w:r>
              <w:rPr>
                <w:rFonts w:hint="default" w:ascii="Times New Roman" w:hAnsi="Times New Roman" w:eastAsia="宋体" w:cs="Times New Roman"/>
                <w:color w:val="auto"/>
                <w:lang w:val="en-US" w:eastAsia="zh-CN"/>
              </w:rPr>
              <w:fldChar w:fldCharType="end"/>
            </w:r>
            <w:r>
              <w:rPr>
                <w:rFonts w:hint="default" w:ascii="Times New Roman" w:hAnsi="Times New Roman" w:eastAsia="宋体" w:cs="Times New Roman"/>
                <w:color w:val="auto"/>
                <w:lang w:val="en-US" w:eastAsia="zh-CN"/>
              </w:rPr>
              <w:t>。</w:t>
            </w:r>
          </w:p>
          <w:p>
            <w:pPr>
              <w:pStyle w:val="8"/>
              <w:keepNext w:val="0"/>
              <w:keepLines w:val="0"/>
              <w:suppressLineNumbers w:val="0"/>
              <w:bidi w:val="0"/>
              <w:spacing w:beforeAutospacing="0" w:afterAutospacing="0"/>
              <w:ind w:left="0" w:right="0"/>
              <w:rPr>
                <w:rFonts w:hint="default" w:ascii="Times New Roman" w:hAnsi="Times New Roman" w:eastAsia="宋体" w:cs="Times New Roman"/>
                <w:color w:val="auto"/>
              </w:rPr>
            </w:pPr>
            <w:bookmarkStart w:id="12" w:name="_Ref32489"/>
            <w:r>
              <w:rPr>
                <w:rFonts w:hint="default"/>
              </w:rPr>
              <w:t xml:space="preserve">表2- </w:t>
            </w:r>
            <w:r>
              <w:rPr>
                <w:rFonts w:hint="default"/>
              </w:rPr>
              <w:fldChar w:fldCharType="begin"/>
            </w:r>
            <w:r>
              <w:rPr>
                <w:rFonts w:hint="default"/>
              </w:rPr>
              <w:instrText xml:space="preserve"> SEQ 表2- \* ARABIC </w:instrText>
            </w:r>
            <w:r>
              <w:rPr>
                <w:rFonts w:hint="default"/>
              </w:rPr>
              <w:fldChar w:fldCharType="separate"/>
            </w:r>
            <w:r>
              <w:rPr>
                <w:rFonts w:hint="default"/>
              </w:rPr>
              <w:t>7</w:t>
            </w:r>
            <w:r>
              <w:rPr>
                <w:rFonts w:hint="default"/>
              </w:rPr>
              <w:fldChar w:fldCharType="end"/>
            </w:r>
            <w:bookmarkEnd w:id="12"/>
            <w:r>
              <w:rPr>
                <w:rFonts w:hint="default" w:ascii="Times New Roman" w:hAnsi="Times New Roman" w:eastAsia="宋体" w:cs="Times New Roman"/>
                <w:color w:val="auto"/>
              </w:rPr>
              <w:t>项目粉末涂料用量核算一览表</w:t>
            </w:r>
          </w:p>
          <w:tbl>
            <w:tblPr>
              <w:tblStyle w:val="26"/>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594"/>
              <w:gridCol w:w="919"/>
              <w:gridCol w:w="1618"/>
              <w:gridCol w:w="679"/>
              <w:gridCol w:w="1217"/>
              <w:gridCol w:w="1034"/>
              <w:gridCol w:w="964"/>
              <w:gridCol w:w="733"/>
              <w:gridCol w:w="654"/>
              <w:gridCol w:w="7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801" w:hRule="atLeast"/>
                <w:jc w:val="center"/>
              </w:trPr>
              <w:tc>
                <w:tcPr>
                  <w:tcW w:w="324"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产品</w:t>
                  </w:r>
                </w:p>
                <w:p>
                  <w:pPr>
                    <w:pStyle w:val="52"/>
                    <w:keepNext w:val="0"/>
                    <w:keepLines w:val="0"/>
                    <w:suppressLineNumbers w:val="0"/>
                    <w:bidi w:val="0"/>
                    <w:spacing w:before="0" w:beforeAutospacing="0" w:after="0" w:afterAutospacing="0"/>
                    <w:ind w:left="0" w:right="0"/>
                    <w:rPr>
                      <w:rFonts w:hint="default"/>
                      <w:b/>
                      <w:bCs/>
                    </w:rPr>
                  </w:pPr>
                  <w:r>
                    <w:rPr>
                      <w:rFonts w:hint="default"/>
                      <w:b/>
                      <w:bCs/>
                    </w:rPr>
                    <w:t>名称</w:t>
                  </w:r>
                </w:p>
              </w:tc>
              <w:tc>
                <w:tcPr>
                  <w:tcW w:w="501"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喷粉数量</w:t>
                  </w:r>
                  <w:r>
                    <w:rPr>
                      <w:rFonts w:hint="eastAsia"/>
                      <w:b/>
                      <w:bCs/>
                      <w:lang w:val="en-US" w:eastAsia="zh-CN"/>
                    </w:rPr>
                    <w:t>（件）</w:t>
                  </w:r>
                </w:p>
              </w:tc>
              <w:tc>
                <w:tcPr>
                  <w:tcW w:w="881"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尺寸（单位mm）</w:t>
                  </w:r>
                </w:p>
              </w:tc>
              <w:tc>
                <w:tcPr>
                  <w:tcW w:w="1033" w:type="pct"/>
                  <w:gridSpan w:val="2"/>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产品喷涂面积（m</w:t>
                  </w:r>
                  <w:r>
                    <w:rPr>
                      <w:rFonts w:hint="default"/>
                      <w:b/>
                      <w:bCs/>
                      <w:vertAlign w:val="superscript"/>
                    </w:rPr>
                    <w:t>2</w:t>
                  </w:r>
                  <w:r>
                    <w:rPr>
                      <w:rFonts w:hint="default"/>
                      <w:b/>
                      <w:bCs/>
                    </w:rPr>
                    <w:t>）</w:t>
                  </w:r>
                </w:p>
              </w:tc>
              <w:tc>
                <w:tcPr>
                  <w:tcW w:w="563"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单次喷涂厚度（mm）</w:t>
                  </w:r>
                </w:p>
              </w:tc>
              <w:tc>
                <w:tcPr>
                  <w:tcW w:w="525"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涂料密度（t/m³）</w:t>
                  </w:r>
                </w:p>
              </w:tc>
              <w:tc>
                <w:tcPr>
                  <w:tcW w:w="399"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*附着率</w:t>
                  </w:r>
                </w:p>
              </w:tc>
              <w:tc>
                <w:tcPr>
                  <w:tcW w:w="353"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喷涂</w:t>
                  </w:r>
                </w:p>
                <w:p>
                  <w:pPr>
                    <w:pStyle w:val="52"/>
                    <w:keepNext w:val="0"/>
                    <w:keepLines w:val="0"/>
                    <w:suppressLineNumbers w:val="0"/>
                    <w:bidi w:val="0"/>
                    <w:spacing w:before="0" w:beforeAutospacing="0" w:after="0" w:afterAutospacing="0"/>
                    <w:ind w:left="0" w:right="0"/>
                    <w:rPr>
                      <w:rFonts w:hint="default"/>
                      <w:b/>
                      <w:bCs/>
                    </w:rPr>
                  </w:pPr>
                  <w:r>
                    <w:rPr>
                      <w:rFonts w:hint="default"/>
                      <w:b/>
                      <w:bCs/>
                    </w:rPr>
                    <w:t>次数</w:t>
                  </w:r>
                </w:p>
              </w:tc>
              <w:tc>
                <w:tcPr>
                  <w:tcW w:w="417"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年用量(t/a)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73" w:hRule="atLeast"/>
                <w:jc w:val="center"/>
              </w:trPr>
              <w:tc>
                <w:tcPr>
                  <w:tcW w:w="324"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p>
              </w:tc>
              <w:tc>
                <w:tcPr>
                  <w:tcW w:w="501"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p>
              </w:tc>
              <w:tc>
                <w:tcPr>
                  <w:tcW w:w="881"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p>
              </w:tc>
              <w:tc>
                <w:tcPr>
                  <w:tcW w:w="370"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单件</w:t>
                  </w:r>
                </w:p>
              </w:tc>
              <w:tc>
                <w:tcPr>
                  <w:tcW w:w="66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总和</w:t>
                  </w:r>
                </w:p>
              </w:tc>
              <w:tc>
                <w:tcPr>
                  <w:tcW w:w="563"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p>
              </w:tc>
              <w:tc>
                <w:tcPr>
                  <w:tcW w:w="525"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p>
              </w:tc>
              <w:tc>
                <w:tcPr>
                  <w:tcW w:w="399"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p>
              </w:tc>
              <w:tc>
                <w:tcPr>
                  <w:tcW w:w="353"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p>
              </w:tc>
              <w:tc>
                <w:tcPr>
                  <w:tcW w:w="41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610" w:hRule="atLeast"/>
                <w:jc w:val="center"/>
              </w:trPr>
              <w:tc>
                <w:tcPr>
                  <w:tcW w:w="324"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钣金件</w:t>
                  </w:r>
                </w:p>
              </w:tc>
              <w:tc>
                <w:tcPr>
                  <w:tcW w:w="501"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225000</w:t>
                  </w:r>
                </w:p>
              </w:tc>
              <w:tc>
                <w:tcPr>
                  <w:tcW w:w="881"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500*500*100</w:t>
                  </w:r>
                </w:p>
              </w:tc>
              <w:tc>
                <w:tcPr>
                  <w:tcW w:w="370"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0.4</w:t>
                  </w:r>
                </w:p>
              </w:tc>
              <w:tc>
                <w:tcPr>
                  <w:tcW w:w="66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90000</w:t>
                  </w:r>
                </w:p>
              </w:tc>
              <w:tc>
                <w:tcPr>
                  <w:tcW w:w="56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0.05</w:t>
                  </w:r>
                </w:p>
              </w:tc>
              <w:tc>
                <w:tcPr>
                  <w:tcW w:w="525"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1.55</w:t>
                  </w:r>
                </w:p>
              </w:tc>
              <w:tc>
                <w:tcPr>
                  <w:tcW w:w="399"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0.98</w:t>
                  </w:r>
                </w:p>
              </w:tc>
              <w:tc>
                <w:tcPr>
                  <w:tcW w:w="35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1</w:t>
                  </w:r>
                </w:p>
              </w:tc>
              <w:tc>
                <w:tcPr>
                  <w:tcW w:w="41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rPr>
                  </w:pPr>
                  <w:r>
                    <w:rPr>
                      <w:rFonts w:hint="default"/>
                      <w:lang w:val="en-US" w:eastAsia="zh-CN"/>
                    </w:rPr>
                    <w:t>7.1</w:t>
                  </w:r>
                  <w:r>
                    <w:rPr>
                      <w:rFonts w:hint="eastAsia"/>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610" w:hRule="atLeast"/>
                <w:jc w:val="center"/>
              </w:trPr>
              <w:tc>
                <w:tcPr>
                  <w:tcW w:w="324"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501"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225000</w:t>
                  </w:r>
                </w:p>
              </w:tc>
              <w:tc>
                <w:tcPr>
                  <w:tcW w:w="881"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400*450*5</w:t>
                  </w:r>
                </w:p>
              </w:tc>
              <w:tc>
                <w:tcPr>
                  <w:tcW w:w="370"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0.36</w:t>
                  </w:r>
                </w:p>
              </w:tc>
              <w:tc>
                <w:tcPr>
                  <w:tcW w:w="66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81000</w:t>
                  </w:r>
                </w:p>
              </w:tc>
              <w:tc>
                <w:tcPr>
                  <w:tcW w:w="56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0.05</w:t>
                  </w:r>
                </w:p>
              </w:tc>
              <w:tc>
                <w:tcPr>
                  <w:tcW w:w="525"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1.55</w:t>
                  </w:r>
                </w:p>
              </w:tc>
              <w:tc>
                <w:tcPr>
                  <w:tcW w:w="399"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0.98</w:t>
                  </w:r>
                </w:p>
              </w:tc>
              <w:tc>
                <w:tcPr>
                  <w:tcW w:w="35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w:t>
                  </w:r>
                </w:p>
              </w:tc>
              <w:tc>
                <w:tcPr>
                  <w:tcW w:w="41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6.41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610" w:hRule="atLeast"/>
                <w:jc w:val="center"/>
              </w:trPr>
              <w:tc>
                <w:tcPr>
                  <w:tcW w:w="324"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灯饰配件</w:t>
                  </w:r>
                </w:p>
              </w:tc>
              <w:tc>
                <w:tcPr>
                  <w:tcW w:w="501"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450000</w:t>
                  </w:r>
                </w:p>
              </w:tc>
              <w:tc>
                <w:tcPr>
                  <w:tcW w:w="881"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Φ300</w:t>
                  </w:r>
                  <w:r>
                    <w:rPr>
                      <w:rFonts w:hint="default"/>
                      <w:lang w:val="en-US" w:eastAsia="zh-CN"/>
                    </w:rPr>
                    <w:t>*100</w:t>
                  </w:r>
                </w:p>
              </w:tc>
              <w:tc>
                <w:tcPr>
                  <w:tcW w:w="370"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0.3</w:t>
                  </w:r>
                </w:p>
              </w:tc>
              <w:tc>
                <w:tcPr>
                  <w:tcW w:w="66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135000</w:t>
                  </w:r>
                </w:p>
              </w:tc>
              <w:tc>
                <w:tcPr>
                  <w:tcW w:w="56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0.05</w:t>
                  </w:r>
                </w:p>
              </w:tc>
              <w:tc>
                <w:tcPr>
                  <w:tcW w:w="525"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1.55</w:t>
                  </w:r>
                </w:p>
              </w:tc>
              <w:tc>
                <w:tcPr>
                  <w:tcW w:w="399"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0.98</w:t>
                  </w:r>
                </w:p>
              </w:tc>
              <w:tc>
                <w:tcPr>
                  <w:tcW w:w="35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w:t>
                  </w:r>
                </w:p>
              </w:tc>
              <w:tc>
                <w:tcPr>
                  <w:tcW w:w="41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10.68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610" w:hRule="atLeast"/>
                <w:jc w:val="center"/>
              </w:trPr>
              <w:tc>
                <w:tcPr>
                  <w:tcW w:w="324"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散热器</w:t>
                  </w:r>
                </w:p>
              </w:tc>
              <w:tc>
                <w:tcPr>
                  <w:tcW w:w="501"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630000</w:t>
                  </w:r>
                </w:p>
              </w:tc>
              <w:tc>
                <w:tcPr>
                  <w:tcW w:w="881"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rPr>
                    <w:t>Φ300</w:t>
                  </w:r>
                </w:p>
              </w:tc>
              <w:tc>
                <w:tcPr>
                  <w:tcW w:w="370"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0.6</w:t>
                  </w:r>
                </w:p>
              </w:tc>
              <w:tc>
                <w:tcPr>
                  <w:tcW w:w="66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378000</w:t>
                  </w:r>
                </w:p>
              </w:tc>
              <w:tc>
                <w:tcPr>
                  <w:tcW w:w="56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0.05</w:t>
                  </w:r>
                </w:p>
              </w:tc>
              <w:tc>
                <w:tcPr>
                  <w:tcW w:w="525"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1.55</w:t>
                  </w:r>
                </w:p>
              </w:tc>
              <w:tc>
                <w:tcPr>
                  <w:tcW w:w="399"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0.98</w:t>
                  </w:r>
                </w:p>
              </w:tc>
              <w:tc>
                <w:tcPr>
                  <w:tcW w:w="353"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w:t>
                  </w:r>
                </w:p>
              </w:tc>
              <w:tc>
                <w:tcPr>
                  <w:tcW w:w="41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29.89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610" w:hRule="atLeast"/>
                <w:jc w:val="center"/>
              </w:trPr>
              <w:tc>
                <w:tcPr>
                  <w:tcW w:w="4582" w:type="pct"/>
                  <w:gridSpan w:val="9"/>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合计</w:t>
                  </w:r>
                </w:p>
              </w:tc>
              <w:tc>
                <w:tcPr>
                  <w:tcW w:w="41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54.</w:t>
                  </w:r>
                  <w:r>
                    <w:rPr>
                      <w:rFonts w:hint="eastAsia"/>
                      <w:lang w:val="en-US" w:eastAsia="zh-CN"/>
                    </w:rPr>
                    <w:t>10</w:t>
                  </w:r>
                </w:p>
              </w:tc>
            </w:tr>
          </w:tbl>
          <w:p>
            <w:pPr>
              <w:keepNext w:val="0"/>
              <w:keepLines w:val="0"/>
              <w:widowControl w:val="0"/>
              <w:suppressLineNumbers w:val="0"/>
              <w:spacing w:before="0" w:beforeAutospacing="0" w:after="0" w:afterAutospacing="0"/>
              <w:ind w:left="34" w:right="0" w:firstLine="422" w:firstLineChars="200"/>
              <w:jc w:val="both"/>
              <w:rPr>
                <w:rFonts w:hint="default" w:ascii="Times New Roman" w:hAnsi="Times New Roman" w:eastAsia="宋体" w:cs="Times New Roman"/>
                <w:bCs/>
                <w:color w:val="auto"/>
                <w:kern w:val="2"/>
                <w:sz w:val="24"/>
                <w:szCs w:val="24"/>
              </w:rPr>
            </w:pPr>
            <w:r>
              <w:rPr>
                <w:rFonts w:hint="default" w:ascii="Times New Roman" w:hAnsi="Times New Roman" w:eastAsia="宋体" w:cs="Times New Roman"/>
                <w:b/>
                <w:bCs w:val="0"/>
                <w:color w:val="auto"/>
                <w:kern w:val="2"/>
                <w:sz w:val="21"/>
                <w:szCs w:val="21"/>
                <w:lang w:val="en-US" w:eastAsia="zh-CN" w:bidi="ar"/>
              </w:rPr>
              <w:t>①*附着率：</w:t>
            </w:r>
            <w:r>
              <w:rPr>
                <w:rFonts w:hint="default" w:ascii="Times New Roman" w:hAnsi="Times New Roman" w:eastAsia="宋体" w:cs="Times New Roman"/>
                <w:bCs/>
                <w:color w:val="auto"/>
                <w:kern w:val="2"/>
                <w:sz w:val="21"/>
                <w:szCs w:val="21"/>
                <w:lang w:val="en-US" w:eastAsia="zh-CN" w:bidi="ar"/>
              </w:rPr>
              <w:t>根据《涂料工业--影响涂料利用率因素及改进措施》（第35卷第5期2005年5月）曾敏生，静电喷涂涂料利用率为70~90%（本项目属于静电喷涂工艺，故本环评静电喷涂涂料利用率取值为80%），则干粉一次喷涂过程中约有20%的干粉未能附着在工件上，经滤芯粉尘回收机(集气率按95%计)处理后将有95%回收的粉体可回用于生产喷涂中，即粉末的附着率取值为：(0.8+0.2*0.95*0.95)≈0.98。</w:t>
            </w:r>
          </w:p>
          <w:p>
            <w:pPr>
              <w:keepNext w:val="0"/>
              <w:keepLines w:val="0"/>
              <w:widowControl w:val="0"/>
              <w:suppressLineNumbers w:val="0"/>
              <w:adjustRightInd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b/>
                <w:bCs w:val="0"/>
                <w:color w:val="auto"/>
                <w:kern w:val="2"/>
                <w:sz w:val="24"/>
                <w:szCs w:val="24"/>
              </w:rPr>
            </w:pPr>
            <w:r>
              <w:rPr>
                <w:rFonts w:hint="default" w:ascii="Times New Roman" w:hAnsi="Times New Roman" w:eastAsia="宋体" w:cs="Times New Roman"/>
                <w:b/>
                <w:bCs w:val="0"/>
                <w:color w:val="auto"/>
                <w:kern w:val="2"/>
                <w:sz w:val="24"/>
                <w:szCs w:val="24"/>
                <w:lang w:val="en-US" w:eastAsia="zh-CN" w:bidi="ar"/>
              </w:rPr>
              <w:t>（</w:t>
            </w:r>
            <w:r>
              <w:rPr>
                <w:rFonts w:hint="eastAsia" w:ascii="Times New Roman" w:hAnsi="Times New Roman" w:cs="Times New Roman"/>
                <w:b/>
                <w:bCs w:val="0"/>
                <w:color w:val="auto"/>
                <w:kern w:val="2"/>
                <w:sz w:val="24"/>
                <w:szCs w:val="24"/>
                <w:lang w:val="en-US" w:eastAsia="zh-CN" w:bidi="ar"/>
              </w:rPr>
              <w:t>2</w:t>
            </w:r>
            <w:r>
              <w:rPr>
                <w:rFonts w:hint="default" w:ascii="Times New Roman" w:hAnsi="Times New Roman" w:eastAsia="宋体" w:cs="Times New Roman"/>
                <w:b/>
                <w:bCs w:val="0"/>
                <w:color w:val="auto"/>
                <w:kern w:val="2"/>
                <w:sz w:val="24"/>
                <w:szCs w:val="24"/>
                <w:lang w:val="en-US" w:eastAsia="zh-CN" w:bidi="ar"/>
              </w:rPr>
              <w:t>）项目水性油漆用量核算：</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项目水性油漆用</w:t>
            </w:r>
            <w:r>
              <w:rPr>
                <w:rFonts w:hint="default" w:ascii="Times New Roman" w:hAnsi="Times New Roman" w:eastAsia="宋体" w:cs="Times New Roman"/>
                <w:b w:val="0"/>
                <w:bCs w:val="0"/>
                <w:color w:val="auto"/>
                <w:lang w:val="en-US" w:eastAsia="zh-CN"/>
              </w:rPr>
              <w:t>量详见</w:t>
            </w:r>
            <w:r>
              <w:rPr>
                <w:rFonts w:hint="default" w:ascii="Times New Roman" w:hAnsi="Times New Roman" w:eastAsia="宋体" w:cs="Times New Roman"/>
                <w:b w:val="0"/>
                <w:bCs w:val="0"/>
                <w:color w:val="auto"/>
                <w:lang w:val="en-US" w:eastAsia="zh-CN"/>
              </w:rPr>
              <w:fldChar w:fldCharType="begin"/>
            </w:r>
            <w:r>
              <w:rPr>
                <w:rFonts w:hint="default" w:ascii="Times New Roman" w:hAnsi="Times New Roman" w:eastAsia="宋体" w:cs="Times New Roman"/>
                <w:b w:val="0"/>
                <w:bCs w:val="0"/>
                <w:color w:val="auto"/>
                <w:lang w:val="en-US" w:eastAsia="zh-CN"/>
              </w:rPr>
              <w:instrText xml:space="preserve"> REF _Ref32521 \h </w:instrText>
            </w:r>
            <w:r>
              <w:rPr>
                <w:rFonts w:hint="default" w:ascii="Times New Roman" w:hAnsi="Times New Roman" w:eastAsia="宋体" w:cs="Times New Roman"/>
                <w:b w:val="0"/>
                <w:bCs w:val="0"/>
                <w:color w:val="auto"/>
                <w:lang w:val="en-US" w:eastAsia="zh-CN"/>
              </w:rPr>
              <w:fldChar w:fldCharType="separate"/>
            </w:r>
            <w:r>
              <w:rPr>
                <w:rFonts w:hint="default" w:ascii="Times New Roman" w:hAnsi="Times New Roman" w:eastAsia="宋体" w:cs="Times New Roman"/>
                <w:b w:val="0"/>
                <w:bCs w:val="0"/>
                <w:color w:val="auto"/>
                <w:kern w:val="2"/>
                <w:sz w:val="24"/>
                <w:szCs w:val="20"/>
                <w:lang w:val="en-US" w:eastAsia="zh-CN" w:bidi="ar-SA"/>
              </w:rPr>
              <w:t>表2- 8</w:t>
            </w:r>
            <w:r>
              <w:rPr>
                <w:rFonts w:hint="default" w:ascii="Times New Roman" w:hAnsi="Times New Roman" w:eastAsia="宋体" w:cs="Times New Roman"/>
                <w:b w:val="0"/>
                <w:bCs w:val="0"/>
                <w:color w:val="auto"/>
                <w:lang w:val="en-US" w:eastAsia="zh-CN"/>
              </w:rPr>
              <w:fldChar w:fldCharType="end"/>
            </w:r>
            <w:r>
              <w:rPr>
                <w:rFonts w:hint="default" w:ascii="Times New Roman" w:hAnsi="Times New Roman" w:eastAsia="宋体" w:cs="Times New Roman"/>
                <w:color w:val="auto"/>
                <w:lang w:val="en-US" w:eastAsia="zh-CN"/>
              </w:rPr>
              <w:t>。</w:t>
            </w:r>
          </w:p>
          <w:p>
            <w:pPr>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color w:val="auto"/>
                <w:spacing w:val="0"/>
                <w:kern w:val="0"/>
                <w:sz w:val="21"/>
                <w:szCs w:val="21"/>
                <w:lang w:val="en-US" w:eastAsia="zh-CN" w:bidi="ar-SA"/>
              </w:rPr>
            </w:pPr>
            <w:bookmarkStart w:id="13" w:name="_Ref32521"/>
            <w:r>
              <w:rPr>
                <w:rFonts w:hint="default" w:ascii="Times New Roman" w:hAnsi="Times New Roman" w:eastAsia="宋体" w:cs="Times New Roman"/>
                <w:b/>
                <w:color w:val="auto"/>
                <w:kern w:val="2"/>
                <w:sz w:val="24"/>
                <w:szCs w:val="20"/>
                <w:lang w:val="en-US" w:eastAsia="zh-CN" w:bidi="ar-SA"/>
              </w:rPr>
              <w:t xml:space="preserve">表2- </w:t>
            </w:r>
            <w:r>
              <w:rPr>
                <w:rFonts w:hint="default" w:ascii="Times New Roman" w:hAnsi="Times New Roman" w:eastAsia="宋体" w:cs="Times New Roman"/>
                <w:b/>
                <w:color w:val="auto"/>
                <w:kern w:val="2"/>
                <w:sz w:val="24"/>
                <w:szCs w:val="20"/>
                <w:lang w:val="en-US" w:eastAsia="zh-CN" w:bidi="ar-SA"/>
              </w:rPr>
              <w:fldChar w:fldCharType="begin"/>
            </w:r>
            <w:r>
              <w:rPr>
                <w:rFonts w:hint="default" w:ascii="Times New Roman" w:hAnsi="Times New Roman" w:eastAsia="宋体" w:cs="Times New Roman"/>
                <w:b/>
                <w:color w:val="auto"/>
                <w:kern w:val="2"/>
                <w:sz w:val="24"/>
                <w:szCs w:val="20"/>
                <w:lang w:val="en-US" w:eastAsia="zh-CN" w:bidi="ar-SA"/>
              </w:rPr>
              <w:instrText xml:space="preserve"> SEQ 表2- \* ARABIC </w:instrText>
            </w:r>
            <w:r>
              <w:rPr>
                <w:rFonts w:hint="default" w:ascii="Times New Roman" w:hAnsi="Times New Roman" w:eastAsia="宋体" w:cs="Times New Roman"/>
                <w:b/>
                <w:color w:val="auto"/>
                <w:kern w:val="2"/>
                <w:sz w:val="24"/>
                <w:szCs w:val="20"/>
                <w:lang w:val="en-US" w:eastAsia="zh-CN" w:bidi="ar-SA"/>
              </w:rPr>
              <w:fldChar w:fldCharType="separate"/>
            </w:r>
            <w:r>
              <w:rPr>
                <w:rFonts w:hint="default" w:ascii="Times New Roman" w:hAnsi="Times New Roman" w:eastAsia="宋体" w:cs="Times New Roman"/>
                <w:b/>
                <w:color w:val="auto"/>
                <w:kern w:val="2"/>
                <w:sz w:val="24"/>
                <w:szCs w:val="20"/>
                <w:lang w:val="en-US" w:eastAsia="zh-CN" w:bidi="ar-SA"/>
              </w:rPr>
              <w:t>8</w:t>
            </w:r>
            <w:r>
              <w:rPr>
                <w:rFonts w:hint="default" w:ascii="Times New Roman" w:hAnsi="Times New Roman" w:eastAsia="宋体" w:cs="Times New Roman"/>
                <w:b/>
                <w:color w:val="auto"/>
                <w:kern w:val="2"/>
                <w:sz w:val="24"/>
                <w:szCs w:val="20"/>
                <w:lang w:val="en-US" w:eastAsia="zh-CN" w:bidi="ar-SA"/>
              </w:rPr>
              <w:fldChar w:fldCharType="end"/>
            </w:r>
            <w:bookmarkEnd w:id="13"/>
            <w:r>
              <w:rPr>
                <w:rFonts w:hint="default" w:ascii="Times New Roman" w:hAnsi="Times New Roman" w:eastAsia="宋体" w:cs="Times New Roman"/>
                <w:b/>
                <w:color w:val="auto"/>
                <w:kern w:val="0"/>
                <w:sz w:val="24"/>
                <w:szCs w:val="20"/>
                <w:lang w:val="en-US" w:eastAsia="zh-CN" w:bidi="ar-SA"/>
              </w:rPr>
              <w:t>喷漆表面积核算</w:t>
            </w:r>
            <w:r>
              <w:rPr>
                <w:rFonts w:hint="eastAsia" w:cs="Times New Roman"/>
                <w:b/>
                <w:color w:val="auto"/>
                <w:kern w:val="0"/>
                <w:sz w:val="24"/>
                <w:szCs w:val="20"/>
                <w:lang w:val="en-US" w:eastAsia="zh-CN" w:bidi="ar-SA"/>
              </w:rPr>
              <w:t>一览表</w:t>
            </w:r>
          </w:p>
          <w:tbl>
            <w:tblPr>
              <w:tblStyle w:val="26"/>
              <w:tblW w:w="498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1075"/>
              <w:gridCol w:w="1674"/>
              <w:gridCol w:w="2947"/>
              <w:gridCol w:w="1242"/>
              <w:gridCol w:w="221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305" w:hRule="atLeast"/>
                <w:jc w:val="center"/>
              </w:trPr>
              <w:tc>
                <w:tcPr>
                  <w:tcW w:w="587"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产品</w:t>
                  </w:r>
                </w:p>
                <w:p>
                  <w:pPr>
                    <w:pStyle w:val="52"/>
                    <w:keepNext w:val="0"/>
                    <w:keepLines w:val="0"/>
                    <w:suppressLineNumbers w:val="0"/>
                    <w:bidi w:val="0"/>
                    <w:spacing w:before="0" w:beforeAutospacing="0" w:after="0" w:afterAutospacing="0"/>
                    <w:ind w:left="0" w:right="0"/>
                    <w:rPr>
                      <w:rFonts w:hint="default"/>
                      <w:b/>
                      <w:bCs/>
                    </w:rPr>
                  </w:pPr>
                  <w:r>
                    <w:rPr>
                      <w:rFonts w:hint="default"/>
                      <w:b/>
                      <w:bCs/>
                    </w:rPr>
                    <w:t>名称</w:t>
                  </w:r>
                </w:p>
              </w:tc>
              <w:tc>
                <w:tcPr>
                  <w:tcW w:w="914"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喷漆数量</w:t>
                  </w:r>
                </w:p>
              </w:tc>
              <w:tc>
                <w:tcPr>
                  <w:tcW w:w="1609"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尺寸（单位mm）</w:t>
                  </w:r>
                </w:p>
              </w:tc>
              <w:tc>
                <w:tcPr>
                  <w:tcW w:w="1888" w:type="pct"/>
                  <w:gridSpan w:val="2"/>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产品喷涂面积（m</w:t>
                  </w:r>
                  <w:r>
                    <w:rPr>
                      <w:rFonts w:hint="default"/>
                      <w:b/>
                      <w:bCs/>
                      <w:vertAlign w:val="superscript"/>
                    </w:rPr>
                    <w:t>2</w:t>
                  </w:r>
                  <w:r>
                    <w:rPr>
                      <w:rFonts w:hint="default"/>
                      <w:b/>
                      <w:bCs/>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76" w:hRule="atLeast"/>
                <w:jc w:val="center"/>
              </w:trPr>
              <w:tc>
                <w:tcPr>
                  <w:tcW w:w="58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rPr>
                  </w:pPr>
                </w:p>
              </w:tc>
              <w:tc>
                <w:tcPr>
                  <w:tcW w:w="914"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p>
              </w:tc>
              <w:tc>
                <w:tcPr>
                  <w:tcW w:w="1609"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p>
              </w:tc>
              <w:tc>
                <w:tcPr>
                  <w:tcW w:w="67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单件</w:t>
                  </w:r>
                </w:p>
              </w:tc>
              <w:tc>
                <w:tcPr>
                  <w:tcW w:w="1211"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总和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513" w:hRule="atLeast"/>
                <w:jc w:val="center"/>
              </w:trPr>
              <w:tc>
                <w:tcPr>
                  <w:tcW w:w="587" w:type="pct"/>
                  <w:vMerge w:val="restar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钣金件</w:t>
                  </w:r>
                </w:p>
              </w:tc>
              <w:tc>
                <w:tcPr>
                  <w:tcW w:w="1672"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25000</w:t>
                  </w:r>
                </w:p>
              </w:tc>
              <w:tc>
                <w:tcPr>
                  <w:tcW w:w="1609"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500*500*100</w:t>
                  </w:r>
                </w:p>
              </w:tc>
              <w:tc>
                <w:tcPr>
                  <w:tcW w:w="67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0.4</w:t>
                  </w:r>
                </w:p>
              </w:tc>
              <w:tc>
                <w:tcPr>
                  <w:tcW w:w="2216"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610" w:hRule="atLeast"/>
                <w:jc w:val="center"/>
              </w:trPr>
              <w:tc>
                <w:tcPr>
                  <w:tcW w:w="587" w:type="pct"/>
                  <w:vMerge w:val="continue"/>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1672"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25000</w:t>
                  </w:r>
                </w:p>
              </w:tc>
              <w:tc>
                <w:tcPr>
                  <w:tcW w:w="1609"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400*450*5</w:t>
                  </w:r>
                </w:p>
              </w:tc>
              <w:tc>
                <w:tcPr>
                  <w:tcW w:w="67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0.36</w:t>
                  </w:r>
                </w:p>
              </w:tc>
              <w:tc>
                <w:tcPr>
                  <w:tcW w:w="2216"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9000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610" w:hRule="atLeast"/>
                <w:jc w:val="center"/>
              </w:trPr>
              <w:tc>
                <w:tcPr>
                  <w:tcW w:w="58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灯饰配件</w:t>
                  </w:r>
                </w:p>
              </w:tc>
              <w:tc>
                <w:tcPr>
                  <w:tcW w:w="1672"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50000</w:t>
                  </w:r>
                </w:p>
              </w:tc>
              <w:tc>
                <w:tcPr>
                  <w:tcW w:w="1609"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rPr>
                    <w:t>Φ300</w:t>
                  </w:r>
                  <w:r>
                    <w:rPr>
                      <w:rFonts w:hint="default"/>
                      <w:lang w:val="en-US" w:eastAsia="zh-CN"/>
                    </w:rPr>
                    <w:t>*100</w:t>
                  </w:r>
                </w:p>
              </w:tc>
              <w:tc>
                <w:tcPr>
                  <w:tcW w:w="67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0.3</w:t>
                  </w:r>
                </w:p>
              </w:tc>
              <w:tc>
                <w:tcPr>
                  <w:tcW w:w="2216"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15000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610" w:hRule="atLeast"/>
                <w:jc w:val="center"/>
              </w:trPr>
              <w:tc>
                <w:tcPr>
                  <w:tcW w:w="58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散热器</w:t>
                  </w:r>
                </w:p>
              </w:tc>
              <w:tc>
                <w:tcPr>
                  <w:tcW w:w="1672"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70000</w:t>
                  </w:r>
                </w:p>
              </w:tc>
              <w:tc>
                <w:tcPr>
                  <w:tcW w:w="1609"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rPr>
                  </w:pPr>
                  <w:r>
                    <w:rPr>
                      <w:rFonts w:hint="default"/>
                    </w:rPr>
                    <w:t>Φ300</w:t>
                  </w:r>
                </w:p>
              </w:tc>
              <w:tc>
                <w:tcPr>
                  <w:tcW w:w="677" w:type="pct"/>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0.6</w:t>
                  </w:r>
                </w:p>
              </w:tc>
              <w:tc>
                <w:tcPr>
                  <w:tcW w:w="2216"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42000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40" w:hRule="atLeast"/>
                <w:jc w:val="center"/>
              </w:trPr>
              <w:tc>
                <w:tcPr>
                  <w:tcW w:w="3788" w:type="pct"/>
                  <w:gridSpan w:val="4"/>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合计</w:t>
                  </w:r>
                </w:p>
              </w:tc>
              <w:tc>
                <w:tcPr>
                  <w:tcW w:w="2216" w:type="dxa"/>
                  <w:tcBorders>
                    <w:tl2br w:val="nil"/>
                    <w:tr2bl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76000</w:t>
                  </w:r>
                </w:p>
              </w:tc>
            </w:tr>
          </w:tbl>
          <w:p>
            <w:pPr>
              <w:keepNext w:val="0"/>
              <w:keepLines w:val="0"/>
              <w:suppressLineNumbers w:val="0"/>
              <w:bidi w:val="0"/>
              <w:adjustRightInd/>
              <w:snapToGrid/>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color w:val="auto"/>
                <w:lang w:val="en-US" w:eastAsia="zh-CN"/>
              </w:rPr>
              <w:t>综上所述，项目产品喷漆总表面积为</w:t>
            </w:r>
            <w:r>
              <w:rPr>
                <w:rFonts w:hint="eastAsia" w:ascii="Times New Roman" w:hAnsi="Times New Roman" w:cs="Times New Roman"/>
                <w:color w:val="auto"/>
                <w:lang w:val="en-US" w:eastAsia="zh-CN"/>
              </w:rPr>
              <w:t>76000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w:t>
            </w:r>
            <w:r>
              <w:rPr>
                <w:rFonts w:hint="eastAsia" w:cs="Times New Roman"/>
                <w:color w:val="auto"/>
                <w:lang w:val="en-US" w:eastAsia="zh-CN"/>
              </w:rPr>
              <w:t>项目水性尤其稀释前后相关参数一览表详</w:t>
            </w:r>
            <w:r>
              <w:rPr>
                <w:rFonts w:hint="eastAsia" w:cs="Times New Roman"/>
                <w:b w:val="0"/>
                <w:bCs w:val="0"/>
                <w:color w:val="auto"/>
                <w:lang w:val="en-US" w:eastAsia="zh-CN"/>
              </w:rPr>
              <w:t>见</w:t>
            </w:r>
            <w:r>
              <w:rPr>
                <w:rFonts w:hint="eastAsia" w:cs="Times New Roman"/>
                <w:b w:val="0"/>
                <w:bCs w:val="0"/>
                <w:color w:val="auto"/>
                <w:lang w:val="en-US" w:eastAsia="zh-CN"/>
              </w:rPr>
              <w:fldChar w:fldCharType="begin"/>
            </w:r>
            <w:r>
              <w:rPr>
                <w:rFonts w:hint="eastAsia" w:cs="Times New Roman"/>
                <w:b w:val="0"/>
                <w:bCs w:val="0"/>
                <w:color w:val="auto"/>
                <w:lang w:val="en-US" w:eastAsia="zh-CN"/>
              </w:rPr>
              <w:instrText xml:space="preserve"> REF _Ref32645 \h </w:instrText>
            </w:r>
            <w:r>
              <w:rPr>
                <w:rFonts w:hint="eastAsia" w:cs="Times New Roman"/>
                <w:b w:val="0"/>
                <w:bCs w:val="0"/>
                <w:color w:val="auto"/>
                <w:lang w:val="en-US" w:eastAsia="zh-CN"/>
              </w:rPr>
              <w:fldChar w:fldCharType="separate"/>
            </w:r>
            <w:r>
              <w:rPr>
                <w:rFonts w:hint="default" w:ascii="Times New Roman" w:hAnsi="Times New Roman" w:eastAsia="宋体" w:cs="Times New Roman"/>
                <w:b w:val="0"/>
                <w:bCs w:val="0"/>
                <w:color w:val="auto"/>
                <w:kern w:val="2"/>
                <w:sz w:val="24"/>
                <w:szCs w:val="20"/>
                <w:lang w:val="en-US" w:eastAsia="zh-CN" w:bidi="ar-SA"/>
              </w:rPr>
              <w:t>表2- 9</w:t>
            </w:r>
            <w:r>
              <w:rPr>
                <w:rFonts w:hint="eastAsia" w:cs="Times New Roman"/>
                <w:b w:val="0"/>
                <w:bCs w:val="0"/>
                <w:color w:val="auto"/>
                <w:lang w:val="en-US" w:eastAsia="zh-CN"/>
              </w:rPr>
              <w:fldChar w:fldCharType="end"/>
            </w:r>
            <w:r>
              <w:rPr>
                <w:rFonts w:hint="eastAsia" w:cs="Times New Roman"/>
                <w:b w:val="0"/>
                <w:bCs w:val="0"/>
                <w:color w:val="auto"/>
                <w:lang w:val="en-US" w:eastAsia="zh-CN"/>
              </w:rPr>
              <w:t>。</w:t>
            </w:r>
          </w:p>
          <w:p>
            <w:pPr>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pacing w:val="0"/>
                <w:kern w:val="0"/>
                <w:sz w:val="21"/>
                <w:szCs w:val="21"/>
                <w:lang w:val="en-US" w:eastAsia="zh-CN" w:bidi="ar-SA"/>
              </w:rPr>
            </w:pPr>
            <w:bookmarkStart w:id="14" w:name="_Ref32645"/>
            <w:r>
              <w:rPr>
                <w:rFonts w:hint="default" w:ascii="Times New Roman" w:hAnsi="Times New Roman" w:eastAsia="宋体" w:cs="Times New Roman"/>
                <w:b/>
                <w:color w:val="auto"/>
                <w:kern w:val="2"/>
                <w:sz w:val="24"/>
                <w:szCs w:val="20"/>
                <w:lang w:val="en-US" w:eastAsia="zh-CN" w:bidi="ar-SA"/>
              </w:rPr>
              <w:t xml:space="preserve">表2- </w:t>
            </w:r>
            <w:r>
              <w:rPr>
                <w:rFonts w:hint="default" w:ascii="Times New Roman" w:hAnsi="Times New Roman" w:eastAsia="宋体" w:cs="Times New Roman"/>
                <w:b/>
                <w:color w:val="auto"/>
                <w:kern w:val="2"/>
                <w:sz w:val="24"/>
                <w:szCs w:val="20"/>
                <w:lang w:val="en-US" w:eastAsia="zh-CN" w:bidi="ar-SA"/>
              </w:rPr>
              <w:fldChar w:fldCharType="begin"/>
            </w:r>
            <w:r>
              <w:rPr>
                <w:rFonts w:hint="default" w:ascii="Times New Roman" w:hAnsi="Times New Roman" w:eastAsia="宋体" w:cs="Times New Roman"/>
                <w:b/>
                <w:color w:val="auto"/>
                <w:kern w:val="2"/>
                <w:sz w:val="24"/>
                <w:szCs w:val="20"/>
                <w:lang w:val="en-US" w:eastAsia="zh-CN" w:bidi="ar-SA"/>
              </w:rPr>
              <w:instrText xml:space="preserve"> SEQ 表2- \* ARABIC </w:instrText>
            </w:r>
            <w:r>
              <w:rPr>
                <w:rFonts w:hint="default" w:ascii="Times New Roman" w:hAnsi="Times New Roman" w:eastAsia="宋体" w:cs="Times New Roman"/>
                <w:b/>
                <w:color w:val="auto"/>
                <w:kern w:val="2"/>
                <w:sz w:val="24"/>
                <w:szCs w:val="20"/>
                <w:lang w:val="en-US" w:eastAsia="zh-CN" w:bidi="ar-SA"/>
              </w:rPr>
              <w:fldChar w:fldCharType="separate"/>
            </w:r>
            <w:r>
              <w:rPr>
                <w:rFonts w:hint="default" w:ascii="Times New Roman" w:hAnsi="Times New Roman" w:eastAsia="宋体" w:cs="Times New Roman"/>
                <w:b/>
                <w:color w:val="auto"/>
                <w:kern w:val="2"/>
                <w:sz w:val="24"/>
                <w:szCs w:val="20"/>
                <w:lang w:val="en-US" w:eastAsia="zh-CN" w:bidi="ar-SA"/>
              </w:rPr>
              <w:t>9</w:t>
            </w:r>
            <w:r>
              <w:rPr>
                <w:rFonts w:hint="default" w:ascii="Times New Roman" w:hAnsi="Times New Roman" w:eastAsia="宋体" w:cs="Times New Roman"/>
                <w:b/>
                <w:color w:val="auto"/>
                <w:kern w:val="2"/>
                <w:sz w:val="24"/>
                <w:szCs w:val="20"/>
                <w:lang w:val="en-US" w:eastAsia="zh-CN" w:bidi="ar-SA"/>
              </w:rPr>
              <w:fldChar w:fldCharType="end"/>
            </w:r>
            <w:bookmarkEnd w:id="14"/>
            <w:r>
              <w:rPr>
                <w:rFonts w:hint="default" w:ascii="Times New Roman" w:hAnsi="Times New Roman" w:eastAsia="宋体" w:cs="Times New Roman"/>
                <w:b/>
                <w:color w:val="auto"/>
                <w:kern w:val="0"/>
                <w:sz w:val="24"/>
                <w:szCs w:val="20"/>
                <w:lang w:val="en-US" w:eastAsia="zh-CN" w:bidi="ar-SA"/>
              </w:rPr>
              <w:t>项目涂料稀释前后相关参数一览表</w:t>
            </w:r>
          </w:p>
          <w:tbl>
            <w:tblPr>
              <w:tblStyle w:val="27"/>
              <w:tblW w:w="4995"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246"/>
              <w:gridCol w:w="1476"/>
              <w:gridCol w:w="1211"/>
              <w:gridCol w:w="1248"/>
              <w:gridCol w:w="780"/>
              <w:gridCol w:w="1936"/>
              <w:gridCol w:w="127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79"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涂料种类</w:t>
                  </w:r>
                </w:p>
              </w:tc>
              <w:tc>
                <w:tcPr>
                  <w:tcW w:w="2569" w:type="pct"/>
                  <w:gridSpan w:val="4"/>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稀释前</w:t>
                  </w:r>
                </w:p>
              </w:tc>
              <w:tc>
                <w:tcPr>
                  <w:tcW w:w="1750" w:type="pct"/>
                  <w:gridSpan w:val="2"/>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稀释后</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79"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p>
              </w:tc>
              <w:tc>
                <w:tcPr>
                  <w:tcW w:w="804"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涂料名称</w:t>
                  </w:r>
                </w:p>
              </w:tc>
              <w:tc>
                <w:tcPr>
                  <w:tcW w:w="660"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密度kg/m</w:t>
                  </w:r>
                  <w:r>
                    <w:rPr>
                      <w:rFonts w:hint="default" w:ascii="Times New Roman" w:hAnsi="Times New Roman" w:eastAsia="宋体" w:cs="Times New Roman"/>
                      <w:b/>
                      <w:bCs/>
                      <w:color w:val="auto"/>
                      <w:kern w:val="0"/>
                      <w:sz w:val="21"/>
                      <w:szCs w:val="20"/>
                      <w:vertAlign w:val="superscript"/>
                      <w:lang w:val="en-US" w:eastAsia="zh-CN" w:bidi="ar-SA"/>
                    </w:rPr>
                    <w:t>3</w:t>
                  </w:r>
                </w:p>
              </w:tc>
              <w:tc>
                <w:tcPr>
                  <w:tcW w:w="680"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固含率%</w:t>
                  </w:r>
                </w:p>
              </w:tc>
              <w:tc>
                <w:tcPr>
                  <w:tcW w:w="423"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占比</w:t>
                  </w:r>
                </w:p>
              </w:tc>
              <w:tc>
                <w:tcPr>
                  <w:tcW w:w="1055"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涂料密度kg/m</w:t>
                  </w:r>
                  <w:r>
                    <w:rPr>
                      <w:rFonts w:hint="default" w:ascii="Times New Roman" w:hAnsi="Times New Roman" w:eastAsia="宋体" w:cs="Times New Roman"/>
                      <w:b/>
                      <w:bCs/>
                      <w:color w:val="auto"/>
                      <w:kern w:val="0"/>
                      <w:sz w:val="21"/>
                      <w:szCs w:val="20"/>
                      <w:vertAlign w:val="superscript"/>
                      <w:lang w:val="en-US" w:eastAsia="zh-CN" w:bidi="ar-SA"/>
                    </w:rPr>
                    <w:t>3</w:t>
                  </w:r>
                </w:p>
              </w:tc>
              <w:tc>
                <w:tcPr>
                  <w:tcW w:w="695"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固含率%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79"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水性油漆</w:t>
                  </w:r>
                </w:p>
              </w:tc>
              <w:tc>
                <w:tcPr>
                  <w:tcW w:w="804"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水性油漆</w:t>
                  </w:r>
                </w:p>
              </w:tc>
              <w:tc>
                <w:tcPr>
                  <w:tcW w:w="660"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1200</w:t>
                  </w:r>
                </w:p>
              </w:tc>
              <w:tc>
                <w:tcPr>
                  <w:tcW w:w="680"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40</w:t>
                  </w:r>
                </w:p>
              </w:tc>
              <w:tc>
                <w:tcPr>
                  <w:tcW w:w="423"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8</w:t>
                  </w:r>
                </w:p>
              </w:tc>
              <w:tc>
                <w:tcPr>
                  <w:tcW w:w="1055"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1160</w:t>
                  </w:r>
                </w:p>
              </w:tc>
              <w:tc>
                <w:tcPr>
                  <w:tcW w:w="695"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32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79"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p>
              </w:tc>
              <w:tc>
                <w:tcPr>
                  <w:tcW w:w="804"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水</w:t>
                  </w:r>
                </w:p>
              </w:tc>
              <w:tc>
                <w:tcPr>
                  <w:tcW w:w="660"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1000</w:t>
                  </w:r>
                </w:p>
              </w:tc>
              <w:tc>
                <w:tcPr>
                  <w:tcW w:w="680"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0</w:t>
                  </w:r>
                </w:p>
              </w:tc>
              <w:tc>
                <w:tcPr>
                  <w:tcW w:w="423"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2</w:t>
                  </w:r>
                </w:p>
              </w:tc>
              <w:tc>
                <w:tcPr>
                  <w:tcW w:w="1055"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p>
              </w:tc>
              <w:tc>
                <w:tcPr>
                  <w:tcW w:w="695"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7"/>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注：项目水性油漆的比重（H</w:t>
                  </w:r>
                  <w:r>
                    <w:rPr>
                      <w:rFonts w:hint="default" w:ascii="Times New Roman" w:hAnsi="Times New Roman" w:eastAsia="宋体" w:cs="Times New Roman"/>
                      <w:color w:val="auto"/>
                      <w:kern w:val="0"/>
                      <w:sz w:val="21"/>
                      <w:szCs w:val="20"/>
                      <w:vertAlign w:val="subscript"/>
                      <w:lang w:val="en-US" w:eastAsia="zh-CN" w:bidi="ar-SA"/>
                    </w:rPr>
                    <w:t>2</w:t>
                  </w:r>
                  <w:r>
                    <w:rPr>
                      <w:rFonts w:hint="default" w:ascii="Times New Roman" w:hAnsi="Times New Roman" w:eastAsia="宋体" w:cs="Times New Roman"/>
                      <w:color w:val="auto"/>
                      <w:kern w:val="0"/>
                      <w:sz w:val="21"/>
                      <w:szCs w:val="20"/>
                      <w:lang w:val="en-US" w:eastAsia="zh-CN" w:bidi="ar-SA"/>
                    </w:rPr>
                    <w:t>O=1）1.10~1.20，本项目水性油漆密度取1200kg/m³；混合料密度、固含率均按比例折算，即密度=漆料密度×占比+水×占比；固含率=漆料固含率×占比。</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pacing w:val="0"/>
                <w:sz w:val="24"/>
                <w:szCs w:val="24"/>
                <w:lang w:val="en-US" w:eastAsia="zh-CN"/>
              </w:rPr>
            </w:pPr>
            <w:r>
              <w:rPr>
                <w:rFonts w:hint="default" w:ascii="Times New Roman" w:hAnsi="Times New Roman" w:eastAsia="宋体" w:cs="Times New Roman"/>
                <w:color w:val="auto"/>
                <w:spacing w:val="0"/>
                <w:sz w:val="24"/>
                <w:szCs w:val="24"/>
                <w:lang w:val="en-US" w:eastAsia="zh-CN"/>
              </w:rPr>
              <w:t>项目产品喷漆2层，根据建设单位提供的资料：单层漆膜厚为0.02mm，两层漆膜厚度为0.04mm，参考《谈喷涂涂着效率》（王锡春），低压空气喷涂上漆率为50%~65%，本项目产品水性油漆上漆率按65%计算。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lang w:val="en-US" w:eastAsia="zh-CN"/>
              </w:rPr>
              <w:t>项目用漆量根据产品的喷涂面积、喷涂厚度、喷漆利用率进行核算。用漆量计算公式如下所示：</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auto"/>
                <w:spacing w:val="0"/>
                <w:kern w:val="0"/>
                <w:sz w:val="24"/>
                <w:szCs w:val="24"/>
                <w:lang w:val="en-US" w:eastAsia="zh-CN" w:bidi="ar-SA"/>
              </w:rPr>
            </w:pPr>
            <w:r>
              <w:rPr>
                <w:rFonts w:hint="default" w:ascii="Times New Roman" w:hAnsi="Times New Roman" w:eastAsia="宋体" w:cs="Times New Roman"/>
                <w:color w:val="auto"/>
                <w:spacing w:val="0"/>
                <w:kern w:val="0"/>
                <w:position w:val="-24"/>
                <w:sz w:val="24"/>
                <w:szCs w:val="24"/>
                <w:lang w:val="en-US" w:eastAsia="zh-CN" w:bidi="ar-SA"/>
              </w:rPr>
              <w:object>
                <v:shape id="_x0000_i1025" o:spt="75" type="#_x0000_t75" style="height:31pt;width:71pt;" o:ole="t" filled="f" o:preferrelative="t" stroked="f" coordsize="21600,21600">
                  <v:path/>
                  <v:fill on="f" focussize="0,0"/>
                  <v:stroke on="f"/>
                  <v:imagedata r:id="rId17" o:title=""/>
                  <o:lock v:ext="edit" aspectratio="t"/>
                  <w10:wrap type="none"/>
                  <w10:anchorlock/>
                </v:shape>
                <o:OLEObject Type="Embed" ProgID="Equation.KSEE3" ShapeID="_x0000_i1025" DrawAspect="Content" ObjectID="_1468075725" r:id="rId16">
                  <o:LockedField>false</o:LockedField>
                </o:OLEObject>
              </w:objec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pacing w:val="0"/>
                <w:kern w:val="0"/>
                <w:sz w:val="24"/>
                <w:szCs w:val="24"/>
                <w:lang w:val="en-US" w:eastAsia="zh-CN" w:bidi="ar-SA"/>
              </w:rPr>
            </w:pPr>
            <w:r>
              <w:rPr>
                <w:rFonts w:hint="default" w:ascii="Times New Roman" w:hAnsi="Times New Roman" w:eastAsia="宋体" w:cs="Times New Roman"/>
                <w:color w:val="auto"/>
                <w:spacing w:val="0"/>
                <w:kern w:val="0"/>
                <w:sz w:val="24"/>
                <w:szCs w:val="24"/>
                <w:lang w:val="en-US" w:eastAsia="zh-CN" w:bidi="ar-SA"/>
              </w:rPr>
              <w:t>式中：</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1200" w:firstLineChars="500"/>
              <w:jc w:val="left"/>
              <w:textAlignment w:val="auto"/>
              <w:rPr>
                <w:rFonts w:hint="default" w:ascii="Times New Roman" w:hAnsi="Times New Roman" w:eastAsia="宋体" w:cs="Times New Roman"/>
                <w:color w:val="auto"/>
                <w:spacing w:val="0"/>
                <w:kern w:val="0"/>
                <w:sz w:val="24"/>
                <w:szCs w:val="24"/>
                <w:lang w:val="en-US" w:eastAsia="zh-CN" w:bidi="ar-SA"/>
              </w:rPr>
            </w:pPr>
            <w:r>
              <w:rPr>
                <w:rFonts w:hint="default" w:ascii="Times New Roman" w:hAnsi="Times New Roman" w:eastAsia="宋体" w:cs="Times New Roman"/>
                <w:color w:val="auto"/>
                <w:spacing w:val="0"/>
                <w:kern w:val="0"/>
                <w:sz w:val="24"/>
                <w:szCs w:val="24"/>
                <w:lang w:val="en-US" w:eastAsia="zh-CN" w:bidi="ar-SA"/>
              </w:rPr>
              <w:t>Q—用漆量，t/a；</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firstLine="1200" w:firstLineChars="500"/>
              <w:jc w:val="both"/>
              <w:textAlignment w:val="auto"/>
              <w:rPr>
                <w:rFonts w:hint="default" w:ascii="Times New Roman" w:hAnsi="Times New Roman" w:eastAsia="宋体" w:cs="Times New Roman"/>
                <w:color w:val="auto"/>
                <w:spacing w:val="0"/>
                <w:kern w:val="0"/>
                <w:sz w:val="24"/>
                <w:szCs w:val="24"/>
                <w:lang w:val="en-US" w:eastAsia="zh-CN" w:bidi="ar-SA"/>
              </w:rPr>
            </w:pPr>
            <w:r>
              <w:rPr>
                <w:rFonts w:hint="default" w:ascii="Times New Roman" w:hAnsi="Times New Roman" w:eastAsia="宋体" w:cs="Times New Roman"/>
                <w:color w:val="auto"/>
                <w:spacing w:val="0"/>
                <w:kern w:val="0"/>
                <w:sz w:val="24"/>
                <w:szCs w:val="24"/>
                <w:lang w:val="en-US" w:eastAsia="zh-CN" w:bidi="ar-SA"/>
              </w:rPr>
              <w:t>A—工件喷漆面积，m</w:t>
            </w:r>
            <w:r>
              <w:rPr>
                <w:rFonts w:hint="default" w:ascii="Times New Roman" w:hAnsi="Times New Roman" w:eastAsia="宋体" w:cs="Times New Roman"/>
                <w:color w:val="auto"/>
                <w:spacing w:val="0"/>
                <w:kern w:val="0"/>
                <w:sz w:val="24"/>
                <w:szCs w:val="24"/>
                <w:vertAlign w:val="superscript"/>
                <w:lang w:val="en-US" w:eastAsia="zh-CN" w:bidi="ar-SA"/>
              </w:rPr>
              <w:t>2</w:t>
            </w:r>
            <w:r>
              <w:rPr>
                <w:rFonts w:hint="default" w:ascii="Times New Roman" w:hAnsi="Times New Roman" w:eastAsia="宋体" w:cs="Times New Roman"/>
                <w:color w:val="auto"/>
                <w:spacing w:val="0"/>
                <w:kern w:val="0"/>
                <w:sz w:val="24"/>
                <w:szCs w:val="24"/>
                <w:lang w:val="en-US" w:eastAsia="zh-CN" w:bidi="ar-SA"/>
              </w:rPr>
              <w:t>；</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firstLine="1200" w:firstLineChars="500"/>
              <w:jc w:val="both"/>
              <w:textAlignment w:val="auto"/>
              <w:rPr>
                <w:rFonts w:hint="default" w:ascii="Times New Roman" w:hAnsi="Times New Roman" w:eastAsia="宋体" w:cs="Times New Roman"/>
                <w:color w:val="auto"/>
                <w:spacing w:val="0"/>
                <w:kern w:val="0"/>
                <w:sz w:val="24"/>
                <w:szCs w:val="24"/>
                <w:lang w:val="en-US" w:eastAsia="zh-CN" w:bidi="ar-SA"/>
              </w:rPr>
            </w:pPr>
            <w:r>
              <w:rPr>
                <w:rFonts w:hint="default" w:ascii="Times New Roman" w:hAnsi="Times New Roman" w:eastAsia="宋体" w:cs="Times New Roman"/>
                <w:color w:val="auto"/>
                <w:spacing w:val="0"/>
                <w:kern w:val="0"/>
                <w:sz w:val="24"/>
                <w:szCs w:val="24"/>
                <w:lang w:val="en-US" w:eastAsia="zh-CN" w:bidi="ar-SA"/>
              </w:rPr>
              <w:t>D—漆的厚度，m；</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firstLine="1200" w:firstLineChars="500"/>
              <w:jc w:val="both"/>
              <w:textAlignment w:val="auto"/>
              <w:rPr>
                <w:rFonts w:hint="default" w:ascii="Times New Roman" w:hAnsi="Times New Roman" w:eastAsia="宋体" w:cs="Times New Roman"/>
                <w:color w:val="auto"/>
                <w:spacing w:val="0"/>
                <w:kern w:val="0"/>
                <w:sz w:val="24"/>
                <w:szCs w:val="24"/>
                <w:lang w:val="en-US" w:eastAsia="zh-CN" w:bidi="ar-SA"/>
              </w:rPr>
            </w:pPr>
            <w:r>
              <w:rPr>
                <w:rFonts w:hint="default" w:ascii="Times New Roman" w:hAnsi="Times New Roman" w:eastAsia="宋体" w:cs="Times New Roman"/>
                <w:color w:val="auto"/>
                <w:spacing w:val="0"/>
                <w:kern w:val="0"/>
                <w:sz w:val="24"/>
                <w:szCs w:val="24"/>
                <w:lang w:val="en-US" w:eastAsia="zh-CN" w:bidi="ar-SA"/>
              </w:rPr>
              <w:t>ρ—漆的密度，t/m</w:t>
            </w:r>
            <w:r>
              <w:rPr>
                <w:rFonts w:hint="default" w:ascii="Times New Roman" w:hAnsi="Times New Roman" w:eastAsia="宋体" w:cs="Times New Roman"/>
                <w:color w:val="auto"/>
                <w:spacing w:val="0"/>
                <w:kern w:val="0"/>
                <w:sz w:val="24"/>
                <w:szCs w:val="24"/>
                <w:vertAlign w:val="superscript"/>
                <w:lang w:val="en-US" w:eastAsia="zh-CN" w:bidi="ar-SA"/>
              </w:rPr>
              <w:t>3</w:t>
            </w:r>
            <w:r>
              <w:rPr>
                <w:rFonts w:hint="default" w:ascii="Times New Roman" w:hAnsi="Times New Roman" w:eastAsia="宋体" w:cs="Times New Roman"/>
                <w:color w:val="auto"/>
                <w:spacing w:val="0"/>
                <w:kern w:val="0"/>
                <w:sz w:val="24"/>
                <w:szCs w:val="24"/>
                <w:lang w:val="en-US" w:eastAsia="zh-CN" w:bidi="ar-SA"/>
              </w:rPr>
              <w:t>；</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firstLine="1200" w:firstLineChars="500"/>
              <w:jc w:val="both"/>
              <w:textAlignment w:val="auto"/>
              <w:rPr>
                <w:rFonts w:hint="default" w:ascii="Times New Roman" w:hAnsi="Times New Roman" w:eastAsia="宋体" w:cs="Times New Roman"/>
                <w:color w:val="auto"/>
                <w:spacing w:val="0"/>
                <w:kern w:val="0"/>
                <w:sz w:val="24"/>
                <w:szCs w:val="24"/>
                <w:lang w:val="en-US" w:eastAsia="zh-CN" w:bidi="ar-SA"/>
              </w:rPr>
            </w:pPr>
            <w:r>
              <w:rPr>
                <w:rFonts w:hint="default" w:ascii="Times New Roman" w:hAnsi="Times New Roman" w:eastAsia="宋体" w:cs="Times New Roman"/>
                <w:color w:val="auto"/>
                <w:spacing w:val="0"/>
                <w:kern w:val="0"/>
                <w:sz w:val="24"/>
                <w:szCs w:val="24"/>
                <w:lang w:val="en-US" w:eastAsia="zh-CN" w:bidi="ar-SA"/>
              </w:rPr>
              <w:t>B—漆（已配好）的固含率，%；</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1200" w:firstLineChars="500"/>
              <w:jc w:val="both"/>
              <w:textAlignment w:val="auto"/>
              <w:rPr>
                <w:rFonts w:hint="default" w:ascii="Times New Roman" w:hAnsi="Times New Roman" w:eastAsia="宋体" w:cs="Times New Roman"/>
                <w:color w:val="auto"/>
                <w:spacing w:val="0"/>
                <w:sz w:val="24"/>
                <w:szCs w:val="24"/>
                <w:lang w:val="en-US" w:eastAsia="zh-CN"/>
              </w:rPr>
            </w:pPr>
            <w:r>
              <w:rPr>
                <w:rFonts w:hint="default" w:ascii="Times New Roman" w:hAnsi="Times New Roman" w:eastAsia="宋体" w:cs="Times New Roman"/>
                <w:color w:val="auto"/>
                <w:spacing w:val="0"/>
                <w:sz w:val="24"/>
                <w:szCs w:val="24"/>
                <w:lang w:val="en-US" w:eastAsia="zh-CN"/>
              </w:rPr>
              <w:t>ε—漆的附着率，%</w:t>
            </w:r>
          </w:p>
          <w:p>
            <w:pPr>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4"/>
                <w:szCs w:val="20"/>
                <w:lang w:val="en-US" w:eastAsia="zh-CN" w:bidi="ar-SA"/>
              </w:rPr>
            </w:pPr>
            <w:r>
              <w:rPr>
                <w:rFonts w:hint="default" w:ascii="Times New Roman" w:hAnsi="Times New Roman" w:eastAsia="宋体" w:cs="Times New Roman"/>
                <w:b/>
                <w:color w:val="auto"/>
                <w:kern w:val="2"/>
                <w:sz w:val="24"/>
                <w:szCs w:val="20"/>
                <w:lang w:val="en-US" w:eastAsia="zh-CN" w:bidi="ar-SA"/>
              </w:rPr>
              <w:t xml:space="preserve">表2- </w:t>
            </w:r>
            <w:r>
              <w:rPr>
                <w:rFonts w:hint="default" w:ascii="Times New Roman" w:hAnsi="Times New Roman" w:eastAsia="宋体" w:cs="Times New Roman"/>
                <w:b/>
                <w:color w:val="auto"/>
                <w:kern w:val="2"/>
                <w:sz w:val="24"/>
                <w:szCs w:val="20"/>
                <w:lang w:val="en-US" w:eastAsia="zh-CN" w:bidi="ar-SA"/>
              </w:rPr>
              <w:fldChar w:fldCharType="begin"/>
            </w:r>
            <w:r>
              <w:rPr>
                <w:rFonts w:hint="default" w:ascii="Times New Roman" w:hAnsi="Times New Roman" w:eastAsia="宋体" w:cs="Times New Roman"/>
                <w:b/>
                <w:color w:val="auto"/>
                <w:kern w:val="2"/>
                <w:sz w:val="24"/>
                <w:szCs w:val="20"/>
                <w:lang w:val="en-US" w:eastAsia="zh-CN" w:bidi="ar-SA"/>
              </w:rPr>
              <w:instrText xml:space="preserve"> SEQ 表2- \* ARABIC </w:instrText>
            </w:r>
            <w:r>
              <w:rPr>
                <w:rFonts w:hint="default" w:ascii="Times New Roman" w:hAnsi="Times New Roman" w:eastAsia="宋体" w:cs="Times New Roman"/>
                <w:b/>
                <w:color w:val="auto"/>
                <w:kern w:val="2"/>
                <w:sz w:val="24"/>
                <w:szCs w:val="20"/>
                <w:lang w:val="en-US" w:eastAsia="zh-CN" w:bidi="ar-SA"/>
              </w:rPr>
              <w:fldChar w:fldCharType="separate"/>
            </w:r>
            <w:r>
              <w:rPr>
                <w:rFonts w:hint="default" w:ascii="Times New Roman" w:hAnsi="Times New Roman" w:eastAsia="宋体" w:cs="Times New Roman"/>
                <w:b/>
                <w:color w:val="auto"/>
                <w:kern w:val="2"/>
                <w:sz w:val="24"/>
                <w:szCs w:val="20"/>
                <w:lang w:val="en-US" w:eastAsia="zh-CN" w:bidi="ar-SA"/>
              </w:rPr>
              <w:t>10</w:t>
            </w:r>
            <w:r>
              <w:rPr>
                <w:rFonts w:hint="default" w:ascii="Times New Roman" w:hAnsi="Times New Roman" w:eastAsia="宋体" w:cs="Times New Roman"/>
                <w:b/>
                <w:color w:val="auto"/>
                <w:kern w:val="2"/>
                <w:sz w:val="24"/>
                <w:szCs w:val="20"/>
                <w:lang w:val="en-US" w:eastAsia="zh-CN" w:bidi="ar-SA"/>
              </w:rPr>
              <w:fldChar w:fldCharType="end"/>
            </w:r>
            <w:r>
              <w:rPr>
                <w:rFonts w:hint="default" w:ascii="Times New Roman" w:hAnsi="Times New Roman" w:eastAsia="宋体" w:cs="Times New Roman"/>
                <w:b/>
                <w:color w:val="auto"/>
                <w:kern w:val="0"/>
                <w:sz w:val="24"/>
                <w:szCs w:val="20"/>
                <w:lang w:val="en-US" w:eastAsia="zh-CN" w:bidi="ar-SA"/>
              </w:rPr>
              <w:t>稀释后</w:t>
            </w:r>
            <w:r>
              <w:rPr>
                <w:rFonts w:hint="eastAsia" w:cs="Times New Roman"/>
                <w:b/>
                <w:color w:val="auto"/>
                <w:kern w:val="0"/>
                <w:sz w:val="24"/>
                <w:szCs w:val="20"/>
                <w:lang w:val="en-US" w:eastAsia="zh-CN" w:bidi="ar-SA"/>
              </w:rPr>
              <w:t>水性油漆</w:t>
            </w:r>
            <w:r>
              <w:rPr>
                <w:rFonts w:hint="default" w:ascii="Times New Roman" w:hAnsi="Times New Roman" w:eastAsia="宋体" w:cs="Times New Roman"/>
                <w:b/>
                <w:color w:val="auto"/>
                <w:kern w:val="0"/>
                <w:sz w:val="24"/>
                <w:szCs w:val="20"/>
                <w:lang w:val="en-US" w:eastAsia="zh-CN" w:bidi="ar-SA"/>
              </w:rPr>
              <w:t>使用量统计表</w:t>
            </w:r>
          </w:p>
          <w:tbl>
            <w:tblPr>
              <w:tblStyle w:val="26"/>
              <w:tblW w:w="4997" w:type="pct"/>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858"/>
              <w:gridCol w:w="1509"/>
              <w:gridCol w:w="1201"/>
              <w:gridCol w:w="2876"/>
              <w:gridCol w:w="651"/>
              <w:gridCol w:w="651"/>
              <w:gridCol w:w="143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467" w:type="pct"/>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产品型号</w:t>
                  </w:r>
                </w:p>
              </w:tc>
              <w:tc>
                <w:tcPr>
                  <w:tcW w:w="821" w:type="pct"/>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喷漆面积（m</w:t>
                  </w:r>
                  <w:r>
                    <w:rPr>
                      <w:rFonts w:hint="default" w:ascii="Times New Roman" w:hAnsi="Times New Roman" w:eastAsia="宋体" w:cs="Times New Roman"/>
                      <w:b/>
                      <w:bCs/>
                      <w:color w:val="auto"/>
                      <w:kern w:val="0"/>
                      <w:sz w:val="21"/>
                      <w:szCs w:val="20"/>
                      <w:vertAlign w:val="superscript"/>
                      <w:lang w:val="en-US" w:eastAsia="zh-CN" w:bidi="ar-SA"/>
                    </w:rPr>
                    <w:t>2</w:t>
                  </w:r>
                  <w:r>
                    <w:rPr>
                      <w:rFonts w:hint="default" w:ascii="Times New Roman" w:hAnsi="Times New Roman" w:eastAsia="宋体" w:cs="Times New Roman"/>
                      <w:b/>
                      <w:bCs/>
                      <w:color w:val="auto"/>
                      <w:kern w:val="0"/>
                      <w:sz w:val="21"/>
                      <w:szCs w:val="20"/>
                      <w:lang w:val="en-US" w:eastAsia="zh-CN" w:bidi="ar-SA"/>
                    </w:rPr>
                    <w:t>）</w:t>
                  </w:r>
                </w:p>
              </w:tc>
              <w:tc>
                <w:tcPr>
                  <w:tcW w:w="654" w:type="pct"/>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厚度（mm）</w:t>
                  </w:r>
                </w:p>
              </w:tc>
              <w:tc>
                <w:tcPr>
                  <w:tcW w:w="1496" w:type="pct"/>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施工状态下水性漆密度（t/m</w:t>
                  </w:r>
                  <w:r>
                    <w:rPr>
                      <w:rFonts w:hint="default" w:ascii="Times New Roman" w:hAnsi="Times New Roman" w:eastAsia="宋体" w:cs="Times New Roman"/>
                      <w:b/>
                      <w:bCs/>
                      <w:color w:val="auto"/>
                      <w:kern w:val="0"/>
                      <w:sz w:val="21"/>
                      <w:szCs w:val="20"/>
                      <w:vertAlign w:val="superscript"/>
                      <w:lang w:val="en-US" w:eastAsia="zh-CN" w:bidi="ar-SA"/>
                    </w:rPr>
                    <w:t>3</w:t>
                  </w:r>
                  <w:r>
                    <w:rPr>
                      <w:rFonts w:hint="default" w:ascii="Times New Roman" w:hAnsi="Times New Roman" w:eastAsia="宋体" w:cs="Times New Roman"/>
                      <w:b/>
                      <w:bCs/>
                      <w:color w:val="auto"/>
                      <w:kern w:val="0"/>
                      <w:sz w:val="21"/>
                      <w:szCs w:val="20"/>
                      <w:lang w:val="en-US" w:eastAsia="zh-CN" w:bidi="ar-SA"/>
                    </w:rPr>
                    <w:t>）</w:t>
                  </w:r>
                </w:p>
              </w:tc>
              <w:tc>
                <w:tcPr>
                  <w:tcW w:w="424" w:type="pct"/>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含固率</w:t>
                  </w:r>
                </w:p>
              </w:tc>
              <w:tc>
                <w:tcPr>
                  <w:tcW w:w="354" w:type="pct"/>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上漆率</w:t>
                  </w:r>
                </w:p>
              </w:tc>
              <w:tc>
                <w:tcPr>
                  <w:tcW w:w="781" w:type="pct"/>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用漆量t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467" w:type="pct"/>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1</w:t>
                  </w:r>
                </w:p>
              </w:tc>
              <w:tc>
                <w:tcPr>
                  <w:tcW w:w="821" w:type="pct"/>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kern w:val="2"/>
                      <w:sz w:val="21"/>
                      <w:szCs w:val="22"/>
                      <w:lang w:val="en-US" w:eastAsia="zh-CN" w:bidi="ar-SA"/>
                    </w:rPr>
                    <w:t>76000</w:t>
                  </w:r>
                </w:p>
              </w:tc>
              <w:tc>
                <w:tcPr>
                  <w:tcW w:w="654" w:type="pct"/>
                  <w:tcBorders>
                    <w:tl2br w:val="nil"/>
                    <w:tr2bl w:val="nil"/>
                  </w:tcBorders>
                  <w:noWrap/>
                  <w:tcMar>
                    <w:top w:w="15" w:type="dxa"/>
                    <w:left w:w="15" w:type="dxa"/>
                    <w:right w:w="15" w:type="dxa"/>
                  </w:tcMar>
                  <w:vAlign w:val="center"/>
                </w:tcPr>
                <w:p>
                  <w:pPr>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0.04</w:t>
                  </w:r>
                </w:p>
              </w:tc>
              <w:tc>
                <w:tcPr>
                  <w:tcW w:w="1496" w:type="pct"/>
                  <w:tcBorders>
                    <w:tl2br w:val="nil"/>
                    <w:tr2bl w:val="nil"/>
                  </w:tcBorders>
                  <w:noWrap/>
                  <w:tcMar>
                    <w:top w:w="15" w:type="dxa"/>
                    <w:left w:w="15" w:type="dxa"/>
                    <w:right w:w="15" w:type="dxa"/>
                  </w:tcMar>
                  <w:vAlign w:val="center"/>
                </w:tcPr>
                <w:p>
                  <w:pPr>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1.16</w:t>
                  </w:r>
                </w:p>
              </w:tc>
              <w:tc>
                <w:tcPr>
                  <w:tcW w:w="424" w:type="pct"/>
                  <w:tcBorders>
                    <w:tl2br w:val="nil"/>
                    <w:tr2bl w:val="nil"/>
                  </w:tcBorders>
                  <w:noWrap/>
                  <w:tcMar>
                    <w:top w:w="15" w:type="dxa"/>
                    <w:left w:w="15" w:type="dxa"/>
                    <w:right w:w="15" w:type="dxa"/>
                  </w:tcMar>
                  <w:vAlign w:val="center"/>
                </w:tcPr>
                <w:p>
                  <w:pPr>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0.32</w:t>
                  </w:r>
                </w:p>
              </w:tc>
              <w:tc>
                <w:tcPr>
                  <w:tcW w:w="354" w:type="pct"/>
                  <w:tcBorders>
                    <w:tl2br w:val="nil"/>
                    <w:tr2bl w:val="nil"/>
                  </w:tcBorders>
                  <w:noWrap/>
                  <w:tcMar>
                    <w:top w:w="15" w:type="dxa"/>
                    <w:left w:w="15" w:type="dxa"/>
                    <w:right w:w="15" w:type="dxa"/>
                  </w:tcMar>
                  <w:vAlign w:val="center"/>
                </w:tcPr>
                <w:p>
                  <w:pPr>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0.65</w:t>
                  </w:r>
                </w:p>
              </w:tc>
              <w:tc>
                <w:tcPr>
                  <w:tcW w:w="781" w:type="pct"/>
                  <w:tcBorders>
                    <w:tl2br w:val="nil"/>
                    <w:tr2bl w:val="nil"/>
                  </w:tcBorders>
                  <w:noWrap/>
                  <w:tcMar>
                    <w:top w:w="15" w:type="dxa"/>
                    <w:left w:w="15" w:type="dxa"/>
                    <w:right w:w="15" w:type="dxa"/>
                  </w:tcMar>
                  <w:vAlign w:val="center"/>
                </w:tcPr>
                <w:p>
                  <w:pPr>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kern w:val="2"/>
                      <w:sz w:val="21"/>
                      <w:szCs w:val="22"/>
                      <w:lang w:val="en-US" w:eastAsia="zh-CN" w:bidi="ar-SA"/>
                    </w:rPr>
                    <w:t>16.95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218" w:type="pct"/>
                  <w:gridSpan w:val="6"/>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调漆用水量t/a</w:t>
                  </w:r>
                </w:p>
              </w:tc>
              <w:tc>
                <w:tcPr>
                  <w:tcW w:w="781" w:type="pct"/>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16.95*0.2=3.39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4218" w:type="pct"/>
                  <w:gridSpan w:val="6"/>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水性油漆</w:t>
                  </w:r>
                  <w:r>
                    <w:rPr>
                      <w:rFonts w:hint="default" w:ascii="Times New Roman" w:hAnsi="Times New Roman" w:eastAsia="宋体" w:cs="Times New Roman"/>
                      <w:color w:val="auto"/>
                      <w:kern w:val="0"/>
                      <w:sz w:val="21"/>
                      <w:szCs w:val="20"/>
                      <w:lang w:val="en-US" w:eastAsia="zh-CN" w:bidi="ar-SA"/>
                    </w:rPr>
                    <w:t>用量t/a</w:t>
                  </w:r>
                </w:p>
              </w:tc>
              <w:tc>
                <w:tcPr>
                  <w:tcW w:w="781" w:type="pct"/>
                  <w:tcBorders>
                    <w:tl2br w:val="nil"/>
                    <w:tr2bl w:val="nil"/>
                  </w:tcBorders>
                  <w:noWrap/>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16.95*0.8=13.56</w:t>
                  </w:r>
                </w:p>
              </w:tc>
            </w:tr>
          </w:tbl>
          <w:p>
            <w:pPr>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项目产品物料平衡图见</w:t>
            </w:r>
            <w:r>
              <w:rPr>
                <w:rFonts w:hint="eastAsia" w:cs="Times New Roman"/>
                <w:color w:val="auto"/>
                <w:lang w:val="en-US" w:eastAsia="zh-CN"/>
              </w:rPr>
              <w:fldChar w:fldCharType="begin"/>
            </w:r>
            <w:r>
              <w:rPr>
                <w:rFonts w:hint="eastAsia" w:cs="Times New Roman"/>
                <w:color w:val="auto"/>
                <w:lang w:val="en-US" w:eastAsia="zh-CN"/>
              </w:rPr>
              <w:instrText xml:space="preserve"> REF _Ref14143 \h </w:instrText>
            </w:r>
            <w:r>
              <w:rPr>
                <w:rFonts w:hint="eastAsia" w:cs="Times New Roman"/>
                <w:color w:val="auto"/>
                <w:lang w:val="en-US" w:eastAsia="zh-CN"/>
              </w:rPr>
              <w:fldChar w:fldCharType="separate"/>
            </w:r>
            <w:r>
              <w:rPr>
                <w:rFonts w:hint="default" w:ascii="Times New Roman" w:hAnsi="Times New Roman" w:eastAsia="宋体" w:cs="Times New Roman"/>
                <w:color w:val="auto"/>
              </w:rPr>
              <w:t>表2- 11</w:t>
            </w:r>
            <w:r>
              <w:rPr>
                <w:rFonts w:hint="eastAsia" w:cs="Times New Roman"/>
                <w:color w:val="auto"/>
                <w:lang w:val="en-US" w:eastAsia="zh-CN"/>
              </w:rPr>
              <w:fldChar w:fldCharType="end"/>
            </w:r>
            <w:r>
              <w:rPr>
                <w:rFonts w:hint="eastAsia" w:cs="Times New Roman"/>
                <w:color w:val="auto"/>
                <w:lang w:val="en-US" w:eastAsia="zh-CN"/>
              </w:rPr>
              <w:t>。</w:t>
            </w:r>
          </w:p>
          <w:p>
            <w:pPr>
              <w:pStyle w:val="8"/>
              <w:keepNext w:val="0"/>
              <w:keepLines w:val="0"/>
              <w:suppressLineNumbers w:val="0"/>
              <w:bidi w:val="0"/>
              <w:spacing w:beforeAutospacing="0" w:afterAutospacing="0"/>
              <w:ind w:left="0" w:right="0"/>
              <w:rPr>
                <w:rFonts w:hint="default" w:ascii="Times New Roman" w:hAnsi="Times New Roman" w:eastAsia="宋体" w:cs="Times New Roman"/>
                <w:bCs/>
                <w:color w:val="auto"/>
                <w:szCs w:val="21"/>
                <w:lang w:val="en-US" w:eastAsia="zh-CN"/>
              </w:rPr>
            </w:pPr>
            <w:bookmarkStart w:id="15" w:name="_Ref14143"/>
            <w:r>
              <w:rPr>
                <w:rFonts w:hint="default" w:ascii="Times New Roman" w:hAnsi="Times New Roman" w:eastAsia="宋体" w:cs="Times New Roman"/>
                <w:color w:val="auto"/>
              </w:rPr>
              <w:t xml:space="preserve">表2-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表2-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bookmarkEnd w:id="15"/>
            <w:r>
              <w:rPr>
                <w:rFonts w:hint="default" w:ascii="Times New Roman" w:hAnsi="Times New Roman" w:eastAsia="宋体" w:cs="Times New Roman"/>
                <w:bCs/>
                <w:color w:val="auto"/>
                <w:szCs w:val="21"/>
                <w:lang w:val="en-US" w:eastAsia="zh-CN"/>
              </w:rPr>
              <w:t>项目物料平衡一览表（不含涂料）</w:t>
            </w:r>
          </w:p>
          <w:tbl>
            <w:tblPr>
              <w:tblStyle w:val="27"/>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20"/>
              <w:gridCol w:w="1241"/>
              <w:gridCol w:w="1338"/>
              <w:gridCol w:w="2827"/>
              <w:gridCol w:w="13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18" w:type="pct"/>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产品名称</w:t>
                  </w:r>
                </w:p>
              </w:tc>
              <w:tc>
                <w:tcPr>
                  <w:tcW w:w="1405" w:type="pct"/>
                  <w:gridSpan w:val="2"/>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投入（单位：t/a）</w:t>
                  </w:r>
                </w:p>
              </w:tc>
              <w:tc>
                <w:tcPr>
                  <w:tcW w:w="2276" w:type="pct"/>
                  <w:gridSpan w:val="2"/>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产出（单位：t/a）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18" w:type="pct"/>
                  <w:vMerge w:val="restar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钣金件</w:t>
                  </w:r>
                </w:p>
              </w:tc>
              <w:tc>
                <w:tcPr>
                  <w:tcW w:w="676" w:type="pct"/>
                  <w:vMerge w:val="restar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铁料</w:t>
                  </w:r>
                </w:p>
              </w:tc>
              <w:tc>
                <w:tcPr>
                  <w:tcW w:w="729" w:type="pct"/>
                  <w:vMerge w:val="restar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859.3</w:t>
                  </w:r>
                </w:p>
              </w:tc>
              <w:tc>
                <w:tcPr>
                  <w:tcW w:w="1540" w:type="pct"/>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钣金件</w:t>
                  </w:r>
                </w:p>
              </w:tc>
              <w:tc>
                <w:tcPr>
                  <w:tcW w:w="735" w:type="pct"/>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850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18" w:type="pct"/>
                  <w:vMerge w:val="continue"/>
                  <w:vAlign w:val="center"/>
                </w:tcPr>
                <w:p>
                  <w:pPr>
                    <w:pStyle w:val="52"/>
                    <w:keepNext w:val="0"/>
                    <w:keepLines w:val="0"/>
                    <w:suppressLineNumbers w:val="0"/>
                    <w:bidi w:val="0"/>
                    <w:spacing w:before="0" w:beforeAutospacing="0" w:after="0" w:afterAutospacing="0"/>
                    <w:ind w:left="0" w:right="0"/>
                    <w:jc w:val="both"/>
                    <w:rPr>
                      <w:rFonts w:hint="default" w:ascii="Times New Roman" w:hAnsi="Times New Roman" w:eastAsia="宋体" w:cs="Times New Roman"/>
                      <w:color w:val="auto"/>
                      <w:lang w:val="en-US" w:eastAsia="zh-CN"/>
                    </w:rPr>
                  </w:pPr>
                </w:p>
              </w:tc>
              <w:tc>
                <w:tcPr>
                  <w:tcW w:w="676" w:type="pct"/>
                  <w:vMerge w:val="continue"/>
                  <w:vAlign w:val="center"/>
                </w:tcPr>
                <w:p>
                  <w:pPr>
                    <w:pStyle w:val="52"/>
                    <w:keepNext w:val="0"/>
                    <w:keepLines w:val="0"/>
                    <w:suppressLineNumbers w:val="0"/>
                    <w:bidi w:val="0"/>
                    <w:spacing w:before="0" w:beforeAutospacing="0" w:after="0" w:afterAutospacing="0"/>
                    <w:ind w:left="0" w:right="0"/>
                    <w:jc w:val="both"/>
                    <w:rPr>
                      <w:rFonts w:hint="default" w:ascii="Times New Roman" w:hAnsi="Times New Roman" w:eastAsia="宋体" w:cs="Times New Roman"/>
                      <w:color w:val="auto"/>
                      <w:lang w:val="en-US" w:eastAsia="zh-CN"/>
                    </w:rPr>
                  </w:pPr>
                </w:p>
              </w:tc>
              <w:tc>
                <w:tcPr>
                  <w:tcW w:w="729"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1540" w:type="pct"/>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铁料边角料</w:t>
                  </w:r>
                </w:p>
              </w:tc>
              <w:tc>
                <w:tcPr>
                  <w:tcW w:w="735" w:type="pct"/>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18" w:type="pct"/>
                  <w:vMerge w:val="continue"/>
                  <w:vAlign w:val="center"/>
                </w:tcPr>
                <w:p>
                  <w:pPr>
                    <w:pStyle w:val="52"/>
                    <w:keepNext w:val="0"/>
                    <w:keepLines w:val="0"/>
                    <w:suppressLineNumbers w:val="0"/>
                    <w:bidi w:val="0"/>
                    <w:spacing w:before="0" w:beforeAutospacing="0" w:after="0" w:afterAutospacing="0"/>
                    <w:ind w:left="0" w:right="0"/>
                    <w:jc w:val="both"/>
                    <w:rPr>
                      <w:rFonts w:hint="default" w:ascii="Times New Roman" w:hAnsi="Times New Roman" w:eastAsia="宋体" w:cs="Times New Roman"/>
                      <w:color w:val="auto"/>
                      <w:lang w:val="en-US" w:eastAsia="zh-CN"/>
                    </w:rPr>
                  </w:pPr>
                </w:p>
              </w:tc>
              <w:tc>
                <w:tcPr>
                  <w:tcW w:w="676" w:type="pct"/>
                  <w:vMerge w:val="continue"/>
                  <w:vAlign w:val="center"/>
                </w:tcPr>
                <w:p>
                  <w:pPr>
                    <w:pStyle w:val="52"/>
                    <w:keepNext w:val="0"/>
                    <w:keepLines w:val="0"/>
                    <w:suppressLineNumbers w:val="0"/>
                    <w:bidi w:val="0"/>
                    <w:spacing w:before="0" w:beforeAutospacing="0" w:after="0" w:afterAutospacing="0"/>
                    <w:ind w:left="0" w:right="0"/>
                    <w:jc w:val="both"/>
                    <w:rPr>
                      <w:rFonts w:hint="default" w:ascii="Times New Roman" w:hAnsi="Times New Roman" w:eastAsia="宋体" w:cs="Times New Roman"/>
                      <w:color w:val="auto"/>
                      <w:lang w:val="en-US" w:eastAsia="zh-CN"/>
                    </w:rPr>
                  </w:pPr>
                </w:p>
              </w:tc>
              <w:tc>
                <w:tcPr>
                  <w:tcW w:w="729"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1540" w:type="pct"/>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钣金件次品</w:t>
                  </w:r>
                </w:p>
              </w:tc>
              <w:tc>
                <w:tcPr>
                  <w:tcW w:w="735" w:type="pct"/>
                  <w:vAlign w:val="center"/>
                </w:tcPr>
                <w:p>
                  <w:pPr>
                    <w:pStyle w:val="5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18" w:type="pct"/>
                  <w:vMerge w:val="restar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灯饰配件</w:t>
                  </w:r>
                </w:p>
              </w:tc>
              <w:tc>
                <w:tcPr>
                  <w:tcW w:w="676" w:type="pct"/>
                  <w:vMerge w:val="restar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铝板</w:t>
                  </w:r>
                </w:p>
              </w:tc>
              <w:tc>
                <w:tcPr>
                  <w:tcW w:w="729" w:type="pct"/>
                  <w:vMerge w:val="restar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50.85</w:t>
                  </w:r>
                </w:p>
              </w:tc>
              <w:tc>
                <w:tcPr>
                  <w:tcW w:w="1540" w:type="pc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灯饰配件</w:t>
                  </w:r>
                </w:p>
              </w:tc>
              <w:tc>
                <w:tcPr>
                  <w:tcW w:w="735" w:type="pct"/>
                  <w:shd w:val="clear" w:color="auto" w:fill="auto"/>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18"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676"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729"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1540" w:type="pc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铝料边角料</w:t>
                  </w:r>
                </w:p>
              </w:tc>
              <w:tc>
                <w:tcPr>
                  <w:tcW w:w="735" w:type="pct"/>
                  <w:shd w:val="clear" w:color="auto" w:fill="auto"/>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0.55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18"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676"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729"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1540" w:type="pc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灯饰配件次品</w:t>
                  </w:r>
                </w:p>
              </w:tc>
              <w:tc>
                <w:tcPr>
                  <w:tcW w:w="735" w:type="pct"/>
                  <w:shd w:val="clear" w:color="auto" w:fill="auto"/>
                  <w:vAlign w:val="center"/>
                </w:tcPr>
                <w:p>
                  <w:pPr>
                    <w:pStyle w:val="52"/>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18" w:type="pct"/>
                  <w:vMerge w:val="restar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散热器</w:t>
                  </w:r>
                </w:p>
              </w:tc>
              <w:tc>
                <w:tcPr>
                  <w:tcW w:w="676" w:type="pct"/>
                  <w:vMerge w:val="restart"/>
                  <w:vAlign w:val="center"/>
                </w:tcPr>
                <w:p>
                  <w:pPr>
                    <w:pStyle w:val="52"/>
                    <w:keepNext w:val="0"/>
                    <w:keepLines w:val="0"/>
                    <w:suppressLineNumbers w:val="0"/>
                    <w:bidi w:val="0"/>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散热器坯件</w:t>
                  </w:r>
                </w:p>
              </w:tc>
              <w:tc>
                <w:tcPr>
                  <w:tcW w:w="729" w:type="pct"/>
                  <w:vMerge w:val="restar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280.2</w:t>
                  </w:r>
                </w:p>
              </w:tc>
              <w:tc>
                <w:tcPr>
                  <w:tcW w:w="1540" w:type="pc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散热器</w:t>
                  </w:r>
                </w:p>
              </w:tc>
              <w:tc>
                <w:tcPr>
                  <w:tcW w:w="735" w:type="pc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280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18"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676"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729"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1540" w:type="pc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散热器次品</w:t>
                  </w:r>
                </w:p>
              </w:tc>
              <w:tc>
                <w:tcPr>
                  <w:tcW w:w="735" w:type="pc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94" w:type="pct"/>
                  <w:gridSpan w:val="2"/>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合计</w:t>
                  </w:r>
                </w:p>
              </w:tc>
              <w:tc>
                <w:tcPr>
                  <w:tcW w:w="729" w:type="pc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1190.35</w:t>
                  </w:r>
                </w:p>
              </w:tc>
              <w:tc>
                <w:tcPr>
                  <w:tcW w:w="1540" w:type="pc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合计</w:t>
                  </w:r>
                </w:p>
              </w:tc>
              <w:tc>
                <w:tcPr>
                  <w:tcW w:w="735" w:type="pc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1190.35</w:t>
                  </w:r>
                </w:p>
              </w:tc>
            </w:tr>
          </w:tbl>
          <w:p>
            <w:pPr>
              <w:keepNext w:val="0"/>
              <w:keepLines w:val="0"/>
              <w:numPr>
                <w:ilvl w:val="0"/>
                <w:numId w:val="6"/>
              </w:numPr>
              <w:suppressLineNumbers w:val="0"/>
              <w:adjustRightInd w:val="0"/>
              <w:snapToGrid w:val="0"/>
              <w:spacing w:before="0" w:beforeAutospacing="0" w:after="0" w:afterAutospacing="0" w:line="360" w:lineRule="auto"/>
              <w:ind w:right="0" w:firstLine="482" w:firstLineChars="200"/>
              <w:jc w:val="left"/>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主要生产单元及生产设施一览表</w:t>
            </w:r>
          </w:p>
          <w:p>
            <w:pPr>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建设项目主要生产单元及生产设施见</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REF _Ref6586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表2- 12</w:t>
            </w:r>
            <w:r>
              <w:rPr>
                <w:rFonts w:hint="default" w:ascii="Times New Roman" w:hAnsi="Times New Roman" w:eastAsia="宋体" w:cs="Times New Roman"/>
                <w:color w:val="auto"/>
              </w:rPr>
              <w:fldChar w:fldCharType="end"/>
            </w:r>
            <w:r>
              <w:rPr>
                <w:rFonts w:hint="default" w:ascii="Times New Roman" w:hAnsi="Times New Roman" w:eastAsia="宋体" w:cs="Times New Roman"/>
                <w:b w:val="0"/>
                <w:bCs w:val="0"/>
                <w:color w:val="auto"/>
                <w:sz w:val="24"/>
                <w:szCs w:val="20"/>
                <w:lang w:val="en-US" w:eastAsia="zh-CN"/>
              </w:rPr>
              <w:t>。</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b/>
                <w:bCs/>
                <w:color w:val="auto"/>
                <w:spacing w:val="4"/>
                <w:sz w:val="24"/>
              </w:rPr>
            </w:pPr>
            <w:bookmarkStart w:id="16" w:name="_Ref6586"/>
            <w:r>
              <w:rPr>
                <w:rFonts w:hint="default" w:ascii="Times New Roman" w:hAnsi="Times New Roman" w:eastAsia="宋体" w:cs="Times New Roman"/>
                <w:color w:val="auto"/>
              </w:rPr>
              <w:t xml:space="preserve">表2-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表2-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w:t>
            </w:r>
            <w:r>
              <w:rPr>
                <w:rFonts w:hint="default" w:ascii="Times New Roman" w:hAnsi="Times New Roman" w:eastAsia="宋体" w:cs="Times New Roman"/>
                <w:color w:val="auto"/>
              </w:rPr>
              <w:fldChar w:fldCharType="end"/>
            </w:r>
            <w:bookmarkEnd w:id="16"/>
            <w:r>
              <w:rPr>
                <w:rFonts w:hint="default" w:ascii="Times New Roman" w:hAnsi="Times New Roman" w:eastAsia="宋体" w:cs="Times New Roman"/>
                <w:b/>
                <w:bCs/>
                <w:color w:val="auto"/>
                <w:spacing w:val="4"/>
                <w:sz w:val="24"/>
              </w:rPr>
              <w:t>建设项目主要生产单元和生产设施一览表</w:t>
            </w:r>
          </w:p>
          <w:tbl>
            <w:tblPr>
              <w:tblStyle w:val="26"/>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7"/>
              <w:gridCol w:w="621"/>
              <w:gridCol w:w="915"/>
              <w:gridCol w:w="836"/>
              <w:gridCol w:w="505"/>
              <w:gridCol w:w="458"/>
              <w:gridCol w:w="691"/>
              <w:gridCol w:w="983"/>
              <w:gridCol w:w="696"/>
              <w:gridCol w:w="810"/>
              <w:gridCol w:w="217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tblHeader/>
                <w:jc w:val="center"/>
              </w:trPr>
              <w:tc>
                <w:tcPr>
                  <w:tcW w:w="2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序号</w:t>
                  </w:r>
                </w:p>
              </w:tc>
              <w:tc>
                <w:tcPr>
                  <w:tcW w:w="33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主要生产单元</w:t>
                  </w:r>
                </w:p>
              </w:tc>
              <w:tc>
                <w:tcPr>
                  <w:tcW w:w="4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主要生产工艺/工序</w:t>
                  </w:r>
                </w:p>
              </w:tc>
              <w:tc>
                <w:tcPr>
                  <w:tcW w:w="45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生产设施名称</w:t>
                  </w:r>
                </w:p>
              </w:tc>
              <w:tc>
                <w:tcPr>
                  <w:tcW w:w="2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数量</w:t>
                  </w:r>
                </w:p>
              </w:tc>
              <w:tc>
                <w:tcPr>
                  <w:tcW w:w="2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单位</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设施参数</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参数数值</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单位</w:t>
                  </w:r>
                </w:p>
              </w:tc>
              <w:tc>
                <w:tcPr>
                  <w:tcW w:w="44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年运行时间</w:t>
                  </w:r>
                  <w:r>
                    <w:rPr>
                      <w:rFonts w:hint="default" w:ascii="Times New Roman" w:hAnsi="Times New Roman" w:eastAsia="宋体" w:cs="Times New Roman"/>
                      <w:b/>
                      <w:bCs/>
                      <w:color w:val="auto"/>
                      <w:lang w:eastAsia="zh-CN"/>
                    </w:rPr>
                    <w:t>（</w:t>
                  </w:r>
                  <w:r>
                    <w:rPr>
                      <w:rFonts w:hint="default" w:ascii="Times New Roman" w:hAnsi="Times New Roman" w:eastAsia="宋体" w:cs="Times New Roman"/>
                      <w:b/>
                      <w:bCs/>
                      <w:color w:val="auto"/>
                      <w:lang w:val="en-US" w:eastAsia="zh-CN"/>
                    </w:rPr>
                    <w:t>h</w:t>
                  </w:r>
                  <w:r>
                    <w:rPr>
                      <w:rFonts w:hint="default" w:ascii="Times New Roman" w:hAnsi="Times New Roman" w:eastAsia="宋体" w:cs="Times New Roman"/>
                      <w:b/>
                      <w:bCs/>
                      <w:color w:val="auto"/>
                      <w:lang w:eastAsia="zh-CN"/>
                    </w:rPr>
                    <w:t>）</w:t>
                  </w:r>
                </w:p>
              </w:tc>
              <w:tc>
                <w:tcPr>
                  <w:tcW w:w="118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rPr>
                  </w:pPr>
                  <w:r>
                    <w:rPr>
                      <w:rFonts w:hint="default" w:ascii="Times New Roman" w:hAnsi="Times New Roman" w:eastAsia="宋体" w:cs="Times New Roman"/>
                      <w:i w:val="0"/>
                      <w:iCs w:val="0"/>
                      <w:color w:val="auto"/>
                      <w:kern w:val="0"/>
                      <w:sz w:val="22"/>
                      <w:szCs w:val="22"/>
                      <w:u w:val="none"/>
                      <w:lang w:val="en-US" w:eastAsia="zh-CN" w:bidi="ar"/>
                    </w:rPr>
                    <w:t>1</w:t>
                  </w:r>
                </w:p>
              </w:tc>
              <w:tc>
                <w:tcPr>
                  <w:tcW w:w="338" w:type="pct"/>
                  <w:vMerge w:val="restar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生产单元</w:t>
                  </w:r>
                </w:p>
              </w:tc>
              <w:tc>
                <w:tcPr>
                  <w:tcW w:w="498"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开料、冲压</w:t>
                  </w:r>
                </w:p>
              </w:tc>
              <w:tc>
                <w:tcPr>
                  <w:tcW w:w="45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精密冲压机</w:t>
                  </w:r>
                </w:p>
              </w:tc>
              <w:tc>
                <w:tcPr>
                  <w:tcW w:w="275"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c>
                <w:tcPr>
                  <w:tcW w:w="249"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台</w:t>
                  </w:r>
                </w:p>
              </w:tc>
              <w:tc>
                <w:tcPr>
                  <w:tcW w:w="376"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功率</w:t>
                  </w:r>
                </w:p>
              </w:tc>
              <w:tc>
                <w:tcPr>
                  <w:tcW w:w="535"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5.5</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KW</w:t>
                  </w:r>
                </w:p>
              </w:tc>
              <w:tc>
                <w:tcPr>
                  <w:tcW w:w="441"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2400</w:t>
                  </w:r>
                </w:p>
              </w:tc>
              <w:tc>
                <w:tcPr>
                  <w:tcW w:w="1184"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rPr>
                  </w:pPr>
                  <w:r>
                    <w:rPr>
                      <w:rFonts w:hint="default" w:ascii="Times New Roman" w:hAnsi="Times New Roman" w:eastAsia="宋体" w:cs="Times New Roman"/>
                      <w:i w:val="0"/>
                      <w:iCs w:val="0"/>
                      <w:color w:val="auto"/>
                      <w:kern w:val="0"/>
                      <w:sz w:val="22"/>
                      <w:szCs w:val="22"/>
                      <w:u w:val="none"/>
                      <w:lang w:val="en-US" w:eastAsia="zh-CN" w:bidi="ar"/>
                    </w:rPr>
                    <w:t>2</w:t>
                  </w: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钻孔</w:t>
                  </w:r>
                </w:p>
              </w:tc>
              <w:tc>
                <w:tcPr>
                  <w:tcW w:w="45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钻床机</w:t>
                  </w:r>
                </w:p>
              </w:tc>
              <w:tc>
                <w:tcPr>
                  <w:tcW w:w="275"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c>
                <w:tcPr>
                  <w:tcW w:w="249"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台</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功率</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2.2</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KW</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2400</w:t>
                  </w:r>
                </w:p>
              </w:tc>
              <w:tc>
                <w:tcPr>
                  <w:tcW w:w="1184"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rPr>
                  </w:pPr>
                  <w:r>
                    <w:rPr>
                      <w:rFonts w:hint="default" w:ascii="Times New Roman" w:hAnsi="Times New Roman" w:eastAsia="宋体" w:cs="Times New Roman"/>
                      <w:i w:val="0"/>
                      <w:iCs w:val="0"/>
                      <w:color w:val="auto"/>
                      <w:kern w:val="0"/>
                      <w:sz w:val="22"/>
                      <w:szCs w:val="22"/>
                      <w:u w:val="none"/>
                      <w:lang w:val="en-US" w:eastAsia="zh-CN" w:bidi="ar"/>
                    </w:rPr>
                    <w:t>3</w:t>
                  </w: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折弯</w:t>
                  </w:r>
                </w:p>
              </w:tc>
              <w:tc>
                <w:tcPr>
                  <w:tcW w:w="45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数控折弯机</w:t>
                  </w:r>
                </w:p>
              </w:tc>
              <w:tc>
                <w:tcPr>
                  <w:tcW w:w="275"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249"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台</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功率</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5.5</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KW</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2400</w:t>
                  </w:r>
                </w:p>
              </w:tc>
              <w:tc>
                <w:tcPr>
                  <w:tcW w:w="1184"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5</w:t>
                  </w: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攻牙</w:t>
                  </w:r>
                </w:p>
              </w:tc>
              <w:tc>
                <w:tcPr>
                  <w:tcW w:w="45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自动攻牙机</w:t>
                  </w:r>
                </w:p>
              </w:tc>
              <w:tc>
                <w:tcPr>
                  <w:tcW w:w="275"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249"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台</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功率</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0.75</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KW</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2400</w:t>
                  </w:r>
                </w:p>
              </w:tc>
              <w:tc>
                <w:tcPr>
                  <w:tcW w:w="118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6</w:t>
                  </w: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喷砂</w:t>
                  </w:r>
                </w:p>
              </w:tc>
              <w:tc>
                <w:tcPr>
                  <w:tcW w:w="45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喷砂机</w:t>
                  </w:r>
                </w:p>
              </w:tc>
              <w:tc>
                <w:tcPr>
                  <w:tcW w:w="275"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249"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台</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功率</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0.25</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KW</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2400</w:t>
                  </w:r>
                </w:p>
              </w:tc>
              <w:tc>
                <w:tcPr>
                  <w:tcW w:w="118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w:t>
                  </w: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vMerge w:val="restar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喷粉</w:t>
                  </w:r>
                </w:p>
              </w:tc>
              <w:tc>
                <w:tcPr>
                  <w:tcW w:w="45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粉末喷涂室</w:t>
                  </w:r>
                </w:p>
              </w:tc>
              <w:tc>
                <w:tcPr>
                  <w:tcW w:w="275"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w:t>
                  </w:r>
                </w:p>
              </w:tc>
              <w:tc>
                <w:tcPr>
                  <w:tcW w:w="249"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台</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排风量</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6300</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m³/h</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2400</w:t>
                  </w:r>
                </w:p>
              </w:tc>
              <w:tc>
                <w:tcPr>
                  <w:tcW w:w="1184"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项目共有7条200m×2m×2.5m的喷粉线，其中烘干炉长度35m，每条喷粉线由1台粉末喷涂室、1台喷粉烘干炉和2把喷枪组成。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w:t>
                  </w: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455"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喷粉烘干炉</w:t>
                  </w:r>
                </w:p>
              </w:tc>
              <w:tc>
                <w:tcPr>
                  <w:tcW w:w="275" w:type="pct"/>
                  <w:vMerge w:val="restar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w:t>
                  </w:r>
                </w:p>
              </w:tc>
              <w:tc>
                <w:tcPr>
                  <w:tcW w:w="249" w:type="pct"/>
                  <w:vMerge w:val="restar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台</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作业温度</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180</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2400</w:t>
                  </w:r>
                </w:p>
              </w:tc>
              <w:tc>
                <w:tcPr>
                  <w:tcW w:w="118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lang w:val="en-US" w:eastAsia="zh-CN"/>
                    </w:rPr>
                  </w:pP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455"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p>
              </w:tc>
              <w:tc>
                <w:tcPr>
                  <w:tcW w:w="275"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p>
              </w:tc>
              <w:tc>
                <w:tcPr>
                  <w:tcW w:w="249"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排风量</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2100</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m³/h</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2400</w:t>
                  </w:r>
                </w:p>
              </w:tc>
              <w:tc>
                <w:tcPr>
                  <w:tcW w:w="118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w:t>
                  </w: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45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喷粉喷枪</w:t>
                  </w:r>
                </w:p>
              </w:tc>
              <w:tc>
                <w:tcPr>
                  <w:tcW w:w="275"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w:t>
                  </w:r>
                </w:p>
              </w:tc>
              <w:tc>
                <w:tcPr>
                  <w:tcW w:w="249"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把</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处理能力</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7.5</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kg/h</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2400</w:t>
                  </w:r>
                </w:p>
              </w:tc>
              <w:tc>
                <w:tcPr>
                  <w:tcW w:w="118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455"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烤箱</w:t>
                  </w:r>
                </w:p>
              </w:tc>
              <w:tc>
                <w:tcPr>
                  <w:tcW w:w="275" w:type="pct"/>
                  <w:vMerge w:val="restar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249" w:type="pct"/>
                  <w:vMerge w:val="restar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台</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温度</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180</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2400</w:t>
                  </w:r>
                </w:p>
              </w:tc>
              <w:tc>
                <w:tcPr>
                  <w:tcW w:w="118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lang w:val="en-US" w:eastAsia="zh-CN"/>
                    </w:rPr>
                  </w:pP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455"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p>
              </w:tc>
              <w:tc>
                <w:tcPr>
                  <w:tcW w:w="275"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p>
              </w:tc>
              <w:tc>
                <w:tcPr>
                  <w:tcW w:w="249"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烘烤时间</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Min</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2400</w:t>
                  </w:r>
                </w:p>
              </w:tc>
              <w:tc>
                <w:tcPr>
                  <w:tcW w:w="118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尺寸：6m×2.5m×3m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w:t>
                  </w: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vMerge w:val="restar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喷漆</w:t>
                  </w:r>
                </w:p>
              </w:tc>
              <w:tc>
                <w:tcPr>
                  <w:tcW w:w="45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喷漆柜（水帘柜）</w:t>
                  </w:r>
                </w:p>
              </w:tc>
              <w:tc>
                <w:tcPr>
                  <w:tcW w:w="275"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249"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台 </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排风量</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7830</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m³/h</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2400</w:t>
                  </w:r>
                </w:p>
              </w:tc>
              <w:tc>
                <w:tcPr>
                  <w:tcW w:w="1184"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项目共有2条200m×2m×2.5m的喷漆线，其中烘干线长度35m，喷漆柜尺寸为1.5m×2m×2.5m，每条喷漆线由2台喷漆柜、1台喷漆烘干炉和2把喷枪组成。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13</w:t>
                  </w: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455"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喷漆烘干炉</w:t>
                  </w:r>
                </w:p>
              </w:tc>
              <w:tc>
                <w:tcPr>
                  <w:tcW w:w="275" w:type="pct"/>
                  <w:vMerge w:val="restar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249" w:type="pct"/>
                  <w:vMerge w:val="restar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台</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作业温度</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180</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2400</w:t>
                  </w:r>
                </w:p>
              </w:tc>
              <w:tc>
                <w:tcPr>
                  <w:tcW w:w="118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lang w:val="en-US" w:eastAsia="zh-CN"/>
                    </w:rPr>
                  </w:pP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455"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p>
              </w:tc>
              <w:tc>
                <w:tcPr>
                  <w:tcW w:w="275"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p>
              </w:tc>
              <w:tc>
                <w:tcPr>
                  <w:tcW w:w="249"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排风量</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2100</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m³/h</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2400</w:t>
                  </w:r>
                </w:p>
              </w:tc>
              <w:tc>
                <w:tcPr>
                  <w:tcW w:w="118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5" w:type="pct"/>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w:t>
                  </w:r>
                </w:p>
              </w:tc>
              <w:tc>
                <w:tcPr>
                  <w:tcW w:w="33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rPr>
                  </w:pPr>
                </w:p>
              </w:tc>
              <w:tc>
                <w:tcPr>
                  <w:tcW w:w="498" w:type="pct"/>
                  <w:vMerge w:val="continue"/>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45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喷漆喷枪</w:t>
                  </w:r>
                </w:p>
              </w:tc>
              <w:tc>
                <w:tcPr>
                  <w:tcW w:w="275"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249" w:type="pct"/>
                  <w:tcBorders>
                    <w:tl2br w:val="nil"/>
                    <w:tr2bl w:val="nil"/>
                  </w:tcBorders>
                  <w:noWrap w:val="0"/>
                  <w:vAlign w:val="center"/>
                </w:tcPr>
                <w:p>
                  <w:pPr>
                    <w:pStyle w:val="52"/>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把</w:t>
                  </w:r>
                </w:p>
              </w:tc>
              <w:tc>
                <w:tcPr>
                  <w:tcW w:w="3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处理能力</w:t>
                  </w:r>
                </w:p>
              </w:tc>
              <w:tc>
                <w:tcPr>
                  <w:tcW w:w="53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7.5</w:t>
                  </w:r>
                </w:p>
              </w:tc>
              <w:tc>
                <w:tcPr>
                  <w:tcW w:w="3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kg/h</w:t>
                  </w:r>
                </w:p>
              </w:tc>
              <w:tc>
                <w:tcPr>
                  <w:tcW w:w="441" w:type="pct"/>
                  <w:tcBorders>
                    <w:tl2br w:val="nil"/>
                    <w:tr2bl w:val="nil"/>
                  </w:tcBorders>
                  <w:noWrap w:val="0"/>
                  <w:vAlign w:val="center"/>
                </w:tcPr>
                <w:p>
                  <w:pPr>
                    <w:pStyle w:val="49"/>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2400</w:t>
                  </w:r>
                </w:p>
              </w:tc>
              <w:tc>
                <w:tcPr>
                  <w:tcW w:w="118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bl>
          <w:p>
            <w:pPr>
              <w:keepNext w:val="0"/>
              <w:keepLines w:val="0"/>
              <w:numPr>
                <w:ilvl w:val="0"/>
                <w:numId w:val="6"/>
              </w:numPr>
              <w:suppressLineNumbers w:val="0"/>
              <w:adjustRightInd w:val="0"/>
              <w:snapToGrid w:val="0"/>
              <w:spacing w:before="0" w:beforeAutospacing="0" w:after="0" w:afterAutospacing="0" w:line="360" w:lineRule="auto"/>
              <w:ind w:right="0" w:firstLine="458" w:firstLineChars="200"/>
              <w:jc w:val="left"/>
              <w:rPr>
                <w:rFonts w:hint="default" w:ascii="Times New Roman" w:hAnsi="Times New Roman" w:eastAsia="宋体" w:cs="Times New Roman"/>
                <w:b/>
                <w:bCs/>
                <w:color w:val="auto"/>
                <w:spacing w:val="-6"/>
                <w:sz w:val="24"/>
              </w:rPr>
            </w:pPr>
            <w:r>
              <w:rPr>
                <w:rFonts w:hint="default" w:ascii="Times New Roman" w:hAnsi="Times New Roman" w:eastAsia="宋体" w:cs="Times New Roman"/>
                <w:b/>
                <w:bCs/>
                <w:color w:val="auto"/>
                <w:spacing w:val="-6"/>
                <w:sz w:val="24"/>
              </w:rPr>
              <w:t>劳动定员及工作制度</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bookmarkStart w:id="17" w:name="劳动定员及工作制度"/>
            <w:r>
              <w:rPr>
                <w:rFonts w:hint="default" w:ascii="Times New Roman" w:hAnsi="Times New Roman" w:eastAsia="宋体" w:cs="Times New Roman"/>
                <w:color w:val="auto"/>
                <w:sz w:val="24"/>
              </w:rPr>
              <w:t>项目拟聘用员工</w:t>
            </w:r>
            <w:r>
              <w:rPr>
                <w:rFonts w:hint="default" w:ascii="Times New Roman" w:hAnsi="Times New Roman" w:eastAsia="宋体" w:cs="Times New Roman"/>
                <w:color w:val="auto"/>
                <w:sz w:val="24"/>
                <w:lang w:val="en-US" w:eastAsia="zh-CN"/>
              </w:rPr>
              <w:t>41</w:t>
            </w:r>
            <w:r>
              <w:rPr>
                <w:rFonts w:hint="default" w:ascii="Times New Roman" w:hAnsi="Times New Roman" w:eastAsia="宋体" w:cs="Times New Roman"/>
                <w:color w:val="auto"/>
                <w:sz w:val="24"/>
              </w:rPr>
              <w:t>人，均</w:t>
            </w:r>
            <w:r>
              <w:rPr>
                <w:rFonts w:hint="eastAsia" w:cs="Times New Roman"/>
                <w:color w:val="auto"/>
                <w:sz w:val="24"/>
                <w:lang w:val="en-US" w:eastAsia="zh-CN"/>
              </w:rPr>
              <w:t>不</w:t>
            </w:r>
            <w:r>
              <w:rPr>
                <w:rFonts w:hint="default" w:ascii="Times New Roman" w:hAnsi="Times New Roman" w:eastAsia="宋体" w:cs="Times New Roman"/>
                <w:color w:val="auto"/>
                <w:sz w:val="24"/>
              </w:rPr>
              <w:t>在厂区食宿，年工作300天，每天</w:t>
            </w:r>
            <w:r>
              <w:rPr>
                <w:rFonts w:hint="default" w:ascii="Times New Roman" w:hAnsi="Times New Roman" w:eastAsia="宋体" w:cs="Times New Roman"/>
                <w:color w:val="auto"/>
                <w:sz w:val="24"/>
                <w:lang w:val="en-US" w:eastAsia="zh-CN"/>
              </w:rPr>
              <w:t>1班，每班</w:t>
            </w:r>
            <w:r>
              <w:rPr>
                <w:rFonts w:hint="default" w:ascii="Times New Roman" w:hAnsi="Times New Roman" w:eastAsia="宋体" w:cs="Times New Roman"/>
                <w:color w:val="auto"/>
                <w:sz w:val="24"/>
              </w:rPr>
              <w:t>工作</w:t>
            </w:r>
            <w:r>
              <w:rPr>
                <w:rFonts w:hint="default" w:ascii="Times New Roman" w:hAnsi="Times New Roman" w:eastAsia="宋体" w:cs="Times New Roman"/>
                <w:color w:val="auto"/>
                <w:sz w:val="24"/>
                <w:lang w:val="en-US" w:eastAsia="zh-CN"/>
              </w:rPr>
              <w:t>8</w:t>
            </w:r>
            <w:r>
              <w:rPr>
                <w:rFonts w:hint="default" w:ascii="Times New Roman" w:hAnsi="Times New Roman" w:eastAsia="宋体" w:cs="Times New Roman"/>
                <w:color w:val="auto"/>
                <w:sz w:val="24"/>
              </w:rPr>
              <w:t>小时。</w:t>
            </w:r>
          </w:p>
          <w:bookmarkEnd w:id="17"/>
          <w:p>
            <w:pPr>
              <w:keepNext w:val="0"/>
              <w:keepLines w:val="0"/>
              <w:numPr>
                <w:ilvl w:val="0"/>
                <w:numId w:val="6"/>
              </w:numPr>
              <w:suppressLineNumbers w:val="0"/>
              <w:adjustRightInd w:val="0"/>
              <w:snapToGrid w:val="0"/>
              <w:spacing w:before="0" w:beforeAutospacing="0" w:after="0" w:afterAutospacing="0" w:line="360" w:lineRule="auto"/>
              <w:ind w:right="0" w:firstLine="458" w:firstLineChars="200"/>
              <w:jc w:val="left"/>
              <w:rPr>
                <w:rFonts w:hint="default" w:ascii="Times New Roman" w:hAnsi="Times New Roman" w:eastAsia="宋体" w:cs="Times New Roman"/>
                <w:b/>
                <w:bCs/>
                <w:color w:val="auto"/>
                <w:spacing w:val="-6"/>
                <w:sz w:val="24"/>
              </w:rPr>
            </w:pPr>
            <w:r>
              <w:rPr>
                <w:rFonts w:hint="default" w:ascii="Times New Roman" w:hAnsi="Times New Roman" w:eastAsia="宋体" w:cs="Times New Roman"/>
                <w:b/>
                <w:bCs/>
                <w:color w:val="auto"/>
                <w:spacing w:val="-6"/>
                <w:sz w:val="24"/>
              </w:rPr>
              <w:t>给排水</w:t>
            </w:r>
          </w:p>
          <w:p>
            <w:pPr>
              <w:keepNext w:val="0"/>
              <w:keepLines w:val="0"/>
              <w:numPr>
                <w:ilvl w:val="0"/>
                <w:numId w:val="7"/>
              </w:numPr>
              <w:suppressLineNumbers w:val="0"/>
              <w:adjustRightInd w:val="0"/>
              <w:snapToGrid w:val="0"/>
              <w:spacing w:before="0" w:beforeAutospacing="0" w:after="0" w:afterAutospacing="0" w:line="360" w:lineRule="auto"/>
              <w:ind w:left="0" w:leftChars="0" w:right="0" w:firstLine="397" w:firstLineChars="0"/>
              <w:jc w:val="left"/>
              <w:rPr>
                <w:rFonts w:hint="default" w:ascii="Times New Roman" w:hAnsi="Times New Roman" w:eastAsia="宋体" w:cs="Times New Roman"/>
                <w:b/>
                <w:color w:val="auto"/>
                <w:spacing w:val="-6"/>
                <w:sz w:val="24"/>
              </w:rPr>
            </w:pPr>
            <w:r>
              <w:rPr>
                <w:rFonts w:hint="default" w:ascii="Times New Roman" w:hAnsi="Times New Roman" w:eastAsia="宋体" w:cs="Times New Roman"/>
                <w:b/>
                <w:color w:val="auto"/>
                <w:spacing w:val="-6"/>
                <w:sz w:val="24"/>
              </w:rPr>
              <w:t>给水：</w:t>
            </w:r>
            <w:r>
              <w:rPr>
                <w:rFonts w:hint="default" w:ascii="Times New Roman" w:hAnsi="Times New Roman" w:eastAsia="宋体" w:cs="Times New Roman"/>
                <w:color w:val="auto"/>
                <w:sz w:val="24"/>
                <w:szCs w:val="21"/>
              </w:rPr>
              <w:t>项目用水来自市政供水管网，主要为生活用水</w:t>
            </w:r>
            <w:r>
              <w:rPr>
                <w:rFonts w:hint="default" w:ascii="Times New Roman" w:hAnsi="Times New Roman" w:eastAsia="宋体" w:cs="Times New Roman"/>
                <w:color w:val="auto"/>
                <w:sz w:val="24"/>
                <w:szCs w:val="21"/>
                <w:lang w:val="en-US" w:eastAsia="zh-CN"/>
              </w:rPr>
              <w:t>和生产用水</w:t>
            </w:r>
            <w:r>
              <w:rPr>
                <w:rFonts w:hint="default" w:ascii="Times New Roman" w:hAnsi="Times New Roman" w:eastAsia="宋体" w:cs="Times New Roman"/>
                <w:color w:val="auto"/>
                <w:sz w:val="24"/>
                <w:szCs w:val="21"/>
              </w:rPr>
              <w:t>。</w:t>
            </w:r>
          </w:p>
          <w:p>
            <w:pPr>
              <w:keepNext w:val="0"/>
              <w:keepLines w:val="0"/>
              <w:suppressLineNumbers w:val="0"/>
              <w:snapToGrid w:val="0"/>
              <w:spacing w:before="0" w:beforeAutospacing="0" w:after="0" w:afterAutospacing="0" w:line="360" w:lineRule="auto"/>
              <w:ind w:left="0" w:right="0" w:firstLine="482"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b/>
                <w:bCs/>
                <w:color w:val="auto"/>
                <w:sz w:val="24"/>
                <w:szCs w:val="21"/>
              </w:rPr>
              <w:t>生活用水</w:t>
            </w:r>
            <w:r>
              <w:rPr>
                <w:rFonts w:hint="default" w:ascii="Times New Roman" w:hAnsi="Times New Roman" w:eastAsia="宋体" w:cs="Times New Roman"/>
                <w:color w:val="auto"/>
                <w:sz w:val="24"/>
                <w:szCs w:val="21"/>
              </w:rPr>
              <w:t>：项目员工</w:t>
            </w:r>
            <w:r>
              <w:rPr>
                <w:rFonts w:hint="default" w:ascii="Times New Roman" w:hAnsi="Times New Roman" w:eastAsia="宋体" w:cs="Times New Roman"/>
                <w:color w:val="auto"/>
                <w:sz w:val="24"/>
                <w:szCs w:val="21"/>
                <w:lang w:val="en-US" w:eastAsia="zh-CN"/>
              </w:rPr>
              <w:t>41</w:t>
            </w:r>
            <w:r>
              <w:rPr>
                <w:rFonts w:hint="default" w:ascii="Times New Roman" w:hAnsi="Times New Roman" w:eastAsia="宋体" w:cs="Times New Roman"/>
                <w:color w:val="auto"/>
                <w:sz w:val="24"/>
                <w:szCs w:val="21"/>
              </w:rPr>
              <w:t>人，员工均</w:t>
            </w:r>
            <w:r>
              <w:rPr>
                <w:rFonts w:hint="eastAsia" w:cs="Times New Roman"/>
                <w:color w:val="auto"/>
                <w:sz w:val="24"/>
                <w:szCs w:val="21"/>
                <w:lang w:val="en-US" w:eastAsia="zh-CN"/>
              </w:rPr>
              <w:t>不</w:t>
            </w:r>
            <w:r>
              <w:rPr>
                <w:rFonts w:hint="default" w:ascii="Times New Roman" w:hAnsi="Times New Roman" w:eastAsia="宋体" w:cs="Times New Roman"/>
                <w:color w:val="auto"/>
                <w:sz w:val="24"/>
                <w:szCs w:val="21"/>
              </w:rPr>
              <w:t>在厂区内食宿。</w:t>
            </w:r>
            <w:r>
              <w:rPr>
                <w:rFonts w:hint="default" w:ascii="Times New Roman" w:hAnsi="Times New Roman" w:eastAsia="宋体" w:cs="Times New Roman"/>
                <w:i w:val="0"/>
                <w:iCs w:val="0"/>
                <w:color w:val="auto"/>
                <w:spacing w:val="-1"/>
                <w:kern w:val="30"/>
                <w:position w:val="-1"/>
                <w:sz w:val="24"/>
                <w:szCs w:val="24"/>
                <w:lang w:val="en-US" w:eastAsia="zh-CN"/>
              </w:rPr>
              <w:t>参照</w:t>
            </w:r>
            <w:r>
              <w:rPr>
                <w:rFonts w:hint="default" w:ascii="Times New Roman" w:hAnsi="Times New Roman" w:eastAsia="宋体" w:cs="Times New Roman"/>
                <w:i w:val="0"/>
                <w:iCs w:val="0"/>
                <w:color w:val="auto"/>
                <w:spacing w:val="-1"/>
                <w:kern w:val="30"/>
                <w:position w:val="-1"/>
                <w:sz w:val="24"/>
                <w:szCs w:val="24"/>
                <w:lang w:eastAsia="zh-CN"/>
              </w:rPr>
              <w:t>《</w:t>
            </w:r>
            <w:r>
              <w:rPr>
                <w:rFonts w:hint="default" w:ascii="Times New Roman" w:hAnsi="Times New Roman" w:eastAsia="宋体" w:cs="Times New Roman"/>
                <w:i w:val="0"/>
                <w:iCs w:val="0"/>
                <w:color w:val="auto"/>
                <w:spacing w:val="-1"/>
                <w:kern w:val="30"/>
                <w:position w:val="-1"/>
                <w:sz w:val="24"/>
                <w:szCs w:val="24"/>
                <w:lang w:val="en-US" w:eastAsia="zh-CN"/>
              </w:rPr>
              <w:t>用水定额 第3部分：生活</w:t>
            </w:r>
            <w:r>
              <w:rPr>
                <w:rFonts w:hint="default" w:ascii="Times New Roman" w:hAnsi="Times New Roman" w:eastAsia="宋体" w:cs="Times New Roman"/>
                <w:i w:val="0"/>
                <w:iCs w:val="0"/>
                <w:color w:val="auto"/>
                <w:spacing w:val="-1"/>
                <w:kern w:val="30"/>
                <w:position w:val="-1"/>
                <w:sz w:val="24"/>
                <w:szCs w:val="24"/>
                <w:lang w:eastAsia="zh-CN"/>
              </w:rPr>
              <w:t>》</w:t>
            </w:r>
            <w:r>
              <w:rPr>
                <w:rFonts w:hint="default" w:ascii="Times New Roman" w:hAnsi="Times New Roman" w:eastAsia="宋体" w:cs="Times New Roman"/>
                <w:i w:val="0"/>
                <w:iCs w:val="0"/>
                <w:color w:val="auto"/>
                <w:spacing w:val="-1"/>
                <w:kern w:val="30"/>
                <w:position w:val="-1"/>
                <w:sz w:val="24"/>
                <w:szCs w:val="24"/>
              </w:rPr>
              <w:t>（DB44/T 1461</w:t>
            </w:r>
            <w:r>
              <w:rPr>
                <w:rFonts w:hint="default" w:ascii="Times New Roman" w:hAnsi="Times New Roman" w:eastAsia="宋体" w:cs="Times New Roman"/>
                <w:i w:val="0"/>
                <w:iCs w:val="0"/>
                <w:color w:val="auto"/>
                <w:spacing w:val="-1"/>
                <w:kern w:val="30"/>
                <w:position w:val="-1"/>
                <w:sz w:val="24"/>
                <w:szCs w:val="24"/>
                <w:lang w:val="en-US" w:eastAsia="zh-CN"/>
              </w:rPr>
              <w:t>.3</w:t>
            </w:r>
            <w:r>
              <w:rPr>
                <w:rFonts w:hint="default" w:ascii="Times New Roman" w:hAnsi="Times New Roman" w:eastAsia="宋体" w:cs="Times New Roman"/>
                <w:i w:val="0"/>
                <w:iCs w:val="0"/>
                <w:color w:val="auto"/>
                <w:spacing w:val="-1"/>
                <w:kern w:val="30"/>
                <w:position w:val="-1"/>
                <w:sz w:val="24"/>
                <w:szCs w:val="24"/>
              </w:rPr>
              <w:t>-20</w:t>
            </w:r>
            <w:r>
              <w:rPr>
                <w:rFonts w:hint="default" w:ascii="Times New Roman" w:hAnsi="Times New Roman" w:eastAsia="宋体" w:cs="Times New Roman"/>
                <w:i w:val="0"/>
                <w:iCs w:val="0"/>
                <w:color w:val="auto"/>
                <w:spacing w:val="-1"/>
                <w:kern w:val="30"/>
                <w:position w:val="-1"/>
                <w:sz w:val="24"/>
                <w:szCs w:val="24"/>
                <w:lang w:val="en-US" w:eastAsia="zh-CN"/>
              </w:rPr>
              <w:t>21</w:t>
            </w:r>
            <w:r>
              <w:rPr>
                <w:rFonts w:hint="default" w:ascii="Times New Roman" w:hAnsi="Times New Roman" w:eastAsia="宋体" w:cs="Times New Roman"/>
                <w:i w:val="0"/>
                <w:iCs w:val="0"/>
                <w:color w:val="auto"/>
                <w:spacing w:val="-1"/>
                <w:kern w:val="30"/>
                <w:position w:val="-1"/>
                <w:sz w:val="24"/>
                <w:szCs w:val="24"/>
              </w:rPr>
              <w:t>）</w:t>
            </w:r>
            <w:r>
              <w:rPr>
                <w:rFonts w:hint="default" w:ascii="Times New Roman" w:hAnsi="Times New Roman" w:eastAsia="宋体" w:cs="Times New Roman"/>
                <w:i w:val="0"/>
                <w:iCs w:val="0"/>
                <w:color w:val="auto"/>
                <w:spacing w:val="-1"/>
                <w:kern w:val="30"/>
                <w:position w:val="-1"/>
                <w:sz w:val="24"/>
                <w:szCs w:val="24"/>
                <w:lang w:val="en-US" w:eastAsia="zh-CN"/>
              </w:rPr>
              <w:t>附录A.1服务业用水定额表中“国家机构—国家行政机构—办公楼—</w:t>
            </w:r>
            <w:r>
              <w:rPr>
                <w:rFonts w:hint="eastAsia" w:cs="Times New Roman"/>
                <w:i w:val="0"/>
                <w:iCs w:val="0"/>
                <w:color w:val="auto"/>
                <w:spacing w:val="-1"/>
                <w:kern w:val="30"/>
                <w:position w:val="-1"/>
                <w:sz w:val="24"/>
                <w:szCs w:val="24"/>
                <w:lang w:val="en-US" w:eastAsia="zh-CN"/>
              </w:rPr>
              <w:t>无</w:t>
            </w:r>
            <w:r>
              <w:rPr>
                <w:rFonts w:hint="default" w:ascii="Times New Roman" w:hAnsi="Times New Roman" w:eastAsia="宋体" w:cs="Times New Roman"/>
                <w:i w:val="0"/>
                <w:iCs w:val="0"/>
                <w:color w:val="auto"/>
                <w:spacing w:val="-1"/>
                <w:kern w:val="30"/>
                <w:position w:val="-1"/>
                <w:sz w:val="24"/>
                <w:szCs w:val="24"/>
                <w:lang w:val="en-US" w:eastAsia="zh-CN"/>
              </w:rPr>
              <w:t>食堂和浴室”的定额</w:t>
            </w:r>
            <w:r>
              <w:rPr>
                <w:rFonts w:hint="eastAsia" w:cs="Times New Roman"/>
                <w:i w:val="0"/>
                <w:iCs w:val="0"/>
                <w:color w:val="auto"/>
                <w:spacing w:val="-1"/>
                <w:kern w:val="30"/>
                <w:position w:val="-1"/>
                <w:sz w:val="24"/>
                <w:szCs w:val="24"/>
                <w:lang w:val="en-US" w:eastAsia="zh-CN"/>
              </w:rPr>
              <w:t>（先进值）</w:t>
            </w:r>
            <w:r>
              <w:rPr>
                <w:rFonts w:hint="default" w:ascii="Times New Roman" w:hAnsi="Times New Roman" w:eastAsia="宋体" w:cs="Times New Roman"/>
                <w:i w:val="0"/>
                <w:iCs w:val="0"/>
                <w:color w:val="auto"/>
                <w:spacing w:val="-1"/>
                <w:kern w:val="30"/>
                <w:position w:val="-1"/>
                <w:sz w:val="24"/>
                <w:szCs w:val="24"/>
                <w:lang w:val="en-US" w:eastAsia="zh-CN"/>
              </w:rPr>
              <w:t>，</w:t>
            </w:r>
            <w:r>
              <w:rPr>
                <w:rFonts w:hint="default" w:ascii="Times New Roman" w:hAnsi="Times New Roman" w:eastAsia="宋体" w:cs="Times New Roman"/>
                <w:i w:val="0"/>
                <w:iCs w:val="0"/>
                <w:color w:val="auto"/>
                <w:spacing w:val="-1"/>
                <w:kern w:val="30"/>
                <w:position w:val="-1"/>
                <w:sz w:val="24"/>
                <w:szCs w:val="24"/>
              </w:rPr>
              <w:t>生活用水定额</w:t>
            </w:r>
            <w:r>
              <w:rPr>
                <w:rFonts w:hint="default" w:ascii="Times New Roman" w:hAnsi="Times New Roman" w:eastAsia="宋体" w:cs="Times New Roman"/>
                <w:i w:val="0"/>
                <w:iCs w:val="0"/>
                <w:color w:val="auto"/>
                <w:spacing w:val="-1"/>
                <w:kern w:val="30"/>
                <w:position w:val="-1"/>
                <w:sz w:val="24"/>
                <w:szCs w:val="24"/>
                <w:lang w:val="en-US" w:eastAsia="zh-CN"/>
              </w:rPr>
              <w:t>按1</w:t>
            </w:r>
            <w:r>
              <w:rPr>
                <w:rFonts w:hint="eastAsia" w:cs="Times New Roman"/>
                <w:i w:val="0"/>
                <w:iCs w:val="0"/>
                <w:color w:val="auto"/>
                <w:spacing w:val="-1"/>
                <w:kern w:val="30"/>
                <w:position w:val="-1"/>
                <w:sz w:val="24"/>
                <w:szCs w:val="24"/>
                <w:lang w:val="en-US" w:eastAsia="zh-CN"/>
              </w:rPr>
              <w:t>0</w:t>
            </w:r>
            <w:r>
              <w:rPr>
                <w:rFonts w:hint="default" w:ascii="Times New Roman" w:hAnsi="Times New Roman" w:eastAsia="宋体" w:cs="Times New Roman"/>
                <w:i w:val="0"/>
                <w:iCs w:val="0"/>
                <w:color w:val="auto"/>
                <w:spacing w:val="-1"/>
                <w:kern w:val="30"/>
                <w:position w:val="-1"/>
                <w:sz w:val="24"/>
                <w:szCs w:val="24"/>
                <w:lang w:val="en-US" w:eastAsia="zh-CN"/>
              </w:rPr>
              <w:t>m</w:t>
            </w:r>
            <w:r>
              <w:rPr>
                <w:rFonts w:hint="default" w:ascii="Times New Roman" w:hAnsi="Times New Roman" w:eastAsia="宋体" w:cs="Times New Roman"/>
                <w:i w:val="0"/>
                <w:iCs w:val="0"/>
                <w:color w:val="auto"/>
                <w:spacing w:val="-1"/>
                <w:kern w:val="30"/>
                <w:position w:val="-1"/>
                <w:sz w:val="24"/>
                <w:szCs w:val="24"/>
                <w:vertAlign w:val="superscript"/>
                <w:lang w:val="en-US" w:eastAsia="zh-CN"/>
              </w:rPr>
              <w:t>3</w:t>
            </w:r>
            <w:r>
              <w:rPr>
                <w:rFonts w:hint="default" w:ascii="Times New Roman" w:hAnsi="Times New Roman" w:eastAsia="宋体" w:cs="Times New Roman"/>
                <w:i w:val="0"/>
                <w:iCs w:val="0"/>
                <w:color w:val="auto"/>
                <w:spacing w:val="-1"/>
                <w:kern w:val="30"/>
                <w:position w:val="-1"/>
                <w:sz w:val="24"/>
                <w:szCs w:val="24"/>
              </w:rPr>
              <w:t>/人.</w:t>
            </w:r>
            <w:r>
              <w:rPr>
                <w:rFonts w:hint="default" w:ascii="Times New Roman" w:hAnsi="Times New Roman" w:eastAsia="宋体" w:cs="Times New Roman"/>
                <w:i w:val="0"/>
                <w:iCs w:val="0"/>
                <w:color w:val="auto"/>
                <w:spacing w:val="-1"/>
                <w:kern w:val="30"/>
                <w:position w:val="-1"/>
                <w:sz w:val="24"/>
                <w:szCs w:val="24"/>
                <w:lang w:val="en-US" w:eastAsia="zh-CN"/>
              </w:rPr>
              <w:t>年</w:t>
            </w:r>
            <w:r>
              <w:rPr>
                <w:rFonts w:hint="default" w:ascii="Times New Roman" w:hAnsi="Times New Roman" w:eastAsia="宋体" w:cs="Times New Roman"/>
                <w:i w:val="0"/>
                <w:iCs w:val="0"/>
                <w:color w:val="auto"/>
                <w:spacing w:val="-1"/>
                <w:kern w:val="30"/>
                <w:position w:val="-1"/>
                <w:sz w:val="24"/>
                <w:szCs w:val="24"/>
              </w:rPr>
              <w:t>计，</w:t>
            </w:r>
            <w:r>
              <w:rPr>
                <w:rFonts w:hint="default" w:ascii="Times New Roman" w:hAnsi="Times New Roman" w:eastAsia="宋体" w:cs="Times New Roman"/>
                <w:i w:val="0"/>
                <w:iCs w:val="0"/>
                <w:color w:val="auto"/>
                <w:spacing w:val="-1"/>
                <w:kern w:val="30"/>
                <w:position w:val="-1"/>
                <w:sz w:val="24"/>
                <w:szCs w:val="24"/>
                <w:lang w:val="en-US" w:eastAsia="zh-CN"/>
              </w:rPr>
              <w:t>则</w:t>
            </w:r>
            <w:r>
              <w:rPr>
                <w:rFonts w:hint="default" w:ascii="Times New Roman" w:hAnsi="Times New Roman" w:eastAsia="宋体" w:cs="Times New Roman"/>
                <w:i w:val="0"/>
                <w:iCs w:val="0"/>
                <w:color w:val="auto"/>
                <w:spacing w:val="-1"/>
                <w:kern w:val="30"/>
                <w:position w:val="-1"/>
                <w:sz w:val="24"/>
                <w:szCs w:val="24"/>
              </w:rPr>
              <w:t>生活用水量约</w:t>
            </w:r>
            <w:r>
              <w:rPr>
                <w:rFonts w:hint="eastAsia" w:cs="Times New Roman"/>
                <w:i w:val="0"/>
                <w:iCs w:val="0"/>
                <w:color w:val="auto"/>
                <w:spacing w:val="-1"/>
                <w:kern w:val="30"/>
                <w:position w:val="-1"/>
                <w:sz w:val="24"/>
                <w:szCs w:val="24"/>
                <w:lang w:val="en-US" w:eastAsia="zh-CN"/>
              </w:rPr>
              <w:t>1.37</w:t>
            </w:r>
            <w:r>
              <w:rPr>
                <w:rFonts w:hint="default" w:ascii="Times New Roman" w:hAnsi="Times New Roman" w:eastAsia="宋体" w:cs="Times New Roman"/>
                <w:i w:val="0"/>
                <w:iCs w:val="0"/>
                <w:color w:val="auto"/>
                <w:spacing w:val="-1"/>
                <w:kern w:val="30"/>
                <w:position w:val="-1"/>
                <w:sz w:val="24"/>
                <w:szCs w:val="24"/>
              </w:rPr>
              <w:t>t/d</w:t>
            </w:r>
            <w:r>
              <w:rPr>
                <w:rFonts w:hint="default" w:ascii="Times New Roman" w:hAnsi="Times New Roman" w:eastAsia="宋体" w:cs="Times New Roman"/>
                <w:i w:val="0"/>
                <w:iCs w:val="0"/>
                <w:color w:val="auto"/>
                <w:spacing w:val="-1"/>
                <w:kern w:val="30"/>
                <w:position w:val="-1"/>
                <w:sz w:val="24"/>
                <w:szCs w:val="24"/>
                <w:lang w:eastAsia="zh-CN"/>
              </w:rPr>
              <w:t>（</w:t>
            </w:r>
            <w:r>
              <w:rPr>
                <w:rFonts w:hint="eastAsia" w:cs="Times New Roman"/>
                <w:i w:val="0"/>
                <w:iCs w:val="0"/>
                <w:color w:val="auto"/>
                <w:spacing w:val="-1"/>
                <w:kern w:val="30"/>
                <w:position w:val="-1"/>
                <w:sz w:val="24"/>
                <w:szCs w:val="24"/>
                <w:lang w:val="en-US" w:eastAsia="zh-CN"/>
              </w:rPr>
              <w:t>410</w:t>
            </w:r>
            <w:r>
              <w:rPr>
                <w:rFonts w:hint="default" w:ascii="Times New Roman" w:hAnsi="Times New Roman" w:eastAsia="宋体" w:cs="Times New Roman"/>
                <w:i w:val="0"/>
                <w:iCs w:val="0"/>
                <w:color w:val="auto"/>
                <w:spacing w:val="-1"/>
                <w:kern w:val="30"/>
                <w:position w:val="-1"/>
                <w:sz w:val="24"/>
                <w:szCs w:val="24"/>
              </w:rPr>
              <w:t>t/a</w:t>
            </w:r>
            <w:r>
              <w:rPr>
                <w:rFonts w:hint="default" w:ascii="Times New Roman" w:hAnsi="Times New Roman" w:eastAsia="宋体" w:cs="Times New Roman"/>
                <w:i w:val="0"/>
                <w:iCs w:val="0"/>
                <w:color w:val="auto"/>
                <w:spacing w:val="-1"/>
                <w:kern w:val="30"/>
                <w:position w:val="-1"/>
                <w:sz w:val="24"/>
                <w:szCs w:val="24"/>
                <w:lang w:eastAsia="zh-CN"/>
              </w:rPr>
              <w:t>）。</w:t>
            </w:r>
            <w:r>
              <w:rPr>
                <w:rFonts w:hint="default" w:ascii="Times New Roman" w:hAnsi="Times New Roman" w:eastAsia="宋体" w:cs="Times New Roman"/>
                <w:color w:val="auto"/>
                <w:sz w:val="24"/>
                <w:szCs w:val="21"/>
              </w:rPr>
              <w:t>由市政供水。</w:t>
            </w:r>
          </w:p>
          <w:p>
            <w:pPr>
              <w:keepNext w:val="0"/>
              <w:keepLines w:val="0"/>
              <w:suppressLineNumbers w:val="0"/>
              <w:autoSpaceDE w:val="0"/>
              <w:autoSpaceDN w:val="0"/>
              <w:adjustRightInd w:val="0"/>
              <w:spacing w:before="0" w:beforeAutospacing="0" w:after="0" w:afterAutospacing="0" w:line="360" w:lineRule="auto"/>
              <w:ind w:left="0" w:right="0" w:firstLine="482" w:firstLineChars="200"/>
              <w:jc w:val="left"/>
              <w:rPr>
                <w:rFonts w:hint="default" w:ascii="Times New Roman" w:hAnsi="Times New Roman" w:eastAsia="宋体" w:cs="Times New Roman"/>
                <w:b/>
                <w:bCs/>
                <w:color w:val="auto"/>
                <w:sz w:val="24"/>
                <w:szCs w:val="21"/>
              </w:rPr>
            </w:pPr>
            <w:r>
              <w:rPr>
                <w:rFonts w:hint="default" w:ascii="Times New Roman" w:hAnsi="Times New Roman" w:eastAsia="宋体" w:cs="Times New Roman"/>
                <w:b/>
                <w:bCs/>
                <w:color w:val="auto"/>
                <w:sz w:val="24"/>
                <w:szCs w:val="21"/>
              </w:rPr>
              <w:t>生产用水：</w:t>
            </w:r>
          </w:p>
          <w:p>
            <w:pPr>
              <w:keepNext w:val="0"/>
              <w:keepLines w:val="0"/>
              <w:suppressLineNumbers w:val="0"/>
              <w:autoSpaceDE w:val="0"/>
              <w:autoSpaceDN w:val="0"/>
              <w:adjustRightInd/>
              <w:snapToGrid/>
              <w:spacing w:before="0" w:beforeAutospacing="0" w:after="0" w:afterAutospacing="0" w:line="360" w:lineRule="auto"/>
              <w:ind w:left="0" w:right="0" w:firstLine="482" w:firstLineChars="200"/>
              <w:jc w:val="left"/>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bCs/>
                <w:color w:val="auto"/>
                <w:sz w:val="24"/>
                <w:lang w:val="en-US" w:eastAsia="zh-CN"/>
              </w:rPr>
              <w:t>水帘柜用水：</w:t>
            </w:r>
            <w:r>
              <w:rPr>
                <w:rFonts w:hint="default" w:ascii="Times New Roman" w:hAnsi="Times New Roman" w:eastAsia="宋体" w:cs="Times New Roman"/>
                <w:b w:val="0"/>
                <w:bCs w:val="0"/>
                <w:color w:val="auto"/>
                <w:sz w:val="24"/>
                <w:lang w:val="en-US" w:eastAsia="zh-CN"/>
              </w:rPr>
              <w:t>项目使用水帘柜对喷漆废气进行预处理会产生含有漆雾等污染物的废水，水帘柜用水对水质要求不高，水帘柜废水经过捞渣后循环使用。项目喷漆工序设有4台水帘柜，配套水池尺寸为1.5m×2m×2.5m，有效水深为1m，则水帘柜有效容水体积约为1.5×2×1=3m³。根据《涂装车间设计手册》（王锡春、吴涛主编，第三版）：一般给水量与排风量有一定的比例，称为水空比（即洗涤1m³空气的水量），水空比与水洗方式有关，喷射水系的水空比为1.2~2.0kg/m³，水幕式水洗的水空比要大一些，中型瀑布喷淋式水空比为1.5~2.5kg/m³。计算公式如下：</w:t>
            </w:r>
          </w:p>
          <w:p>
            <w:pPr>
              <w:keepNext w:val="0"/>
              <w:keepLines w:val="0"/>
              <w:suppressLineNumbers w:val="0"/>
              <w:autoSpaceDE w:val="0"/>
              <w:autoSpaceDN w:val="0"/>
              <w:adjustRightInd/>
              <w:snapToGrid/>
              <w:spacing w:before="0" w:beforeAutospacing="0" w:after="0" w:afterAutospacing="0" w:line="360" w:lineRule="auto"/>
              <w:ind w:left="0" w:right="0" w:firstLine="480" w:firstLineChars="200"/>
              <w:jc w:val="left"/>
              <w:rPr>
                <w:rFonts w:hint="default" w:ascii="Times New Roman" w:hAnsi="Times New Roman" w:eastAsia="宋体" w:cs="Times New Roman"/>
                <w:b w:val="0"/>
                <w:bCs w:val="0"/>
                <w:color w:val="auto"/>
                <w:sz w:val="24"/>
                <w:lang w:val="en-US" w:eastAsia="zh-CN"/>
              </w:rPr>
            </w:pPr>
            <m:oMathPara>
              <m:oMath>
                <m:sSub>
                  <m:sSubPr>
                    <m:ctrlPr>
                      <w:rPr>
                        <w:rFonts w:hint="default" w:ascii="Cambria Math" w:hAnsi="Cambria Math" w:eastAsia="宋体" w:cs="Times New Roman"/>
                        <w:b w:val="0"/>
                        <w:bCs w:val="0"/>
                        <w:i w:val="0"/>
                        <w:color w:val="auto"/>
                        <w:kern w:val="2"/>
                        <w:sz w:val="24"/>
                        <w:szCs w:val="24"/>
                        <w:lang w:val="en-US" w:eastAsia="zh-CN" w:bidi="ar-SA"/>
                      </w:rPr>
                    </m:ctrlPr>
                  </m:sSubPr>
                  <m:e>
                    <m:r>
                      <m:rPr>
                        <m:sty m:val="p"/>
                      </m:rPr>
                      <w:rPr>
                        <w:rFonts w:hint="default" w:ascii="Cambria Math" w:hAnsi="Cambria Math" w:eastAsia="宋体" w:cs="Times New Roman"/>
                        <w:color w:val="auto"/>
                        <w:kern w:val="2"/>
                        <w:sz w:val="24"/>
                        <w:szCs w:val="24"/>
                        <w:lang w:val="en-US" w:eastAsia="zh-CN" w:bidi="ar-SA"/>
                      </w:rPr>
                      <m:t>G</m:t>
                    </m:r>
                    <m:ctrlPr>
                      <w:rPr>
                        <w:rFonts w:hint="default" w:ascii="Cambria Math" w:hAnsi="Cambria Math" w:eastAsia="宋体" w:cs="Times New Roman"/>
                        <w:b w:val="0"/>
                        <w:bCs w:val="0"/>
                        <w:i w:val="0"/>
                        <w:color w:val="auto"/>
                        <w:kern w:val="2"/>
                        <w:sz w:val="24"/>
                        <w:szCs w:val="24"/>
                        <w:lang w:val="en-US" w:eastAsia="zh-CN" w:bidi="ar-SA"/>
                      </w:rPr>
                    </m:ctrlPr>
                  </m:e>
                  <m:sub>
                    <m:r>
                      <m:rPr>
                        <m:sty m:val="p"/>
                      </m:rPr>
                      <w:rPr>
                        <w:rFonts w:hint="default" w:ascii="Cambria Math" w:hAnsi="Cambria Math" w:eastAsia="宋体" w:cs="Times New Roman"/>
                        <w:color w:val="auto"/>
                        <w:kern w:val="2"/>
                        <w:sz w:val="24"/>
                        <w:szCs w:val="24"/>
                        <w:lang w:val="en-US" w:eastAsia="zh-CN" w:bidi="ar-SA"/>
                      </w:rPr>
                      <m:t>w</m:t>
                    </m:r>
                    <m:ctrlPr>
                      <w:rPr>
                        <w:rFonts w:hint="default" w:ascii="Cambria Math" w:hAnsi="Cambria Math" w:eastAsia="宋体" w:cs="Times New Roman"/>
                        <w:b w:val="0"/>
                        <w:bCs w:val="0"/>
                        <w:i w:val="0"/>
                        <w:color w:val="auto"/>
                        <w:kern w:val="2"/>
                        <w:sz w:val="24"/>
                        <w:szCs w:val="24"/>
                        <w:lang w:val="en-US" w:eastAsia="zh-CN" w:bidi="ar-SA"/>
                      </w:rPr>
                    </m:ctrlPr>
                  </m:sub>
                </m:sSub>
                <m:r>
                  <m:rPr>
                    <m:sty m:val="p"/>
                  </m:rPr>
                  <w:rPr>
                    <w:rFonts w:hint="default" w:ascii="Cambria Math" w:hAnsi="Cambria Math" w:eastAsia="宋体" w:cs="Times New Roman"/>
                    <w:color w:val="auto"/>
                    <w:kern w:val="2"/>
                    <w:sz w:val="24"/>
                    <w:szCs w:val="24"/>
                    <w:lang w:val="en-US" w:eastAsia="zh-CN" w:bidi="ar-SA"/>
                  </w:rPr>
                  <m:t>=Qe/1000</m:t>
                </m:r>
              </m:oMath>
            </m:oMathPara>
          </w:p>
          <w:p>
            <w:pPr>
              <w:keepNext w:val="0"/>
              <w:keepLines w:val="0"/>
              <w:suppressLineNumbers w:val="0"/>
              <w:autoSpaceDE w:val="0"/>
              <w:autoSpaceDN w:val="0"/>
              <w:adjustRightInd/>
              <w:snapToGrid/>
              <w:spacing w:before="0" w:beforeAutospacing="0" w:after="0" w:afterAutospacing="0" w:line="360" w:lineRule="auto"/>
              <w:ind w:left="0" w:right="0" w:firstLine="480" w:firstLineChars="200"/>
              <w:jc w:val="left"/>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val="0"/>
                <w:bCs w:val="0"/>
                <w:color w:val="auto"/>
                <w:sz w:val="24"/>
                <w:lang w:val="en-US" w:eastAsia="zh-CN"/>
              </w:rPr>
              <w:t>Gw-湿式喷漆室的总供水量，m³/h；</w:t>
            </w:r>
          </w:p>
          <w:p>
            <w:pPr>
              <w:keepNext w:val="0"/>
              <w:keepLines w:val="0"/>
              <w:suppressLineNumbers w:val="0"/>
              <w:autoSpaceDE w:val="0"/>
              <w:autoSpaceDN w:val="0"/>
              <w:adjustRightInd/>
              <w:snapToGrid/>
              <w:spacing w:before="0" w:beforeAutospacing="0" w:after="0" w:afterAutospacing="0" w:line="360" w:lineRule="auto"/>
              <w:ind w:left="0" w:right="0" w:firstLine="480" w:firstLineChars="200"/>
              <w:jc w:val="left"/>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val="0"/>
                <w:bCs w:val="0"/>
                <w:color w:val="auto"/>
                <w:sz w:val="24"/>
                <w:lang w:val="en-US" w:eastAsia="zh-CN"/>
              </w:rPr>
              <w:t>Q-喷漆室含漆雾空气的总排风量；</w:t>
            </w:r>
          </w:p>
          <w:p>
            <w:pPr>
              <w:keepNext w:val="0"/>
              <w:keepLines w:val="0"/>
              <w:suppressLineNumbers w:val="0"/>
              <w:autoSpaceDE w:val="0"/>
              <w:autoSpaceDN w:val="0"/>
              <w:adjustRightInd/>
              <w:snapToGrid/>
              <w:spacing w:before="0" w:beforeAutospacing="0" w:after="0" w:afterAutospacing="0" w:line="360" w:lineRule="auto"/>
              <w:ind w:left="0" w:right="0" w:firstLine="480" w:firstLineChars="200"/>
              <w:jc w:val="left"/>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val="0"/>
                <w:bCs w:val="0"/>
                <w:color w:val="auto"/>
                <w:sz w:val="24"/>
                <w:lang w:val="en-US" w:eastAsia="zh-CN"/>
              </w:rPr>
              <w:t>e-水空比，L/m³或kg/m³。</w:t>
            </w:r>
          </w:p>
          <w:p>
            <w:pPr>
              <w:keepNext w:val="0"/>
              <w:keepLines w:val="0"/>
              <w:suppressLineNumbers w:val="0"/>
              <w:autoSpaceDE w:val="0"/>
              <w:autoSpaceDN w:val="0"/>
              <w:adjustRightInd/>
              <w:snapToGrid/>
              <w:spacing w:before="0" w:beforeAutospacing="0" w:after="0" w:afterAutospacing="0" w:line="360" w:lineRule="auto"/>
              <w:ind w:left="0" w:right="0" w:firstLine="480" w:firstLineChars="200"/>
              <w:jc w:val="both"/>
              <w:rPr>
                <w:rFonts w:hint="default" w:ascii="Times New Roman" w:hAnsi="Times New Roman" w:eastAsia="宋体" w:cs="Times New Roman"/>
                <w:color w:val="auto"/>
              </w:rPr>
            </w:pPr>
            <w:r>
              <w:rPr>
                <w:rFonts w:hint="default" w:ascii="Times New Roman" w:hAnsi="Times New Roman" w:eastAsia="宋体" w:cs="Times New Roman"/>
                <w:b w:val="0"/>
                <w:bCs w:val="0"/>
                <w:color w:val="auto"/>
                <w:sz w:val="24"/>
                <w:lang w:val="en-US" w:eastAsia="zh-CN"/>
              </w:rPr>
              <w:t>根据工程分析，本项目水帘柜风量为7830m³/h，本项目水空比取1.5kg/m³，故水帘柜所需水量7830*1.5/1000=11.75m³/h，</w:t>
            </w:r>
            <w:r>
              <w:rPr>
                <w:rFonts w:hint="eastAsia" w:cs="Times New Roman"/>
                <w:b w:val="0"/>
                <w:bCs w:val="0"/>
                <w:color w:val="auto"/>
                <w:sz w:val="24"/>
                <w:lang w:val="en-US" w:eastAsia="zh-CN"/>
              </w:rPr>
              <w:t>则4台水帘柜循环水量为46.98</w:t>
            </w:r>
            <w:r>
              <w:rPr>
                <w:rFonts w:hint="default" w:ascii="Times New Roman" w:hAnsi="Times New Roman" w:eastAsia="宋体" w:cs="Times New Roman"/>
                <w:b w:val="0"/>
                <w:bCs w:val="0"/>
                <w:color w:val="auto"/>
                <w:sz w:val="24"/>
                <w:lang w:val="en-US" w:eastAsia="zh-CN"/>
              </w:rPr>
              <w:t>m³/h</w:t>
            </w:r>
            <w:r>
              <w:rPr>
                <w:rFonts w:hint="eastAsia" w:cs="Times New Roman"/>
                <w:b w:val="0"/>
                <w:bCs w:val="0"/>
                <w:color w:val="auto"/>
                <w:sz w:val="24"/>
                <w:lang w:val="en-US" w:eastAsia="zh-CN"/>
              </w:rPr>
              <w:t>，</w:t>
            </w:r>
            <w:r>
              <w:rPr>
                <w:rFonts w:hint="default" w:ascii="Times New Roman" w:hAnsi="Times New Roman" w:eastAsia="宋体" w:cs="Times New Roman"/>
                <w:b w:val="0"/>
                <w:bCs w:val="0"/>
                <w:color w:val="auto"/>
                <w:sz w:val="24"/>
                <w:lang w:val="en-US" w:eastAsia="zh-CN"/>
              </w:rPr>
              <w:t>每天工作8h。由于蒸发产生损耗，根据《涂装工艺及车间设计手册》（傅邵燕）：其他形式喷漆房的按每小时循环水量的1%~2%考虑。本项目损耗水量按循环水量的1%计算，则项目水帘柜补充水量为</w:t>
            </w:r>
            <w:r>
              <w:rPr>
                <w:rFonts w:hint="eastAsia" w:cs="Times New Roman"/>
                <w:b w:val="0"/>
                <w:bCs w:val="0"/>
                <w:color w:val="auto"/>
                <w:sz w:val="24"/>
                <w:lang w:val="en-US" w:eastAsia="zh-CN"/>
              </w:rPr>
              <w:t>46.98</w:t>
            </w:r>
            <w:r>
              <w:rPr>
                <w:rFonts w:hint="default" w:ascii="Times New Roman" w:hAnsi="Times New Roman" w:eastAsia="宋体" w:cs="Times New Roman"/>
                <w:b w:val="0"/>
                <w:bCs w:val="0"/>
                <w:color w:val="auto"/>
                <w:sz w:val="24"/>
                <w:lang w:val="en-US" w:eastAsia="zh-CN"/>
              </w:rPr>
              <w:t>*8*1%=</w:t>
            </w:r>
            <w:r>
              <w:rPr>
                <w:rFonts w:hint="eastAsia" w:cs="Times New Roman"/>
                <w:b w:val="0"/>
                <w:bCs w:val="0"/>
                <w:color w:val="auto"/>
                <w:sz w:val="24"/>
                <w:lang w:val="en-US" w:eastAsia="zh-CN"/>
              </w:rPr>
              <w:t>3.758</w:t>
            </w:r>
            <w:r>
              <w:rPr>
                <w:rFonts w:hint="default" w:ascii="Times New Roman" w:hAnsi="Times New Roman" w:eastAsia="宋体" w:cs="Times New Roman"/>
                <w:b w:val="0"/>
                <w:bCs w:val="0"/>
                <w:color w:val="auto"/>
                <w:sz w:val="24"/>
                <w:lang w:val="en-US" w:eastAsia="zh-CN"/>
              </w:rPr>
              <w:t>t/d(</w:t>
            </w:r>
            <w:r>
              <w:rPr>
                <w:rFonts w:hint="eastAsia" w:cs="Times New Roman"/>
                <w:b w:val="0"/>
                <w:bCs w:val="0"/>
                <w:color w:val="auto"/>
                <w:sz w:val="24"/>
                <w:lang w:val="en-US" w:eastAsia="zh-CN"/>
              </w:rPr>
              <w:t>1127.52</w:t>
            </w:r>
            <w:r>
              <w:rPr>
                <w:rFonts w:hint="default" w:ascii="Times New Roman" w:hAnsi="Times New Roman" w:eastAsia="宋体" w:cs="Times New Roman"/>
                <w:b w:val="0"/>
                <w:bCs w:val="0"/>
                <w:color w:val="auto"/>
                <w:sz w:val="24"/>
                <w:lang w:val="en-US" w:eastAsia="zh-CN"/>
              </w:rPr>
              <w:t xml:space="preserve">t/a）。项目每4个月更换槽体废水，生产时该水量一直在水帘柜循环不外排，定期更换补充水量为 </w:t>
            </w:r>
            <w:r>
              <w:rPr>
                <w:rFonts w:hint="eastAsia" w:cs="Times New Roman"/>
                <w:b w:val="0"/>
                <w:bCs w:val="0"/>
                <w:color w:val="auto"/>
                <w:sz w:val="24"/>
                <w:lang w:val="en-US" w:eastAsia="zh-CN"/>
              </w:rPr>
              <w:t>4</w:t>
            </w:r>
            <w:r>
              <w:rPr>
                <w:rFonts w:hint="default" w:ascii="Times New Roman" w:hAnsi="Times New Roman" w:eastAsia="宋体" w:cs="Times New Roman"/>
                <w:b w:val="0"/>
                <w:bCs w:val="0"/>
                <w:color w:val="auto"/>
                <w:sz w:val="24"/>
                <w:lang w:val="en-US" w:eastAsia="zh-CN"/>
              </w:rPr>
              <w:t>×3×12/4=</w:t>
            </w:r>
            <w:r>
              <w:rPr>
                <w:rFonts w:hint="eastAsia" w:cs="Times New Roman"/>
                <w:b w:val="0"/>
                <w:bCs w:val="0"/>
                <w:color w:val="auto"/>
                <w:sz w:val="24"/>
                <w:lang w:val="en-US" w:eastAsia="zh-CN"/>
              </w:rPr>
              <w:t>36</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/a（即</w:t>
            </w:r>
            <w:r>
              <w:rPr>
                <w:rFonts w:hint="eastAsia" w:cs="Times New Roman"/>
                <w:b w:val="0"/>
                <w:bCs w:val="0"/>
                <w:color w:val="auto"/>
                <w:sz w:val="24"/>
                <w:lang w:val="en-US" w:eastAsia="zh-CN"/>
              </w:rPr>
              <w:t>0.12</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/d），水帘柜年用水量为</w:t>
            </w:r>
            <w:r>
              <w:rPr>
                <w:rFonts w:hint="default" w:cs="Times New Roman"/>
                <w:b w:val="0"/>
                <w:bCs w:val="0"/>
                <w:color w:val="auto"/>
                <w:sz w:val="24"/>
                <w:lang w:val="en-US" w:eastAsia="zh-CN"/>
              </w:rPr>
              <w:t>1163.52</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/a（即</w:t>
            </w:r>
            <w:r>
              <w:rPr>
                <w:rFonts w:hint="eastAsia" w:cs="Times New Roman"/>
                <w:b w:val="0"/>
                <w:bCs w:val="0"/>
                <w:color w:val="auto"/>
                <w:sz w:val="24"/>
                <w:lang w:val="en-US" w:eastAsia="zh-CN"/>
              </w:rPr>
              <w:t>3.878</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/d）。水帘柜废水交由有危险废物处理资质的单位进行处置处理。</w:t>
            </w:r>
          </w:p>
          <w:p>
            <w:pPr>
              <w:keepNext w:val="0"/>
              <w:keepLines w:val="0"/>
              <w:suppressLineNumbers w:val="0"/>
              <w:autoSpaceDE w:val="0"/>
              <w:autoSpaceDN w:val="0"/>
              <w:adjustRightInd/>
              <w:snapToGrid/>
              <w:spacing w:before="0" w:beforeAutospacing="0" w:after="0" w:afterAutospacing="0" w:line="360" w:lineRule="auto"/>
              <w:ind w:left="0" w:right="0" w:firstLine="482"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喷枪清洗用水：</w:t>
            </w:r>
            <w:r>
              <w:rPr>
                <w:rFonts w:hint="default" w:ascii="Times New Roman" w:hAnsi="Times New Roman" w:eastAsia="宋体" w:cs="Times New Roman"/>
                <w:color w:val="auto"/>
                <w:lang w:val="en-US" w:eastAsia="zh-CN"/>
              </w:rPr>
              <w:t>项目共有4把喷枪，每天喷漆完成后需要对喷漆枪进行清洗，清洗方式为用蘸有水的抹布进行擦拭清洁。根据建设单位提供的资料，喷枪清洗时使用新鲜水0.5L/把，喷漆清洗用水年用量为0.6m³/a|（0.002m³/d）。</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喷淋塔用水：</w:t>
            </w:r>
            <w:r>
              <w:rPr>
                <w:rFonts w:hint="default" w:ascii="Times New Roman" w:hAnsi="Times New Roman" w:eastAsia="宋体" w:cs="Times New Roman"/>
                <w:color w:val="auto"/>
                <w:lang w:val="en-US" w:eastAsia="zh-CN"/>
              </w:rPr>
              <w:t>项目采用喷淋塔对产生的颗粒物进行处理，共有2台水喷淋塔。其DA003的喷淋塔塔径为1.2m，其储水箱规格为100cm×60cm×50cm，</w:t>
            </w:r>
            <w:r>
              <w:rPr>
                <w:rFonts w:hint="eastAsia" w:cs="Times New Roman"/>
                <w:color w:val="auto"/>
                <w:lang w:val="en-US" w:eastAsia="zh-CN"/>
              </w:rPr>
              <w:t>储水箱</w:t>
            </w:r>
            <w:r>
              <w:rPr>
                <w:rFonts w:hint="default" w:ascii="Times New Roman" w:hAnsi="Times New Roman" w:eastAsia="宋体" w:cs="Times New Roman"/>
                <w:color w:val="auto"/>
                <w:lang w:val="en-US" w:eastAsia="zh-CN"/>
              </w:rPr>
              <w:t>液体高度为40cm，</w:t>
            </w:r>
            <w:r>
              <w:rPr>
                <w:rFonts w:hint="eastAsia" w:cs="Times New Roman"/>
                <w:color w:val="auto"/>
                <w:lang w:val="en-US" w:eastAsia="zh-CN"/>
              </w:rPr>
              <w:t>喷淋塔液体高度为100cm，</w:t>
            </w:r>
            <w:r>
              <w:rPr>
                <w:rFonts w:hint="default" w:ascii="Times New Roman" w:hAnsi="Times New Roman" w:eastAsia="宋体" w:cs="Times New Roman"/>
                <w:color w:val="auto"/>
                <w:lang w:val="en-US" w:eastAsia="zh-CN"/>
              </w:rPr>
              <w:t>则水箱和喷淋塔内水量约</w:t>
            </w:r>
            <w:r>
              <w:rPr>
                <w:rFonts w:hint="eastAsia" w:cs="Times New Roman"/>
                <w:color w:val="auto"/>
                <w:lang w:val="en-US" w:eastAsia="zh-CN"/>
              </w:rPr>
              <w:t>1.37</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vertAlign w:val="baseline"/>
                <w:lang w:val="en-US" w:eastAsia="zh-CN"/>
              </w:rPr>
              <w:t>；</w:t>
            </w:r>
            <w:r>
              <w:rPr>
                <w:rFonts w:hint="default" w:ascii="Times New Roman" w:hAnsi="Times New Roman" w:eastAsia="宋体" w:cs="Times New Roman"/>
                <w:color w:val="auto"/>
                <w:lang w:val="en-US" w:eastAsia="zh-CN"/>
              </w:rPr>
              <w:t>DA004的喷淋塔塔径为1.8m，其储水箱规格为130cm×80cm×50cm，液体高度为40cm，</w:t>
            </w:r>
            <w:r>
              <w:rPr>
                <w:rFonts w:hint="eastAsia" w:cs="Times New Roman"/>
                <w:color w:val="auto"/>
                <w:lang w:val="en-US" w:eastAsia="zh-CN"/>
              </w:rPr>
              <w:t>喷淋塔液体高度为100cm，</w:t>
            </w:r>
            <w:r>
              <w:rPr>
                <w:rFonts w:hint="default" w:ascii="Times New Roman" w:hAnsi="Times New Roman" w:eastAsia="宋体" w:cs="Times New Roman"/>
                <w:color w:val="auto"/>
                <w:lang w:val="en-US" w:eastAsia="zh-CN"/>
              </w:rPr>
              <w:t>则水箱和喷淋塔内水量约</w:t>
            </w:r>
            <w:r>
              <w:rPr>
                <w:rFonts w:hint="eastAsia" w:cs="Times New Roman"/>
                <w:color w:val="auto"/>
                <w:lang w:val="en-US" w:eastAsia="zh-CN"/>
              </w:rPr>
              <w:t>2.96</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参考《废气处理工程技术手册》（下册）：湿式除尘器的水气比为0.7~0.9为宜，本项目水喷淋塔按照液气比=0.8kg/m³进行设计，参考《环境工程设计手册(（修订版）》根据工程分析，DA003的水喷淋塔设计风量为15500m³/h，DA004的水喷淋塔设计风量为41000m³/h，则DA003水喷淋塔循环用水量为15500*0.8/1000=12.4m³/h，DA00</w:t>
            </w:r>
            <w:r>
              <w:rPr>
                <w:rFonts w:hint="eastAsia" w:cs="Times New Roman"/>
                <w:color w:val="auto"/>
                <w:lang w:val="en-US" w:eastAsia="zh-CN"/>
              </w:rPr>
              <w:t>4</w:t>
            </w:r>
            <w:r>
              <w:rPr>
                <w:rFonts w:hint="default" w:ascii="Times New Roman" w:hAnsi="Times New Roman" w:eastAsia="宋体" w:cs="Times New Roman"/>
                <w:color w:val="auto"/>
                <w:lang w:val="en-US" w:eastAsia="zh-CN"/>
              </w:rPr>
              <w:t>水喷淋塔循环用水量为41000*0.8/1000=32.8m³/h。参考《建筑给水排水设计规范》（GB50015-2019）中冷却塔的补水系数，冷却补充水量为循环水量的1~2%（本项目以2%计算），每天工作8小时，年工作300天，项目喷淋塔补充水量为7.23</w:t>
            </w:r>
            <w:r>
              <w:rPr>
                <w:rFonts w:hint="eastAsia" w:cs="Times New Roman"/>
                <w:color w:val="auto"/>
                <w:lang w:val="en-US" w:eastAsia="zh-CN"/>
              </w:rPr>
              <w:t>2</w:t>
            </w:r>
            <w:r>
              <w:rPr>
                <w:rFonts w:hint="default" w:ascii="Times New Roman" w:hAnsi="Times New Roman" w:eastAsia="宋体" w:cs="Times New Roman"/>
                <w:color w:val="auto"/>
                <w:lang w:val="en-US" w:eastAsia="zh-CN"/>
              </w:rPr>
              <w:t>m³/d（2169.6t/a）。喷淋塔水箱一年更换4次的用水量为</w:t>
            </w:r>
            <w:r>
              <w:rPr>
                <w:rFonts w:hint="eastAsia" w:cs="Times New Roman"/>
                <w:color w:val="auto"/>
                <w:lang w:val="en-US" w:eastAsia="zh-CN"/>
              </w:rPr>
              <w:t>17.327</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/a（</w:t>
            </w:r>
            <w:r>
              <w:rPr>
                <w:rFonts w:hint="eastAsia" w:cs="Times New Roman"/>
                <w:color w:val="auto"/>
                <w:lang w:val="en-US" w:eastAsia="zh-CN"/>
              </w:rPr>
              <w:t>0.058</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/d），则喷淋塔年用水量为</w:t>
            </w:r>
            <w:r>
              <w:rPr>
                <w:rFonts w:hint="eastAsia" w:cs="Times New Roman"/>
                <w:color w:val="auto"/>
                <w:lang w:val="en-US" w:eastAsia="zh-CN"/>
              </w:rPr>
              <w:t>2186.927</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/a（即</w:t>
            </w:r>
            <w:r>
              <w:rPr>
                <w:rFonts w:hint="eastAsia" w:cs="Times New Roman"/>
                <w:color w:val="auto"/>
                <w:lang w:val="en-US" w:eastAsia="zh-CN"/>
              </w:rPr>
              <w:t>7.290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/d）。</w:t>
            </w:r>
          </w:p>
          <w:p>
            <w:pPr>
              <w:pStyle w:val="36"/>
              <w:keepNext w:val="0"/>
              <w:keepLines w:val="0"/>
              <w:suppressLineNumbers w:val="0"/>
              <w:adjustRightInd/>
              <w:snapToGrid/>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sz w:val="24"/>
                <w:lang w:val="en-US" w:eastAsia="zh-CN"/>
              </w:rPr>
              <w:t>调漆用水</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lang w:val="en-US" w:eastAsia="zh-CN"/>
              </w:rPr>
              <w:t>项目使用的水性油漆需要与水调配后使用，调配比例为水性油漆：水=4:1，根据上文计算可知，调漆用水量为3.39t/a</w:t>
            </w:r>
            <w:r>
              <w:rPr>
                <w:rFonts w:hint="eastAsia" w:ascii="Times New Roman" w:hAnsi="Times New Roman" w:cs="Times New Roman"/>
                <w:color w:val="auto"/>
                <w:lang w:val="en-US" w:eastAsia="zh-CN"/>
              </w:rPr>
              <w:t>（0.011t/d）</w:t>
            </w:r>
            <w:r>
              <w:rPr>
                <w:rFonts w:hint="default" w:ascii="Times New Roman" w:hAnsi="Times New Roman" w:eastAsia="宋体" w:cs="Times New Roman"/>
                <w:color w:val="auto"/>
                <w:lang w:val="en-US" w:eastAsia="zh-CN"/>
              </w:rPr>
              <w:t>。调漆用水最终蒸发进入大气，不产生废水。</w:t>
            </w:r>
          </w:p>
          <w:p>
            <w:pPr>
              <w:keepNext w:val="0"/>
              <w:keepLines w:val="0"/>
              <w:numPr>
                <w:ilvl w:val="0"/>
                <w:numId w:val="7"/>
              </w:numPr>
              <w:suppressLineNumbers w:val="0"/>
              <w:adjustRightInd w:val="0"/>
              <w:snapToGrid w:val="0"/>
              <w:spacing w:before="0" w:beforeAutospacing="0" w:after="0" w:afterAutospacing="0" w:line="360" w:lineRule="auto"/>
              <w:ind w:left="0" w:leftChars="0" w:right="0" w:firstLine="397" w:firstLineChars="0"/>
              <w:jc w:val="left"/>
              <w:rPr>
                <w:rFonts w:hint="default" w:ascii="Times New Roman" w:hAnsi="Times New Roman" w:eastAsia="宋体" w:cs="Times New Roman"/>
                <w:b w:val="0"/>
                <w:bCs/>
                <w:color w:val="auto"/>
                <w:spacing w:val="-6"/>
                <w:sz w:val="24"/>
              </w:rPr>
            </w:pPr>
            <w:r>
              <w:rPr>
                <w:rFonts w:hint="default" w:ascii="Times New Roman" w:hAnsi="Times New Roman" w:eastAsia="宋体" w:cs="Times New Roman"/>
                <w:b/>
                <w:color w:val="auto"/>
                <w:spacing w:val="-6"/>
                <w:sz w:val="24"/>
              </w:rPr>
              <w:t>排水：</w:t>
            </w:r>
            <w:r>
              <w:rPr>
                <w:rFonts w:hint="default" w:ascii="Times New Roman" w:hAnsi="Times New Roman" w:eastAsia="宋体" w:cs="Times New Roman"/>
                <w:b w:val="0"/>
                <w:bCs/>
                <w:color w:val="auto"/>
                <w:spacing w:val="-6"/>
                <w:sz w:val="24"/>
              </w:rPr>
              <w:t>废水主要为员工生活污水</w:t>
            </w:r>
            <w:r>
              <w:rPr>
                <w:rFonts w:hint="default" w:ascii="Times New Roman" w:hAnsi="Times New Roman" w:eastAsia="宋体" w:cs="Times New Roman"/>
                <w:b w:val="0"/>
                <w:bCs/>
                <w:color w:val="auto"/>
                <w:spacing w:val="-6"/>
                <w:sz w:val="24"/>
                <w:lang w:val="en-US" w:eastAsia="zh-CN"/>
              </w:rPr>
              <w:t>和清洗废水</w:t>
            </w:r>
            <w:r>
              <w:rPr>
                <w:rFonts w:hint="default" w:ascii="Times New Roman" w:hAnsi="Times New Roman" w:eastAsia="宋体" w:cs="Times New Roman"/>
                <w:b w:val="0"/>
                <w:bCs/>
                <w:color w:val="auto"/>
                <w:spacing w:val="-6"/>
                <w:sz w:val="24"/>
              </w:rPr>
              <w:t>。</w:t>
            </w:r>
          </w:p>
          <w:p>
            <w:pPr>
              <w:keepNext w:val="0"/>
              <w:keepLines w:val="0"/>
              <w:suppressLineNumbers w:val="0"/>
              <w:snapToGrid w:val="0"/>
              <w:spacing w:before="0" w:beforeAutospacing="0" w:after="0" w:afterAutospacing="0" w:line="360" w:lineRule="auto"/>
              <w:ind w:left="0" w:right="0" w:firstLine="482"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b/>
                <w:bCs/>
                <w:color w:val="auto"/>
                <w:sz w:val="24"/>
                <w:szCs w:val="21"/>
                <w:lang w:val="en-US" w:eastAsia="zh-CN"/>
              </w:rPr>
              <w:t>生活污水：</w:t>
            </w:r>
            <w:r>
              <w:rPr>
                <w:rFonts w:hint="default" w:ascii="Times New Roman" w:hAnsi="Times New Roman" w:eastAsia="宋体" w:cs="Times New Roman"/>
                <w:color w:val="auto"/>
                <w:sz w:val="24"/>
                <w:szCs w:val="21"/>
              </w:rPr>
              <w:t>项目生活污水排污系数按80%计算，则排水量为</w:t>
            </w:r>
            <w:r>
              <w:rPr>
                <w:rFonts w:hint="eastAsia" w:cs="Times New Roman"/>
                <w:color w:val="auto"/>
                <w:sz w:val="24"/>
                <w:szCs w:val="21"/>
                <w:lang w:val="en-US" w:eastAsia="zh-CN"/>
              </w:rPr>
              <w:t>1.09</w:t>
            </w:r>
            <w:r>
              <w:rPr>
                <w:rFonts w:hint="default" w:ascii="Times New Roman" w:hAnsi="Times New Roman" w:eastAsia="宋体" w:cs="Times New Roman"/>
                <w:color w:val="auto"/>
                <w:sz w:val="24"/>
                <w:szCs w:val="21"/>
              </w:rPr>
              <w:t>t/d（</w:t>
            </w:r>
            <w:r>
              <w:rPr>
                <w:rFonts w:hint="eastAsia" w:cs="Times New Roman"/>
                <w:color w:val="auto"/>
                <w:sz w:val="24"/>
                <w:szCs w:val="21"/>
                <w:lang w:val="en-US" w:eastAsia="zh-CN"/>
              </w:rPr>
              <w:t>328</w:t>
            </w:r>
            <w:r>
              <w:rPr>
                <w:rFonts w:hint="default" w:ascii="Times New Roman" w:hAnsi="Times New Roman" w:eastAsia="宋体" w:cs="Times New Roman"/>
                <w:color w:val="auto"/>
                <w:sz w:val="24"/>
                <w:szCs w:val="21"/>
              </w:rPr>
              <w:t>t/a），</w:t>
            </w:r>
            <w:r>
              <w:rPr>
                <w:rFonts w:hint="default" w:ascii="Times New Roman" w:hAnsi="Times New Roman" w:eastAsia="宋体" w:cs="Times New Roman"/>
                <w:color w:val="auto"/>
                <w:sz w:val="24"/>
              </w:rPr>
              <w:t>项目生活污水经三级化粪池预处理达到接管标准后，纳入</w:t>
            </w:r>
            <w:r>
              <w:rPr>
                <w:rFonts w:hint="default" w:ascii="Times New Roman" w:hAnsi="Times New Roman" w:eastAsia="宋体" w:cs="Times New Roman"/>
                <w:color w:val="auto"/>
                <w:sz w:val="24"/>
                <w:lang w:eastAsia="zh-CN"/>
              </w:rPr>
              <w:t>石湾镇大牛垒污水处理厂</w:t>
            </w:r>
            <w:r>
              <w:rPr>
                <w:rFonts w:hint="default" w:ascii="Times New Roman" w:hAnsi="Times New Roman" w:eastAsia="宋体" w:cs="Times New Roman"/>
                <w:color w:val="auto"/>
                <w:sz w:val="24"/>
              </w:rPr>
              <w:t>进行处理，</w:t>
            </w:r>
            <w:r>
              <w:rPr>
                <w:rFonts w:hint="default" w:ascii="Times New Roman" w:hAnsi="Times New Roman" w:eastAsia="宋体" w:cs="Times New Roman"/>
                <w:snapToGrid w:val="0"/>
                <w:color w:val="auto"/>
                <w:kern w:val="0"/>
                <w:sz w:val="24"/>
                <w:lang w:val="en-US" w:eastAsia="zh-CN"/>
              </w:rPr>
              <w:t>处理达标后排入石湾镇中心排渠</w:t>
            </w:r>
            <w:r>
              <w:rPr>
                <w:rFonts w:hint="default" w:ascii="Times New Roman" w:hAnsi="Times New Roman" w:eastAsia="宋体" w:cs="Times New Roman"/>
                <w:color w:val="auto"/>
                <w:sz w:val="24"/>
                <w:szCs w:val="21"/>
              </w:rPr>
              <w:t>。</w:t>
            </w:r>
          </w:p>
          <w:p>
            <w:pPr>
              <w:keepNext w:val="0"/>
              <w:keepLines w:val="0"/>
              <w:suppressLineNumbers w:val="0"/>
              <w:adjustRightInd w:val="0"/>
              <w:snapToGrid w:val="0"/>
              <w:spacing w:before="0" w:beforeAutospacing="0" w:after="0" w:afterAutospacing="0"/>
              <w:ind w:left="0" w:right="0" w:firstLine="480"/>
              <w:jc w:val="both"/>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生产废水：</w:t>
            </w:r>
          </w:p>
          <w:p>
            <w:pPr>
              <w:keepNext w:val="0"/>
              <w:keepLines w:val="0"/>
              <w:pageBreakBefore w:val="0"/>
              <w:widowControl w:val="0"/>
              <w:numPr>
                <w:ilvl w:val="0"/>
                <w:numId w:val="0"/>
              </w:numPr>
              <w:suppressLineNumbers w:val="0"/>
              <w:kinsoku/>
              <w:wordWrap/>
              <w:overflowPunct/>
              <w:topLinePunct w:val="0"/>
              <w:bidi w:val="0"/>
              <w:adjustRightInd w:val="0"/>
              <w:snapToGrid w:val="0"/>
              <w:spacing w:before="0" w:beforeAutospacing="0" w:after="0" w:afterAutospacing="0"/>
              <w:ind w:left="0" w:right="0" w:rightChars="0" w:firstLine="482" w:firstLineChars="20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水帘柜废水：</w:t>
            </w:r>
            <w:r>
              <w:rPr>
                <w:rFonts w:hint="default" w:ascii="Times New Roman" w:hAnsi="Times New Roman" w:eastAsia="宋体" w:cs="Times New Roman"/>
                <w:color w:val="auto"/>
                <w:lang w:val="en-US" w:eastAsia="zh-CN"/>
              </w:rPr>
              <w:t>项目定期更换水帘柜用水会产生水帘柜废水，水帘柜废水产生量为</w:t>
            </w:r>
            <w:r>
              <w:rPr>
                <w:rFonts w:hint="eastAsia" w:cs="Times New Roman"/>
                <w:b w:val="0"/>
                <w:bCs w:val="0"/>
                <w:color w:val="auto"/>
                <w:sz w:val="24"/>
                <w:lang w:val="en-US" w:eastAsia="zh-CN"/>
              </w:rPr>
              <w:t>36</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/a（0.</w:t>
            </w:r>
            <w:r>
              <w:rPr>
                <w:rFonts w:hint="eastAsia" w:cs="Times New Roman"/>
                <w:b w:val="0"/>
                <w:bCs w:val="0"/>
                <w:color w:val="auto"/>
                <w:sz w:val="24"/>
                <w:lang w:val="en-US" w:eastAsia="zh-CN"/>
              </w:rPr>
              <w:t>12</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/d）。</w:t>
            </w:r>
            <w:r>
              <w:rPr>
                <w:rFonts w:hint="default" w:ascii="Times New Roman" w:hAnsi="Times New Roman" w:eastAsia="宋体" w:cs="Times New Roman"/>
                <w:color w:val="auto"/>
                <w:lang w:val="en-US" w:eastAsia="zh-CN"/>
              </w:rPr>
              <w:t>委托有资质单位处理处置，不外排。</w:t>
            </w:r>
          </w:p>
          <w:p>
            <w:pPr>
              <w:keepNext w:val="0"/>
              <w:keepLines w:val="0"/>
              <w:pageBreakBefore w:val="0"/>
              <w:widowControl w:val="0"/>
              <w:numPr>
                <w:ilvl w:val="0"/>
                <w:numId w:val="0"/>
              </w:numPr>
              <w:suppressLineNumbers w:val="0"/>
              <w:kinsoku/>
              <w:wordWrap/>
              <w:overflowPunct/>
              <w:topLinePunct w:val="0"/>
              <w:bidi w:val="0"/>
              <w:adjustRightInd w:val="0"/>
              <w:snapToGrid w:val="0"/>
              <w:spacing w:before="0" w:beforeAutospacing="0" w:after="0" w:afterAutospacing="0"/>
              <w:ind w:left="0" w:right="0" w:rightChars="0" w:firstLine="482" w:firstLineChars="20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喷枪清洗废水</w:t>
            </w:r>
            <w:r>
              <w:rPr>
                <w:rFonts w:hint="default" w:ascii="Times New Roman" w:hAnsi="Times New Roman" w:eastAsia="宋体" w:cs="Times New Roman"/>
                <w:color w:val="auto"/>
                <w:lang w:val="en-US" w:eastAsia="zh-CN"/>
              </w:rPr>
              <w:t>：项目每天对喷漆枪进行清洗会产生喷枪清洗废水，产污系数为0.9，则喷枪清洗废水产生量为0.54</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/a（0.002m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/d）。</w:t>
            </w:r>
            <w:r>
              <w:rPr>
                <w:rFonts w:hint="default" w:ascii="Times New Roman" w:hAnsi="Times New Roman" w:eastAsia="宋体" w:cs="Times New Roman"/>
                <w:color w:val="auto"/>
                <w:lang w:val="en-US" w:eastAsia="zh-CN"/>
              </w:rPr>
              <w:t>委托有资质单位处理处置，不外排。</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60" w:lineRule="auto"/>
              <w:ind w:left="0" w:right="0" w:rightChars="0" w:firstLine="482" w:firstLineChars="200"/>
              <w:jc w:val="both"/>
              <w:textAlignment w:val="baseline"/>
              <w:rPr>
                <w:rFonts w:hint="default" w:ascii="Times New Roman" w:hAnsi="Times New Roman" w:eastAsia="宋体" w:cs="Times New Roman"/>
                <w:b w:val="0"/>
                <w:bCs w:val="0"/>
                <w:color w:val="auto"/>
                <w:spacing w:val="-6"/>
                <w:kern w:val="2"/>
                <w:sz w:val="24"/>
                <w:szCs w:val="24"/>
                <w:lang w:val="en-US" w:eastAsia="zh-CN" w:bidi="ar-SA"/>
              </w:rPr>
            </w:pPr>
            <w:r>
              <w:rPr>
                <w:rFonts w:hint="default" w:ascii="Times New Roman" w:hAnsi="Times New Roman" w:eastAsia="宋体" w:cs="Times New Roman"/>
                <w:b/>
                <w:bCs/>
                <w:color w:val="auto"/>
                <w:lang w:val="en-US" w:eastAsia="zh-CN"/>
              </w:rPr>
              <w:t>喷淋塔废水：</w:t>
            </w:r>
            <w:r>
              <w:rPr>
                <w:rFonts w:hint="default" w:ascii="Times New Roman" w:hAnsi="Times New Roman" w:eastAsia="宋体" w:cs="Times New Roman"/>
                <w:b w:val="0"/>
                <w:bCs w:val="0"/>
                <w:color w:val="auto"/>
                <w:lang w:val="en-US" w:eastAsia="zh-CN"/>
              </w:rPr>
              <w:t>项目颗粒物处理设施喷淋塔废水拟一年更换4次，则更换废水量为</w:t>
            </w:r>
            <w:r>
              <w:rPr>
                <w:rFonts w:hint="eastAsia" w:cs="Times New Roman"/>
                <w:b w:val="0"/>
                <w:bCs w:val="0"/>
                <w:color w:val="auto"/>
                <w:lang w:val="en-US" w:eastAsia="zh-CN"/>
              </w:rPr>
              <w:t>17.327</w:t>
            </w:r>
            <w:r>
              <w:rPr>
                <w:rFonts w:hint="default" w:ascii="Times New Roman" w:hAnsi="Times New Roman" w:eastAsia="宋体" w:cs="Times New Roman"/>
                <w:b w:val="0"/>
                <w:bCs w:val="0"/>
                <w:color w:val="auto"/>
                <w:lang w:val="en-US" w:eastAsia="zh-CN"/>
              </w:rPr>
              <w:t>t/a（</w:t>
            </w:r>
            <w:r>
              <w:rPr>
                <w:rFonts w:hint="default" w:ascii="Times New Roman" w:hAnsi="Times New Roman" w:eastAsia="宋体" w:cs="Times New Roman"/>
                <w:color w:val="auto"/>
                <w:kern w:val="2"/>
                <w:sz w:val="24"/>
                <w:szCs w:val="21"/>
                <w:lang w:val="en-US" w:eastAsia="zh-CN" w:bidi="ar-SA"/>
              </w:rPr>
              <w:t>0.0</w:t>
            </w:r>
            <w:r>
              <w:rPr>
                <w:rFonts w:hint="eastAsia" w:cs="Times New Roman"/>
                <w:color w:val="auto"/>
                <w:kern w:val="2"/>
                <w:sz w:val="24"/>
                <w:szCs w:val="21"/>
                <w:lang w:val="en-US" w:eastAsia="zh-CN" w:bidi="ar-SA"/>
              </w:rPr>
              <w:t>58</w:t>
            </w:r>
            <w:r>
              <w:rPr>
                <w:rFonts w:hint="default" w:ascii="Times New Roman" w:hAnsi="Times New Roman" w:eastAsia="宋体" w:cs="Times New Roman"/>
                <w:color w:val="auto"/>
                <w:kern w:val="2"/>
                <w:sz w:val="24"/>
                <w:szCs w:val="21"/>
                <w:lang w:val="en-US" w:eastAsia="zh-CN" w:bidi="ar-SA"/>
              </w:rPr>
              <w:t>m</w:t>
            </w:r>
            <w:r>
              <w:rPr>
                <w:rFonts w:hint="default" w:ascii="Times New Roman" w:hAnsi="Times New Roman" w:eastAsia="宋体" w:cs="Times New Roman"/>
                <w:color w:val="auto"/>
                <w:kern w:val="2"/>
                <w:sz w:val="24"/>
                <w:szCs w:val="21"/>
                <w:vertAlign w:val="superscript"/>
                <w:lang w:val="en-US" w:eastAsia="zh-CN" w:bidi="ar-SA"/>
              </w:rPr>
              <w:t>3</w:t>
            </w:r>
            <w:r>
              <w:rPr>
                <w:rFonts w:hint="default" w:ascii="Times New Roman" w:hAnsi="Times New Roman" w:eastAsia="宋体" w:cs="Times New Roman"/>
                <w:color w:val="auto"/>
                <w:kern w:val="2"/>
                <w:sz w:val="24"/>
                <w:szCs w:val="21"/>
                <w:lang w:val="en-US" w:eastAsia="zh-CN" w:bidi="ar-SA"/>
              </w:rPr>
              <w:t>/d）</w:t>
            </w:r>
            <w:r>
              <w:rPr>
                <w:rFonts w:hint="default" w:ascii="Times New Roman" w:hAnsi="Times New Roman" w:eastAsia="宋体" w:cs="Times New Roman"/>
                <w:b w:val="0"/>
                <w:bCs w:val="0"/>
                <w:color w:val="auto"/>
                <w:lang w:val="en-US" w:eastAsia="zh-CN"/>
              </w:rPr>
              <w:t>，</w:t>
            </w:r>
            <w:r>
              <w:rPr>
                <w:rFonts w:hint="default" w:ascii="Times New Roman" w:hAnsi="Times New Roman" w:eastAsia="宋体" w:cs="Times New Roman"/>
                <w:color w:val="auto"/>
                <w:lang w:val="en-US" w:eastAsia="zh-CN"/>
              </w:rPr>
              <w:t>更换出的废水交由有危险废物处理资质的单位处理，不外排</w:t>
            </w:r>
            <w:r>
              <w:rPr>
                <w:rFonts w:hint="default" w:ascii="Times New Roman" w:hAnsi="Times New Roman" w:eastAsia="宋体" w:cs="Times New Roman"/>
                <w:b w:val="0"/>
                <w:bCs w:val="0"/>
                <w:color w:val="auto"/>
                <w:spacing w:val="-6"/>
                <w:kern w:val="2"/>
                <w:sz w:val="24"/>
                <w:szCs w:val="24"/>
                <w:lang w:val="en-US" w:eastAsia="zh-CN" w:bidi="ar-SA"/>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jc w:val="left"/>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水平衡图见</w:t>
            </w: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REF _Ref22712 \h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图2- 1</w:t>
            </w:r>
            <w:r>
              <w:rPr>
                <w:rFonts w:hint="default" w:ascii="Times New Roman" w:hAnsi="Times New Roman" w:eastAsia="宋体" w:cs="Times New Roman"/>
                <w:color w:val="auto"/>
                <w:lang w:val="en-US" w:eastAsia="zh-CN"/>
              </w:rPr>
              <w:fldChar w:fldCharType="end"/>
            </w:r>
            <w:r>
              <w:rPr>
                <w:rFonts w:hint="default" w:ascii="Times New Roman" w:hAnsi="Times New Roman" w:eastAsia="宋体" w:cs="Times New Roman"/>
                <w:color w:val="auto"/>
                <w:lang w:val="en-US" w:eastAsia="zh-CN"/>
              </w:rPr>
              <w:t>。</w:t>
            </w:r>
          </w:p>
          <w:p>
            <w:pPr>
              <w:pStyle w:val="50"/>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bookmarkStart w:id="18" w:name="_Ref22712"/>
            <w:bookmarkStart w:id="19" w:name="_Ref625"/>
            <w:r>
              <w:rPr>
                <w:rFonts w:hint="default" w:ascii="Times New Roman" w:hAnsi="Times New Roman" w:eastAsia="宋体" w:cs="Times New Roman"/>
                <w:color w:val="auto"/>
                <w:lang w:val="en-US" w:eastAsia="zh-CN"/>
              </w:rPr>
              <w:drawing>
                <wp:inline distT="0" distB="0" distL="114300" distR="114300">
                  <wp:extent cx="5829935" cy="2828290"/>
                  <wp:effectExtent l="0" t="0" r="6985" b="6350"/>
                  <wp:docPr id="2" name="图片 2" descr="水平衡图（万镭科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水平衡图（万镭科技）"/>
                          <pic:cNvPicPr>
                            <a:picLocks noChangeAspect="1"/>
                          </pic:cNvPicPr>
                        </pic:nvPicPr>
                        <pic:blipFill>
                          <a:blip r:embed="rId18"/>
                          <a:stretch>
                            <a:fillRect/>
                          </a:stretch>
                        </pic:blipFill>
                        <pic:spPr>
                          <a:xfrm>
                            <a:off x="0" y="0"/>
                            <a:ext cx="5829935" cy="2828290"/>
                          </a:xfrm>
                          <a:prstGeom prst="rect">
                            <a:avLst/>
                          </a:prstGeom>
                        </pic:spPr>
                      </pic:pic>
                    </a:graphicData>
                  </a:graphic>
                </wp:inline>
              </w:drawing>
            </w:r>
          </w:p>
          <w:p>
            <w:pPr>
              <w:pStyle w:val="8"/>
              <w:keepNext w:val="0"/>
              <w:keepLines w:val="0"/>
              <w:suppressLineNumbers w:val="0"/>
              <w:bidi w:val="0"/>
              <w:spacing w:beforeAutospacing="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 xml:space="preserve">图2-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图2-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bookmarkEnd w:id="18"/>
            <w:bookmarkEnd w:id="19"/>
            <w:r>
              <w:rPr>
                <w:rFonts w:hint="default" w:ascii="Times New Roman" w:hAnsi="Times New Roman" w:eastAsia="宋体" w:cs="Times New Roman"/>
                <w:color w:val="auto"/>
                <w:lang w:val="en-US" w:eastAsia="zh-CN"/>
              </w:rPr>
              <w:t>项目水平衡图（m³/d）</w:t>
            </w:r>
          </w:p>
          <w:p>
            <w:pPr>
              <w:keepNext w:val="0"/>
              <w:keepLines w:val="0"/>
              <w:suppressLineNumbers w:val="0"/>
              <w:adjustRightInd w:val="0"/>
              <w:snapToGrid w:val="0"/>
              <w:spacing w:before="0" w:beforeAutospacing="0" w:after="0" w:afterAutospacing="0" w:line="360" w:lineRule="auto"/>
              <w:ind w:left="0" w:right="0" w:firstLine="458" w:firstLineChars="200"/>
              <w:jc w:val="left"/>
              <w:rPr>
                <w:rFonts w:hint="default" w:ascii="Times New Roman" w:hAnsi="Times New Roman" w:eastAsia="宋体" w:cs="Times New Roman"/>
                <w:b/>
                <w:bCs/>
                <w:color w:val="auto"/>
                <w:spacing w:val="-6"/>
                <w:sz w:val="24"/>
              </w:rPr>
            </w:pPr>
            <w:r>
              <w:rPr>
                <w:rFonts w:hint="default" w:ascii="Times New Roman" w:hAnsi="Times New Roman" w:eastAsia="宋体" w:cs="Times New Roman"/>
                <w:b/>
                <w:bCs/>
                <w:color w:val="auto"/>
                <w:spacing w:val="-6"/>
                <w:sz w:val="24"/>
              </w:rPr>
              <w:t>7、能源消耗情况</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根据建设单位提供的资料，建设项目用电量为</w:t>
            </w:r>
            <w:r>
              <w:rPr>
                <w:rFonts w:hint="default" w:ascii="Times New Roman" w:hAnsi="Times New Roman" w:eastAsia="宋体" w:cs="Times New Roman"/>
                <w:color w:val="auto"/>
                <w:sz w:val="24"/>
                <w:lang w:val="en-US" w:eastAsia="zh-CN"/>
              </w:rPr>
              <w:t>100</w:t>
            </w:r>
            <w:r>
              <w:rPr>
                <w:rFonts w:hint="default" w:ascii="Times New Roman" w:hAnsi="Times New Roman" w:eastAsia="宋体" w:cs="Times New Roman"/>
                <w:color w:val="auto"/>
                <w:sz w:val="24"/>
              </w:rPr>
              <w:t>万kWh/a，主要用于设备运作，由市政供电。</w:t>
            </w:r>
          </w:p>
          <w:p>
            <w:pPr>
              <w:keepNext w:val="0"/>
              <w:keepLines w:val="0"/>
              <w:suppressLineNumbers w:val="0"/>
              <w:adjustRightInd w:val="0"/>
              <w:snapToGrid w:val="0"/>
              <w:spacing w:before="0" w:beforeAutospacing="0" w:after="0" w:afterAutospacing="0" w:line="360" w:lineRule="auto"/>
              <w:ind w:left="0" w:right="0" w:firstLine="458" w:firstLineChars="200"/>
              <w:jc w:val="left"/>
              <w:rPr>
                <w:rFonts w:hint="default" w:ascii="Times New Roman" w:hAnsi="Times New Roman" w:eastAsia="宋体" w:cs="Times New Roman"/>
                <w:b/>
                <w:bCs/>
                <w:color w:val="auto"/>
                <w:spacing w:val="-6"/>
                <w:sz w:val="24"/>
              </w:rPr>
            </w:pPr>
            <w:r>
              <w:rPr>
                <w:rFonts w:hint="default" w:ascii="Times New Roman" w:hAnsi="Times New Roman" w:eastAsia="宋体" w:cs="Times New Roman"/>
                <w:b/>
                <w:bCs/>
                <w:color w:val="auto"/>
                <w:spacing w:val="-6"/>
                <w:sz w:val="24"/>
              </w:rPr>
              <w:t>8、项目四邻关系情况和厂区平面布置</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四邻关系：根据现场勘察，建设项目租用</w:t>
            </w:r>
            <w:r>
              <w:rPr>
                <w:rFonts w:hint="default" w:ascii="Times New Roman" w:hAnsi="Times New Roman" w:eastAsia="宋体" w:cs="Times New Roman"/>
                <w:color w:val="auto"/>
                <w:lang w:val="en-US" w:eastAsia="zh-CN"/>
              </w:rPr>
              <w:t>博罗县石湾镇铁场村帅安股份经济合作社</w:t>
            </w:r>
            <w:r>
              <w:rPr>
                <w:rFonts w:hint="default" w:ascii="Times New Roman" w:hAnsi="Times New Roman" w:eastAsia="宋体" w:cs="Times New Roman"/>
                <w:color w:val="auto"/>
              </w:rPr>
              <w:t>现有的空厂房使用，本项目四邻关系如下：</w:t>
            </w:r>
            <w:r>
              <w:rPr>
                <w:rFonts w:hint="default" w:ascii="Times New Roman" w:hAnsi="Times New Roman" w:eastAsia="宋体" w:cs="Times New Roman"/>
                <w:color w:val="auto"/>
                <w:lang w:val="en-US" w:eastAsia="zh-CN"/>
              </w:rPr>
              <w:t>东面为</w:t>
            </w:r>
            <w:r>
              <w:rPr>
                <w:rFonts w:hint="eastAsia" w:cs="Times New Roman"/>
                <w:color w:val="auto"/>
                <w:lang w:val="en-US" w:eastAsia="zh-CN"/>
              </w:rPr>
              <w:t>工业大道</w:t>
            </w:r>
            <w:r>
              <w:rPr>
                <w:rFonts w:hint="default" w:ascii="Times New Roman" w:hAnsi="Times New Roman" w:eastAsia="宋体" w:cs="Times New Roman"/>
                <w:color w:val="auto"/>
                <w:lang w:val="en-US" w:eastAsia="zh-CN"/>
              </w:rPr>
              <w:t>，南面</w:t>
            </w:r>
            <w:r>
              <w:rPr>
                <w:rFonts w:hint="eastAsia" w:cs="Times New Roman"/>
                <w:color w:val="auto"/>
                <w:lang w:val="en-US" w:eastAsia="zh-CN"/>
              </w:rPr>
              <w:t>为富登鞋厂和厂房1F</w:t>
            </w:r>
            <w:r>
              <w:rPr>
                <w:rFonts w:hint="default" w:ascii="Times New Roman" w:hAnsi="Times New Roman" w:eastAsia="宋体" w:cs="Times New Roman"/>
                <w:color w:val="auto"/>
                <w:lang w:val="en-US" w:eastAsia="zh-CN"/>
              </w:rPr>
              <w:t>为祥正（惠州）电器制品有限公司，西面为</w:t>
            </w:r>
            <w:r>
              <w:rPr>
                <w:rFonts w:hint="eastAsia" w:cs="Times New Roman"/>
                <w:color w:val="auto"/>
                <w:lang w:val="en-US" w:eastAsia="zh-CN"/>
              </w:rPr>
              <w:t>空地和祥正（惠州）电器制品有限公司的宿舍楼</w:t>
            </w:r>
            <w:r>
              <w:rPr>
                <w:rFonts w:hint="default" w:ascii="Times New Roman" w:hAnsi="Times New Roman" w:eastAsia="宋体" w:cs="Times New Roman"/>
                <w:color w:val="auto"/>
                <w:lang w:val="en-US" w:eastAsia="zh-CN"/>
              </w:rPr>
              <w:t>，北面为</w:t>
            </w:r>
            <w:r>
              <w:rPr>
                <w:rFonts w:hint="eastAsia" w:cs="Times New Roman"/>
                <w:color w:val="auto"/>
                <w:lang w:val="en-US" w:eastAsia="zh-CN"/>
              </w:rPr>
              <w:t>金誉泰实业</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距离项目最近的敏感点为</w:t>
            </w:r>
            <w:r>
              <w:rPr>
                <w:rFonts w:hint="default" w:ascii="Times New Roman" w:hAnsi="Times New Roman" w:eastAsia="宋体" w:cs="Times New Roman"/>
                <w:color w:val="auto"/>
                <w:lang w:val="en-US" w:eastAsia="zh-CN"/>
              </w:rPr>
              <w:t>东侧居民</w:t>
            </w:r>
            <w:r>
              <w:rPr>
                <w:rFonts w:hint="eastAsia" w:cs="Times New Roman"/>
                <w:color w:val="auto"/>
                <w:lang w:val="en-US" w:eastAsia="zh-CN"/>
              </w:rPr>
              <w:t>楼</w:t>
            </w:r>
            <w:r>
              <w:rPr>
                <w:rFonts w:hint="default" w:ascii="Times New Roman" w:hAnsi="Times New Roman" w:eastAsia="宋体" w:cs="Times New Roman"/>
                <w:color w:val="auto"/>
              </w:rPr>
              <w:t>，与建设项目</w:t>
            </w:r>
            <w:r>
              <w:rPr>
                <w:rFonts w:hint="default" w:ascii="Times New Roman" w:hAnsi="Times New Roman" w:eastAsia="宋体" w:cs="Times New Roman"/>
                <w:color w:val="auto"/>
                <w:lang w:val="en-US" w:eastAsia="zh-CN"/>
              </w:rPr>
              <w:t>东</w:t>
            </w:r>
            <w:r>
              <w:rPr>
                <w:rFonts w:hint="default" w:ascii="Times New Roman" w:hAnsi="Times New Roman" w:eastAsia="宋体" w:cs="Times New Roman"/>
                <w:color w:val="auto"/>
              </w:rPr>
              <w:t>边界距离为</w:t>
            </w:r>
            <w:r>
              <w:rPr>
                <w:rFonts w:hint="eastAsia" w:cs="Times New Roman"/>
                <w:color w:val="auto"/>
                <w:lang w:val="en-US" w:eastAsia="zh-CN"/>
              </w:rPr>
              <w:t>4</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m</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与项目废气产污车间距离为6</w:t>
            </w:r>
            <w:r>
              <w:rPr>
                <w:rFonts w:hint="eastAsia" w:cs="Times New Roman"/>
                <w:color w:val="auto"/>
                <w:lang w:val="en-US" w:eastAsia="zh-CN"/>
              </w:rPr>
              <w:t>1</w:t>
            </w:r>
            <w:r>
              <w:rPr>
                <w:rFonts w:hint="default" w:ascii="Times New Roman" w:hAnsi="Times New Roman" w:eastAsia="宋体" w:cs="Times New Roman"/>
                <w:color w:val="auto"/>
                <w:lang w:val="en-US" w:eastAsia="zh-CN"/>
              </w:rPr>
              <w:t>m。</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平面布置：建设项目主要建筑物为</w:t>
            </w:r>
            <w:r>
              <w:rPr>
                <w:rFonts w:hint="eastAsia" w:cs="Times New Roman"/>
                <w:color w:val="auto"/>
                <w:lang w:val="en-US" w:eastAsia="zh-CN"/>
              </w:rPr>
              <w:t>1栋3F厂房的第2、3F车间</w:t>
            </w:r>
            <w:r>
              <w:rPr>
                <w:rFonts w:hint="default" w:ascii="Times New Roman" w:hAnsi="Times New Roman" w:eastAsia="宋体" w:cs="Times New Roman"/>
                <w:color w:val="auto"/>
                <w:lang w:val="en-US" w:eastAsia="zh-CN"/>
              </w:rPr>
              <w:t>。</w:t>
            </w:r>
            <w:r>
              <w:rPr>
                <w:rFonts w:hint="eastAsia" w:cs="Times New Roman"/>
                <w:color w:val="auto"/>
                <w:lang w:val="en-US" w:eastAsia="zh-CN"/>
              </w:rPr>
              <w:t>车间A（</w:t>
            </w:r>
            <w:r>
              <w:rPr>
                <w:rFonts w:hint="default" w:ascii="Times New Roman" w:hAnsi="Times New Roman" w:eastAsia="宋体" w:cs="Times New Roman"/>
                <w:color w:val="auto"/>
                <w:lang w:val="en-US" w:eastAsia="zh-CN"/>
              </w:rPr>
              <w:t>2F</w:t>
            </w:r>
            <w:r>
              <w:rPr>
                <w:rFonts w:hint="eastAsia" w:cs="Times New Roman"/>
                <w:color w:val="auto"/>
                <w:lang w:val="en-US" w:eastAsia="zh-CN"/>
              </w:rPr>
              <w:t>）</w:t>
            </w:r>
            <w:r>
              <w:rPr>
                <w:rFonts w:hint="default" w:ascii="Times New Roman" w:hAnsi="Times New Roman" w:eastAsia="宋体" w:cs="Times New Roman"/>
                <w:color w:val="auto"/>
                <w:lang w:val="en-US" w:eastAsia="zh-CN"/>
              </w:rPr>
              <w:t>为</w:t>
            </w:r>
            <w:r>
              <w:rPr>
                <w:rFonts w:hint="eastAsia" w:cs="Times New Roman"/>
                <w:color w:val="auto"/>
                <w:lang w:val="en-US" w:eastAsia="zh-CN"/>
              </w:rPr>
              <w:t>原料仓库、化学品仓库、冲压机区、钻孔攻牙区、折弯区、喷砂区和喷漆线，车间B（</w:t>
            </w:r>
            <w:r>
              <w:rPr>
                <w:rFonts w:hint="default" w:ascii="Times New Roman" w:hAnsi="Times New Roman" w:eastAsia="宋体" w:cs="Times New Roman"/>
                <w:color w:val="auto"/>
                <w:lang w:val="en-US" w:eastAsia="zh-CN"/>
              </w:rPr>
              <w:t>3F</w:t>
            </w:r>
            <w:r>
              <w:rPr>
                <w:rFonts w:hint="eastAsia" w:cs="Times New Roman"/>
                <w:color w:val="auto"/>
                <w:lang w:val="en-US" w:eastAsia="zh-CN"/>
              </w:rPr>
              <w:t>）</w:t>
            </w:r>
            <w:r>
              <w:rPr>
                <w:rFonts w:hint="default" w:ascii="Times New Roman" w:hAnsi="Times New Roman" w:eastAsia="宋体" w:cs="Times New Roman"/>
                <w:color w:val="auto"/>
                <w:lang w:val="en-US" w:eastAsia="zh-CN"/>
              </w:rPr>
              <w:t>为喷粉线</w:t>
            </w:r>
            <w:r>
              <w:rPr>
                <w:rFonts w:hint="eastAsia" w:eastAsia="宋体" w:cs="Times New Roman"/>
                <w:color w:val="auto"/>
                <w:lang w:val="en-US" w:eastAsia="zh-CN"/>
              </w:rPr>
              <w:t>、</w:t>
            </w:r>
            <w:r>
              <w:rPr>
                <w:rFonts w:hint="default" w:ascii="Times New Roman" w:hAnsi="Times New Roman" w:eastAsia="宋体" w:cs="Times New Roman"/>
                <w:color w:val="auto"/>
                <w:lang w:val="en-US" w:eastAsia="zh-CN"/>
              </w:rPr>
              <w:t>成品仓库、</w:t>
            </w:r>
            <w:r>
              <w:rPr>
                <w:rFonts w:hint="eastAsia" w:cs="Times New Roman"/>
                <w:color w:val="auto"/>
                <w:lang w:val="en-US" w:eastAsia="zh-CN"/>
              </w:rPr>
              <w:t>危废暂存间和一般固废间</w:t>
            </w:r>
            <w:r>
              <w:rPr>
                <w:rFonts w:hint="default" w:ascii="Times New Roman" w:hAnsi="Times New Roman" w:eastAsia="宋体" w:cs="Times New Roman"/>
                <w:color w:val="auto"/>
                <w:lang w:val="en-US" w:eastAsia="zh-CN"/>
              </w:rPr>
              <w:t>。</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color w:val="auto"/>
              </w:rPr>
              <w:t>建设项目厂区平面布置图见附图2</w:t>
            </w:r>
            <w:r>
              <w:rPr>
                <w:rFonts w:hint="eastAsia" w:cs="Times New Roman"/>
                <w:color w:val="auto"/>
                <w:lang w:val="en-US" w:eastAsia="zh-CN"/>
              </w:rPr>
              <w:t>-1至附图2-2</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四邻关系及现场勘察照片见附图</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和附图</w:t>
            </w:r>
            <w:r>
              <w:rPr>
                <w:rFonts w:hint="eastAsia" w:cs="Times New Roman"/>
                <w:color w:val="auto"/>
                <w:lang w:val="en-US" w:eastAsia="zh-CN"/>
              </w:rPr>
              <w:t>15</w:t>
            </w:r>
            <w:r>
              <w:rPr>
                <w:rFonts w:hint="default" w:ascii="Times New Roman" w:hAnsi="Times New Roman" w:eastAsia="宋体" w:cs="Times New Roman"/>
                <w:color w:va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noWrap w:val="0"/>
            <w:vAlign w:val="center"/>
          </w:tcPr>
          <w:p>
            <w:pPr>
              <w:pStyle w:val="22"/>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Cs w:val="24"/>
              </w:rPr>
            </w:pPr>
            <w:r>
              <w:rPr>
                <w:rFonts w:hint="default" w:ascii="Times New Roman" w:hAnsi="Times New Roman" w:eastAsia="宋体" w:cs="Times New Roman"/>
                <w:b/>
                <w:bCs/>
                <w:color w:val="auto"/>
                <w:szCs w:val="24"/>
              </w:rPr>
              <w:t>工艺流程和产排污环节</w:t>
            </w:r>
          </w:p>
        </w:tc>
        <w:tc>
          <w:tcPr>
            <w:tcW w:w="4773" w:type="pct"/>
            <w:noWrap w:val="0"/>
            <w:vAlign w:val="top"/>
          </w:tcPr>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一、施工期</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color w:val="auto"/>
                <w:sz w:val="24"/>
              </w:rPr>
            </w:pPr>
            <w:r>
              <w:rPr>
                <w:rFonts w:hint="default" w:ascii="Times New Roman" w:hAnsi="Times New Roman" w:eastAsia="宋体" w:cs="Times New Roman"/>
                <w:color w:val="auto"/>
                <w:sz w:val="24"/>
              </w:rPr>
              <w:t>项目利用现有厂房进行生产经营活动，不再考虑施工期环境影响。</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szCs w:val="21"/>
              </w:rPr>
            </w:pPr>
            <w:r>
              <w:rPr>
                <w:rFonts w:hint="default" w:ascii="Times New Roman" w:hAnsi="Times New Roman" w:eastAsia="宋体" w:cs="Times New Roman"/>
                <w:b/>
                <w:color w:val="auto"/>
                <w:sz w:val="24"/>
                <w:szCs w:val="21"/>
              </w:rPr>
              <w:t>二、运营期</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rPr>
            </w:pPr>
            <w:r>
              <w:rPr>
                <w:rFonts w:hint="default" w:ascii="Times New Roman" w:hAnsi="Times New Roman" w:eastAsia="宋体" w:cs="Times New Roman"/>
                <w:b/>
                <w:color w:val="auto"/>
                <w:sz w:val="24"/>
                <w:szCs w:val="21"/>
              </w:rPr>
              <w:t>1、工艺流程</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highlight w:val="none"/>
              </w:rPr>
              <w:t>根据业主提供的资料，项目主要从事</w:t>
            </w:r>
            <w:r>
              <w:rPr>
                <w:rFonts w:hint="default" w:ascii="Times New Roman" w:hAnsi="Times New Roman" w:eastAsia="宋体" w:cs="Times New Roman"/>
                <w:color w:val="auto"/>
                <w:highlight w:val="none"/>
                <w:lang w:val="en-US" w:eastAsia="zh-CN"/>
              </w:rPr>
              <w:t>钣金件、灯饰配件、散热器</w:t>
            </w:r>
            <w:r>
              <w:rPr>
                <w:rFonts w:hint="default" w:ascii="Times New Roman" w:hAnsi="Times New Roman" w:eastAsia="宋体" w:cs="Times New Roman"/>
                <w:color w:val="auto"/>
                <w:highlight w:val="none"/>
              </w:rPr>
              <w:t>的生产</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lang w:val="en-US" w:eastAsia="zh-CN"/>
              </w:rPr>
              <w:t>其中钣金件、灯饰配件生产</w:t>
            </w:r>
            <w:r>
              <w:rPr>
                <w:rFonts w:hint="default" w:ascii="Times New Roman" w:hAnsi="Times New Roman" w:eastAsia="宋体" w:cs="Times New Roman"/>
                <w:color w:val="auto"/>
              </w:rPr>
              <w:t>工艺流程</w:t>
            </w:r>
            <w:r>
              <w:rPr>
                <w:rFonts w:hint="default" w:ascii="Times New Roman" w:hAnsi="Times New Roman" w:eastAsia="宋体" w:cs="Times New Roman"/>
                <w:color w:val="auto"/>
                <w:lang w:val="en-US" w:eastAsia="zh-CN"/>
              </w:rPr>
              <w:t>一致</w:t>
            </w:r>
            <w:r>
              <w:rPr>
                <w:rFonts w:hint="default" w:ascii="Times New Roman" w:hAnsi="Times New Roman" w:eastAsia="宋体" w:cs="Times New Roman"/>
                <w:color w:val="auto"/>
              </w:rPr>
              <w:t>。</w:t>
            </w:r>
          </w:p>
          <w:p>
            <w:pPr>
              <w:keepNext w:val="0"/>
              <w:keepLines w:val="0"/>
              <w:numPr>
                <w:ilvl w:val="0"/>
                <w:numId w:val="8"/>
              </w:numPr>
              <w:suppressLineNumbers w:val="0"/>
              <w:adjustRightInd w:val="0"/>
              <w:snapToGrid w:val="0"/>
              <w:spacing w:before="0" w:beforeAutospacing="0" w:after="0" w:afterAutospacing="0" w:line="360" w:lineRule="auto"/>
              <w:ind w:left="0" w:leftChars="0" w:right="0" w:firstLine="397" w:firstLineChars="0"/>
              <w:rPr>
                <w:rFonts w:hint="default" w:ascii="Times New Roman" w:hAnsi="Times New Roman" w:eastAsia="宋体" w:cs="Times New Roman"/>
                <w:b/>
                <w:bCs w:val="0"/>
                <w:color w:val="auto"/>
                <w:sz w:val="24"/>
                <w:szCs w:val="21"/>
                <w:lang w:val="en-US" w:eastAsia="zh-CN"/>
              </w:rPr>
            </w:pPr>
            <w:r>
              <w:rPr>
                <w:rFonts w:hint="default" w:ascii="Times New Roman" w:hAnsi="Times New Roman" w:eastAsia="宋体" w:cs="Times New Roman"/>
                <w:b/>
                <w:bCs w:val="0"/>
                <w:color w:val="auto"/>
                <w:sz w:val="24"/>
                <w:szCs w:val="21"/>
                <w:lang w:val="en-US" w:eastAsia="zh-CN"/>
              </w:rPr>
              <w:t>钣金件、灯饰配件生产工艺流程</w:t>
            </w:r>
          </w:p>
          <w:p>
            <w:pPr>
              <w:pStyle w:val="8"/>
              <w:keepNext w:val="0"/>
              <w:keepLines w:val="0"/>
              <w:widowControl/>
              <w:suppressLineNumbers w:val="0"/>
              <w:spacing w:beforeAutospacing="0" w:afterAutospacing="0" w:line="360" w:lineRule="auto"/>
              <w:ind w:left="0" w:right="0" w:firstLine="0" w:firstLineChars="0"/>
              <w:jc w:val="center"/>
              <w:rPr>
                <w:rFonts w:hint="default" w:ascii="Times New Roman" w:hAnsi="Times New Roman" w:eastAsia="宋体" w:cs="Times New Roman"/>
                <w:b/>
                <w:bCs/>
                <w:color w:val="auto"/>
                <w:sz w:val="24"/>
                <w:lang w:eastAsia="zh-CN"/>
              </w:rPr>
            </w:pPr>
            <w:r>
              <w:rPr>
                <w:rFonts w:hint="default" w:ascii="Times New Roman" w:hAnsi="Times New Roman" w:eastAsia="宋体" w:cs="Times New Roman"/>
                <w:b/>
                <w:bCs/>
                <w:color w:val="auto"/>
                <w:sz w:val="24"/>
                <w:lang w:val="en-US" w:eastAsia="zh-CN"/>
              </w:rPr>
              <w:t xml:space="preserve">  </w:t>
            </w:r>
            <w:r>
              <w:rPr>
                <w:rFonts w:hint="default" w:ascii="Times New Roman" w:hAnsi="Times New Roman" w:eastAsia="宋体" w:cs="Times New Roman"/>
                <w:b/>
                <w:bCs/>
                <w:color w:val="auto"/>
                <w:sz w:val="24"/>
                <w:lang w:val="en-US" w:eastAsia="zh-CN"/>
              </w:rPr>
              <w:object>
                <v:shape id="_x0000_i1026" o:spt="75" type="#_x0000_t75" style="height:499.8pt;width:458.95pt;" o:ole="t" filled="f" o:preferrelative="t" stroked="f" coordsize="21600,21600">
                  <v:path/>
                  <v:fill on="f" focussize="0,0"/>
                  <v:stroke on="f"/>
                  <v:imagedata r:id="rId20" o:title=""/>
                  <o:lock v:ext="edit" aspectratio="t"/>
                  <w10:wrap type="none"/>
                  <w10:anchorlock/>
                </v:shape>
                <o:OLEObject Type="Embed" ProgID="Visio.Drawing.15" ShapeID="_x0000_i1026" DrawAspect="Content" ObjectID="_1468075726" r:id="rId19">
                  <o:LockedField>false</o:LockedField>
                </o:OLEObject>
              </w:object>
            </w:r>
            <w:r>
              <w:rPr>
                <w:rFonts w:hint="default" w:ascii="Times New Roman" w:hAnsi="Times New Roman" w:eastAsia="宋体" w:cs="Times New Roman"/>
                <w:b/>
                <w:bCs/>
                <w:color w:val="auto"/>
                <w:sz w:val="24"/>
                <w:lang w:val="en-US" w:eastAsia="zh-CN"/>
              </w:rPr>
              <w:t xml:space="preserve">             </w:t>
            </w:r>
          </w:p>
          <w:p>
            <w:pPr>
              <w:pStyle w:val="8"/>
              <w:keepNext w:val="0"/>
              <w:keepLines w:val="0"/>
              <w:widowControl/>
              <w:suppressLineNumbers w:val="0"/>
              <w:spacing w:beforeAutospacing="0" w:afterAutospacing="0" w:line="360" w:lineRule="auto"/>
              <w:ind w:left="0" w:right="0" w:firstLine="0" w:firstLineChars="0"/>
              <w:jc w:val="center"/>
              <w:rPr>
                <w:rFonts w:hint="default" w:ascii="Times New Roman" w:hAnsi="Times New Roman" w:eastAsia="宋体" w:cs="Times New Roman"/>
                <w:b/>
                <w:bCs/>
                <w:color w:val="auto"/>
                <w:sz w:val="24"/>
              </w:rPr>
            </w:pPr>
            <w:r>
              <w:rPr>
                <w:rFonts w:hint="default" w:ascii="Times New Roman" w:hAnsi="Times New Roman" w:eastAsia="宋体" w:cs="Times New Roman"/>
                <w:color w:val="auto"/>
              </w:rPr>
              <w:t xml:space="preserve">图2-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图2-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w:t>
            </w:r>
            <w:r>
              <w:rPr>
                <w:rFonts w:hint="default" w:ascii="Times New Roman" w:hAnsi="Times New Roman" w:eastAsia="宋体" w:cs="Times New Roman"/>
                <w:color w:val="auto"/>
              </w:rPr>
              <w:fldChar w:fldCharType="end"/>
            </w:r>
            <w:r>
              <w:rPr>
                <w:rFonts w:hint="default" w:ascii="Times New Roman" w:hAnsi="Times New Roman" w:eastAsia="宋体" w:cs="Times New Roman"/>
                <w:b/>
                <w:bCs/>
                <w:color w:val="auto"/>
                <w:sz w:val="24"/>
                <w:lang w:val="en-US" w:eastAsia="zh-CN"/>
              </w:rPr>
              <w:t>钣金件、灯饰配件</w:t>
            </w:r>
            <w:r>
              <w:rPr>
                <w:rFonts w:hint="default" w:ascii="Times New Roman" w:hAnsi="Times New Roman" w:eastAsia="宋体" w:cs="Times New Roman"/>
                <w:b/>
                <w:bCs/>
                <w:color w:val="auto"/>
                <w:sz w:val="24"/>
              </w:rPr>
              <w:t>生产工艺</w:t>
            </w:r>
            <w:r>
              <w:rPr>
                <w:rFonts w:hint="default" w:ascii="Times New Roman" w:hAnsi="Times New Roman" w:eastAsia="宋体" w:cs="Times New Roman"/>
                <w:b/>
                <w:bCs/>
                <w:color w:val="auto"/>
                <w:sz w:val="24"/>
                <w:lang w:val="en-US" w:eastAsia="zh-CN"/>
              </w:rPr>
              <w:t>及产污环节</w:t>
            </w:r>
            <w:r>
              <w:rPr>
                <w:rFonts w:hint="default" w:ascii="Times New Roman" w:hAnsi="Times New Roman" w:eastAsia="宋体" w:cs="Times New Roman"/>
                <w:b/>
                <w:bCs/>
                <w:color w:val="auto"/>
                <w:sz w:val="24"/>
              </w:rPr>
              <w:t>图</w:t>
            </w:r>
          </w:p>
          <w:p>
            <w:pPr>
              <w:keepNext w:val="0"/>
              <w:keepLines w:val="0"/>
              <w:suppressLineNumbers w:val="0"/>
              <w:autoSpaceDE w:val="0"/>
              <w:autoSpaceDN w:val="0"/>
              <w:adjustRightInd w:val="0"/>
              <w:spacing w:before="0" w:beforeAutospacing="0" w:after="0" w:afterAutospacing="0" w:line="360" w:lineRule="auto"/>
              <w:ind w:left="0" w:right="0" w:firstLine="482"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rPr>
              <w:t>工艺流程及产污环节说明：</w:t>
            </w:r>
          </w:p>
          <w:p>
            <w:pPr>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开料：</w:t>
            </w:r>
            <w:r>
              <w:rPr>
                <w:rFonts w:hint="default" w:ascii="Times New Roman" w:hAnsi="Times New Roman" w:eastAsia="宋体" w:cs="Times New Roman"/>
                <w:b w:val="0"/>
                <w:bCs w:val="0"/>
                <w:color w:val="auto"/>
                <w:highlight w:val="none"/>
                <w:lang w:val="en-US" w:eastAsia="zh-CN"/>
              </w:rPr>
              <w:t>根据产品设计规格要求将外购铁料、铝板使用精密冲压机进行冲切开料。该生产工序会产生铁料边角料、铝料边角料和噪声。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冲压：</w:t>
            </w:r>
            <w:r>
              <w:rPr>
                <w:rFonts w:hint="default" w:ascii="Times New Roman" w:hAnsi="Times New Roman" w:eastAsia="宋体" w:cs="Times New Roman"/>
                <w:b w:val="0"/>
                <w:bCs w:val="0"/>
                <w:color w:val="auto"/>
                <w:highlight w:val="none"/>
                <w:lang w:val="en-US" w:eastAsia="zh-CN"/>
              </w:rPr>
              <w:t>开料后的金属工件在精密冲压机上，靠使之产生塑性变形或分离，从而获得所需形状和尺寸的工件。该生产工序会产生铁料边角料、铝料边角料和噪声。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钻孔、攻牙：</w:t>
            </w:r>
            <w:r>
              <w:rPr>
                <w:rFonts w:hint="default" w:ascii="Times New Roman" w:hAnsi="Times New Roman" w:eastAsia="宋体" w:cs="Times New Roman"/>
                <w:b w:val="0"/>
                <w:bCs w:val="0"/>
                <w:color w:val="auto"/>
                <w:highlight w:val="none"/>
                <w:lang w:val="en-US" w:eastAsia="zh-CN"/>
              </w:rPr>
              <w:t>使用钻床机在金属工件上开孔，后用自动攻牙机在孔的内侧面加工出内螺纹，该生产工序会产生铁料边角料、铝料边角料和噪声。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折弯：</w:t>
            </w:r>
            <w:r>
              <w:rPr>
                <w:rFonts w:hint="default" w:ascii="Times New Roman" w:hAnsi="Times New Roman" w:eastAsia="宋体" w:cs="Times New Roman"/>
                <w:b w:val="0"/>
                <w:bCs w:val="0"/>
                <w:color w:val="auto"/>
                <w:highlight w:val="none"/>
                <w:lang w:val="en-US" w:eastAsia="zh-CN"/>
              </w:rPr>
              <w:t>使用数控折弯机对金属工件进行折弯，工件在数控折弯机上模下模的压力下发生变型。该生产工序会产生噪声。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喷砂：</w:t>
            </w:r>
            <w:r>
              <w:rPr>
                <w:rFonts w:hint="default" w:ascii="Times New Roman" w:hAnsi="Times New Roman" w:eastAsia="宋体" w:cs="Times New Roman"/>
                <w:b w:val="0"/>
                <w:bCs w:val="0"/>
                <w:color w:val="auto"/>
                <w:highlight w:val="none"/>
                <w:lang w:val="en-US" w:eastAsia="zh-CN"/>
              </w:rPr>
              <w:t>喷砂在密闭的喷砂机里进行。其工作原理是采用压缩空气为动力，以形成高速喷射束将磨料(铁砂)高速喷射到需要处理的工件表面，使工件表面的外表面的外表或形状发生变化，由于磨料对工件表面的冲击和切削作用，使工件的表面获得一定的清洁度和不同的粗糙度，使工件表面的机械性能得到改善，因此提高了工件的抗疲劳性，增加了工件与涂层之间的附着力，延长了涂膜的耐久性。此工序产生颗粒物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喷涂：</w:t>
            </w:r>
            <w:r>
              <w:rPr>
                <w:rFonts w:hint="default" w:ascii="Times New Roman" w:hAnsi="Times New Roman" w:eastAsia="宋体" w:cs="Times New Roman"/>
                <w:b w:val="0"/>
                <w:bCs w:val="0"/>
                <w:color w:val="auto"/>
                <w:highlight w:val="none"/>
                <w:lang w:val="en-US" w:eastAsia="zh-CN"/>
              </w:rPr>
              <w:t>项目共有两种喷涂方式，分别为喷粉喷涂和喷漆喷涂。</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lang w:val="en-US" w:eastAsia="zh-CN"/>
              </w:rPr>
              <w:t>喷粉喷涂具体工段为喷粉→烘干。</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喷粉：</w:t>
            </w:r>
            <w:r>
              <w:rPr>
                <w:rFonts w:hint="default" w:ascii="Times New Roman" w:hAnsi="Times New Roman" w:eastAsia="宋体" w:cs="Times New Roman"/>
                <w:b w:val="0"/>
                <w:bCs w:val="0"/>
                <w:color w:val="auto"/>
                <w:highlight w:val="none"/>
                <w:lang w:val="en-US" w:eastAsia="zh-CN"/>
              </w:rPr>
              <w:t>项目采用粉末静电喷涂工艺，其工作原理是在喷枪与工件之间形成一个高压电晕放电电场，当粉末粒子由喷枪口喷出经过放电区时，便补集了大量的电子，成为带负电的微粒，在静电吸引的作用下，被吸附到带正电荷的工件上去，当粉末附着到一定厚度时，则会发生“同性相斥”的作用不能再吸附粉末，从而使各部分的粉层厚度均匀，喷粉柜配套滤筒式粉末回收装置对粉末进行回收处理，收集后的粉尘回用于生产</w:t>
            </w:r>
            <w:r>
              <w:rPr>
                <w:rFonts w:hint="eastAsia" w:cs="Times New Roman"/>
                <w:b w:val="0"/>
                <w:bCs w:val="0"/>
                <w:color w:val="auto"/>
                <w:highlight w:val="none"/>
                <w:lang w:val="en-US" w:eastAsia="zh-CN"/>
              </w:rPr>
              <w:t>。</w:t>
            </w:r>
            <w:r>
              <w:rPr>
                <w:rFonts w:hint="default" w:ascii="Times New Roman" w:hAnsi="Times New Roman" w:eastAsia="宋体" w:cs="Times New Roman"/>
                <w:b w:val="0"/>
                <w:bCs w:val="0"/>
                <w:color w:val="auto"/>
                <w:highlight w:val="none"/>
                <w:lang w:val="en-US" w:eastAsia="zh-CN"/>
              </w:rPr>
              <w:t>该过程会产生粉尘、</w:t>
            </w:r>
            <w:r>
              <w:rPr>
                <w:rFonts w:hint="eastAsia" w:cs="Times New Roman"/>
                <w:b w:val="0"/>
                <w:bCs w:val="0"/>
                <w:color w:val="auto"/>
                <w:highlight w:val="none"/>
                <w:lang w:val="en-US" w:eastAsia="zh-CN"/>
              </w:rPr>
              <w:t>废涂料包装桶、</w:t>
            </w:r>
            <w:r>
              <w:rPr>
                <w:rFonts w:hint="default" w:ascii="Times New Roman" w:hAnsi="Times New Roman" w:eastAsia="宋体" w:cs="Times New Roman"/>
                <w:b w:val="0"/>
                <w:bCs w:val="0"/>
                <w:color w:val="auto"/>
                <w:highlight w:val="none"/>
                <w:lang w:val="en-US" w:eastAsia="zh-CN"/>
              </w:rPr>
              <w:t>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烘干：</w:t>
            </w:r>
            <w:r>
              <w:rPr>
                <w:rFonts w:hint="default" w:ascii="Times New Roman" w:hAnsi="Times New Roman" w:eastAsia="宋体" w:cs="Times New Roman"/>
                <w:b w:val="0"/>
                <w:bCs w:val="0"/>
                <w:color w:val="auto"/>
                <w:highlight w:val="none"/>
                <w:lang w:val="en-US" w:eastAsia="zh-CN"/>
              </w:rPr>
              <w:t>喷粉后的工件进入喷粉线设备的箱式烘干炉内进行烘烤固化，是粉末涂料在工件表面形成一个化学交联成膜的过程，采用电能供热，固化温度180~200℃，固化时间20~45min，此工序产生有机废气和噪声。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val="0"/>
                <w:bCs w:val="0"/>
                <w:color w:val="auto"/>
                <w:highlight w:val="none"/>
                <w:lang w:val="en-US" w:eastAsia="zh-CN"/>
              </w:rPr>
              <w:t>喷漆喷涂具体工段为调漆→喷漆→烘干固化。</w:t>
            </w:r>
          </w:p>
          <w:p>
            <w:pPr>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调漆：</w:t>
            </w:r>
            <w:r>
              <w:rPr>
                <w:rFonts w:hint="default" w:ascii="Times New Roman" w:hAnsi="Times New Roman" w:eastAsia="宋体" w:cs="Times New Roman"/>
                <w:b w:val="0"/>
                <w:bCs w:val="0"/>
                <w:color w:val="auto"/>
                <w:highlight w:val="none"/>
                <w:lang w:val="en-US" w:eastAsia="zh-CN"/>
              </w:rPr>
              <w:t>在调漆工位将水性油漆和新鲜水按</w:t>
            </w:r>
            <w:r>
              <w:rPr>
                <w:rFonts w:hint="eastAsia" w:cs="Times New Roman"/>
                <w:b w:val="0"/>
                <w:bCs w:val="0"/>
                <w:color w:val="auto"/>
                <w:highlight w:val="none"/>
                <w:lang w:val="en-US" w:eastAsia="zh-CN"/>
              </w:rPr>
              <w:t>4:1</w:t>
            </w:r>
            <w:r>
              <w:rPr>
                <w:rFonts w:hint="default" w:ascii="Times New Roman" w:hAnsi="Times New Roman" w:eastAsia="宋体" w:cs="Times New Roman"/>
                <w:b w:val="0"/>
                <w:bCs w:val="0"/>
                <w:color w:val="auto"/>
                <w:highlight w:val="none"/>
                <w:lang w:val="en-US" w:eastAsia="zh-CN"/>
              </w:rPr>
              <w:t>的比例进行调配然后搅拌均匀，该工序会产生有机废气</w:t>
            </w:r>
            <w:r>
              <w:rPr>
                <w:rFonts w:hint="eastAsia" w:cs="Times New Roman"/>
                <w:b w:val="0"/>
                <w:bCs w:val="0"/>
                <w:color w:val="auto"/>
                <w:highlight w:val="none"/>
                <w:lang w:val="en-US" w:eastAsia="zh-CN"/>
              </w:rPr>
              <w:t>、废涂料包装桶</w:t>
            </w:r>
            <w:r>
              <w:rPr>
                <w:rFonts w:hint="default" w:ascii="Times New Roman" w:hAnsi="Times New Roman" w:eastAsia="宋体" w:cs="Times New Roman"/>
                <w:b w:val="0"/>
                <w:bCs w:val="0"/>
                <w:color w:val="auto"/>
                <w:highlight w:val="none"/>
                <w:lang w:val="en-US" w:eastAsia="zh-CN"/>
              </w:rPr>
              <w:t>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喷漆：</w:t>
            </w:r>
            <w:r>
              <w:rPr>
                <w:rFonts w:hint="default" w:ascii="Times New Roman" w:hAnsi="Times New Roman" w:eastAsia="宋体" w:cs="Times New Roman"/>
                <w:b w:val="0"/>
                <w:bCs w:val="0"/>
                <w:color w:val="auto"/>
                <w:highlight w:val="none"/>
                <w:lang w:val="en-US" w:eastAsia="zh-CN"/>
              </w:rPr>
              <w:t>在喷漆柜（水帘柜）人工使用喷枪进行喷漆上色，喷漆层数为X层，喷涂方式为静电喷涂，项目喷枪每天进行一次清洗。该工序会产生颗粒物（漆雾）、有机废气、水帘柜废水、喷枪清洗废水和噪声。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烘干固化：</w:t>
            </w:r>
            <w:r>
              <w:rPr>
                <w:rFonts w:hint="default" w:ascii="Times New Roman" w:hAnsi="Times New Roman" w:eastAsia="宋体" w:cs="Times New Roman"/>
                <w:b w:val="0"/>
                <w:bCs w:val="0"/>
                <w:color w:val="auto"/>
                <w:highlight w:val="none"/>
                <w:lang w:val="en-US" w:eastAsia="zh-CN"/>
              </w:rPr>
              <w:t>喷漆之后的工件由输送线进入烘干炉中进行烘干固化，采用电能供热，固化温度60~80℃，固化时间30min，此工序产生有机废气和噪声。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质检装配、出货：</w:t>
            </w:r>
            <w:r>
              <w:rPr>
                <w:rFonts w:hint="default" w:ascii="Times New Roman" w:hAnsi="Times New Roman" w:eastAsia="宋体" w:cs="Times New Roman"/>
                <w:b w:val="0"/>
                <w:bCs w:val="0"/>
                <w:color w:val="auto"/>
                <w:highlight w:val="none"/>
                <w:lang w:val="en-US" w:eastAsia="zh-CN"/>
              </w:rPr>
              <w:t>将各零部件进行组装，经过质量检测合格后出厂。该工序会产生废包装材料和次品。</w:t>
            </w:r>
          </w:p>
          <w:p>
            <w:pPr>
              <w:keepNext w:val="0"/>
              <w:keepLines w:val="0"/>
              <w:numPr>
                <w:ilvl w:val="0"/>
                <w:numId w:val="8"/>
              </w:numPr>
              <w:suppressLineNumbers w:val="0"/>
              <w:adjustRightInd w:val="0"/>
              <w:snapToGrid w:val="0"/>
              <w:spacing w:before="0" w:beforeAutospacing="0" w:after="0" w:afterAutospacing="0" w:line="360" w:lineRule="auto"/>
              <w:ind w:left="0" w:leftChars="0" w:right="0" w:firstLine="397" w:firstLineChars="0"/>
              <w:rPr>
                <w:rFonts w:hint="default" w:ascii="Times New Roman" w:hAnsi="Times New Roman" w:eastAsia="宋体" w:cs="Times New Roman"/>
                <w:b/>
                <w:bCs w:val="0"/>
                <w:color w:val="auto"/>
                <w:sz w:val="24"/>
                <w:szCs w:val="21"/>
                <w:lang w:val="en-US" w:eastAsia="zh-CN"/>
              </w:rPr>
            </w:pPr>
            <w:r>
              <w:rPr>
                <w:rFonts w:hint="default" w:ascii="Times New Roman" w:hAnsi="Times New Roman" w:eastAsia="宋体" w:cs="Times New Roman"/>
                <w:b/>
                <w:bCs w:val="0"/>
                <w:color w:val="auto"/>
                <w:sz w:val="24"/>
                <w:szCs w:val="21"/>
                <w:lang w:val="en-US" w:eastAsia="zh-CN"/>
              </w:rPr>
              <w:t>散热器生产生产工艺流程</w:t>
            </w:r>
          </w:p>
          <w:p>
            <w:pPr>
              <w:pStyle w:val="8"/>
              <w:keepNext w:val="0"/>
              <w:keepLines w:val="0"/>
              <w:widowControl/>
              <w:suppressLineNumbers w:val="0"/>
              <w:spacing w:beforeAutospacing="0" w:afterAutospacing="0" w:line="360" w:lineRule="auto"/>
              <w:ind w:left="0" w:right="0" w:firstLine="0" w:firstLineChars="0"/>
              <w:jc w:val="center"/>
              <w:rPr>
                <w:rFonts w:hint="default" w:ascii="Times New Roman" w:hAnsi="Times New Roman" w:eastAsia="宋体" w:cs="Times New Roman"/>
                <w:b/>
                <w:bCs/>
                <w:color w:val="auto"/>
                <w:sz w:val="24"/>
                <w:lang w:eastAsia="zh-CN"/>
              </w:rPr>
            </w:pPr>
            <w:r>
              <w:rPr>
                <w:rFonts w:hint="default" w:ascii="Times New Roman" w:hAnsi="Times New Roman" w:eastAsia="宋体" w:cs="Times New Roman"/>
                <w:b/>
                <w:bCs/>
                <w:color w:val="auto"/>
                <w:sz w:val="24"/>
                <w:lang w:val="en-US" w:eastAsia="zh-CN"/>
              </w:rPr>
              <w:t xml:space="preserve"> </w:t>
            </w:r>
            <w:r>
              <w:rPr>
                <w:rFonts w:hint="default" w:ascii="Times New Roman" w:hAnsi="Times New Roman" w:eastAsia="宋体" w:cs="Times New Roman"/>
                <w:b/>
                <w:bCs/>
                <w:color w:val="auto"/>
                <w:sz w:val="24"/>
                <w:lang w:val="en-US" w:eastAsia="zh-CN"/>
              </w:rPr>
              <w:object>
                <v:shape id="_x0000_i1027" o:spt="75" type="#_x0000_t75" style="height:412.6pt;width:416.85pt;" o:ole="t" filled="f" o:preferrelative="t" stroked="f" coordsize="21600,21600">
                  <v:path/>
                  <v:fill on="f" focussize="0,0"/>
                  <v:stroke on="f"/>
                  <v:imagedata r:id="rId22" o:title=""/>
                  <o:lock v:ext="edit" aspectratio="t"/>
                  <w10:wrap type="none"/>
                  <w10:anchorlock/>
                </v:shape>
                <o:OLEObject Type="Embed" ProgID="Visio.Drawing.15" ShapeID="_x0000_i1027" DrawAspect="Content" ObjectID="_1468075727" r:id="rId21">
                  <o:LockedField>false</o:LockedField>
                </o:OLEObject>
              </w:object>
            </w:r>
            <w:r>
              <w:rPr>
                <w:rFonts w:hint="default" w:ascii="Times New Roman" w:hAnsi="Times New Roman" w:eastAsia="宋体" w:cs="Times New Roman"/>
                <w:b/>
                <w:bCs/>
                <w:color w:val="auto"/>
                <w:sz w:val="24"/>
                <w:lang w:val="en-US" w:eastAsia="zh-CN"/>
              </w:rPr>
              <w:t xml:space="preserve">     </w:t>
            </w:r>
          </w:p>
          <w:p>
            <w:pPr>
              <w:pStyle w:val="8"/>
              <w:keepNext w:val="0"/>
              <w:keepLines w:val="0"/>
              <w:widowControl/>
              <w:suppressLineNumbers w:val="0"/>
              <w:spacing w:beforeAutospacing="0" w:afterAutospacing="0" w:line="360" w:lineRule="auto"/>
              <w:ind w:left="0" w:right="0" w:firstLine="0" w:firstLineChars="0"/>
              <w:jc w:val="center"/>
              <w:rPr>
                <w:rFonts w:hint="default" w:ascii="Times New Roman" w:hAnsi="Times New Roman" w:eastAsia="宋体" w:cs="Times New Roman"/>
                <w:b/>
                <w:bCs/>
                <w:color w:val="auto"/>
                <w:sz w:val="24"/>
              </w:rPr>
            </w:pPr>
            <w:r>
              <w:rPr>
                <w:rFonts w:hint="default" w:ascii="Times New Roman" w:hAnsi="Times New Roman" w:eastAsia="宋体" w:cs="Times New Roman"/>
                <w:color w:val="auto"/>
              </w:rPr>
              <w:t xml:space="preserve">图2- </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b/>
                <w:bCs w:val="0"/>
                <w:color w:val="auto"/>
                <w:sz w:val="24"/>
                <w:szCs w:val="21"/>
                <w:lang w:val="en-US" w:eastAsia="zh-CN"/>
              </w:rPr>
              <w:t>散热器</w:t>
            </w:r>
            <w:r>
              <w:rPr>
                <w:rFonts w:hint="default" w:ascii="Times New Roman" w:hAnsi="Times New Roman" w:eastAsia="宋体" w:cs="Times New Roman"/>
                <w:b/>
                <w:bCs/>
                <w:color w:val="auto"/>
                <w:sz w:val="24"/>
              </w:rPr>
              <w:t>生产工艺</w:t>
            </w:r>
            <w:r>
              <w:rPr>
                <w:rFonts w:hint="default" w:ascii="Times New Roman" w:hAnsi="Times New Roman" w:eastAsia="宋体" w:cs="Times New Roman"/>
                <w:b/>
                <w:bCs/>
                <w:color w:val="auto"/>
                <w:sz w:val="24"/>
                <w:lang w:val="en-US" w:eastAsia="zh-CN"/>
              </w:rPr>
              <w:t>及产污环节</w:t>
            </w:r>
            <w:r>
              <w:rPr>
                <w:rFonts w:hint="default" w:ascii="Times New Roman" w:hAnsi="Times New Roman" w:eastAsia="宋体" w:cs="Times New Roman"/>
                <w:b/>
                <w:bCs/>
                <w:color w:val="auto"/>
                <w:sz w:val="24"/>
              </w:rPr>
              <w:t>图</w:t>
            </w:r>
          </w:p>
          <w:p>
            <w:pPr>
              <w:keepNext w:val="0"/>
              <w:keepLines w:val="0"/>
              <w:suppressLineNumbers w:val="0"/>
              <w:autoSpaceDE w:val="0"/>
              <w:autoSpaceDN w:val="0"/>
              <w:adjustRightInd w:val="0"/>
              <w:spacing w:before="0" w:beforeAutospacing="0" w:after="0" w:afterAutospacing="0" w:line="360" w:lineRule="auto"/>
              <w:ind w:left="0" w:right="0" w:firstLine="482"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rPr>
              <w:t>工艺流程及产污环节说明：</w:t>
            </w:r>
          </w:p>
          <w:p>
            <w:pPr>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喷砂：</w:t>
            </w:r>
            <w:r>
              <w:rPr>
                <w:rFonts w:hint="default" w:ascii="Times New Roman" w:hAnsi="Times New Roman" w:eastAsia="宋体" w:cs="Times New Roman"/>
                <w:b w:val="0"/>
                <w:bCs w:val="0"/>
                <w:color w:val="auto"/>
                <w:highlight w:val="none"/>
                <w:lang w:val="en-US" w:eastAsia="zh-CN"/>
              </w:rPr>
              <w:t>将外购压铸好的散热器坯件表面进行喷砂处理，该工序在密闭的喷砂机里进行。其工作原理是采用压缩空气为动力，以形成高速喷射束将磨料(钢砂)高速喷射到需要处理的工件表面，使工件表面的外表面的外表或形状发生变化，由于磨料对工件表面的冲击和切削作用，使工件的表面获得一定的清洁度和不同的粗糙度，使工件表面的机械性能得到改善，因此提高了工件的抗疲劳性，增加了工件与涂层之间的附着力，延长了涂膜的耐久性。此工序产生颗粒物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钻孔：</w:t>
            </w:r>
            <w:r>
              <w:rPr>
                <w:rFonts w:hint="default" w:ascii="Times New Roman" w:hAnsi="Times New Roman" w:eastAsia="宋体" w:cs="Times New Roman"/>
                <w:b w:val="0"/>
                <w:bCs w:val="0"/>
                <w:color w:val="auto"/>
                <w:highlight w:val="none"/>
                <w:lang w:val="en-US" w:eastAsia="zh-CN"/>
              </w:rPr>
              <w:t>按照客户需求，使用钻床机在金属工件上开孔，该生产工序会产生金属边角料和噪声。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喷涂：</w:t>
            </w:r>
            <w:r>
              <w:rPr>
                <w:rFonts w:hint="default" w:ascii="Times New Roman" w:hAnsi="Times New Roman" w:eastAsia="宋体" w:cs="Times New Roman"/>
                <w:b w:val="0"/>
                <w:bCs w:val="0"/>
                <w:color w:val="auto"/>
                <w:highlight w:val="none"/>
                <w:lang w:val="en-US" w:eastAsia="zh-CN"/>
              </w:rPr>
              <w:t>项目共有两种喷涂方式，分别为喷粉喷涂和喷漆喷涂。</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lang w:val="en-US" w:eastAsia="zh-CN"/>
              </w:rPr>
              <w:t>喷粉喷涂具体工段为喷粉→烘干固化。</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喷粉：</w:t>
            </w:r>
            <w:r>
              <w:rPr>
                <w:rFonts w:hint="default" w:ascii="Times New Roman" w:hAnsi="Times New Roman" w:eastAsia="宋体" w:cs="Times New Roman"/>
                <w:b w:val="0"/>
                <w:bCs w:val="0"/>
                <w:color w:val="auto"/>
                <w:highlight w:val="none"/>
                <w:lang w:val="en-US" w:eastAsia="zh-CN"/>
              </w:rPr>
              <w:t>项目采用粉末静电喷涂工艺，其工作原理是在喷枪与工件之间形成一个高压电晕放电电场，当粉末粒子由喷枪口喷出经过放电区时，便补集了大量的电子，成为带负电的微粒，在静电吸引的作用下，被吸附到带正电荷的工件上去，当粉末附着到一定厚度时，则会发生“同性相斥”的作用不能再吸附粉末，从而使各部分的粉层厚度均匀，喷粉柜配套滤筒式粉末回收装置对粉末进行回收处理，收集后的粉尘回用于生产，经滤芯回收装置过滤后少部分未能回收的粉尘在车间中以无组织形式排放。该过程会产生粉尘、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烘干固化：</w:t>
            </w:r>
            <w:r>
              <w:rPr>
                <w:rFonts w:hint="default" w:ascii="Times New Roman" w:hAnsi="Times New Roman" w:eastAsia="宋体" w:cs="Times New Roman"/>
                <w:b w:val="0"/>
                <w:bCs w:val="0"/>
                <w:color w:val="auto"/>
                <w:highlight w:val="none"/>
                <w:lang w:val="en-US" w:eastAsia="zh-CN"/>
              </w:rPr>
              <w:t>喷粉后的工件进入喷粉线设备的箱式烘干炉内进行烘烤固化，是粉末涂料在工件表面形成一个化学交联成膜的过程，采用电能供热，固化温度180~200℃，固化时间20~45min，此工序产生有机废气和噪声。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val="0"/>
                <w:bCs w:val="0"/>
                <w:color w:val="auto"/>
                <w:highlight w:val="none"/>
                <w:lang w:val="en-US" w:eastAsia="zh-CN"/>
              </w:rPr>
              <w:t>喷漆喷涂具体工段为调漆→喷漆→烘干固化。</w:t>
            </w:r>
          </w:p>
          <w:p>
            <w:pPr>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调漆：</w:t>
            </w:r>
            <w:r>
              <w:rPr>
                <w:rFonts w:hint="default" w:ascii="Times New Roman" w:hAnsi="Times New Roman" w:eastAsia="宋体" w:cs="Times New Roman"/>
                <w:b w:val="0"/>
                <w:bCs w:val="0"/>
                <w:color w:val="auto"/>
                <w:highlight w:val="none"/>
                <w:lang w:val="en-US" w:eastAsia="zh-CN"/>
              </w:rPr>
              <w:t>在调漆工位将水性油漆和新鲜水按4</w:t>
            </w:r>
            <w:r>
              <w:rPr>
                <w:rFonts w:hint="eastAsia" w:cs="Times New Roman"/>
                <w:b w:val="0"/>
                <w:bCs w:val="0"/>
                <w:color w:val="auto"/>
                <w:highlight w:val="none"/>
                <w:lang w:val="en-US" w:eastAsia="zh-CN"/>
              </w:rPr>
              <w:t>：1</w:t>
            </w:r>
            <w:r>
              <w:rPr>
                <w:rFonts w:hint="default" w:ascii="Times New Roman" w:hAnsi="Times New Roman" w:eastAsia="宋体" w:cs="Times New Roman"/>
                <w:b w:val="0"/>
                <w:bCs w:val="0"/>
                <w:color w:val="auto"/>
                <w:highlight w:val="none"/>
                <w:lang w:val="en-US" w:eastAsia="zh-CN"/>
              </w:rPr>
              <w:t>的比例进行调配然后搅拌均匀，该工序会产生有机废气和噪声。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喷漆：</w:t>
            </w:r>
            <w:r>
              <w:rPr>
                <w:rFonts w:hint="default" w:ascii="Times New Roman" w:hAnsi="Times New Roman" w:eastAsia="宋体" w:cs="Times New Roman"/>
                <w:b w:val="0"/>
                <w:bCs w:val="0"/>
                <w:color w:val="auto"/>
                <w:highlight w:val="none"/>
                <w:lang w:val="en-US" w:eastAsia="zh-CN"/>
              </w:rPr>
              <w:t>在喷漆柜（水帘柜）人工使用喷枪进行喷漆上色，喷漆层数为</w:t>
            </w:r>
            <w:r>
              <w:rPr>
                <w:rFonts w:hint="eastAsia" w:cs="Times New Roman"/>
                <w:b w:val="0"/>
                <w:bCs w:val="0"/>
                <w:color w:val="auto"/>
                <w:highlight w:val="none"/>
                <w:lang w:val="en-US" w:eastAsia="zh-CN"/>
              </w:rPr>
              <w:t>2</w:t>
            </w:r>
            <w:r>
              <w:rPr>
                <w:rFonts w:hint="default" w:ascii="Times New Roman" w:hAnsi="Times New Roman" w:eastAsia="宋体" w:cs="Times New Roman"/>
                <w:b w:val="0"/>
                <w:bCs w:val="0"/>
                <w:color w:val="auto"/>
                <w:highlight w:val="none"/>
                <w:lang w:val="en-US" w:eastAsia="zh-CN"/>
              </w:rPr>
              <w:t>层，喷涂方式为静电喷涂，项目喷枪每天进行一次清洗。该工序会产生颗粒物（漆雾）、有机废气、水帘柜废水、喷枪清洗废水和噪声。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烘干固化：</w:t>
            </w:r>
            <w:r>
              <w:rPr>
                <w:rFonts w:hint="default" w:ascii="Times New Roman" w:hAnsi="Times New Roman" w:eastAsia="宋体" w:cs="Times New Roman"/>
                <w:b w:val="0"/>
                <w:bCs w:val="0"/>
                <w:color w:val="auto"/>
                <w:highlight w:val="none"/>
                <w:lang w:val="en-US" w:eastAsia="zh-CN"/>
              </w:rPr>
              <w:t>喷漆之后的工件由输送线进入烘干炉中进行烘干固化，采用电能供热，固化温度60~80℃，固化时间30min，此工序产生有机废气和噪声。</w:t>
            </w:r>
          </w:p>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bCs/>
                <w:color w:val="auto"/>
                <w:highlight w:val="none"/>
                <w:lang w:val="en-US" w:eastAsia="zh-CN"/>
              </w:rPr>
              <w:t>装配成品、质检、出货：</w:t>
            </w:r>
            <w:r>
              <w:rPr>
                <w:rFonts w:hint="default" w:ascii="Times New Roman" w:hAnsi="Times New Roman" w:eastAsia="宋体" w:cs="Times New Roman"/>
                <w:b w:val="0"/>
                <w:bCs w:val="0"/>
                <w:color w:val="auto"/>
                <w:highlight w:val="none"/>
                <w:lang w:val="en-US" w:eastAsia="zh-CN"/>
              </w:rPr>
              <w:t>将各零部件进行组装，经过质量检测合格后出厂。该工序会产生废包装材料和次品。</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2、项目产污环节</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项目产污环节</w:t>
            </w:r>
            <w:r>
              <w:rPr>
                <w:rFonts w:hint="eastAsia" w:cs="Times New Roman"/>
                <w:color w:val="auto"/>
                <w:lang w:val="en-US" w:eastAsia="zh-CN"/>
              </w:rPr>
              <w:t>一览表</w:t>
            </w:r>
            <w:r>
              <w:rPr>
                <w:rFonts w:hint="default" w:ascii="Times New Roman" w:hAnsi="Times New Roman" w:eastAsia="宋体" w:cs="Times New Roman"/>
                <w:color w:val="auto"/>
              </w:rPr>
              <w:t>见</w:t>
            </w:r>
            <w:r>
              <w:rPr>
                <w:rFonts w:hint="default" w:ascii="Times New Roman" w:hAnsi="Times New Roman" w:eastAsia="宋体" w:cs="Times New Roman"/>
                <w:color w:val="auto"/>
                <w:lang w:val="en-US"/>
              </w:rPr>
              <w:fldChar w:fldCharType="begin"/>
            </w:r>
            <w:r>
              <w:rPr>
                <w:rFonts w:hint="default" w:ascii="Times New Roman" w:hAnsi="Times New Roman" w:eastAsia="宋体" w:cs="Times New Roman"/>
                <w:color w:val="auto"/>
                <w:lang w:val="en-US"/>
              </w:rPr>
              <w:instrText xml:space="preserve"> REF _Ref1340 \h </w:instrText>
            </w:r>
            <w:r>
              <w:rPr>
                <w:rFonts w:hint="default" w:ascii="Times New Roman" w:hAnsi="Times New Roman" w:eastAsia="宋体" w:cs="Times New Roman"/>
                <w:color w:val="auto"/>
                <w:lang w:val="en-US"/>
              </w:rPr>
              <w:fldChar w:fldCharType="separate"/>
            </w:r>
            <w:r>
              <w:rPr>
                <w:rFonts w:hint="default" w:ascii="Times New Roman" w:hAnsi="Times New Roman" w:eastAsia="宋体" w:cs="Times New Roman"/>
                <w:color w:val="auto"/>
              </w:rPr>
              <w:t>表2- 14</w:t>
            </w:r>
            <w:r>
              <w:rPr>
                <w:rFonts w:hint="default" w:ascii="Times New Roman" w:hAnsi="Times New Roman" w:eastAsia="宋体" w:cs="Times New Roman"/>
                <w:color w:val="auto"/>
                <w:lang w:val="en-US"/>
              </w:rPr>
              <w:fldChar w:fldCharType="end"/>
            </w:r>
            <w:r>
              <w:rPr>
                <w:rFonts w:hint="default" w:ascii="Times New Roman" w:hAnsi="Times New Roman" w:eastAsia="宋体" w:cs="Times New Roman"/>
                <w:color w:val="auto"/>
              </w:rPr>
              <w:t>：</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b/>
                <w:bCs/>
                <w:color w:val="auto"/>
                <w:sz w:val="24"/>
              </w:rPr>
            </w:pPr>
            <w:bookmarkStart w:id="20" w:name="_Ref1340"/>
            <w:r>
              <w:rPr>
                <w:rFonts w:hint="default" w:ascii="Times New Roman" w:hAnsi="Times New Roman" w:eastAsia="宋体" w:cs="Times New Roman"/>
                <w:color w:val="auto"/>
              </w:rPr>
              <w:t xml:space="preserve">表2-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表2-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14</w:t>
            </w:r>
            <w:r>
              <w:rPr>
                <w:rFonts w:hint="default" w:ascii="Times New Roman" w:hAnsi="Times New Roman" w:eastAsia="宋体" w:cs="Times New Roman"/>
                <w:color w:val="auto"/>
              </w:rPr>
              <w:fldChar w:fldCharType="end"/>
            </w:r>
            <w:bookmarkEnd w:id="20"/>
            <w:r>
              <w:rPr>
                <w:rFonts w:hint="default" w:ascii="Times New Roman" w:hAnsi="Times New Roman" w:eastAsia="宋体" w:cs="Times New Roman"/>
                <w:b/>
                <w:bCs/>
                <w:color w:val="auto"/>
                <w:sz w:val="24"/>
              </w:rPr>
              <w:t>项目产污环节一览表</w:t>
            </w:r>
          </w:p>
          <w:tbl>
            <w:tblPr>
              <w:tblStyle w:val="26"/>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7"/>
              <w:gridCol w:w="577"/>
              <w:gridCol w:w="1093"/>
              <w:gridCol w:w="1342"/>
              <w:gridCol w:w="1465"/>
              <w:gridCol w:w="42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类别</w:t>
                  </w:r>
                </w:p>
              </w:tc>
              <w:tc>
                <w:tcPr>
                  <w:tcW w:w="909" w:type="pct"/>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污染源名称</w:t>
                  </w:r>
                </w:p>
              </w:tc>
              <w:tc>
                <w:tcPr>
                  <w:tcW w:w="73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污染因子</w:t>
                  </w:r>
                </w:p>
              </w:tc>
              <w:tc>
                <w:tcPr>
                  <w:tcW w:w="79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产生环节</w:t>
                  </w:r>
                </w:p>
              </w:tc>
              <w:tc>
                <w:tcPr>
                  <w:tcW w:w="232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废气</w:t>
                  </w:r>
                </w:p>
              </w:tc>
              <w:tc>
                <w:tcPr>
                  <w:tcW w:w="909" w:type="pct"/>
                  <w:gridSpan w:val="2"/>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喷砂废气</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喷砂</w:t>
                  </w:r>
                </w:p>
              </w:tc>
              <w:tc>
                <w:tcPr>
                  <w:tcW w:w="232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集气管收集后经“滤筒除尘器”处理后通过1根15m高排气筒（DA001）排放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909" w:type="pct"/>
                  <w:gridSpan w:val="2"/>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喷粉废气</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喷粉</w:t>
                  </w:r>
                </w:p>
              </w:tc>
              <w:tc>
                <w:tcPr>
                  <w:tcW w:w="232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经“滤筒式粉尘回收机”处理后通过1根15m高排气筒（DA002）排放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909" w:type="pct"/>
                  <w:gridSpan w:val="2"/>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喷粉烘干</w:t>
                  </w:r>
                </w:p>
              </w:tc>
              <w:tc>
                <w:tcPr>
                  <w:tcW w:w="232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经“水喷淋塔+活性炭吸附装置”处理后通过1根15m高排气筒（DA003）排放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909" w:type="pct"/>
                  <w:gridSpan w:val="2"/>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喷漆废气</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有机废气、颗粒物（漆雾）</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调漆、喷漆、喷漆烘干</w:t>
                  </w:r>
                </w:p>
              </w:tc>
              <w:tc>
                <w:tcPr>
                  <w:tcW w:w="232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收集后经</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水喷淋塔+二级活性炭吸附装置</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处理达标后沿15m高的排气筒</w:t>
                  </w:r>
                  <w:r>
                    <w:rPr>
                      <w:rFonts w:hint="eastAsia" w:cs="Times New Roman"/>
                      <w:color w:val="auto"/>
                      <w:lang w:eastAsia="zh-CN"/>
                    </w:rPr>
                    <w:t>（</w:t>
                  </w:r>
                  <w:r>
                    <w:rPr>
                      <w:rFonts w:hint="default" w:ascii="Times New Roman" w:hAnsi="Times New Roman" w:eastAsia="宋体" w:cs="Times New Roman"/>
                      <w:color w:val="auto"/>
                    </w:rPr>
                    <w:t>DA00</w:t>
                  </w:r>
                  <w:r>
                    <w:rPr>
                      <w:rFonts w:hint="default" w:ascii="Times New Roman" w:hAnsi="Times New Roman" w:eastAsia="宋体" w:cs="Times New Roman"/>
                      <w:color w:val="auto"/>
                      <w:lang w:val="en-US" w:eastAsia="zh-CN"/>
                    </w:rPr>
                    <w:t>4</w:t>
                  </w:r>
                  <w:r>
                    <w:rPr>
                      <w:rFonts w:hint="eastAsia" w:cs="Times New Roman"/>
                      <w:color w:val="auto"/>
                      <w:lang w:eastAsia="zh-CN"/>
                    </w:rPr>
                    <w:t>）</w:t>
                  </w:r>
                  <w:r>
                    <w:rPr>
                      <w:rFonts w:hint="default" w:ascii="Times New Roman" w:hAnsi="Times New Roman" w:eastAsia="宋体" w:cs="Times New Roman"/>
                      <w:color w:val="auto"/>
                    </w:rPr>
                    <w:t>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废水</w:t>
                  </w:r>
                </w:p>
              </w:tc>
              <w:tc>
                <w:tcPr>
                  <w:tcW w:w="909" w:type="pct"/>
                  <w:gridSpan w:val="2"/>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生活污水</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COD</w:t>
                  </w:r>
                  <w:r>
                    <w:rPr>
                      <w:rFonts w:hint="default" w:ascii="Times New Roman" w:hAnsi="Times New Roman" w:eastAsia="宋体" w:cs="Times New Roman"/>
                      <w:color w:val="auto"/>
                      <w:vertAlign w:val="subscript"/>
                      <w:lang w:val="en-US" w:eastAsia="zh-CN"/>
                    </w:rPr>
                    <w:t>C</w:t>
                  </w:r>
                  <w:r>
                    <w:rPr>
                      <w:rFonts w:hint="default" w:ascii="Times New Roman" w:hAnsi="Times New Roman" w:eastAsia="宋体" w:cs="Times New Roman"/>
                      <w:color w:val="auto"/>
                      <w:vertAlign w:val="subscript"/>
                    </w:rPr>
                    <w:t>r</w:t>
                  </w:r>
                  <w:r>
                    <w:rPr>
                      <w:rFonts w:hint="default" w:ascii="Times New Roman" w:hAnsi="Times New Roman" w:eastAsia="宋体" w:cs="Times New Roman"/>
                      <w:color w:val="auto"/>
                    </w:rPr>
                    <w:t>、BOD</w:t>
                  </w:r>
                  <w:r>
                    <w:rPr>
                      <w:rFonts w:hint="default" w:ascii="Times New Roman" w:hAnsi="Times New Roman" w:eastAsia="宋体" w:cs="Times New Roman"/>
                      <w:color w:val="auto"/>
                      <w:vertAlign w:val="subscript"/>
                    </w:rPr>
                    <w:t>5</w:t>
                  </w:r>
                  <w:r>
                    <w:rPr>
                      <w:rFonts w:hint="default" w:ascii="Times New Roman" w:hAnsi="Times New Roman" w:eastAsia="宋体" w:cs="Times New Roman"/>
                      <w:color w:val="auto"/>
                    </w:rPr>
                    <w:t>、SS、</w:t>
                  </w:r>
                  <w:r>
                    <w:rPr>
                      <w:rFonts w:hint="default" w:ascii="Times New Roman" w:hAnsi="Times New Roman" w:eastAsia="宋体" w:cs="Times New Roman"/>
                      <w:color w:val="auto"/>
                      <w:lang w:eastAsia="zh-CN"/>
                    </w:rPr>
                    <w:t>氨氮</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员工办公生活</w:t>
                  </w:r>
                </w:p>
              </w:tc>
              <w:tc>
                <w:tcPr>
                  <w:tcW w:w="232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rPr>
                    <w:t>生活污水由三级化粪池预处理达标后经市政管网纳入石湾镇大牛垒生活污水处理厂处理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噪声</w:t>
                  </w:r>
                </w:p>
              </w:tc>
              <w:tc>
                <w:tcPr>
                  <w:tcW w:w="909" w:type="pct"/>
                  <w:gridSpan w:val="2"/>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生产机械及废气处理设施风机</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噪声</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生产过程</w:t>
                  </w:r>
                </w:p>
              </w:tc>
              <w:tc>
                <w:tcPr>
                  <w:tcW w:w="232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设备选型、隔声降噪等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固废</w:t>
                  </w:r>
                </w:p>
              </w:tc>
              <w:tc>
                <w:tcPr>
                  <w:tcW w:w="314"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一般工业固体</w:t>
                  </w:r>
                </w:p>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废物</w:t>
                  </w: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铁料边角料、铝料边角料</w:t>
                  </w:r>
                </w:p>
              </w:tc>
              <w:tc>
                <w:tcPr>
                  <w:tcW w:w="731" w:type="pct"/>
                  <w:tcBorders>
                    <w:tl2br w:val="nil"/>
                    <w:tr2bl w:val="nil"/>
                  </w:tcBorders>
                  <w:noWrap w:val="0"/>
                  <w:vAlign w:val="center"/>
                </w:tcPr>
                <w:p>
                  <w:pPr>
                    <w:keepNext w:val="0"/>
                    <w:keepLines w:val="0"/>
                    <w:suppressLineNumbers w:val="0"/>
                    <w:bidi w:val="0"/>
                    <w:spacing w:before="0" w:beforeAutospacing="0" w:after="0" w:afterAutospacing="0"/>
                    <w:ind w:left="0" w:right="0"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开料、冲压、钻孔、攻牙</w:t>
                  </w:r>
                </w:p>
              </w:tc>
              <w:tc>
                <w:tcPr>
                  <w:tcW w:w="232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交专业回收单位回收处理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滤筒除尘器收集的粉尘</w:t>
                  </w:r>
                </w:p>
              </w:tc>
              <w:tc>
                <w:tcPr>
                  <w:tcW w:w="731" w:type="pct"/>
                  <w:tcBorders>
                    <w:tl2br w:val="nil"/>
                    <w:tr2bl w:val="nil"/>
                  </w:tcBorders>
                  <w:noWrap w:val="0"/>
                  <w:vAlign w:val="center"/>
                </w:tcPr>
                <w:p>
                  <w:pPr>
                    <w:keepNext w:val="0"/>
                    <w:keepLines w:val="0"/>
                    <w:suppressLineNumbers w:val="0"/>
                    <w:bidi w:val="0"/>
                    <w:spacing w:before="0" w:beforeAutospacing="0" w:after="0" w:afterAutospacing="0"/>
                    <w:ind w:left="0" w:right="0" w:firstLine="480" w:firstLineChars="20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rPr>
                    <w:t>—</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喷粉、喷砂</w:t>
                  </w:r>
                </w:p>
              </w:tc>
              <w:tc>
                <w:tcPr>
                  <w:tcW w:w="232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收集后回收利用于生产过程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废包装材料包装</w:t>
                  </w:r>
                </w:p>
              </w:tc>
              <w:tc>
                <w:tcPr>
                  <w:tcW w:w="731" w:type="pct"/>
                  <w:tcBorders>
                    <w:tl2br w:val="nil"/>
                    <w:tr2bl w:val="nil"/>
                  </w:tcBorders>
                  <w:noWrap w:val="0"/>
                  <w:vAlign w:val="center"/>
                </w:tcPr>
                <w:p>
                  <w:pPr>
                    <w:keepNext w:val="0"/>
                    <w:keepLines w:val="0"/>
                    <w:suppressLineNumbers w:val="0"/>
                    <w:bidi w:val="0"/>
                    <w:spacing w:before="0" w:beforeAutospacing="0" w:after="0" w:afterAutospacing="0"/>
                    <w:ind w:left="0" w:right="0"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包装</w:t>
                  </w:r>
                </w:p>
              </w:tc>
              <w:tc>
                <w:tcPr>
                  <w:tcW w:w="2322"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rPr>
                    <w:t>交专业回收单位回收处理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钣金件次品、灯饰配件次品、散热器次品</w:t>
                  </w:r>
                </w:p>
              </w:tc>
              <w:tc>
                <w:tcPr>
                  <w:tcW w:w="731" w:type="pct"/>
                  <w:tcBorders>
                    <w:tl2br w:val="nil"/>
                    <w:tr2bl w:val="nil"/>
                  </w:tcBorders>
                  <w:noWrap w:val="0"/>
                  <w:vAlign w:val="center"/>
                </w:tcPr>
                <w:p>
                  <w:pPr>
                    <w:keepNext w:val="0"/>
                    <w:keepLines w:val="0"/>
                    <w:suppressLineNumbers w:val="0"/>
                    <w:bidi w:val="0"/>
                    <w:spacing w:before="0" w:beforeAutospacing="0" w:after="0" w:afterAutospacing="0"/>
                    <w:ind w:left="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质检</w:t>
                  </w:r>
                </w:p>
              </w:tc>
              <w:tc>
                <w:tcPr>
                  <w:tcW w:w="232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生活</w:t>
                  </w:r>
                </w:p>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垃圾</w:t>
                  </w: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生活垃圾</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员工办公生活</w:t>
                  </w:r>
                </w:p>
              </w:tc>
              <w:tc>
                <w:tcPr>
                  <w:tcW w:w="232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交环卫部门统一清运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vMerge w:val="restart"/>
                  <w:tcBorders>
                    <w:tl2br w:val="nil"/>
                    <w:tr2bl w:val="nil"/>
                  </w:tcBorders>
                  <w:shd w:val="clear" w:color="auto" w:fill="auto"/>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危险</w:t>
                  </w:r>
                </w:p>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废物</w:t>
                  </w:r>
                </w:p>
              </w:tc>
              <w:tc>
                <w:tcPr>
                  <w:tcW w:w="595" w:type="pct"/>
                  <w:tcBorders>
                    <w:tl2br w:val="nil"/>
                    <w:tr2bl w:val="nil"/>
                  </w:tcBorders>
                  <w:shd w:val="clear" w:color="auto" w:fill="auto"/>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废涂料包装桶</w:t>
                  </w:r>
                </w:p>
              </w:tc>
              <w:tc>
                <w:tcPr>
                  <w:tcW w:w="731" w:type="pct"/>
                  <w:tcBorders>
                    <w:tl2br w:val="nil"/>
                    <w:tr2bl w:val="nil"/>
                  </w:tcBorders>
                  <w:shd w:val="clear" w:color="auto" w:fill="auto"/>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水性油漆、粉末涂料</w:t>
                  </w:r>
                </w:p>
              </w:tc>
              <w:tc>
                <w:tcPr>
                  <w:tcW w:w="798" w:type="pct"/>
                  <w:tcBorders>
                    <w:tl2br w:val="nil"/>
                    <w:tr2bl w:val="nil"/>
                  </w:tcBorders>
                  <w:shd w:val="clear" w:color="auto" w:fill="auto"/>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喷漆、喷粉</w:t>
                  </w:r>
                </w:p>
              </w:tc>
              <w:tc>
                <w:tcPr>
                  <w:tcW w:w="2322" w:type="pct"/>
                  <w:vMerge w:val="restart"/>
                  <w:tcBorders>
                    <w:tl2br w:val="nil"/>
                    <w:tr2bl w:val="nil"/>
                  </w:tcBorders>
                  <w:shd w:val="clear" w:color="auto" w:fill="auto"/>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委托有资质的单位处理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废活性炭</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有机废气</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废气处理</w:t>
                  </w:r>
                </w:p>
              </w:tc>
              <w:tc>
                <w:tcPr>
                  <w:tcW w:w="232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漆渣</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水性油漆</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喷漆</w:t>
                  </w:r>
                </w:p>
              </w:tc>
              <w:tc>
                <w:tcPr>
                  <w:tcW w:w="232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废手套和抹布</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cs="Times New Roman"/>
                      <w:color w:val="auto"/>
                      <w:lang w:val="en-US" w:eastAsia="zh-CN"/>
                    </w:rPr>
                    <w:t>矿物油</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设备维护等</w:t>
                  </w:r>
                </w:p>
              </w:tc>
              <w:tc>
                <w:tcPr>
                  <w:tcW w:w="232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废矿物油及其包装桶</w:t>
                  </w:r>
                </w:p>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矿物油</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设备维护等</w:t>
                  </w:r>
                </w:p>
              </w:tc>
              <w:tc>
                <w:tcPr>
                  <w:tcW w:w="232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水帘柜废水</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漆渣</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废气处理</w:t>
                  </w:r>
                </w:p>
              </w:tc>
              <w:tc>
                <w:tcPr>
                  <w:tcW w:w="232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喷淋塔废水</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有机废气</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废气处理</w:t>
                  </w:r>
                </w:p>
              </w:tc>
              <w:tc>
                <w:tcPr>
                  <w:tcW w:w="232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5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喷枪清洗废水</w:t>
                  </w:r>
                </w:p>
              </w:tc>
              <w:tc>
                <w:tcPr>
                  <w:tcW w:w="7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水性油漆</w:t>
                  </w:r>
                </w:p>
              </w:tc>
              <w:tc>
                <w:tcPr>
                  <w:tcW w:w="7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设备维护</w:t>
                  </w:r>
                </w:p>
              </w:tc>
              <w:tc>
                <w:tcPr>
                  <w:tcW w:w="232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r>
          </w:tbl>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noWrap w:val="0"/>
            <w:vAlign w:val="center"/>
          </w:tcPr>
          <w:p>
            <w:pPr>
              <w:pStyle w:val="54"/>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Cs w:val="24"/>
              </w:rPr>
            </w:pPr>
            <w:r>
              <w:rPr>
                <w:rFonts w:hint="default" w:ascii="Times New Roman" w:hAnsi="Times New Roman" w:eastAsia="宋体" w:cs="Times New Roman"/>
                <w:color w:val="auto"/>
              </w:rPr>
              <w:t>与项目有关的原有环境污染问题</w:t>
            </w:r>
          </w:p>
        </w:tc>
        <w:tc>
          <w:tcPr>
            <w:tcW w:w="4773" w:type="pct"/>
            <w:noWrap w:val="0"/>
            <w:vAlign w:val="center"/>
          </w:tcPr>
          <w:p>
            <w:pPr>
              <w:pStyle w:val="57"/>
              <w:keepNext w:val="0"/>
              <w:keepLines w:val="0"/>
              <w:numPr>
                <w:ilvl w:val="0"/>
                <w:numId w:val="0"/>
              </w:numPr>
              <w:suppressLineNumbers w:val="0"/>
              <w:bidi w:val="0"/>
              <w:spacing w:before="0" w:beforeAutospacing="0" w:after="0" w:afterAutospacing="0"/>
              <w:ind w:left="480" w:leftChars="200" w:right="0" w:rightChars="0"/>
              <w:rPr>
                <w:rFonts w:hint="default"/>
                <w:lang w:val="en-US" w:eastAsia="zh-CN"/>
              </w:rPr>
            </w:pPr>
            <w:r>
              <w:rPr>
                <w:rFonts w:hint="eastAsia"/>
                <w:lang w:val="en-US" w:eastAsia="zh-CN"/>
              </w:rPr>
              <w:t>无</w:t>
            </w:r>
          </w:p>
          <w:p>
            <w:pPr>
              <w:pStyle w:val="57"/>
              <w:keepNext w:val="0"/>
              <w:keepLines w:val="0"/>
              <w:numPr>
                <w:ilvl w:val="0"/>
                <w:numId w:val="0"/>
              </w:numPr>
              <w:suppressLineNumbers w:val="0"/>
              <w:bidi w:val="0"/>
              <w:spacing w:before="0" w:beforeAutospacing="0" w:after="0" w:afterAutospacing="0"/>
              <w:ind w:left="480" w:leftChars="200" w:right="0"/>
              <w:rPr>
                <w:rFonts w:hint="default"/>
                <w:lang w:val="en-US" w:eastAsia="zh-CN"/>
              </w:rPr>
            </w:pP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br w:type="textWrapping"/>
            </w:r>
          </w:p>
          <w:p>
            <w:pPr>
              <w:keepNext w:val="0"/>
              <w:keepLines w:val="0"/>
              <w:suppressLineNumbers w:val="0"/>
              <w:adjustRightInd/>
              <w:snapToGrid/>
              <w:spacing w:before="0" w:beforeAutospacing="0" w:after="0" w:afterAutospacing="0"/>
              <w:ind w:left="0" w:right="0" w:firstLine="0" w:firstLineChars="0"/>
              <w:rPr>
                <w:rFonts w:hint="default" w:ascii="Times New Roman" w:hAnsi="Times New Roman" w:eastAsia="宋体" w:cs="Times New Roman"/>
                <w:bCs/>
                <w:color w:val="auto"/>
                <w:szCs w:val="21"/>
              </w:rPr>
            </w:pPr>
          </w:p>
        </w:tc>
      </w:tr>
    </w:tbl>
    <w:p>
      <w:pPr>
        <w:pStyle w:val="22"/>
        <w:jc w:val="center"/>
        <w:rPr>
          <w:rFonts w:hint="default" w:ascii="Times New Roman" w:hAnsi="Times New Roman" w:eastAsia="宋体" w:cs="Times New Roman"/>
          <w:snapToGrid w:val="0"/>
          <w:color w:val="auto"/>
          <w:sz w:val="36"/>
          <w:szCs w:val="36"/>
        </w:rPr>
        <w:sectPr>
          <w:footerReference r:id="rId8" w:type="default"/>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pPr>
        <w:pStyle w:val="22"/>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三、区域环境质量现状、环境保护目标及评价标准</w:t>
      </w: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91"/>
        <w:gridCol w:w="93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249" w:type="pct"/>
            <w:noWrap w:val="0"/>
            <w:vAlign w:val="center"/>
          </w:tcPr>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区域</w:t>
            </w:r>
          </w:p>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w:t>
            </w:r>
          </w:p>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质量</w:t>
            </w:r>
          </w:p>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rPr>
              <w:t>现状</w:t>
            </w:r>
          </w:p>
        </w:tc>
        <w:tc>
          <w:tcPr>
            <w:tcW w:w="4750" w:type="pct"/>
            <w:noWrap w:val="0"/>
            <w:vAlign w:val="center"/>
          </w:tcPr>
          <w:p>
            <w:pPr>
              <w:keepNext w:val="0"/>
              <w:keepLines w:val="0"/>
              <w:numPr>
                <w:ilvl w:val="0"/>
                <w:numId w:val="9"/>
              </w:numPr>
              <w:suppressLineNumbers w:val="0"/>
              <w:adjustRightInd/>
              <w:snapToGrid/>
              <w:spacing w:before="0" w:beforeAutospacing="0" w:after="0" w:afterAutospacing="0" w:line="360" w:lineRule="auto"/>
              <w:ind w:left="0" w:right="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大气环境</w:t>
            </w:r>
          </w:p>
          <w:p>
            <w:pPr>
              <w:keepNext w:val="0"/>
              <w:keepLines w:val="0"/>
              <w:numPr>
                <w:ilvl w:val="0"/>
                <w:numId w:val="10"/>
              </w:numPr>
              <w:suppressLineNumbers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常规污染物</w:t>
            </w:r>
          </w:p>
          <w:p>
            <w:pPr>
              <w:keepNext w:val="0"/>
              <w:keepLines w:val="0"/>
              <w:suppressLineNumbers w:val="0"/>
              <w:tabs>
                <w:tab w:val="left" w:pos="5174"/>
              </w:tabs>
              <w:adjustRightInd w:val="0"/>
              <w:snapToGrid w:val="0"/>
              <w:spacing w:before="0" w:beforeAutospacing="0" w:after="0" w:afterAutospacing="0" w:line="360" w:lineRule="auto"/>
              <w:ind w:left="0" w:right="0"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惠州市环境空气质量功能区划（2021年修订）》（惠市环【2021】1号），本项目所在地属环境空气质量功能区的二类区，环境空气质量应执行《环境空气质量标准》（GB3095-2012）及其修改单二级标准。根据《202</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年惠州市</w:t>
            </w:r>
            <w:r>
              <w:rPr>
                <w:rFonts w:hint="default" w:ascii="Times New Roman" w:hAnsi="Times New Roman" w:eastAsia="宋体" w:cs="Times New Roman"/>
                <w:color w:val="auto"/>
                <w:sz w:val="24"/>
                <w:lang w:val="en-US" w:eastAsia="zh-CN"/>
              </w:rPr>
              <w:t>生态</w:t>
            </w:r>
            <w:r>
              <w:rPr>
                <w:rFonts w:hint="default" w:ascii="Times New Roman" w:hAnsi="Times New Roman" w:eastAsia="宋体" w:cs="Times New Roman"/>
                <w:color w:val="auto"/>
                <w:sz w:val="24"/>
              </w:rPr>
              <w:t>环境状况公报》内容：2022年，各县区二氧化硫、二氧化氮、一氧化碳、可吸入颗粒物PM10年评价浓度达到国家一级标准，细颗粒物PM2.5和臭氧年评价浓度达到国家二级标准及以上；各县区AQI达标率范围在91.8%～97.3%之间,综合指数范围在2.31～2.70之间；首要污染物主要为臭氧。</w:t>
            </w:r>
          </w:p>
          <w:p>
            <w:pPr>
              <w:keepNext w:val="0"/>
              <w:keepLines w:val="0"/>
              <w:suppressLineNumbers w:val="0"/>
              <w:tabs>
                <w:tab w:val="left" w:pos="5174"/>
              </w:tabs>
              <w:adjustRightInd w:val="0"/>
              <w:snapToGrid w:val="0"/>
              <w:spacing w:before="0" w:beforeAutospacing="0" w:after="0" w:afterAutospacing="0" w:line="360" w:lineRule="auto"/>
              <w:ind w:left="0" w:right="0" w:firstLine="482"/>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t>2022年，环境空气质量综合指数由好到差依次排名为龙门县、惠东县、大亚湾区、惠阳区、惠城区、博罗县、仲恺区。与上年同期相比，7个县区空气质量均改善。总体来说，项目所在地空气质量良好，所在区域为达标区。</w:t>
            </w:r>
            <w:r>
              <w:rPr>
                <w:rFonts w:hint="default" w:ascii="Times New Roman" w:hAnsi="Times New Roman" w:eastAsia="宋体" w:cs="Times New Roman"/>
                <w:color w:val="auto"/>
                <w:sz w:val="24"/>
                <w:lang w:val="en-US" w:eastAsia="zh-CN"/>
              </w:rPr>
              <w:t>评</w:t>
            </w:r>
            <w:r>
              <w:rPr>
                <w:rFonts w:hint="default" w:ascii="Times New Roman" w:hAnsi="Times New Roman" w:eastAsia="宋体" w:cs="Times New Roman"/>
                <w:bCs/>
                <w:color w:val="auto"/>
                <w:sz w:val="24"/>
              </w:rPr>
              <w:t>价区域内的环境空气质量良好。</w:t>
            </w:r>
          </w:p>
          <w:p>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drawing>
                <wp:inline distT="0" distB="0" distL="114300" distR="114300">
                  <wp:extent cx="5114290" cy="4218940"/>
                  <wp:effectExtent l="0" t="0" r="10160" b="10160"/>
                  <wp:docPr id="2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6"/>
                          <pic:cNvPicPr>
                            <a:picLocks noChangeAspect="1"/>
                          </pic:cNvPicPr>
                        </pic:nvPicPr>
                        <pic:blipFill>
                          <a:blip r:embed="rId23"/>
                          <a:stretch>
                            <a:fillRect/>
                          </a:stretch>
                        </pic:blipFill>
                        <pic:spPr>
                          <a:xfrm>
                            <a:off x="0" y="0"/>
                            <a:ext cx="5114290" cy="4218940"/>
                          </a:xfrm>
                          <a:prstGeom prst="rect">
                            <a:avLst/>
                          </a:prstGeom>
                          <a:noFill/>
                          <a:ln>
                            <a:noFill/>
                          </a:ln>
                        </pic:spPr>
                      </pic:pic>
                    </a:graphicData>
                  </a:graphic>
                </wp:inline>
              </w:drawing>
            </w:r>
          </w:p>
          <w:p>
            <w:pPr>
              <w:pStyle w:val="8"/>
              <w:keepNext w:val="0"/>
              <w:keepLines w:val="0"/>
              <w:suppressLineNumbers w:val="0"/>
              <w:spacing w:beforeAutospacing="0" w:afterAutospacing="0" w:line="360" w:lineRule="auto"/>
              <w:ind w:left="0" w:right="0"/>
              <w:jc w:val="center"/>
              <w:rPr>
                <w:rFonts w:hint="default" w:ascii="Times New Roman" w:hAnsi="Times New Roman" w:eastAsia="宋体" w:cs="Times New Roman"/>
                <w:b/>
                <w:bCs/>
                <w:color w:val="auto"/>
                <w:sz w:val="24"/>
              </w:rPr>
            </w:pPr>
            <w:r>
              <w:rPr>
                <w:rFonts w:hint="default" w:ascii="Times New Roman" w:hAnsi="Times New Roman" w:eastAsia="宋体" w:cs="Times New Roman"/>
                <w:color w:val="auto"/>
              </w:rPr>
              <w:t xml:space="preserve">图3-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图3-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b/>
                <w:bCs/>
                <w:color w:val="auto"/>
                <w:sz w:val="24"/>
              </w:rPr>
              <w:t>202</w:t>
            </w:r>
            <w:r>
              <w:rPr>
                <w:rFonts w:hint="default" w:ascii="Times New Roman" w:hAnsi="Times New Roman" w:eastAsia="宋体" w:cs="Times New Roman"/>
                <w:b/>
                <w:bCs/>
                <w:color w:val="auto"/>
                <w:sz w:val="24"/>
                <w:lang w:val="en-US" w:eastAsia="zh-CN"/>
              </w:rPr>
              <w:t>1</w:t>
            </w:r>
            <w:r>
              <w:rPr>
                <w:rFonts w:hint="default" w:ascii="Times New Roman" w:hAnsi="Times New Roman" w:eastAsia="宋体" w:cs="Times New Roman"/>
                <w:b/>
                <w:bCs/>
                <w:color w:val="auto"/>
                <w:sz w:val="24"/>
              </w:rPr>
              <w:t>年惠州市生态环境状况公报-环境空气质量</w:t>
            </w:r>
          </w:p>
          <w:p>
            <w:pPr>
              <w:keepNext w:val="0"/>
              <w:keepLines w:val="0"/>
              <w:suppressLineNumbers w:val="0"/>
              <w:spacing w:before="0" w:beforeAutospacing="0" w:after="0" w:afterAutospacing="0"/>
              <w:ind w:left="0" w:right="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为了解项目周围大气环境质量中TSP、非甲烷总烃和VOCs现状，本项目引用</w:t>
            </w:r>
            <w:r>
              <w:rPr>
                <w:rFonts w:hint="default" w:ascii="Times New Roman" w:hAnsi="Times New Roman" w:eastAsia="宋体" w:cs="Times New Roman"/>
                <w:bCs/>
                <w:color w:val="auto"/>
                <w:sz w:val="24"/>
                <w:highlight w:val="none"/>
              </w:rPr>
              <w:t>《广东博罗县产业转移工业园区2021年度环境管理状况评估工作报告》中</w:t>
            </w:r>
            <w:r>
              <w:rPr>
                <w:rFonts w:hint="default" w:ascii="Times New Roman" w:hAnsi="Times New Roman" w:eastAsia="宋体" w:cs="Times New Roman"/>
                <w:color w:val="auto"/>
                <w:sz w:val="24"/>
                <w:szCs w:val="24"/>
                <w:highlight w:val="none"/>
                <w:lang w:val="en-US" w:eastAsia="zh-CN"/>
              </w:rPr>
              <w:t>委托</w:t>
            </w:r>
            <w:r>
              <w:rPr>
                <w:rFonts w:hint="default" w:ascii="Times New Roman" w:hAnsi="Times New Roman" w:eastAsia="宋体" w:cs="Times New Roman"/>
                <w:bCs/>
                <w:color w:val="auto"/>
                <w:sz w:val="24"/>
                <w:highlight w:val="none"/>
                <w:lang w:val="en-US" w:eastAsia="zh-CN"/>
              </w:rPr>
              <w:t>广东宏科检测技术</w:t>
            </w:r>
            <w:r>
              <w:rPr>
                <w:rFonts w:hint="default" w:ascii="Times New Roman" w:hAnsi="Times New Roman" w:eastAsia="宋体" w:cs="Times New Roman"/>
                <w:bCs/>
                <w:color w:val="auto"/>
                <w:sz w:val="24"/>
                <w:highlight w:val="none"/>
              </w:rPr>
              <w:t>有限公司</w:t>
            </w:r>
            <w:r>
              <w:rPr>
                <w:rFonts w:hint="default" w:ascii="Times New Roman" w:hAnsi="Times New Roman" w:eastAsia="宋体" w:cs="Times New Roman"/>
                <w:color w:val="auto"/>
                <w:sz w:val="24"/>
                <w:szCs w:val="24"/>
                <w:highlight w:val="none"/>
                <w:lang w:val="en-US" w:eastAsia="zh-CN"/>
              </w:rPr>
              <w:t>于2021年11月28日~12月04日对其所在区域大气环境进行监测的监测数据（报告编号：</w:t>
            </w:r>
            <w:r>
              <w:rPr>
                <w:rFonts w:hint="default" w:ascii="Times New Roman" w:hAnsi="Times New Roman" w:eastAsia="宋体" w:cs="Times New Roman"/>
                <w:b w:val="0"/>
                <w:bCs w:val="0"/>
                <w:color w:val="auto"/>
                <w:sz w:val="24"/>
                <w:szCs w:val="24"/>
                <w:highlight w:val="none"/>
                <w:lang w:val="en-US" w:eastAsia="zh-CN"/>
              </w:rPr>
              <w:t>GDHK20211127002</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lang w:val="en-US" w:eastAsia="zh-CN"/>
              </w:rPr>
              <w:t>引用</w:t>
            </w:r>
            <w:r>
              <w:rPr>
                <w:rFonts w:hint="default" w:ascii="Times New Roman" w:hAnsi="Times New Roman" w:eastAsia="宋体" w:cs="Times New Roman"/>
                <w:color w:val="auto"/>
                <w:sz w:val="24"/>
                <w:szCs w:val="24"/>
                <w:highlight w:val="none"/>
                <w:lang w:val="en-US" w:eastAsia="zh-CN"/>
              </w:rPr>
              <w:t>监测点位A8铁场村位于</w:t>
            </w:r>
            <w:r>
              <w:rPr>
                <w:rFonts w:hint="default" w:ascii="Times New Roman" w:hAnsi="Times New Roman" w:eastAsia="宋体" w:cs="Times New Roman"/>
                <w:color w:val="auto"/>
                <w:sz w:val="24"/>
                <w:szCs w:val="24"/>
                <w:highlight w:val="none"/>
                <w:shd w:val="clear" w:color="auto" w:fill="auto"/>
                <w:lang w:val="en-US" w:eastAsia="zh-CN"/>
              </w:rPr>
              <w:t>本项目东南侧1803m处（＜5km），</w:t>
            </w:r>
            <w:r>
              <w:rPr>
                <w:rFonts w:hint="default" w:ascii="Times New Roman" w:hAnsi="Times New Roman" w:eastAsia="宋体" w:cs="Times New Roman"/>
                <w:color w:val="auto"/>
                <w:sz w:val="24"/>
                <w:szCs w:val="24"/>
                <w:highlight w:val="none"/>
                <w:lang w:val="en-US" w:eastAsia="zh-CN"/>
              </w:rPr>
              <w:t>监测数据具有有效性。具体监测结果如下表。</w:t>
            </w:r>
          </w:p>
          <w:p>
            <w:pPr>
              <w:pStyle w:val="8"/>
              <w:keepNext w:val="0"/>
              <w:keepLines w:val="0"/>
              <w:suppressLineNumbers w:val="0"/>
              <w:bidi w:val="0"/>
              <w:spacing w:beforeAutospacing="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 xml:space="preserve">表3-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表3-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t>项目大气环境质量现状引用监测结果（单位：m</w:t>
            </w:r>
            <w:r>
              <w:rPr>
                <w:rFonts w:hint="default" w:ascii="Times New Roman" w:hAnsi="Times New Roman" w:eastAsia="宋体" w:cs="Times New Roman"/>
                <w:color w:val="auto"/>
              </w:rPr>
              <w:t>g/m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lang w:val="en-US" w:eastAsia="zh-CN"/>
              </w:rPr>
              <w:t>）</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1508"/>
              <w:gridCol w:w="820"/>
              <w:gridCol w:w="1204"/>
              <w:gridCol w:w="1232"/>
              <w:gridCol w:w="811"/>
              <w:gridCol w:w="891"/>
              <w:gridCol w:w="891"/>
              <w:gridCol w:w="8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引用</w:t>
                  </w:r>
                  <w:r>
                    <w:rPr>
                      <w:rFonts w:hint="default" w:ascii="Times New Roman" w:hAnsi="Times New Roman" w:eastAsia="宋体" w:cs="Times New Roman"/>
                      <w:b/>
                      <w:bCs/>
                      <w:color w:val="auto"/>
                      <w:sz w:val="21"/>
                      <w:szCs w:val="21"/>
                    </w:rPr>
                    <w:t>采样点位</w:t>
                  </w:r>
                </w:p>
              </w:tc>
              <w:tc>
                <w:tcPr>
                  <w:tcW w:w="8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采样</w:t>
                  </w:r>
                  <w:r>
                    <w:rPr>
                      <w:rFonts w:hint="default" w:ascii="Times New Roman" w:hAnsi="Times New Roman" w:eastAsia="宋体" w:cs="Times New Roman"/>
                      <w:b/>
                      <w:bCs/>
                      <w:color w:val="auto"/>
                      <w:sz w:val="21"/>
                      <w:szCs w:val="21"/>
                    </w:rPr>
                    <w:t>日期</w:t>
                  </w:r>
                </w:p>
              </w:tc>
              <w:tc>
                <w:tcPr>
                  <w:tcW w:w="4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监测项目</w:t>
                  </w:r>
                </w:p>
              </w:tc>
              <w:tc>
                <w:tcPr>
                  <w:tcW w:w="65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平均时间</w:t>
                  </w:r>
                </w:p>
              </w:tc>
              <w:tc>
                <w:tcPr>
                  <w:tcW w:w="67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检测结果</w:t>
                  </w:r>
                </w:p>
              </w:tc>
              <w:tc>
                <w:tcPr>
                  <w:tcW w:w="4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标准限值</w:t>
                  </w:r>
                </w:p>
              </w:tc>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最大浓度占标率%</w:t>
                  </w:r>
                </w:p>
              </w:tc>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超标率%</w:t>
                  </w:r>
                </w:p>
              </w:tc>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sz w:val="21"/>
                      <w:szCs w:val="21"/>
                      <w:lang w:val="en-US" w:eastAsia="zh-CN"/>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8"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铁场村（A8）</w:t>
                  </w:r>
                </w:p>
              </w:tc>
              <w:tc>
                <w:tcPr>
                  <w:tcW w:w="8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2021年06月09日</w:t>
                  </w:r>
                </w:p>
              </w:tc>
              <w:tc>
                <w:tcPr>
                  <w:tcW w:w="4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TSP</w:t>
                  </w:r>
                </w:p>
              </w:tc>
              <w:tc>
                <w:tcPr>
                  <w:tcW w:w="65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24小时均值</w:t>
                  </w:r>
                </w:p>
              </w:tc>
              <w:tc>
                <w:tcPr>
                  <w:tcW w:w="67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0.143-0.170</w:t>
                  </w:r>
                </w:p>
              </w:tc>
              <w:tc>
                <w:tcPr>
                  <w:tcW w:w="4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56.7</w:t>
                  </w:r>
                </w:p>
              </w:tc>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8"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8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2021年06月10日</w:t>
                  </w:r>
                </w:p>
              </w:tc>
              <w:tc>
                <w:tcPr>
                  <w:tcW w:w="4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TVOC</w:t>
                  </w:r>
                </w:p>
              </w:tc>
              <w:tc>
                <w:tcPr>
                  <w:tcW w:w="65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8小时均值</w:t>
                  </w:r>
                </w:p>
              </w:tc>
              <w:tc>
                <w:tcPr>
                  <w:tcW w:w="67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0.125-0.214</w:t>
                  </w:r>
                </w:p>
              </w:tc>
              <w:tc>
                <w:tcPr>
                  <w:tcW w:w="4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0.6</w:t>
                  </w:r>
                </w:p>
              </w:tc>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35.7</w:t>
                  </w:r>
                </w:p>
              </w:tc>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c>
                <w:tcPr>
                  <w:tcW w:w="487" w:type="pct"/>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8"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8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2021年06月11日</w:t>
                  </w:r>
                </w:p>
              </w:tc>
              <w:tc>
                <w:tcPr>
                  <w:tcW w:w="4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65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1小时均值</w:t>
                  </w:r>
                </w:p>
              </w:tc>
              <w:tc>
                <w:tcPr>
                  <w:tcW w:w="67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0.084-1.16</w:t>
                  </w:r>
                </w:p>
              </w:tc>
              <w:tc>
                <w:tcPr>
                  <w:tcW w:w="4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58</w:t>
                  </w:r>
                </w:p>
              </w:tc>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c>
                <w:tcPr>
                  <w:tcW w:w="487" w:type="pct"/>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达标</w:t>
                  </w:r>
                </w:p>
              </w:tc>
            </w:tr>
          </w:tbl>
          <w:p>
            <w:pPr>
              <w:keepNext w:val="0"/>
              <w:keepLines w:val="0"/>
              <w:pageBreakBefore w:val="0"/>
              <w:widowControl w:val="0"/>
              <w:suppressLineNumbers w:val="0"/>
              <w:kinsoku/>
              <w:wordWrap/>
              <w:overflowPunct/>
              <w:topLinePunct w:val="0"/>
              <w:bidi w:val="0"/>
              <w:snapToGrid/>
              <w:spacing w:before="0" w:beforeAutospacing="0" w:after="0" w:afterAutospacing="0"/>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由以上监测结果可知，引用</w:t>
            </w:r>
            <w:r>
              <w:rPr>
                <w:rFonts w:hint="default" w:ascii="Times New Roman" w:hAnsi="Times New Roman" w:eastAsia="宋体" w:cs="Times New Roman"/>
                <w:color w:val="auto"/>
                <w:sz w:val="24"/>
                <w:szCs w:val="24"/>
                <w:highlight w:val="none"/>
                <w:lang w:val="en-US" w:eastAsia="zh-CN"/>
              </w:rPr>
              <w:t>监测点位铁场村A8根据引用的监测数据，项目所在区域 TVOC 的监测值满足《环境影响评价技术导则 大气导则》（HJ2.2-2018）附录 D 其他污染物空气质量浓度参考限值，TSP 达到《环境空气质量标准》（GB3095-2012）及其修改单中的二级标准浓度限值，非甲烷总烃达到《大气污染物综合排放标准详解》中推荐的浓度限值要求。</w:t>
            </w:r>
            <w:r>
              <w:rPr>
                <w:rFonts w:hint="default" w:ascii="Times New Roman" w:hAnsi="Times New Roman" w:eastAsia="宋体" w:cs="Times New Roman"/>
                <w:color w:val="auto"/>
                <w:sz w:val="24"/>
                <w:szCs w:val="24"/>
                <w:lang w:val="en-US" w:eastAsia="zh-CN"/>
              </w:rPr>
              <w:t>说明项目所在区域空气质量较好。</w:t>
            </w:r>
          </w:p>
          <w:p>
            <w:pPr>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sz w:val="24"/>
                <w:szCs w:val="24"/>
                <w:lang w:val="en-US" w:eastAsia="zh-CN"/>
              </w:rPr>
              <w:t>综上所述，项目所在区域大气环境质量较好。</w:t>
            </w:r>
          </w:p>
          <w:p>
            <w:pPr>
              <w:keepNext w:val="0"/>
              <w:keepLines w:val="0"/>
              <w:numPr>
                <w:ilvl w:val="0"/>
                <w:numId w:val="9"/>
              </w:numPr>
              <w:suppressLineNumbers w:val="0"/>
              <w:spacing w:before="0" w:beforeAutospacing="0" w:after="0" w:afterAutospacing="0" w:line="360" w:lineRule="auto"/>
              <w:ind w:left="-2" w:right="0" w:firstLine="482" w:firstLineChars="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地表水环境</w:t>
            </w:r>
          </w:p>
          <w:p>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项目所在区域</w:t>
            </w:r>
            <w:r>
              <w:rPr>
                <w:rFonts w:hint="default" w:ascii="Times New Roman" w:hAnsi="Times New Roman" w:eastAsia="宋体" w:cs="Times New Roman"/>
                <w:color w:val="auto"/>
                <w:sz w:val="24"/>
                <w:szCs w:val="24"/>
                <w:lang w:val="en-US" w:eastAsia="zh-CN"/>
              </w:rPr>
              <w:t>纳污河流为石湾镇中心排渠，水质保护目标是V类，执行国家《地表水环境质量标准》（GB3838-2002）V类标准</w:t>
            </w:r>
            <w:r>
              <w:rPr>
                <w:rFonts w:hint="default" w:ascii="Times New Roman" w:hAnsi="Times New Roman" w:eastAsia="宋体" w:cs="Times New Roman"/>
                <w:color w:val="auto"/>
                <w:sz w:val="24"/>
                <w:szCs w:val="24"/>
                <w:lang w:eastAsia="zh-CN"/>
              </w:rPr>
              <w:t>。</w:t>
            </w:r>
          </w:p>
          <w:p>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本环评引用</w:t>
            </w:r>
            <w:r>
              <w:rPr>
                <w:rFonts w:hint="default" w:ascii="Times New Roman" w:hAnsi="Times New Roman" w:eastAsia="宋体" w:cs="Times New Roman"/>
                <w:color w:val="auto"/>
                <w:spacing w:val="4"/>
                <w:kern w:val="2"/>
                <w:sz w:val="24"/>
                <w:szCs w:val="24"/>
                <w:highlight w:val="none"/>
                <w:lang w:val="en-US" w:eastAsia="zh-CN" w:bidi="ar"/>
              </w:rPr>
              <w:t>《广东博罗县产业转移工业园区 2021 年度环境管理状况评估工作报告》委托广东宏科检测技术有限公司于2021年11月27日~2021年11月29日对石湾镇中心排渠进行监测的数据</w:t>
            </w:r>
            <w:r>
              <w:rPr>
                <w:rFonts w:hint="default" w:ascii="Times New Roman" w:hAnsi="Times New Roman" w:eastAsia="宋体" w:cs="Times New Roman"/>
                <w:color w:val="auto"/>
                <w:sz w:val="24"/>
                <w:szCs w:val="24"/>
                <w:highlight w:val="none"/>
                <w:shd w:val="clear" w:color="auto" w:fill="auto"/>
                <w:lang w:val="en-US" w:eastAsia="zh-CN"/>
              </w:rPr>
              <w:t>（报告编号：GDHK20211127002）</w:t>
            </w:r>
            <w:r>
              <w:rPr>
                <w:rFonts w:hint="default" w:ascii="Times New Roman" w:hAnsi="Times New Roman" w:eastAsia="宋体" w:cs="Times New Roman"/>
                <w:color w:val="auto"/>
                <w:sz w:val="24"/>
                <w:szCs w:val="24"/>
              </w:rPr>
              <w:t>，连续监测</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天，每天采样</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次。引用项目地表水监测与本项目受纳水体属同一条河流，且为近3年有效监测数据，因此引用数据具有可行性，具体监测断面和监测数据见下表：</w:t>
            </w:r>
          </w:p>
          <w:p>
            <w:pPr>
              <w:keepNext w:val="0"/>
              <w:keepLines w:val="0"/>
              <w:suppressLineNumbers w:val="0"/>
              <w:spacing w:before="0" w:beforeAutospacing="0" w:after="0" w:afterAutospacing="0" w:line="360" w:lineRule="auto"/>
              <w:ind w:left="-11"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（1）监测断面</w:t>
            </w:r>
          </w:p>
          <w:p>
            <w:pPr>
              <w:keepNext w:val="0"/>
              <w:keepLines w:val="0"/>
              <w:suppressLineNumbers w:val="0"/>
              <w:spacing w:before="1" w:beforeAutospacing="0" w:after="0" w:afterAutospacing="0" w:line="374" w:lineRule="auto"/>
              <w:ind w:left="108" w:right="107" w:firstLine="487"/>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在</w:t>
            </w:r>
            <w:r>
              <w:rPr>
                <w:rFonts w:hint="default" w:ascii="Times New Roman" w:hAnsi="Times New Roman" w:eastAsia="宋体" w:cs="Times New Roman"/>
                <w:color w:val="auto"/>
                <w:sz w:val="24"/>
                <w:szCs w:val="24"/>
                <w:lang w:val="en-US" w:eastAsia="zh-CN"/>
              </w:rPr>
              <w:t>石湾镇大牛垒污水处理厂排污口上游500m、下游1000m和2500m处</w:t>
            </w:r>
            <w:r>
              <w:rPr>
                <w:rFonts w:hint="default" w:ascii="Times New Roman" w:hAnsi="Times New Roman" w:eastAsia="宋体" w:cs="Times New Roman"/>
                <w:color w:val="auto"/>
                <w:sz w:val="24"/>
                <w:szCs w:val="24"/>
              </w:rPr>
              <w:t>各布设1个监测断面，详见</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REF _Ref26723 \h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rPr>
              <w:t>表3- 2</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b/>
                <w:color w:val="auto"/>
                <w:kern w:val="0"/>
              </w:rPr>
            </w:pPr>
            <w:bookmarkStart w:id="21" w:name="_Ref26723"/>
            <w:r>
              <w:rPr>
                <w:rFonts w:hint="default" w:ascii="Times New Roman" w:hAnsi="Times New Roman" w:eastAsia="宋体" w:cs="Times New Roman"/>
                <w:color w:val="auto"/>
              </w:rPr>
              <w:t xml:space="preserve">表3-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表3-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w:t>
            </w:r>
            <w:r>
              <w:rPr>
                <w:rFonts w:hint="default" w:ascii="Times New Roman" w:hAnsi="Times New Roman" w:eastAsia="宋体" w:cs="Times New Roman"/>
                <w:color w:val="auto"/>
              </w:rPr>
              <w:fldChar w:fldCharType="end"/>
            </w:r>
            <w:bookmarkEnd w:id="21"/>
            <w:r>
              <w:rPr>
                <w:rFonts w:hint="default" w:ascii="Times New Roman" w:hAnsi="Times New Roman" w:eastAsia="宋体" w:cs="Times New Roman"/>
                <w:b/>
                <w:color w:val="auto"/>
                <w:kern w:val="0"/>
              </w:rPr>
              <w:t>地表水监测断面布置</w:t>
            </w:r>
          </w:p>
          <w:tbl>
            <w:tblPr>
              <w:tblStyle w:val="26"/>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23"/>
              <w:gridCol w:w="5882"/>
              <w:gridCol w:w="20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序号</w:t>
                  </w:r>
                </w:p>
              </w:tc>
              <w:tc>
                <w:tcPr>
                  <w:tcW w:w="321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采样位置</w:t>
                  </w:r>
                </w:p>
              </w:tc>
              <w:tc>
                <w:tcPr>
                  <w:tcW w:w="1113" w:type="pct"/>
                  <w:tcBorders>
                    <w:tl2br w:val="nil"/>
                    <w:tr2bl w:val="nil"/>
                  </w:tcBorders>
                  <w:noWrap w:val="0"/>
                  <w:vAlign w:val="top"/>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所处河流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6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W</w:t>
                  </w:r>
                  <w:r>
                    <w:rPr>
                      <w:rFonts w:hint="default" w:ascii="Times New Roman" w:hAnsi="Times New Roman" w:eastAsia="宋体" w:cs="Times New Roman"/>
                      <w:color w:val="auto"/>
                      <w:lang w:val="en-US" w:eastAsia="zh-CN"/>
                    </w:rPr>
                    <w:t>7</w:t>
                  </w:r>
                </w:p>
              </w:tc>
              <w:tc>
                <w:tcPr>
                  <w:tcW w:w="321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石湾镇大牛垒污水处理厂排污口上游500m</w:t>
                  </w:r>
                </w:p>
              </w:tc>
              <w:tc>
                <w:tcPr>
                  <w:tcW w:w="111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石湾镇中心排渠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6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W</w:t>
                  </w:r>
                  <w:r>
                    <w:rPr>
                      <w:rFonts w:hint="default" w:ascii="Times New Roman" w:hAnsi="Times New Roman" w:eastAsia="宋体" w:cs="Times New Roman"/>
                      <w:color w:val="auto"/>
                      <w:lang w:val="en-US" w:eastAsia="zh-CN"/>
                    </w:rPr>
                    <w:t>8</w:t>
                  </w:r>
                </w:p>
              </w:tc>
              <w:tc>
                <w:tcPr>
                  <w:tcW w:w="321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石湾镇大牛垒污水处理厂排污口下游1000m</w:t>
                  </w:r>
                </w:p>
              </w:tc>
              <w:tc>
                <w:tcPr>
                  <w:tcW w:w="111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石湾镇中心排渠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6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W9</w:t>
                  </w:r>
                </w:p>
              </w:tc>
              <w:tc>
                <w:tcPr>
                  <w:tcW w:w="321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石湾镇大牛垒污水处理厂排污口上游2500m</w:t>
                  </w:r>
                </w:p>
              </w:tc>
              <w:tc>
                <w:tcPr>
                  <w:tcW w:w="111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石湾镇中心排渠</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（2）监测及评价结果</w:t>
            </w:r>
          </w:p>
          <w:p>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rPr>
            </w:pPr>
            <w:r>
              <w:rPr>
                <w:rFonts w:hint="default" w:ascii="Times New Roman" w:hAnsi="Times New Roman" w:eastAsia="宋体" w:cs="Times New Roman"/>
                <w:color w:val="auto"/>
                <w:sz w:val="24"/>
              </w:rPr>
              <w:t>监测及评价结果详见</w:t>
            </w:r>
            <w:r>
              <w:rPr>
                <w:rFonts w:hint="default" w:ascii="Times New Roman" w:hAnsi="Times New Roman" w:eastAsia="宋体" w:cs="Times New Roman"/>
                <w:color w:val="auto"/>
                <w:sz w:val="24"/>
                <w:lang w:val="en-US"/>
              </w:rPr>
              <w:fldChar w:fldCharType="begin"/>
            </w:r>
            <w:r>
              <w:rPr>
                <w:rFonts w:hint="default" w:ascii="Times New Roman" w:hAnsi="Times New Roman" w:eastAsia="宋体" w:cs="Times New Roman"/>
                <w:color w:val="auto"/>
                <w:sz w:val="24"/>
                <w:lang w:val="en-US"/>
              </w:rPr>
              <w:instrText xml:space="preserve"> REF _Ref26759 \h </w:instrText>
            </w:r>
            <w:r>
              <w:rPr>
                <w:rFonts w:hint="default" w:ascii="Times New Roman" w:hAnsi="Times New Roman" w:eastAsia="宋体" w:cs="Times New Roman"/>
                <w:color w:val="auto"/>
                <w:sz w:val="24"/>
                <w:lang w:val="en-US"/>
              </w:rPr>
              <w:fldChar w:fldCharType="separate"/>
            </w:r>
            <w:r>
              <w:rPr>
                <w:rFonts w:hint="default" w:ascii="Times New Roman" w:hAnsi="Times New Roman" w:eastAsia="宋体" w:cs="Times New Roman"/>
                <w:color w:val="auto"/>
              </w:rPr>
              <w:t>表3- 3</w:t>
            </w:r>
            <w:r>
              <w:rPr>
                <w:rFonts w:hint="default" w:ascii="Times New Roman" w:hAnsi="Times New Roman" w:eastAsia="宋体" w:cs="Times New Roman"/>
                <w:color w:val="auto"/>
                <w:sz w:val="24"/>
                <w:lang w:val="en-US"/>
              </w:rPr>
              <w:fldChar w:fldCharType="end"/>
            </w:r>
            <w:r>
              <w:rPr>
                <w:rFonts w:hint="default" w:ascii="Times New Roman" w:hAnsi="Times New Roman" w:eastAsia="宋体" w:cs="Times New Roman"/>
                <w:color w:val="auto"/>
                <w:sz w:val="24"/>
              </w:rPr>
              <w:t>。</w:t>
            </w:r>
          </w:p>
          <w:p>
            <w:pPr>
              <w:pStyle w:val="8"/>
              <w:keepNext w:val="0"/>
              <w:keepLines w:val="0"/>
              <w:suppressLineNumbers w:val="0"/>
              <w:spacing w:beforeAutospacing="0" w:afterAutospacing="0"/>
              <w:ind w:left="0" w:right="0" w:firstLine="482"/>
              <w:jc w:val="center"/>
              <w:rPr>
                <w:rFonts w:hint="default" w:ascii="Times New Roman" w:hAnsi="Times New Roman" w:eastAsia="宋体" w:cs="Times New Roman"/>
                <w:b/>
                <w:color w:val="auto"/>
                <w:kern w:val="0"/>
              </w:rPr>
            </w:pPr>
            <w:bookmarkStart w:id="22" w:name="_Ref26759"/>
            <w:r>
              <w:rPr>
                <w:rFonts w:hint="default" w:ascii="Times New Roman" w:hAnsi="Times New Roman" w:eastAsia="宋体" w:cs="Times New Roman"/>
                <w:color w:val="auto"/>
              </w:rPr>
              <w:t xml:space="preserve">表3-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表3-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w:t>
            </w:r>
            <w:r>
              <w:rPr>
                <w:rFonts w:hint="default" w:ascii="Times New Roman" w:hAnsi="Times New Roman" w:eastAsia="宋体" w:cs="Times New Roman"/>
                <w:color w:val="auto"/>
              </w:rPr>
              <w:fldChar w:fldCharType="end"/>
            </w:r>
            <w:bookmarkEnd w:id="22"/>
            <w:r>
              <w:rPr>
                <w:rFonts w:hint="default" w:ascii="Times New Roman" w:hAnsi="Times New Roman" w:eastAsia="宋体" w:cs="Times New Roman"/>
                <w:b/>
                <w:color w:val="auto"/>
                <w:kern w:val="0"/>
              </w:rPr>
              <w:t xml:space="preserve"> 水质监测数据一览表（除注明外，其它单位：mg/L）</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20"/>
              <w:gridCol w:w="917"/>
              <w:gridCol w:w="584"/>
              <w:gridCol w:w="584"/>
              <w:gridCol w:w="842"/>
              <w:gridCol w:w="596"/>
              <w:gridCol w:w="702"/>
              <w:gridCol w:w="584"/>
              <w:gridCol w:w="584"/>
              <w:gridCol w:w="584"/>
              <w:gridCol w:w="584"/>
              <w:gridCol w:w="584"/>
              <w:gridCol w:w="741"/>
              <w:gridCol w:w="7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采样位置</w:t>
                  </w:r>
                </w:p>
              </w:tc>
              <w:tc>
                <w:tcPr>
                  <w:tcW w:w="525"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采样日期</w:t>
                  </w:r>
                </w:p>
              </w:tc>
              <w:tc>
                <w:tcPr>
                  <w:tcW w:w="4190" w:type="pct"/>
                  <w:gridSpan w:val="1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检测项目及结果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52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29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pH值</w:t>
                  </w:r>
                </w:p>
              </w:tc>
              <w:tc>
                <w:tcPr>
                  <w:tcW w:w="34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水温</w:t>
                  </w:r>
                </w:p>
              </w:tc>
              <w:tc>
                <w:tcPr>
                  <w:tcW w:w="37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rPr>
                    <w:t>COD</w:t>
                  </w:r>
                  <w:r>
                    <w:rPr>
                      <w:rFonts w:hint="default" w:ascii="Times New Roman" w:hAnsi="Times New Roman" w:eastAsia="宋体" w:cs="Times New Roman"/>
                      <w:b/>
                      <w:bCs/>
                      <w:color w:val="auto"/>
                      <w:vertAlign w:val="subscript"/>
                      <w:lang w:val="en-US" w:eastAsia="zh-CN"/>
                    </w:rPr>
                    <w:t>Cr</w:t>
                  </w:r>
                </w:p>
              </w:tc>
              <w:tc>
                <w:tcPr>
                  <w:tcW w:w="35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val="en-US" w:eastAsia="zh-CN"/>
                    </w:rPr>
                    <w:t>溶解氧</w:t>
                  </w:r>
                </w:p>
              </w:tc>
              <w:tc>
                <w:tcPr>
                  <w:tcW w:w="40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悬浮物</w:t>
                  </w:r>
                </w:p>
              </w:tc>
              <w:tc>
                <w:tcPr>
                  <w:tcW w:w="31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val="en-US" w:eastAsia="zh-CN"/>
                    </w:rPr>
                    <w:t>氨氮</w:t>
                  </w:r>
                </w:p>
              </w:tc>
              <w:tc>
                <w:tcPr>
                  <w:tcW w:w="31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val="en-US" w:eastAsia="zh-CN"/>
                    </w:rPr>
                    <w:t>总磷</w:t>
                  </w:r>
                </w:p>
              </w:tc>
              <w:tc>
                <w:tcPr>
                  <w:tcW w:w="31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总氮</w:t>
                  </w:r>
                </w:p>
              </w:tc>
              <w:tc>
                <w:tcPr>
                  <w:tcW w:w="31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石油类</w:t>
                  </w:r>
                </w:p>
              </w:tc>
              <w:tc>
                <w:tcPr>
                  <w:tcW w:w="31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阴离子表面活性剂</w:t>
                  </w:r>
                </w:p>
              </w:tc>
              <w:tc>
                <w:tcPr>
                  <w:tcW w:w="40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粪大肠菌群</w:t>
                  </w:r>
                </w:p>
              </w:tc>
              <w:tc>
                <w:tcPr>
                  <w:tcW w:w="41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BOD</w:t>
                  </w:r>
                  <w:r>
                    <w:rPr>
                      <w:rFonts w:hint="default" w:ascii="Times New Roman" w:hAnsi="Times New Roman" w:eastAsia="宋体" w:cs="Times New Roman"/>
                      <w:b/>
                      <w:bCs/>
                      <w:color w:val="auto"/>
                      <w:vertAlign w:val="subscript"/>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W</w:t>
                  </w:r>
                  <w:r>
                    <w:rPr>
                      <w:rFonts w:hint="default" w:ascii="Times New Roman" w:hAnsi="Times New Roman" w:eastAsia="宋体" w:cs="Times New Roman"/>
                      <w:color w:val="auto"/>
                      <w:lang w:val="en-US" w:eastAsia="zh-CN"/>
                    </w:rPr>
                    <w:t>7</w:t>
                  </w:r>
                </w:p>
              </w:tc>
              <w:tc>
                <w:tcPr>
                  <w:tcW w:w="52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11.27</w:t>
                  </w:r>
                </w:p>
              </w:tc>
              <w:tc>
                <w:tcPr>
                  <w:tcW w:w="29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6.8</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16.2</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4.21</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8.09</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8.75</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0.06</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0.34</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71000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52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11.28</w:t>
                  </w:r>
                </w:p>
              </w:tc>
              <w:tc>
                <w:tcPr>
                  <w:tcW w:w="29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7.2</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16.8</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27</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4.51</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7.58</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0.32</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8.6</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0.07</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0.24</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63000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52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11.29</w:t>
                  </w:r>
                </w:p>
              </w:tc>
              <w:tc>
                <w:tcPr>
                  <w:tcW w:w="29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6.9</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16.8</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4.37</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8.62</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0.28</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8.95</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0.05</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0.28</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55000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52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平均值</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7.0</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16.6</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23.7</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4.4</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17.3</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8.1</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lang w:val="en-US" w:eastAsia="zh-CN"/>
                    </w:rPr>
                  </w:pP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8.8</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0.06</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63000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9" w:type="pct"/>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V</w:t>
                  </w:r>
                  <w:r>
                    <w:rPr>
                      <w:rFonts w:hint="default" w:ascii="Times New Roman" w:hAnsi="Times New Roman" w:eastAsia="宋体" w:cs="Times New Roman"/>
                      <w:color w:val="auto"/>
                    </w:rPr>
                    <w:t>类标准</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6-9</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40</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40000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9" w:type="pct"/>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最大</w:t>
                  </w:r>
                  <w:r>
                    <w:rPr>
                      <w:rFonts w:hint="default" w:ascii="Times New Roman" w:hAnsi="Times New Roman" w:eastAsia="宋体" w:cs="Times New Roman"/>
                      <w:color w:val="auto"/>
                    </w:rPr>
                    <w:t>标准指数</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0.20 </w:t>
                  </w:r>
                </w:p>
              </w:tc>
              <w:tc>
                <w:tcPr>
                  <w:tcW w:w="34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w:t>
                  </w:r>
                </w:p>
              </w:tc>
              <w:tc>
                <w:tcPr>
                  <w:tcW w:w="3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 xml:space="preserve">0.68 </w:t>
                  </w:r>
                </w:p>
              </w:tc>
              <w:tc>
                <w:tcPr>
                  <w:tcW w:w="35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 xml:space="preserve">0.44 </w:t>
                  </w:r>
                </w:p>
              </w:tc>
              <w:tc>
                <w:tcPr>
                  <w:tcW w:w="40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 xml:space="preserve">4.31 </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 xml:space="preserve">0.80 </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0.07 </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 xml:space="preserve">1.13 </w:t>
                  </w:r>
                </w:p>
              </w:tc>
              <w:tc>
                <w:tcPr>
                  <w:tcW w:w="40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 xml:space="preserve">1.78 </w:t>
                  </w:r>
                </w:p>
              </w:tc>
              <w:tc>
                <w:tcPr>
                  <w:tcW w:w="41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0.58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9" w:type="pct"/>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最大</w:t>
                  </w:r>
                  <w:r>
                    <w:rPr>
                      <w:rFonts w:hint="default" w:ascii="Times New Roman" w:hAnsi="Times New Roman" w:eastAsia="宋体" w:cs="Times New Roman"/>
                      <w:color w:val="auto"/>
                    </w:rPr>
                    <w:t>超标倍数</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4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3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35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40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3.31</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0.13</w:t>
                  </w:r>
                </w:p>
              </w:tc>
              <w:tc>
                <w:tcPr>
                  <w:tcW w:w="40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0.78</w:t>
                  </w:r>
                </w:p>
              </w:tc>
              <w:tc>
                <w:tcPr>
                  <w:tcW w:w="41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W2</w:t>
                  </w:r>
                </w:p>
              </w:tc>
              <w:tc>
                <w:tcPr>
                  <w:tcW w:w="52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11.27</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7.2</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17.2</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18</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5.02</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13</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4.34</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0.13</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8.96</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0.02</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0.29</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46000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trPr>
              <w:tc>
                <w:tcPr>
                  <w:tcW w:w="28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52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11.28</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7</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17.5</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24</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5.17</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18</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3.47</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0.1</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8.88</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0.04</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0.29</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57000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52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11.29</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7.3</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17.6</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21</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5.19</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21</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5.08</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0.15</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9.14</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0.03</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bCs/>
                      <w:color w:val="auto"/>
                      <w:lang w:val="en-US" w:eastAsia="zh-CN"/>
                    </w:rPr>
                    <w:t>0.31</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39000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52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平均值</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7.2</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17.4</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21.0</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5.1</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15.7</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4.3</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0.13</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9.0</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0.03</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0.3</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47000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9" w:type="pct"/>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V</w:t>
                  </w:r>
                  <w:r>
                    <w:rPr>
                      <w:rFonts w:hint="default" w:ascii="Times New Roman" w:hAnsi="Times New Roman" w:eastAsia="宋体" w:cs="Times New Roman"/>
                      <w:color w:val="auto"/>
                    </w:rPr>
                    <w:t>类标准</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6-9</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40</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2</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eastAsia="zh-CN"/>
                    </w:rPr>
                  </w:pPr>
                  <w:r>
                    <w:rPr>
                      <w:rFonts w:hint="default" w:ascii="Times New Roman" w:hAnsi="Times New Roman" w:eastAsia="宋体" w:cs="Times New Roman"/>
                      <w:b w:val="0"/>
                      <w:bCs w:val="0"/>
                      <w:color w:val="auto"/>
                      <w:lang w:val="en-US" w:eastAsia="zh-CN"/>
                    </w:rPr>
                    <w:t>0.4</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1.0</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0.3</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40000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9" w:type="pct"/>
                  <w:gridSpan w:val="2"/>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最大</w:t>
                  </w:r>
                  <w:r>
                    <w:rPr>
                      <w:rFonts w:hint="default" w:ascii="Times New Roman" w:hAnsi="Times New Roman" w:eastAsia="宋体" w:cs="Times New Roman"/>
                      <w:color w:val="auto"/>
                    </w:rPr>
                    <w:t>标准指数</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 xml:space="preserve">0.15 </w:t>
                  </w:r>
                </w:p>
              </w:tc>
              <w:tc>
                <w:tcPr>
                  <w:tcW w:w="34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w:t>
                  </w:r>
                </w:p>
              </w:tc>
              <w:tc>
                <w:tcPr>
                  <w:tcW w:w="3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0.60 </w:t>
                  </w:r>
                </w:p>
              </w:tc>
              <w:tc>
                <w:tcPr>
                  <w:tcW w:w="35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0.39 </w:t>
                  </w:r>
                </w:p>
              </w:tc>
              <w:tc>
                <w:tcPr>
                  <w:tcW w:w="40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 xml:space="preserve">2.54 </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0.38 </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 xml:space="preserve">0.04 </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 xml:space="preserve">1.03 </w:t>
                  </w:r>
                </w:p>
              </w:tc>
              <w:tc>
                <w:tcPr>
                  <w:tcW w:w="40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 xml:space="preserve">1.43 </w:t>
                  </w:r>
                </w:p>
              </w:tc>
              <w:tc>
                <w:tcPr>
                  <w:tcW w:w="41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 xml:space="preserve">0.56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9" w:type="pct"/>
                  <w:gridSpan w:val="2"/>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最大</w:t>
                  </w:r>
                  <w:r>
                    <w:rPr>
                      <w:rFonts w:hint="default" w:ascii="Times New Roman" w:hAnsi="Times New Roman" w:eastAsia="宋体" w:cs="Times New Roman"/>
                      <w:color w:val="auto"/>
                    </w:rPr>
                    <w:t>超标倍数</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4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w:t>
                  </w:r>
                </w:p>
              </w:tc>
              <w:tc>
                <w:tcPr>
                  <w:tcW w:w="3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w:t>
                  </w:r>
                </w:p>
              </w:tc>
              <w:tc>
                <w:tcPr>
                  <w:tcW w:w="35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40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1.54</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0.03</w:t>
                  </w:r>
                </w:p>
              </w:tc>
              <w:tc>
                <w:tcPr>
                  <w:tcW w:w="40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0.43</w:t>
                  </w:r>
                </w:p>
              </w:tc>
              <w:tc>
                <w:tcPr>
                  <w:tcW w:w="41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W3</w:t>
                  </w:r>
                </w:p>
              </w:tc>
              <w:tc>
                <w:tcPr>
                  <w:tcW w:w="52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11.27</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6.9</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17.7</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17</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4.79</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15</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6.54</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0.45</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9.88</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0.04</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0.24</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bCs/>
                      <w:color w:val="auto"/>
                      <w:lang w:val="en-US" w:eastAsia="zh-CN"/>
                    </w:rPr>
                    <w:t>52000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p>
              </w:tc>
              <w:tc>
                <w:tcPr>
                  <w:tcW w:w="52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11.28</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6.7</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17.3</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22</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4.85</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11</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5.64</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0.42</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9.76</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0.04</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0.16</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38000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p>
              </w:tc>
              <w:tc>
                <w:tcPr>
                  <w:tcW w:w="52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11.29</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7.2</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17.5</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20</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4.32</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18</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7.22</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0.48</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9.98</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0.06</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0.23</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44000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p>
              </w:tc>
              <w:tc>
                <w:tcPr>
                  <w:tcW w:w="52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平均值</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6.9</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17.5</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19.7</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4.7</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14.8</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6.5</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bCs/>
                      <w:color w:val="auto"/>
                      <w:lang w:val="en-US" w:eastAsia="zh-CN"/>
                    </w:rPr>
                    <w:t>0.45</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9.9</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0.05</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0.2</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45000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9" w:type="pct"/>
                  <w:gridSpan w:val="2"/>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V</w:t>
                  </w:r>
                  <w:r>
                    <w:rPr>
                      <w:rFonts w:hint="default" w:ascii="Times New Roman" w:hAnsi="Times New Roman" w:eastAsia="宋体" w:cs="Times New Roman"/>
                      <w:color w:val="auto"/>
                    </w:rPr>
                    <w:t>类标准</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6-9</w:t>
                  </w:r>
                </w:p>
              </w:tc>
              <w:tc>
                <w:tcPr>
                  <w:tcW w:w="344"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72"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40</w:t>
                  </w:r>
                </w:p>
              </w:tc>
              <w:tc>
                <w:tcPr>
                  <w:tcW w:w="350"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w:t>
                  </w:r>
                </w:p>
              </w:tc>
              <w:tc>
                <w:tcPr>
                  <w:tcW w:w="408"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2</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0.4</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1.0</w:t>
                  </w:r>
                </w:p>
              </w:tc>
              <w:tc>
                <w:tcPr>
                  <w:tcW w:w="319"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0.3</w:t>
                  </w:r>
                </w:p>
              </w:tc>
              <w:tc>
                <w:tcPr>
                  <w:tcW w:w="405"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40000</w:t>
                  </w:r>
                </w:p>
              </w:tc>
              <w:tc>
                <w:tcPr>
                  <w:tcW w:w="413" w:type="pct"/>
                  <w:tcBorders>
                    <w:tl2br w:val="nil"/>
                    <w:tr2bl w:val="nil"/>
                  </w:tcBorders>
                  <w:noWrap w:val="0"/>
                  <w:vAlign w:val="center"/>
                </w:tcPr>
                <w:p>
                  <w:pPr>
                    <w:pStyle w:val="52"/>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9" w:type="pct"/>
                  <w:gridSpan w:val="2"/>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最大</w:t>
                  </w:r>
                  <w:r>
                    <w:rPr>
                      <w:rFonts w:hint="default" w:ascii="Times New Roman" w:hAnsi="Times New Roman" w:eastAsia="宋体" w:cs="Times New Roman"/>
                      <w:color w:val="auto"/>
                    </w:rPr>
                    <w:t>标准指数</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 xml:space="preserve">0.30 </w:t>
                  </w:r>
                </w:p>
              </w:tc>
              <w:tc>
                <w:tcPr>
                  <w:tcW w:w="34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 xml:space="preserve">0.55 </w:t>
                  </w:r>
                </w:p>
              </w:tc>
              <w:tc>
                <w:tcPr>
                  <w:tcW w:w="35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 xml:space="preserve">0.41 </w:t>
                  </w:r>
                </w:p>
              </w:tc>
              <w:tc>
                <w:tcPr>
                  <w:tcW w:w="40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 xml:space="preserve">3.61 </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bCs/>
                      <w:color w:val="auto"/>
                      <w:lang w:val="en-US" w:eastAsia="zh-CN"/>
                    </w:rPr>
                    <w:t>1.20</w:t>
                  </w:r>
                  <w:r>
                    <w:rPr>
                      <w:rFonts w:hint="default" w:ascii="Times New Roman" w:hAnsi="Times New Roman" w:eastAsia="宋体" w:cs="Times New Roman"/>
                      <w:b w:val="0"/>
                      <w:bCs w:val="0"/>
                      <w:color w:val="auto"/>
                      <w:lang w:val="en-US" w:eastAsia="zh-CN"/>
                    </w:rPr>
                    <w:t xml:space="preserve"> </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 xml:space="preserve">0.06 </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 xml:space="preserve">0.80 </w:t>
                  </w:r>
                </w:p>
              </w:tc>
              <w:tc>
                <w:tcPr>
                  <w:tcW w:w="40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 xml:space="preserve">1.30 </w:t>
                  </w:r>
                </w:p>
              </w:tc>
              <w:tc>
                <w:tcPr>
                  <w:tcW w:w="41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 xml:space="preserve">0.46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9" w:type="pct"/>
                  <w:gridSpan w:val="2"/>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最大</w:t>
                  </w:r>
                  <w:r>
                    <w:rPr>
                      <w:rFonts w:hint="default" w:ascii="Times New Roman" w:hAnsi="Times New Roman" w:eastAsia="宋体" w:cs="Times New Roman"/>
                      <w:color w:val="auto"/>
                    </w:rPr>
                    <w:t>超标倍数</w:t>
                  </w:r>
                </w:p>
              </w:tc>
              <w:tc>
                <w:tcPr>
                  <w:tcW w:w="29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4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5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40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2.61</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bCs/>
                      <w:color w:val="auto"/>
                      <w:lang w:val="en-US" w:eastAsia="zh-CN"/>
                    </w:rPr>
                    <w:t>0.2</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31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c>
                <w:tcPr>
                  <w:tcW w:w="40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0.3</w:t>
                  </w:r>
                </w:p>
              </w:tc>
              <w:tc>
                <w:tcPr>
                  <w:tcW w:w="41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w:t>
                  </w:r>
                </w:p>
              </w:tc>
            </w:tr>
          </w:tbl>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根据监测结果可知，石湾镇中心排渠氨氮、总磷、</w:t>
            </w:r>
            <w:r>
              <w:rPr>
                <w:rFonts w:hint="default" w:ascii="Times New Roman" w:hAnsi="Times New Roman" w:eastAsia="宋体" w:cs="Times New Roman"/>
                <w:color w:val="auto"/>
                <w:lang w:val="en-US" w:eastAsia="zh-CN"/>
              </w:rPr>
              <w:t>阴离子表面活性剂</w:t>
            </w:r>
            <w:r>
              <w:rPr>
                <w:rFonts w:hint="default" w:ascii="Times New Roman" w:hAnsi="Times New Roman" w:eastAsia="宋体" w:cs="Times New Roman"/>
                <w:color w:val="auto"/>
              </w:rPr>
              <w:t>、粪大肠杆菌群出现不同程度的超标，石湾镇中心排渠水质无法满足《地表水环境质量标准》（GB3838-2002）Ⅴ类水标准。从超标项目上来看，纳污水体在一定程度上受到有机污染，水环境质量现状较差。鉴于项目区域水质较差，地方政府一方面应加快城镇生活污水处理厂及其管网的建设，另一方面环保部门需加强工业污染源的监管，确保水质达标：①加快片区生活污水处理厂建设进度：本项目所在地属于</w:t>
            </w:r>
            <w:r>
              <w:rPr>
                <w:rFonts w:hint="default" w:ascii="Times New Roman" w:hAnsi="Times New Roman" w:eastAsia="宋体" w:cs="Times New Roman"/>
                <w:color w:val="auto"/>
                <w:lang w:eastAsia="zh-CN"/>
              </w:rPr>
              <w:t>石湾镇大牛垒污水处理厂</w:t>
            </w:r>
            <w:r>
              <w:rPr>
                <w:rFonts w:hint="default" w:ascii="Times New Roman" w:hAnsi="Times New Roman" w:eastAsia="宋体" w:cs="Times New Roman"/>
                <w:color w:val="auto"/>
              </w:rPr>
              <w:t>的纳污范围。片区内部分企业生活污水直接经化粪池处理后排放，这是造成水质污染日益严重的重要原因。因此，随着片区内企业的增加，片区必须尽快集中生活污水处理厂的建设进度，以削减进入排污渠的污染物总量。②清理河涌淤泥，并妥善处理处置。③加强石湾镇工业企业环境管理：石湾镇排污企业偷排、漏排不达标污水以及超水量排放污水也是造成排污渠污染的主要因素之一，因此，环境监察部门应严查严惩石湾镇偷排漏排企业，使企业做到达标且不超水量排放。</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项目</w:t>
            </w:r>
            <w:r>
              <w:rPr>
                <w:rFonts w:hint="default" w:ascii="Times New Roman" w:hAnsi="Times New Roman" w:eastAsia="宋体" w:cs="Times New Roman"/>
                <w:color w:val="auto"/>
                <w:lang w:val="en-US" w:eastAsia="zh-CN"/>
              </w:rPr>
              <w:t>无生产废水外排，生活污水由三级化粪池预处理达标后经市政管网纳入博罗县石湾镇大牛垒污水处理厂进行处理</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对附近的水体影响较小。</w:t>
            </w:r>
          </w:p>
          <w:p>
            <w:pPr>
              <w:keepNext w:val="0"/>
              <w:keepLines w:val="0"/>
              <w:numPr>
                <w:ilvl w:val="0"/>
                <w:numId w:val="9"/>
              </w:numPr>
              <w:suppressLineNumbers w:val="0"/>
              <w:spacing w:before="0" w:beforeAutospacing="0" w:after="0" w:afterAutospacing="0" w:line="360" w:lineRule="auto"/>
              <w:ind w:left="-2" w:right="0" w:firstLine="482" w:firstLineChars="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声环境</w:t>
            </w:r>
          </w:p>
          <w:p>
            <w:pPr>
              <w:pStyle w:val="53"/>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本项目厂界外周边50m范围内</w:t>
            </w:r>
            <w:r>
              <w:rPr>
                <w:rFonts w:hint="default" w:ascii="Times New Roman" w:hAnsi="Times New Roman" w:eastAsia="宋体" w:cs="Times New Roman"/>
                <w:color w:val="auto"/>
                <w:lang w:val="en-US" w:eastAsia="zh-CN"/>
              </w:rPr>
              <w:t>的</w:t>
            </w:r>
            <w:r>
              <w:rPr>
                <w:rFonts w:hint="default" w:ascii="Times New Roman" w:hAnsi="Times New Roman" w:eastAsia="宋体" w:cs="Times New Roman"/>
                <w:color w:val="auto"/>
              </w:rPr>
              <w:t>声环境保护目标</w:t>
            </w:r>
            <w:r>
              <w:rPr>
                <w:rFonts w:hint="default" w:ascii="Times New Roman" w:hAnsi="Times New Roman" w:eastAsia="宋体" w:cs="Times New Roman"/>
                <w:color w:val="auto"/>
                <w:lang w:val="en-US" w:eastAsia="zh-CN"/>
              </w:rPr>
              <w:t>为距东厂界</w:t>
            </w:r>
            <w:r>
              <w:rPr>
                <w:rFonts w:hint="eastAsia" w:cs="Times New Roman"/>
                <w:color w:val="auto"/>
                <w:lang w:val="en-US" w:eastAsia="zh-CN"/>
              </w:rPr>
              <w:t>42</w:t>
            </w:r>
            <w:r>
              <w:rPr>
                <w:rFonts w:hint="default" w:ascii="Times New Roman" w:hAnsi="Times New Roman" w:eastAsia="宋体" w:cs="Times New Roman"/>
                <w:color w:val="auto"/>
                <w:lang w:val="en-US" w:eastAsia="zh-CN"/>
              </w:rPr>
              <w:t>m的东侧居民区</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本评价委托广东宏科检测技术有限公司于2023年</w:t>
            </w:r>
            <w:r>
              <w:rPr>
                <w:rFonts w:hint="eastAsia" w:cs="Times New Roman"/>
                <w:color w:val="auto"/>
                <w:lang w:val="en-US" w:eastAsia="zh-CN"/>
              </w:rPr>
              <w:t>11</w:t>
            </w:r>
            <w:r>
              <w:rPr>
                <w:rFonts w:hint="default" w:ascii="Times New Roman" w:hAnsi="Times New Roman" w:eastAsia="宋体" w:cs="Times New Roman"/>
                <w:color w:val="auto"/>
                <w:lang w:val="en-US" w:eastAsia="zh-CN"/>
              </w:rPr>
              <w:t>月8日对声环境保护目标进行了监测（报告编号：HK</w:t>
            </w:r>
            <w:r>
              <w:rPr>
                <w:rFonts w:hint="eastAsia" w:cs="Times New Roman"/>
                <w:color w:val="auto"/>
                <w:lang w:val="en-US" w:eastAsia="zh-CN"/>
              </w:rPr>
              <w:t>2311</w:t>
            </w:r>
            <w:r>
              <w:rPr>
                <w:rFonts w:hint="default" w:ascii="Times New Roman" w:hAnsi="Times New Roman" w:eastAsia="宋体" w:cs="Times New Roman"/>
                <w:color w:val="auto"/>
                <w:lang w:val="en-US" w:eastAsia="zh-CN"/>
              </w:rPr>
              <w:t>E04</w:t>
            </w:r>
            <w:r>
              <w:rPr>
                <w:rFonts w:hint="eastAsia" w:cs="Times New Roman"/>
                <w:color w:val="auto"/>
                <w:lang w:val="en-US" w:eastAsia="zh-CN"/>
              </w:rPr>
              <w:t>46</w:t>
            </w:r>
            <w:r>
              <w:rPr>
                <w:rFonts w:hint="default" w:ascii="Times New Roman" w:hAnsi="Times New Roman" w:eastAsia="宋体" w:cs="Times New Roman"/>
                <w:color w:val="auto"/>
                <w:lang w:val="en-US" w:eastAsia="zh-CN"/>
              </w:rPr>
              <w:t>），具体如下所示</w:t>
            </w:r>
            <w:r>
              <w:rPr>
                <w:rFonts w:hint="default" w:ascii="Times New Roman" w:hAnsi="Times New Roman" w:eastAsia="宋体" w:cs="Times New Roman"/>
                <w:color w:val="auto"/>
              </w:rPr>
              <w:t>。</w:t>
            </w:r>
          </w:p>
          <w:p>
            <w:pPr>
              <w:keepNext w:val="0"/>
              <w:keepLines w:val="0"/>
              <w:widowControl w:val="0"/>
              <w:numPr>
                <w:ilvl w:val="0"/>
                <w:numId w:val="11"/>
              </w:numPr>
              <w:suppressLineNumbers w:val="0"/>
              <w:adjustRightInd w:val="0"/>
              <w:snapToGrid w:val="0"/>
              <w:spacing w:before="0" w:beforeAutospacing="0" w:after="0" w:afterAutospacing="0" w:line="360" w:lineRule="auto"/>
              <w:ind w:left="-11" w:right="0"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监测布点</w:t>
            </w:r>
          </w:p>
          <w:p>
            <w:pPr>
              <w:keepNext w:val="0"/>
              <w:keepLines w:val="0"/>
              <w:widowControl/>
              <w:suppressLineNumbers w:val="0"/>
              <w:adjustRightInd w:val="0"/>
              <w:snapToGrid w:val="0"/>
              <w:spacing w:before="0" w:beforeAutospacing="0" w:after="0" w:afterAutospacing="0" w:line="360" w:lineRule="auto"/>
              <w:ind w:left="-11" w:right="0"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项目声环境现状监测点位详见</w:t>
            </w:r>
            <w:r>
              <w:rPr>
                <w:rFonts w:hint="default" w:ascii="Times New Roman" w:hAnsi="Times New Roman" w:eastAsia="宋体" w:cs="Times New Roman"/>
                <w:color w:val="auto"/>
                <w:kern w:val="2"/>
                <w:sz w:val="24"/>
                <w:szCs w:val="24"/>
                <w:lang w:val="en-US" w:eastAsia="zh-CN" w:bidi="ar-SA"/>
              </w:rPr>
              <w:fldChar w:fldCharType="begin"/>
            </w:r>
            <w:r>
              <w:rPr>
                <w:rFonts w:hint="default" w:ascii="Times New Roman" w:hAnsi="Times New Roman" w:eastAsia="宋体" w:cs="Times New Roman"/>
                <w:color w:val="auto"/>
                <w:kern w:val="2"/>
                <w:sz w:val="24"/>
                <w:szCs w:val="24"/>
                <w:lang w:val="en-US" w:eastAsia="zh-CN" w:bidi="ar-SA"/>
              </w:rPr>
              <w:instrText xml:space="preserve"> REF _Ref14499 \h </w:instrText>
            </w:r>
            <w:r>
              <w:rPr>
                <w:rFonts w:hint="default" w:ascii="Times New Roman" w:hAnsi="Times New Roman" w:eastAsia="宋体" w:cs="Times New Roman"/>
                <w:color w:val="auto"/>
                <w:kern w:val="2"/>
                <w:sz w:val="24"/>
                <w:szCs w:val="24"/>
                <w:lang w:val="en-US" w:eastAsia="zh-CN" w:bidi="ar-SA"/>
              </w:rPr>
              <w:fldChar w:fldCharType="separate"/>
            </w:r>
            <w:r>
              <w:rPr>
                <w:rFonts w:hint="default" w:ascii="Times New Roman" w:hAnsi="Times New Roman" w:eastAsia="宋体" w:cs="Times New Roman"/>
                <w:color w:val="auto"/>
              </w:rPr>
              <w:t>表3- 3</w:t>
            </w:r>
            <w:r>
              <w:rPr>
                <w:rFonts w:hint="default" w:ascii="Times New Roman" w:hAnsi="Times New Roman" w:eastAsia="宋体" w:cs="Times New Roman"/>
                <w:color w:val="auto"/>
                <w:kern w:val="2"/>
                <w:sz w:val="24"/>
                <w:szCs w:val="24"/>
                <w:lang w:val="en-US" w:eastAsia="zh-CN" w:bidi="ar-SA"/>
              </w:rPr>
              <w:fldChar w:fldCharType="end"/>
            </w:r>
            <w:r>
              <w:rPr>
                <w:rFonts w:hint="default" w:ascii="Times New Roman" w:hAnsi="Times New Roman" w:eastAsia="宋体" w:cs="Times New Roman"/>
                <w:color w:val="auto"/>
                <w:kern w:val="2"/>
                <w:sz w:val="24"/>
                <w:szCs w:val="24"/>
                <w:lang w:val="en-US" w:eastAsia="zh-CN" w:bidi="ar-SA"/>
              </w:rPr>
              <w:t>。监测点位图见</w:t>
            </w:r>
            <w:r>
              <w:rPr>
                <w:rFonts w:hint="eastAsia" w:cs="Times New Roman"/>
                <w:color w:val="auto"/>
                <w:kern w:val="2"/>
                <w:sz w:val="24"/>
                <w:szCs w:val="24"/>
                <w:lang w:val="en-US" w:eastAsia="zh-CN" w:bidi="ar-SA"/>
              </w:rPr>
              <w:t>附件10</w:t>
            </w:r>
            <w:r>
              <w:rPr>
                <w:rFonts w:hint="default" w:ascii="Times New Roman" w:hAnsi="Times New Roman" w:eastAsia="宋体" w:cs="Times New Roman"/>
                <w:color w:val="auto"/>
                <w:kern w:val="2"/>
                <w:sz w:val="24"/>
                <w:szCs w:val="24"/>
                <w:lang w:val="en-US" w:eastAsia="zh-CN" w:bidi="ar-SA"/>
              </w:rPr>
              <w:t>。</w:t>
            </w:r>
          </w:p>
          <w:p>
            <w:pPr>
              <w:pStyle w:val="8"/>
              <w:keepNext w:val="0"/>
              <w:keepLines w:val="0"/>
              <w:widowControl w:val="0"/>
              <w:suppressLineNumbers w:val="0"/>
              <w:adjustRightInd/>
              <w:snapToGrid/>
              <w:spacing w:before="0" w:beforeAutospacing="0" w:after="0" w:afterAutospacing="0" w:line="360" w:lineRule="auto"/>
              <w:ind w:left="-11" w:right="0" w:firstLine="482" w:firstLineChars="200"/>
              <w:jc w:val="center"/>
              <w:rPr>
                <w:rFonts w:hint="default" w:ascii="Times New Roman" w:hAnsi="Times New Roman" w:eastAsia="宋体" w:cs="Times New Roman"/>
                <w:b/>
                <w:color w:val="auto"/>
                <w:kern w:val="2"/>
                <w:sz w:val="24"/>
                <w:szCs w:val="20"/>
                <w:lang w:val="en-US" w:eastAsia="zh-CN" w:bidi="ar-SA"/>
              </w:rPr>
            </w:pPr>
            <w:bookmarkStart w:id="23" w:name="_Ref14499"/>
            <w:r>
              <w:rPr>
                <w:rFonts w:hint="default" w:ascii="Times New Roman" w:hAnsi="Times New Roman" w:eastAsia="宋体" w:cs="Times New Roman"/>
                <w:color w:val="auto"/>
              </w:rPr>
              <w:t xml:space="preserve">表3-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表3-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w:t>
            </w:r>
            <w:r>
              <w:rPr>
                <w:rFonts w:hint="default" w:ascii="Times New Roman" w:hAnsi="Times New Roman" w:eastAsia="宋体" w:cs="Times New Roman"/>
                <w:color w:val="auto"/>
              </w:rPr>
              <w:fldChar w:fldCharType="end"/>
            </w:r>
            <w:bookmarkEnd w:id="23"/>
            <w:r>
              <w:rPr>
                <w:rFonts w:hint="default" w:ascii="Times New Roman" w:hAnsi="Times New Roman" w:eastAsia="宋体" w:cs="Times New Roman"/>
                <w:b/>
                <w:color w:val="auto"/>
                <w:kern w:val="2"/>
                <w:sz w:val="24"/>
                <w:szCs w:val="20"/>
                <w:lang w:val="en-US" w:eastAsia="zh-CN" w:bidi="ar-SA"/>
              </w:rPr>
              <w:t>声环境现状监测点位一览表</w:t>
            </w:r>
          </w:p>
          <w:tbl>
            <w:tblPr>
              <w:tblStyle w:val="27"/>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859"/>
              <w:gridCol w:w="3493"/>
              <w:gridCol w:w="304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12" w:type="pct"/>
                  <w:tcBorders>
                    <w:top w:val="single" w:color="auto" w:sz="12" w:space="0"/>
                  </w:tcBorders>
                  <w:vAlign w:val="center"/>
                </w:tcPr>
                <w:p>
                  <w:pPr>
                    <w:keepNext w:val="0"/>
                    <w:keepLines w:val="0"/>
                    <w:widowControl w:val="0"/>
                    <w:numPr>
                      <w:ilvl w:val="-1"/>
                      <w:numId w:val="0"/>
                    </w:numPr>
                    <w:suppressLineNumbers w:val="0"/>
                    <w:adjustRightInd/>
                    <w:snapToGrid/>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2"/>
                      <w:sz w:val="21"/>
                      <w:szCs w:val="22"/>
                      <w:lang w:val="en-US" w:eastAsia="zh-CN" w:bidi="ar-SA"/>
                    </w:rPr>
                  </w:pPr>
                  <w:r>
                    <w:rPr>
                      <w:rFonts w:hint="default" w:ascii="Times New Roman" w:hAnsi="Times New Roman" w:eastAsia="宋体" w:cs="Times New Roman"/>
                      <w:b/>
                      <w:bCs/>
                      <w:color w:val="auto"/>
                      <w:kern w:val="2"/>
                      <w:sz w:val="21"/>
                      <w:szCs w:val="22"/>
                      <w:lang w:val="en-US" w:eastAsia="zh-CN" w:bidi="ar-SA"/>
                    </w:rPr>
                    <w:t>编号</w:t>
                  </w:r>
                </w:p>
              </w:tc>
              <w:tc>
                <w:tcPr>
                  <w:tcW w:w="1016" w:type="pct"/>
                  <w:tcBorders>
                    <w:top w:val="single" w:color="auto" w:sz="12" w:space="0"/>
                  </w:tcBorders>
                  <w:vAlign w:val="center"/>
                </w:tcPr>
                <w:p>
                  <w:pPr>
                    <w:keepNext w:val="0"/>
                    <w:keepLines w:val="0"/>
                    <w:widowControl w:val="0"/>
                    <w:numPr>
                      <w:ilvl w:val="-1"/>
                      <w:numId w:val="0"/>
                    </w:numPr>
                    <w:suppressLineNumbers w:val="0"/>
                    <w:adjustRightInd/>
                    <w:snapToGrid/>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2"/>
                      <w:sz w:val="21"/>
                      <w:szCs w:val="22"/>
                      <w:lang w:val="en-US" w:eastAsia="zh-CN" w:bidi="ar-SA"/>
                    </w:rPr>
                  </w:pPr>
                  <w:r>
                    <w:rPr>
                      <w:rFonts w:hint="default" w:ascii="Times New Roman" w:hAnsi="Times New Roman" w:eastAsia="宋体" w:cs="Times New Roman"/>
                      <w:b/>
                      <w:bCs/>
                      <w:color w:val="auto"/>
                      <w:kern w:val="2"/>
                      <w:sz w:val="21"/>
                      <w:szCs w:val="22"/>
                      <w:lang w:val="en-US" w:eastAsia="zh-CN" w:bidi="ar-SA"/>
                    </w:rPr>
                    <w:t>监测点名称</w:t>
                  </w:r>
                </w:p>
              </w:tc>
              <w:tc>
                <w:tcPr>
                  <w:tcW w:w="1909" w:type="pct"/>
                  <w:tcBorders>
                    <w:top w:val="single" w:color="auto" w:sz="12" w:space="0"/>
                  </w:tcBorders>
                  <w:vAlign w:val="center"/>
                </w:tcPr>
                <w:p>
                  <w:pPr>
                    <w:keepNext w:val="0"/>
                    <w:keepLines w:val="0"/>
                    <w:widowControl w:val="0"/>
                    <w:numPr>
                      <w:ilvl w:val="-1"/>
                      <w:numId w:val="0"/>
                    </w:numPr>
                    <w:suppressLineNumbers w:val="0"/>
                    <w:adjustRightInd/>
                    <w:snapToGrid/>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2"/>
                      <w:sz w:val="21"/>
                      <w:szCs w:val="22"/>
                      <w:lang w:val="en-US" w:eastAsia="zh-CN" w:bidi="ar-SA"/>
                    </w:rPr>
                  </w:pPr>
                  <w:r>
                    <w:rPr>
                      <w:rFonts w:hint="default" w:ascii="Times New Roman" w:hAnsi="Times New Roman" w:eastAsia="宋体" w:cs="Times New Roman"/>
                      <w:b/>
                      <w:bCs/>
                      <w:color w:val="auto"/>
                      <w:kern w:val="2"/>
                      <w:sz w:val="21"/>
                      <w:szCs w:val="22"/>
                      <w:lang w:val="en-US" w:eastAsia="zh-CN" w:bidi="ar-SA"/>
                    </w:rPr>
                    <w:t>监测点坐标（°）</w:t>
                  </w:r>
                </w:p>
              </w:tc>
              <w:tc>
                <w:tcPr>
                  <w:tcW w:w="1661" w:type="pct"/>
                  <w:tcBorders>
                    <w:top w:val="single" w:color="auto" w:sz="12" w:space="0"/>
                  </w:tcBorders>
                  <w:vAlign w:val="center"/>
                </w:tcPr>
                <w:p>
                  <w:pPr>
                    <w:keepNext w:val="0"/>
                    <w:keepLines w:val="0"/>
                    <w:widowControl w:val="0"/>
                    <w:numPr>
                      <w:ilvl w:val="-1"/>
                      <w:numId w:val="0"/>
                    </w:numPr>
                    <w:suppressLineNumbers w:val="0"/>
                    <w:adjustRightInd/>
                    <w:snapToGrid/>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kern w:val="2"/>
                      <w:sz w:val="21"/>
                      <w:szCs w:val="22"/>
                      <w:lang w:val="en-US" w:eastAsia="zh-CN" w:bidi="ar-SA"/>
                    </w:rPr>
                  </w:pPr>
                  <w:r>
                    <w:rPr>
                      <w:rFonts w:hint="default" w:ascii="Times New Roman" w:hAnsi="Times New Roman" w:eastAsia="宋体" w:cs="Times New Roman"/>
                      <w:b/>
                      <w:bCs/>
                      <w:color w:val="auto"/>
                      <w:kern w:val="2"/>
                      <w:sz w:val="21"/>
                      <w:szCs w:val="22"/>
                      <w:lang w:val="en-US" w:eastAsia="zh-CN" w:bidi="ar-SA"/>
                    </w:rPr>
                    <w:t>质量标准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12" w:type="pct"/>
                  <w:vAlign w:val="center"/>
                </w:tcPr>
                <w:p>
                  <w:pPr>
                    <w:keepNext w:val="0"/>
                    <w:keepLines w:val="0"/>
                    <w:widowControl w:val="0"/>
                    <w:numPr>
                      <w:ilvl w:val="-1"/>
                      <w:numId w:val="0"/>
                    </w:numPr>
                    <w:suppressLineNumbers w:val="0"/>
                    <w:adjustRightInd/>
                    <w:snapToGrid/>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kern w:val="2"/>
                      <w:sz w:val="21"/>
                      <w:szCs w:val="22"/>
                      <w:lang w:val="en-US" w:eastAsia="zh-CN" w:bidi="ar-SA"/>
                    </w:rPr>
                    <w:t>N</w:t>
                  </w:r>
                  <w:r>
                    <w:rPr>
                      <w:rFonts w:hint="eastAsia" w:cs="Times New Roman"/>
                      <w:color w:val="auto"/>
                      <w:kern w:val="2"/>
                      <w:sz w:val="21"/>
                      <w:szCs w:val="22"/>
                      <w:lang w:val="en-US" w:eastAsia="zh-CN" w:bidi="ar-SA"/>
                    </w:rPr>
                    <w:t>1</w:t>
                  </w:r>
                </w:p>
              </w:tc>
              <w:tc>
                <w:tcPr>
                  <w:tcW w:w="1016" w:type="pct"/>
                  <w:vAlign w:val="center"/>
                </w:tcPr>
                <w:p>
                  <w:pPr>
                    <w:keepNext w:val="0"/>
                    <w:keepLines w:val="0"/>
                    <w:widowControl w:val="0"/>
                    <w:numPr>
                      <w:ilvl w:val="-1"/>
                      <w:numId w:val="0"/>
                    </w:numPr>
                    <w:suppressLineNumbers w:val="0"/>
                    <w:adjustRightInd/>
                    <w:snapToGrid/>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kern w:val="2"/>
                      <w:sz w:val="21"/>
                      <w:szCs w:val="22"/>
                      <w:lang w:val="en-US" w:eastAsia="zh-CN" w:bidi="ar-SA"/>
                    </w:rPr>
                    <w:t>东侧居民区</w:t>
                  </w:r>
                </w:p>
              </w:tc>
              <w:tc>
                <w:tcPr>
                  <w:tcW w:w="1909" w:type="pct"/>
                  <w:vAlign w:val="center"/>
                </w:tcPr>
                <w:p>
                  <w:pPr>
                    <w:keepNext w:val="0"/>
                    <w:keepLines w:val="0"/>
                    <w:widowControl w:val="0"/>
                    <w:numPr>
                      <w:ilvl w:val="-1"/>
                      <w:numId w:val="0"/>
                    </w:numPr>
                    <w:suppressLineNumbers w:val="0"/>
                    <w:adjustRightInd/>
                    <w:snapToGrid/>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kern w:val="2"/>
                      <w:sz w:val="21"/>
                      <w:szCs w:val="22"/>
                      <w:lang w:val="en-US" w:eastAsia="zh-CN" w:bidi="ar-SA"/>
                    </w:rPr>
                    <w:t>113.909477,23.168575</w:t>
                  </w:r>
                </w:p>
              </w:tc>
              <w:tc>
                <w:tcPr>
                  <w:tcW w:w="1661" w:type="pct"/>
                  <w:tcBorders>
                    <w:bottom w:val="single" w:color="auto" w:sz="12" w:space="0"/>
                  </w:tcBorders>
                  <w:vAlign w:val="center"/>
                </w:tcPr>
                <w:p>
                  <w:pPr>
                    <w:keepNext w:val="0"/>
                    <w:keepLines w:val="0"/>
                    <w:widowControl w:val="0"/>
                    <w:numPr>
                      <w:ilvl w:val="-1"/>
                      <w:numId w:val="0"/>
                    </w:numPr>
                    <w:suppressLineNumbers w:val="0"/>
                    <w:adjustRightInd/>
                    <w:snapToGrid/>
                    <w:spacing w:before="0" w:beforeAutospacing="0" w:after="0" w:afterAutospacing="0" w:line="360" w:lineRule="auto"/>
                    <w:ind w:left="0" w:right="0" w:firstLine="0" w:firstLineChars="0"/>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kern w:val="2"/>
                      <w:sz w:val="21"/>
                      <w:szCs w:val="22"/>
                      <w:lang w:val="en-US" w:eastAsia="zh-CN" w:bidi="ar-SA"/>
                    </w:rPr>
                    <w:t>《声环境质量标准》（GB3096-2008）中的2类标准</w:t>
                  </w:r>
                </w:p>
              </w:tc>
            </w:tr>
          </w:tbl>
          <w:p>
            <w:pPr>
              <w:keepNext w:val="0"/>
              <w:keepLines w:val="0"/>
              <w:widowControl w:val="0"/>
              <w:numPr>
                <w:ilvl w:val="0"/>
                <w:numId w:val="11"/>
              </w:numPr>
              <w:suppressLineNumbers w:val="0"/>
              <w:adjustRightInd w:val="0"/>
              <w:snapToGrid w:val="0"/>
              <w:spacing w:before="0" w:beforeAutospacing="0" w:after="0" w:afterAutospacing="0" w:line="360" w:lineRule="auto"/>
              <w:ind w:left="-11" w:right="0"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监测时间和频次</w:t>
            </w:r>
          </w:p>
          <w:p>
            <w:pPr>
              <w:keepNext w:val="0"/>
              <w:keepLines w:val="0"/>
              <w:widowControl/>
              <w:suppressLineNumbers w:val="0"/>
              <w:overflowPunct w:val="0"/>
              <w:topLinePunct/>
              <w:autoSpaceDE w:val="0"/>
              <w:autoSpaceDN w:val="0"/>
              <w:adjustRightInd w:val="0"/>
              <w:snapToGrid w:val="0"/>
              <w:spacing w:before="0" w:beforeAutospacing="0" w:after="0" w:afterAutospacing="0" w:line="360" w:lineRule="auto"/>
              <w:ind w:left="0" w:right="0" w:firstLine="480" w:firstLineChars="200"/>
              <w:jc w:val="both"/>
              <w:textAlignment w:val="baseline"/>
              <w:rPr>
                <w:rFonts w:hint="default" w:ascii="Times New Roman" w:hAnsi="Times New Roman" w:eastAsia="宋体" w:cs="Times New Roman"/>
                <w:snapToGrid w:val="0"/>
                <w:color w:val="auto"/>
                <w:kern w:val="2"/>
                <w:sz w:val="24"/>
                <w:szCs w:val="24"/>
                <w:lang w:val="en-US" w:eastAsia="zh-CN" w:bidi="ar-SA"/>
              </w:rPr>
            </w:pPr>
            <w:r>
              <w:rPr>
                <w:rFonts w:hint="default" w:ascii="Times New Roman" w:hAnsi="Times New Roman" w:eastAsia="宋体" w:cs="Times New Roman"/>
                <w:snapToGrid w:val="0"/>
                <w:color w:val="auto"/>
                <w:kern w:val="2"/>
                <w:sz w:val="24"/>
                <w:szCs w:val="24"/>
                <w:lang w:val="en-US" w:eastAsia="zh-CN" w:bidi="ar-SA"/>
              </w:rPr>
              <w:t>2023年</w:t>
            </w:r>
            <w:r>
              <w:rPr>
                <w:rFonts w:hint="eastAsia" w:cs="Times New Roman"/>
                <w:snapToGrid w:val="0"/>
                <w:color w:val="auto"/>
                <w:kern w:val="2"/>
                <w:sz w:val="24"/>
                <w:szCs w:val="24"/>
                <w:lang w:val="en-US" w:eastAsia="zh-CN" w:bidi="ar-SA"/>
              </w:rPr>
              <w:t>11</w:t>
            </w:r>
            <w:r>
              <w:rPr>
                <w:rFonts w:hint="default" w:ascii="Times New Roman" w:hAnsi="Times New Roman" w:eastAsia="宋体" w:cs="Times New Roman"/>
                <w:snapToGrid w:val="0"/>
                <w:color w:val="auto"/>
                <w:kern w:val="2"/>
                <w:sz w:val="24"/>
                <w:szCs w:val="24"/>
                <w:lang w:val="en-US" w:eastAsia="zh-CN" w:bidi="ar-SA"/>
              </w:rPr>
              <w:t>月8日监测一天，监测时段为昼间（6:00-22:00），每天昼间监测一次，夜间不监测。</w:t>
            </w:r>
          </w:p>
          <w:p>
            <w:pPr>
              <w:keepNext w:val="0"/>
              <w:keepLines w:val="0"/>
              <w:widowControl w:val="0"/>
              <w:numPr>
                <w:ilvl w:val="0"/>
                <w:numId w:val="11"/>
              </w:numPr>
              <w:suppressLineNumbers w:val="0"/>
              <w:adjustRightInd w:val="0"/>
              <w:snapToGrid w:val="0"/>
              <w:spacing w:before="0" w:beforeAutospacing="0" w:after="0" w:afterAutospacing="0" w:line="360" w:lineRule="auto"/>
              <w:ind w:left="-11" w:right="0"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监测结果与评价</w:t>
            </w:r>
          </w:p>
          <w:p>
            <w:pPr>
              <w:keepNext w:val="0"/>
              <w:keepLines w:val="0"/>
              <w:widowControl/>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各监测点监测结果详见</w:t>
            </w:r>
            <w:r>
              <w:rPr>
                <w:rFonts w:hint="default" w:ascii="Times New Roman" w:hAnsi="Times New Roman" w:eastAsia="宋体" w:cs="Times New Roman"/>
                <w:color w:val="auto"/>
                <w:kern w:val="2"/>
                <w:sz w:val="24"/>
                <w:szCs w:val="24"/>
                <w:lang w:val="en-US" w:eastAsia="zh-CN" w:bidi="ar-SA"/>
              </w:rPr>
              <w:fldChar w:fldCharType="begin"/>
            </w:r>
            <w:r>
              <w:rPr>
                <w:rFonts w:hint="default" w:ascii="Times New Roman" w:hAnsi="Times New Roman" w:eastAsia="宋体" w:cs="Times New Roman"/>
                <w:color w:val="auto"/>
                <w:kern w:val="2"/>
                <w:sz w:val="24"/>
                <w:szCs w:val="24"/>
                <w:lang w:val="en-US" w:eastAsia="zh-CN" w:bidi="ar-SA"/>
              </w:rPr>
              <w:instrText xml:space="preserve"> REF _Ref14581 \h </w:instrText>
            </w:r>
            <w:r>
              <w:rPr>
                <w:rFonts w:hint="default" w:ascii="Times New Roman" w:hAnsi="Times New Roman" w:eastAsia="宋体" w:cs="Times New Roman"/>
                <w:color w:val="auto"/>
                <w:kern w:val="2"/>
                <w:sz w:val="24"/>
                <w:szCs w:val="24"/>
                <w:lang w:val="en-US" w:eastAsia="zh-CN" w:bidi="ar-SA"/>
              </w:rPr>
              <w:fldChar w:fldCharType="separate"/>
            </w:r>
            <w:r>
              <w:rPr>
                <w:rFonts w:hint="default" w:ascii="Times New Roman" w:hAnsi="Times New Roman" w:eastAsia="宋体" w:cs="Times New Roman"/>
                <w:color w:val="auto"/>
              </w:rPr>
              <w:t>表3- 4</w:t>
            </w:r>
            <w:r>
              <w:rPr>
                <w:rFonts w:hint="default" w:ascii="Times New Roman" w:hAnsi="Times New Roman" w:eastAsia="宋体" w:cs="Times New Roman"/>
                <w:color w:val="auto"/>
                <w:kern w:val="2"/>
                <w:sz w:val="24"/>
                <w:szCs w:val="24"/>
                <w:lang w:val="en-US" w:eastAsia="zh-CN" w:bidi="ar-SA"/>
              </w:rPr>
              <w:fldChar w:fldCharType="end"/>
            </w:r>
            <w:r>
              <w:rPr>
                <w:rFonts w:hint="default" w:ascii="Times New Roman" w:hAnsi="Times New Roman" w:eastAsia="宋体" w:cs="Times New Roman"/>
                <w:color w:val="auto"/>
                <w:kern w:val="2"/>
                <w:sz w:val="24"/>
                <w:szCs w:val="24"/>
                <w:lang w:val="en-US" w:eastAsia="zh-CN" w:bidi="ar-SA"/>
              </w:rPr>
              <w:t>。</w:t>
            </w:r>
          </w:p>
          <w:p>
            <w:pPr>
              <w:pStyle w:val="8"/>
              <w:keepNext w:val="0"/>
              <w:keepLines w:val="0"/>
              <w:widowControl/>
              <w:numPr>
                <w:ilvl w:val="0"/>
                <w:numId w:val="0"/>
              </w:numPr>
              <w:suppressLineNumbers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2"/>
                <w:sz w:val="24"/>
                <w:szCs w:val="24"/>
                <w:lang w:val="en-US" w:eastAsia="zh-CN" w:bidi="ar-SA"/>
              </w:rPr>
            </w:pPr>
            <w:bookmarkStart w:id="24" w:name="_Ref14581"/>
            <w:r>
              <w:rPr>
                <w:rFonts w:hint="default" w:ascii="Times New Roman" w:hAnsi="Times New Roman" w:eastAsia="宋体" w:cs="Times New Roman"/>
                <w:color w:val="auto"/>
              </w:rPr>
              <w:t xml:space="preserve">表3-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表3-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w:t>
            </w:r>
            <w:r>
              <w:rPr>
                <w:rFonts w:hint="default" w:ascii="Times New Roman" w:hAnsi="Times New Roman" w:eastAsia="宋体" w:cs="Times New Roman"/>
                <w:color w:val="auto"/>
              </w:rPr>
              <w:fldChar w:fldCharType="end"/>
            </w:r>
            <w:bookmarkEnd w:id="24"/>
            <w:r>
              <w:rPr>
                <w:rFonts w:hint="default" w:ascii="Times New Roman" w:hAnsi="Times New Roman" w:eastAsia="宋体" w:cs="Times New Roman"/>
                <w:b/>
                <w:color w:val="auto"/>
                <w:kern w:val="2"/>
                <w:sz w:val="24"/>
                <w:szCs w:val="24"/>
                <w:lang w:val="en-US" w:eastAsia="zh-CN" w:bidi="ar-SA"/>
              </w:rPr>
              <w:t>声环境质量现状监测结果单位：dB(A)</w:t>
            </w:r>
          </w:p>
          <w:tbl>
            <w:tblPr>
              <w:tblStyle w:val="26"/>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1"/>
              <w:gridCol w:w="1739"/>
              <w:gridCol w:w="2879"/>
              <w:gridCol w:w="3718"/>
              <w:gridCol w:w="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389" w:type="pct"/>
                  <w:gridSpan w:val="2"/>
                  <w:vMerge w:val="restart"/>
                  <w:tcBorders>
                    <w:top w:val="single" w:color="auto" w:sz="12" w:space="0"/>
                  </w:tcBorders>
                  <w:vAlign w:val="center"/>
                </w:tcPr>
                <w:p>
                  <w:pPr>
                    <w:pStyle w:val="52"/>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监测点位</w:t>
                  </w:r>
                </w:p>
              </w:tc>
              <w:tc>
                <w:tcPr>
                  <w:tcW w:w="1574" w:type="pct"/>
                  <w:tcBorders>
                    <w:top w:val="single" w:color="auto" w:sz="12" w:space="0"/>
                  </w:tcBorders>
                  <w:vAlign w:val="center"/>
                </w:tcPr>
                <w:p>
                  <w:pPr>
                    <w:pStyle w:val="52"/>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202</w:t>
                  </w:r>
                  <w:r>
                    <w:rPr>
                      <w:rFonts w:hint="eastAsia" w:cs="Times New Roman"/>
                      <w:b/>
                      <w:bCs/>
                      <w:color w:val="auto"/>
                      <w:lang w:val="en-US" w:eastAsia="zh-CN"/>
                    </w:rPr>
                    <w:t>3</w:t>
                  </w:r>
                  <w:r>
                    <w:rPr>
                      <w:rFonts w:hint="default" w:ascii="Times New Roman" w:hAnsi="Times New Roman" w:eastAsia="宋体" w:cs="Times New Roman"/>
                      <w:b/>
                      <w:bCs/>
                      <w:color w:val="auto"/>
                      <w:lang w:val="en-US" w:eastAsia="zh-CN"/>
                    </w:rPr>
                    <w:t>年11月8日</w:t>
                  </w:r>
                </w:p>
              </w:tc>
              <w:tc>
                <w:tcPr>
                  <w:tcW w:w="2035" w:type="pct"/>
                  <w:gridSpan w:val="2"/>
                  <w:tcBorders>
                    <w:top w:val="single" w:color="auto" w:sz="12" w:space="0"/>
                  </w:tcBorders>
                  <w:vAlign w:val="center"/>
                </w:tcPr>
                <w:p>
                  <w:pPr>
                    <w:pStyle w:val="52"/>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评价标准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210" w:hRule="atLeast"/>
                <w:jc w:val="center"/>
              </w:trPr>
              <w:tc>
                <w:tcPr>
                  <w:tcW w:w="1389" w:type="pct"/>
                  <w:gridSpan w:val="2"/>
                  <w:vMerge w:val="continue"/>
                  <w:vAlign w:val="center"/>
                </w:tcPr>
                <w:p>
                  <w:pPr>
                    <w:pStyle w:val="52"/>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lang w:val="en-US" w:eastAsia="zh-CN"/>
                    </w:rPr>
                  </w:pPr>
                </w:p>
              </w:tc>
              <w:tc>
                <w:tcPr>
                  <w:tcW w:w="1574" w:type="pct"/>
                  <w:vAlign w:val="center"/>
                </w:tcPr>
                <w:p>
                  <w:pPr>
                    <w:pStyle w:val="52"/>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昼间</w:t>
                  </w:r>
                </w:p>
              </w:tc>
              <w:tc>
                <w:tcPr>
                  <w:tcW w:w="2033" w:type="pct"/>
                  <w:vAlign w:val="center"/>
                </w:tcPr>
                <w:p>
                  <w:pPr>
                    <w:pStyle w:val="52"/>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昼间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40" w:hRule="atLeast"/>
                <w:jc w:val="center"/>
              </w:trPr>
              <w:tc>
                <w:tcPr>
                  <w:tcW w:w="801" w:type="dxa"/>
                  <w:vAlign w:val="center"/>
                </w:tcPr>
                <w:p>
                  <w:pPr>
                    <w:keepNext w:val="0"/>
                    <w:keepLines w:val="0"/>
                    <w:widowControl w:val="0"/>
                    <w:numPr>
                      <w:ilvl w:val="-1"/>
                      <w:numId w:val="0"/>
                    </w:numPr>
                    <w:suppressLineNumbers w:val="0"/>
                    <w:adjustRightInd/>
                    <w:snapToGrid/>
                    <w:spacing w:before="0" w:beforeAutospacing="0" w:after="0" w:afterAutospacing="0" w:line="360" w:lineRule="auto"/>
                    <w:ind w:left="0" w:leftChars="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kern w:val="2"/>
                      <w:sz w:val="21"/>
                      <w:szCs w:val="22"/>
                      <w:lang w:val="en-US" w:eastAsia="zh-CN" w:bidi="ar-SA"/>
                    </w:rPr>
                    <w:t>N</w:t>
                  </w:r>
                  <w:r>
                    <w:rPr>
                      <w:rFonts w:hint="eastAsia" w:cs="Times New Roman"/>
                      <w:color w:val="auto"/>
                      <w:kern w:val="2"/>
                      <w:sz w:val="21"/>
                      <w:szCs w:val="22"/>
                      <w:lang w:val="en-US" w:eastAsia="zh-CN" w:bidi="ar-SA"/>
                    </w:rPr>
                    <w:t>1</w:t>
                  </w:r>
                </w:p>
              </w:tc>
              <w:tc>
                <w:tcPr>
                  <w:tcW w:w="1739" w:type="dxa"/>
                  <w:vAlign w:val="center"/>
                </w:tcPr>
                <w:p>
                  <w:pPr>
                    <w:keepNext w:val="0"/>
                    <w:keepLines w:val="0"/>
                    <w:widowControl w:val="0"/>
                    <w:numPr>
                      <w:ilvl w:val="-1"/>
                      <w:numId w:val="0"/>
                    </w:numPr>
                    <w:suppressLineNumbers w:val="0"/>
                    <w:adjustRightInd/>
                    <w:snapToGrid/>
                    <w:spacing w:before="0" w:beforeAutospacing="0" w:after="0" w:afterAutospacing="0" w:line="360" w:lineRule="auto"/>
                    <w:ind w:left="0" w:leftChars="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kern w:val="2"/>
                      <w:sz w:val="21"/>
                      <w:szCs w:val="22"/>
                      <w:lang w:val="en-US" w:eastAsia="zh-CN" w:bidi="ar-SA"/>
                    </w:rPr>
                    <w:t>东侧居民区</w:t>
                  </w:r>
                </w:p>
              </w:tc>
              <w:tc>
                <w:tcPr>
                  <w:tcW w:w="1574" w:type="pct"/>
                  <w:vAlign w:val="center"/>
                </w:tcPr>
                <w:p>
                  <w:pPr>
                    <w:pStyle w:val="52"/>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55</w:t>
                  </w:r>
                </w:p>
              </w:tc>
              <w:tc>
                <w:tcPr>
                  <w:tcW w:w="2033" w:type="pct"/>
                  <w:vAlign w:val="center"/>
                </w:tcPr>
                <w:p>
                  <w:pPr>
                    <w:pStyle w:val="52"/>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60</w:t>
                  </w:r>
                </w:p>
              </w:tc>
            </w:tr>
          </w:tbl>
          <w:p>
            <w:pPr>
              <w:keepNext w:val="0"/>
              <w:keepLines w:val="0"/>
              <w:widowControl/>
              <w:suppressLineNumbers w:val="0"/>
              <w:overflowPunct w:val="0"/>
              <w:topLinePunct/>
              <w:autoSpaceDE w:val="0"/>
              <w:autoSpaceDN w:val="0"/>
              <w:adjustRightInd w:val="0"/>
              <w:snapToGrid w:val="0"/>
              <w:spacing w:before="0" w:beforeAutospacing="0" w:after="0" w:afterAutospacing="0" w:line="360" w:lineRule="auto"/>
              <w:ind w:left="0" w:right="0" w:firstLine="480" w:firstLineChars="200"/>
              <w:jc w:val="both"/>
              <w:textAlignment w:val="baseline"/>
              <w:rPr>
                <w:rFonts w:hint="default" w:ascii="Times New Roman" w:hAnsi="Times New Roman" w:eastAsia="宋体" w:cs="Times New Roman"/>
                <w:snapToGrid w:val="0"/>
                <w:color w:val="auto"/>
                <w:kern w:val="2"/>
                <w:sz w:val="24"/>
                <w:szCs w:val="24"/>
                <w:lang w:val="en-US" w:eastAsia="zh-CN" w:bidi="ar-SA"/>
              </w:rPr>
            </w:pPr>
            <w:r>
              <w:rPr>
                <w:rFonts w:hint="default" w:ascii="Times New Roman" w:hAnsi="Times New Roman" w:eastAsia="宋体" w:cs="Times New Roman"/>
                <w:snapToGrid w:val="0"/>
                <w:color w:val="auto"/>
                <w:kern w:val="2"/>
                <w:sz w:val="24"/>
                <w:szCs w:val="24"/>
                <w:lang w:val="en-US" w:eastAsia="zh-CN" w:bidi="ar-SA"/>
              </w:rPr>
              <w:t>监测结果表明：东侧居民区的声环境质量现状符合《声环境质量标准》（GB 3096-2008）中2类标准限值要求，项目所在区域声环境质量现状良好。</w:t>
            </w:r>
          </w:p>
          <w:p>
            <w:pPr>
              <w:keepNext w:val="0"/>
              <w:keepLines w:val="0"/>
              <w:numPr>
                <w:ilvl w:val="0"/>
                <w:numId w:val="9"/>
              </w:numPr>
              <w:suppressLineNumbers w:val="0"/>
              <w:spacing w:before="0" w:beforeAutospacing="0" w:after="0" w:afterAutospacing="0" w:line="360" w:lineRule="auto"/>
              <w:ind w:left="-2" w:right="0" w:firstLine="482" w:firstLineChars="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生态环境</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本项目租用已建好的生产厂房进行生产，用地范围内不含有生态环境保护目标，故不进行生态现状调查。</w:t>
            </w:r>
          </w:p>
          <w:p>
            <w:pPr>
              <w:keepNext w:val="0"/>
              <w:keepLines w:val="0"/>
              <w:numPr>
                <w:ilvl w:val="0"/>
                <w:numId w:val="9"/>
              </w:numPr>
              <w:suppressLineNumbers w:val="0"/>
              <w:spacing w:before="0" w:beforeAutospacing="0" w:after="0" w:afterAutospacing="0" w:line="360" w:lineRule="auto"/>
              <w:ind w:left="-2" w:right="0" w:firstLine="482" w:firstLineChars="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地下水、土壤环境</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 w:val="24"/>
              </w:rPr>
              <w:t>本项目无地下水、土壤污染途径，故不开展地下水、土壤现状调查。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noWrap w:val="0"/>
            <w:vAlign w:val="center"/>
          </w:tcPr>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w:t>
            </w:r>
          </w:p>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保护</w:t>
            </w:r>
          </w:p>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rPr>
              <w:t>目标</w:t>
            </w:r>
          </w:p>
        </w:tc>
        <w:tc>
          <w:tcPr>
            <w:tcW w:w="4750" w:type="pct"/>
            <w:noWrap w:val="0"/>
            <w:vAlign w:val="center"/>
          </w:tcPr>
          <w:p>
            <w:pPr>
              <w:keepNext w:val="0"/>
              <w:keepLines w:val="0"/>
              <w:numPr>
                <w:ilvl w:val="0"/>
                <w:numId w:val="12"/>
              </w:numPr>
              <w:suppressLineNumbers w:val="0"/>
              <w:adjustRightInd w:val="0"/>
              <w:snapToGrid w:val="0"/>
              <w:spacing w:before="0" w:beforeAutospacing="0" w:after="0" w:afterAutospacing="0" w:line="360" w:lineRule="auto"/>
              <w:ind w:left="0" w:right="0" w:firstLine="400" w:firstLineChars="0"/>
              <w:rPr>
                <w:rFonts w:hint="default" w:ascii="Times New Roman" w:hAnsi="Times New Roman" w:eastAsia="宋体" w:cs="Times New Roman"/>
                <w:b/>
                <w:color w:val="auto"/>
                <w:sz w:val="24"/>
                <w:szCs w:val="21"/>
              </w:rPr>
            </w:pPr>
            <w:r>
              <w:rPr>
                <w:rFonts w:hint="default" w:ascii="Times New Roman" w:hAnsi="Times New Roman" w:eastAsia="宋体" w:cs="Times New Roman"/>
                <w:b/>
                <w:color w:val="auto"/>
                <w:sz w:val="24"/>
                <w:szCs w:val="21"/>
              </w:rPr>
              <w:t>大气环境</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b w:val="0"/>
                <w:bCs w:val="0"/>
                <w:color w:val="auto"/>
                <w:sz w:val="24"/>
                <w:szCs w:val="21"/>
              </w:rPr>
            </w:pPr>
            <w:r>
              <w:rPr>
                <w:rFonts w:hint="default" w:ascii="Times New Roman" w:hAnsi="Times New Roman" w:eastAsia="宋体" w:cs="Times New Roman"/>
                <w:color w:val="auto"/>
                <w:sz w:val="24"/>
                <w:szCs w:val="21"/>
              </w:rPr>
              <w:t>项目所处区域属环境空气二类功能区，保护此区域环境空气不受本项目污染，符合</w:t>
            </w:r>
            <w:r>
              <w:rPr>
                <w:rFonts w:hint="default" w:ascii="Times New Roman" w:hAnsi="Times New Roman" w:eastAsia="宋体" w:cs="Times New Roman"/>
                <w:color w:val="auto"/>
                <w:sz w:val="24"/>
              </w:rPr>
              <w:t>《环境空气质量标准》（GB3095-2012）及其修改单</w:t>
            </w:r>
            <w:r>
              <w:rPr>
                <w:rFonts w:hint="default" w:ascii="Times New Roman" w:hAnsi="Times New Roman" w:eastAsia="宋体" w:cs="Times New Roman"/>
                <w:b w:val="0"/>
                <w:bCs w:val="0"/>
                <w:color w:val="auto"/>
                <w:sz w:val="24"/>
              </w:rPr>
              <w:t>二级标准</w:t>
            </w:r>
            <w:r>
              <w:rPr>
                <w:rFonts w:hint="default" w:ascii="Times New Roman" w:hAnsi="Times New Roman" w:eastAsia="宋体" w:cs="Times New Roman"/>
                <w:b w:val="0"/>
                <w:bCs w:val="0"/>
                <w:color w:val="auto"/>
                <w:sz w:val="24"/>
                <w:szCs w:val="21"/>
              </w:rPr>
              <w:t>要求。项目厂界外500m范围内的大气环境保护目标名称以及与建设项目厂界位置关系详见</w:t>
            </w:r>
            <w:r>
              <w:rPr>
                <w:rFonts w:hint="default" w:ascii="Times New Roman" w:hAnsi="Times New Roman" w:eastAsia="宋体" w:cs="Times New Roman"/>
                <w:b w:val="0"/>
                <w:bCs w:val="0"/>
                <w:color w:val="auto"/>
                <w:sz w:val="24"/>
                <w:szCs w:val="21"/>
                <w:lang w:val="en-US"/>
              </w:rPr>
              <w:fldChar w:fldCharType="begin"/>
            </w:r>
            <w:r>
              <w:rPr>
                <w:rFonts w:hint="default" w:ascii="Times New Roman" w:hAnsi="Times New Roman" w:eastAsia="宋体" w:cs="Times New Roman"/>
                <w:b w:val="0"/>
                <w:bCs w:val="0"/>
                <w:color w:val="auto"/>
                <w:sz w:val="24"/>
                <w:szCs w:val="21"/>
                <w:lang w:val="en-US"/>
              </w:rPr>
              <w:instrText xml:space="preserve"> REF _Ref26808 \h </w:instrText>
            </w:r>
            <w:r>
              <w:rPr>
                <w:rFonts w:hint="default" w:ascii="Times New Roman" w:hAnsi="Times New Roman" w:eastAsia="宋体" w:cs="Times New Roman"/>
                <w:b w:val="0"/>
                <w:bCs w:val="0"/>
                <w:color w:val="auto"/>
                <w:sz w:val="24"/>
                <w:szCs w:val="21"/>
                <w:lang w:val="en-US"/>
              </w:rPr>
              <w:fldChar w:fldCharType="separate"/>
            </w:r>
            <w:r>
              <w:rPr>
                <w:rStyle w:val="58"/>
                <w:rFonts w:hint="default" w:ascii="Times New Roman" w:hAnsi="Times New Roman" w:eastAsia="宋体" w:cs="Times New Roman"/>
                <w:b/>
                <w:bCs/>
                <w:color w:val="auto"/>
              </w:rPr>
              <w:t>表3- 6</w:t>
            </w:r>
            <w:r>
              <w:rPr>
                <w:rFonts w:hint="default" w:ascii="Times New Roman" w:hAnsi="Times New Roman" w:eastAsia="宋体" w:cs="Times New Roman"/>
                <w:b w:val="0"/>
                <w:bCs w:val="0"/>
                <w:color w:val="auto"/>
                <w:sz w:val="24"/>
                <w:szCs w:val="21"/>
                <w:lang w:val="en-US"/>
              </w:rPr>
              <w:fldChar w:fldCharType="end"/>
            </w:r>
            <w:r>
              <w:rPr>
                <w:rFonts w:hint="default" w:ascii="Times New Roman" w:hAnsi="Times New Roman" w:eastAsia="宋体" w:cs="Times New Roman"/>
                <w:b w:val="0"/>
                <w:bCs w:val="0"/>
                <w:color w:val="auto"/>
                <w:sz w:val="24"/>
                <w:szCs w:val="21"/>
              </w:rPr>
              <w:t>。</w:t>
            </w:r>
          </w:p>
          <w:p>
            <w:pPr>
              <w:keepNext w:val="0"/>
              <w:keepLines w:val="0"/>
              <w:suppressLineNumbers w:val="0"/>
              <w:tabs>
                <w:tab w:val="left" w:pos="8505"/>
              </w:tabs>
              <w:adjustRightInd w:val="0"/>
              <w:snapToGrid w:val="0"/>
              <w:spacing w:before="0" w:beforeAutospacing="0" w:after="0" w:afterAutospacing="0" w:line="240" w:lineRule="auto"/>
              <w:ind w:left="0" w:right="0"/>
              <w:jc w:val="center"/>
              <w:rPr>
                <w:rStyle w:val="58"/>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 xml:space="preserve"> </w:t>
            </w:r>
            <w:bookmarkStart w:id="25" w:name="_Ref26808"/>
            <w:r>
              <w:rPr>
                <w:rStyle w:val="58"/>
                <w:rFonts w:hint="default" w:ascii="Times New Roman" w:hAnsi="Times New Roman" w:eastAsia="宋体" w:cs="Times New Roman"/>
                <w:b/>
                <w:bCs/>
                <w:color w:val="auto"/>
              </w:rPr>
              <w:t xml:space="preserve">表3- </w:t>
            </w:r>
            <w:r>
              <w:rPr>
                <w:rStyle w:val="58"/>
                <w:rFonts w:hint="default" w:ascii="Times New Roman" w:hAnsi="Times New Roman" w:eastAsia="宋体" w:cs="Times New Roman"/>
                <w:b/>
                <w:bCs/>
                <w:color w:val="auto"/>
              </w:rPr>
              <w:fldChar w:fldCharType="begin"/>
            </w:r>
            <w:r>
              <w:rPr>
                <w:rStyle w:val="58"/>
                <w:rFonts w:hint="default" w:ascii="Times New Roman" w:hAnsi="Times New Roman" w:eastAsia="宋体" w:cs="Times New Roman"/>
                <w:b/>
                <w:bCs/>
                <w:color w:val="auto"/>
              </w:rPr>
              <w:instrText xml:space="preserve"> SEQ 表3- \* ARABIC </w:instrText>
            </w:r>
            <w:r>
              <w:rPr>
                <w:rStyle w:val="58"/>
                <w:rFonts w:hint="default" w:ascii="Times New Roman" w:hAnsi="Times New Roman" w:eastAsia="宋体" w:cs="Times New Roman"/>
                <w:b/>
                <w:bCs/>
                <w:color w:val="auto"/>
              </w:rPr>
              <w:fldChar w:fldCharType="separate"/>
            </w:r>
            <w:r>
              <w:rPr>
                <w:rStyle w:val="58"/>
                <w:rFonts w:hint="default" w:ascii="Times New Roman" w:hAnsi="Times New Roman" w:eastAsia="宋体" w:cs="Times New Roman"/>
                <w:b/>
                <w:bCs/>
                <w:color w:val="auto"/>
              </w:rPr>
              <w:t>6</w:t>
            </w:r>
            <w:r>
              <w:rPr>
                <w:rStyle w:val="58"/>
                <w:rFonts w:hint="default" w:ascii="Times New Roman" w:hAnsi="Times New Roman" w:eastAsia="宋体" w:cs="Times New Roman"/>
                <w:b/>
                <w:bCs/>
                <w:color w:val="auto"/>
              </w:rPr>
              <w:fldChar w:fldCharType="end"/>
            </w:r>
            <w:bookmarkEnd w:id="25"/>
            <w:r>
              <w:rPr>
                <w:rStyle w:val="58"/>
                <w:rFonts w:hint="default" w:ascii="Times New Roman" w:hAnsi="Times New Roman" w:eastAsia="宋体" w:cs="Times New Roman"/>
                <w:b/>
                <w:bCs/>
                <w:color w:val="auto"/>
                <w:lang w:val="en-US" w:eastAsia="zh-CN"/>
              </w:rPr>
              <w:t xml:space="preserve"> </w:t>
            </w:r>
            <w:r>
              <w:rPr>
                <w:rStyle w:val="58"/>
                <w:rFonts w:hint="default" w:ascii="Times New Roman" w:hAnsi="Times New Roman" w:eastAsia="宋体" w:cs="Times New Roman"/>
                <w:b/>
                <w:bCs/>
                <w:color w:val="auto"/>
                <w:kern w:val="0"/>
                <w:sz w:val="24"/>
                <w:szCs w:val="21"/>
              </w:rPr>
              <w:t>环境保护目标一览表</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757"/>
              <w:gridCol w:w="454"/>
              <w:gridCol w:w="1559"/>
              <w:gridCol w:w="690"/>
              <w:gridCol w:w="1266"/>
              <w:gridCol w:w="1266"/>
              <w:gridCol w:w="866"/>
              <w:gridCol w:w="928"/>
              <w:gridCol w:w="9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33"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序号</w:t>
                  </w:r>
                </w:p>
              </w:tc>
              <w:tc>
                <w:tcPr>
                  <w:tcW w:w="414"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敏感目标名称</w:t>
                  </w:r>
                </w:p>
              </w:tc>
              <w:tc>
                <w:tcPr>
                  <w:tcW w:w="248"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保护对象</w:t>
                  </w:r>
                </w:p>
              </w:tc>
              <w:tc>
                <w:tcPr>
                  <w:tcW w:w="852"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保护内容</w:t>
                  </w:r>
                </w:p>
              </w:tc>
              <w:tc>
                <w:tcPr>
                  <w:tcW w:w="377"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环境功能区</w:t>
                  </w:r>
                </w:p>
              </w:tc>
              <w:tc>
                <w:tcPr>
                  <w:tcW w:w="1384" w:type="pct"/>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坐标</w:t>
                  </w:r>
                </w:p>
              </w:tc>
              <w:tc>
                <w:tcPr>
                  <w:tcW w:w="473"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相对厂址方位</w:t>
                  </w:r>
                </w:p>
              </w:tc>
              <w:tc>
                <w:tcPr>
                  <w:tcW w:w="507"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相对厂界距离（m）</w:t>
                  </w:r>
                </w:p>
              </w:tc>
              <w:tc>
                <w:tcPr>
                  <w:tcW w:w="507"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相对</w:t>
                  </w:r>
                  <w:r>
                    <w:rPr>
                      <w:rFonts w:hint="default" w:ascii="Times New Roman" w:hAnsi="Times New Roman" w:eastAsia="宋体" w:cs="Times New Roman"/>
                      <w:b/>
                      <w:bCs/>
                      <w:color w:val="auto"/>
                      <w:lang w:val="en-US" w:eastAsia="zh-CN"/>
                    </w:rPr>
                    <w:t>废气车间</w:t>
                  </w:r>
                  <w:r>
                    <w:rPr>
                      <w:rFonts w:hint="default" w:ascii="Times New Roman" w:hAnsi="Times New Roman" w:eastAsia="宋体" w:cs="Times New Roman"/>
                      <w:b/>
                      <w:bCs/>
                      <w:color w:val="auto"/>
                    </w:rPr>
                    <w:t>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3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41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248"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5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77"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9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rPr>
                    <w:t>经度</w:t>
                  </w:r>
                  <w:r>
                    <w:rPr>
                      <w:rFonts w:hint="default" w:ascii="Times New Roman" w:hAnsi="Times New Roman" w:eastAsia="宋体" w:cs="Times New Roman"/>
                      <w:b/>
                      <w:bCs/>
                      <w:color w:val="auto"/>
                      <w:lang w:eastAsia="zh-CN"/>
                    </w:rPr>
                    <w:t>（</w:t>
                  </w:r>
                  <w:r>
                    <w:rPr>
                      <w:rFonts w:hint="default" w:ascii="Times New Roman" w:hAnsi="Times New Roman" w:eastAsia="宋体" w:cs="Times New Roman"/>
                      <w:b/>
                      <w:bCs/>
                      <w:color w:val="auto"/>
                      <w:lang w:val="en-US" w:eastAsia="zh-CN"/>
                    </w:rPr>
                    <w:t>°</w:t>
                  </w:r>
                  <w:r>
                    <w:rPr>
                      <w:rFonts w:hint="default" w:ascii="Times New Roman" w:hAnsi="Times New Roman" w:eastAsia="宋体" w:cs="Times New Roman"/>
                      <w:b/>
                      <w:bCs/>
                      <w:color w:val="auto"/>
                      <w:lang w:eastAsia="zh-CN"/>
                    </w:rPr>
                    <w:t>）</w:t>
                  </w:r>
                </w:p>
              </w:tc>
              <w:tc>
                <w:tcPr>
                  <w:tcW w:w="69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纬度</w:t>
                  </w:r>
                  <w:r>
                    <w:rPr>
                      <w:rFonts w:hint="default" w:ascii="Times New Roman" w:hAnsi="Times New Roman" w:eastAsia="宋体" w:cs="Times New Roman"/>
                      <w:b/>
                      <w:bCs/>
                      <w:color w:val="auto"/>
                      <w:lang w:eastAsia="zh-CN"/>
                    </w:rPr>
                    <w:t>（</w:t>
                  </w:r>
                  <w:r>
                    <w:rPr>
                      <w:rFonts w:hint="default" w:ascii="Times New Roman" w:hAnsi="Times New Roman" w:eastAsia="宋体" w:cs="Times New Roman"/>
                      <w:b/>
                      <w:bCs/>
                      <w:color w:val="auto"/>
                      <w:lang w:val="en-US" w:eastAsia="zh-CN"/>
                    </w:rPr>
                    <w:t>°</w:t>
                  </w:r>
                  <w:r>
                    <w:rPr>
                      <w:rFonts w:hint="default" w:ascii="Times New Roman" w:hAnsi="Times New Roman" w:eastAsia="宋体" w:cs="Times New Roman"/>
                      <w:b/>
                      <w:bCs/>
                      <w:color w:val="auto"/>
                      <w:lang w:eastAsia="zh-CN"/>
                    </w:rPr>
                    <w:t>）</w:t>
                  </w:r>
                </w:p>
              </w:tc>
              <w:tc>
                <w:tcPr>
                  <w:tcW w:w="47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507"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507"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41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东侧居民区</w:t>
                  </w:r>
                </w:p>
              </w:tc>
              <w:tc>
                <w:tcPr>
                  <w:tcW w:w="248"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大气</w:t>
                  </w:r>
                </w:p>
              </w:tc>
              <w:tc>
                <w:tcPr>
                  <w:tcW w:w="852"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《环境空气质量标准》(GB3095-2012)</w:t>
                  </w:r>
                  <w:r>
                    <w:rPr>
                      <w:rFonts w:hint="default" w:ascii="Times New Roman" w:hAnsi="Times New Roman" w:eastAsia="宋体" w:cs="Times New Roman"/>
                      <w:color w:val="auto"/>
                      <w:lang w:val="en-US" w:eastAsia="zh-CN"/>
                    </w:rPr>
                    <w:t>及其修改单</w:t>
                  </w:r>
                  <w:r>
                    <w:rPr>
                      <w:rFonts w:hint="default" w:ascii="Times New Roman" w:hAnsi="Times New Roman" w:eastAsia="宋体" w:cs="Times New Roman"/>
                      <w:color w:val="auto"/>
                    </w:rPr>
                    <w:t>二级标准</w:t>
                  </w:r>
                </w:p>
              </w:tc>
              <w:tc>
                <w:tcPr>
                  <w:tcW w:w="377"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大气环境二类区</w:t>
                  </w:r>
                </w:p>
              </w:tc>
              <w:tc>
                <w:tcPr>
                  <w:tcW w:w="692"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113.909477</w:t>
                  </w:r>
                </w:p>
              </w:tc>
              <w:tc>
                <w:tcPr>
                  <w:tcW w:w="692"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23.168575</w:t>
                  </w:r>
                </w:p>
              </w:tc>
              <w:tc>
                <w:tcPr>
                  <w:tcW w:w="47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东</w:t>
                  </w:r>
                </w:p>
              </w:tc>
              <w:tc>
                <w:tcPr>
                  <w:tcW w:w="50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42</w:t>
                  </w:r>
                </w:p>
              </w:tc>
              <w:tc>
                <w:tcPr>
                  <w:tcW w:w="50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41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南侧零散居民区</w:t>
                  </w:r>
                </w:p>
              </w:tc>
              <w:tc>
                <w:tcPr>
                  <w:tcW w:w="248"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5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77"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92"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113.907820</w:t>
                  </w:r>
                </w:p>
              </w:tc>
              <w:tc>
                <w:tcPr>
                  <w:tcW w:w="692"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23.165986</w:t>
                  </w:r>
                </w:p>
              </w:tc>
              <w:tc>
                <w:tcPr>
                  <w:tcW w:w="47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南</w:t>
                  </w:r>
                </w:p>
              </w:tc>
              <w:tc>
                <w:tcPr>
                  <w:tcW w:w="50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356</w:t>
                  </w:r>
                </w:p>
              </w:tc>
              <w:tc>
                <w:tcPr>
                  <w:tcW w:w="50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3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c>
                <w:tcPr>
                  <w:tcW w:w="41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东侧园区三路沿路居民区</w:t>
                  </w:r>
                </w:p>
              </w:tc>
              <w:tc>
                <w:tcPr>
                  <w:tcW w:w="248"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5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77"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92"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113.910899</w:t>
                  </w:r>
                </w:p>
              </w:tc>
              <w:tc>
                <w:tcPr>
                  <w:tcW w:w="692"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23.168223</w:t>
                  </w:r>
                </w:p>
              </w:tc>
              <w:tc>
                <w:tcPr>
                  <w:tcW w:w="47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东</w:t>
                  </w:r>
                </w:p>
              </w:tc>
              <w:tc>
                <w:tcPr>
                  <w:tcW w:w="50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192</w:t>
                  </w:r>
                </w:p>
              </w:tc>
              <w:tc>
                <w:tcPr>
                  <w:tcW w:w="50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41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西侧居民区</w:t>
                  </w:r>
                </w:p>
              </w:tc>
              <w:tc>
                <w:tcPr>
                  <w:tcW w:w="248"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5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77"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92"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113.904945</w:t>
                  </w:r>
                </w:p>
              </w:tc>
              <w:tc>
                <w:tcPr>
                  <w:tcW w:w="692"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23.169709</w:t>
                  </w:r>
                </w:p>
              </w:tc>
              <w:tc>
                <w:tcPr>
                  <w:tcW w:w="47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西</w:t>
                  </w:r>
                </w:p>
              </w:tc>
              <w:tc>
                <w:tcPr>
                  <w:tcW w:w="50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364</w:t>
                  </w:r>
                </w:p>
              </w:tc>
              <w:tc>
                <w:tcPr>
                  <w:tcW w:w="50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364</w:t>
                  </w:r>
                </w:p>
              </w:tc>
            </w:tr>
          </w:tbl>
          <w:p>
            <w:pPr>
              <w:keepNext w:val="0"/>
              <w:keepLines w:val="0"/>
              <w:suppressLineNumbers w:val="0"/>
              <w:adjustRightInd w:val="0"/>
              <w:snapToGrid w:val="0"/>
              <w:spacing w:before="0" w:beforeAutospacing="0" w:after="0" w:afterAutospacing="0" w:line="360" w:lineRule="auto"/>
              <w:ind w:left="0" w:right="0" w:firstLine="0" w:firstLineChars="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szCs w:val="21"/>
              </w:rPr>
              <w:t>注：敏感点方位与距离是以项目边界为参照点。</w:t>
            </w:r>
          </w:p>
          <w:p>
            <w:pPr>
              <w:keepNext w:val="0"/>
              <w:keepLines w:val="0"/>
              <w:numPr>
                <w:ilvl w:val="0"/>
                <w:numId w:val="12"/>
              </w:numPr>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szCs w:val="21"/>
              </w:rPr>
            </w:pPr>
            <w:r>
              <w:rPr>
                <w:rFonts w:hint="default" w:ascii="Times New Roman" w:hAnsi="Times New Roman" w:eastAsia="宋体" w:cs="Times New Roman"/>
                <w:b/>
                <w:color w:val="auto"/>
                <w:sz w:val="24"/>
                <w:szCs w:val="21"/>
              </w:rPr>
              <w:t>声环境</w:t>
            </w:r>
          </w:p>
          <w:p>
            <w:pPr>
              <w:keepNext w:val="0"/>
              <w:keepLines w:val="0"/>
              <w:suppressLineNumbers w:val="0"/>
              <w:tabs>
                <w:tab w:val="left" w:pos="8505"/>
              </w:tabs>
              <w:adjustRightInd w:val="0"/>
              <w:snapToGrid w:val="0"/>
              <w:spacing w:before="0" w:beforeAutospacing="0" w:after="0" w:afterAutospacing="0" w:line="360" w:lineRule="auto"/>
              <w:ind w:left="0" w:right="0" w:firstLine="540" w:firstLineChars="225"/>
              <w:jc w:val="both"/>
              <w:rPr>
                <w:rFonts w:hint="default" w:ascii="Times New Roman" w:hAnsi="Times New Roman" w:eastAsia="宋体" w:cs="Times New Roman"/>
                <w:b w:val="0"/>
                <w:bCs w:val="0"/>
                <w:color w:val="auto"/>
                <w:sz w:val="24"/>
                <w:szCs w:val="21"/>
                <w:lang w:val="en-US" w:eastAsia="zh-CN"/>
              </w:rPr>
            </w:pPr>
            <w:r>
              <w:rPr>
                <w:rFonts w:hint="default" w:ascii="Times New Roman" w:hAnsi="Times New Roman" w:eastAsia="宋体" w:cs="Times New Roman"/>
                <w:color w:val="auto"/>
                <w:sz w:val="24"/>
                <w:szCs w:val="21"/>
              </w:rPr>
              <w:t>保护项目周边</w:t>
            </w:r>
            <w:r>
              <w:rPr>
                <w:rFonts w:hint="default" w:ascii="Times New Roman" w:hAnsi="Times New Roman" w:eastAsia="宋体" w:cs="Times New Roman"/>
                <w:color w:val="auto"/>
                <w:sz w:val="24"/>
                <w:szCs w:val="21"/>
                <w:lang w:val="en-US" w:eastAsia="zh-CN"/>
              </w:rPr>
              <w:t>50m范围内保护目标</w:t>
            </w:r>
            <w:r>
              <w:rPr>
                <w:rFonts w:hint="default" w:ascii="Times New Roman" w:hAnsi="Times New Roman" w:eastAsia="宋体" w:cs="Times New Roman"/>
                <w:color w:val="auto"/>
                <w:sz w:val="24"/>
                <w:szCs w:val="21"/>
              </w:rPr>
              <w:t>声环境质量满足</w:t>
            </w:r>
            <w:r>
              <w:rPr>
                <w:rFonts w:hint="default" w:ascii="Times New Roman" w:hAnsi="Times New Roman" w:eastAsia="宋体" w:cs="Times New Roman"/>
                <w:bCs/>
                <w:color w:val="auto"/>
                <w:sz w:val="24"/>
                <w:szCs w:val="21"/>
              </w:rPr>
              <w:t>《声环境质量标准》（GB3096-2008）中的2类标准，其中昼间Leq(A)≤60dB(A)，夜间Leq(A)≤50dB(A)。</w:t>
            </w:r>
            <w:r>
              <w:rPr>
                <w:rFonts w:hint="default" w:ascii="Times New Roman" w:hAnsi="Times New Roman" w:eastAsia="宋体" w:cs="Times New Roman"/>
                <w:color w:val="auto"/>
                <w:sz w:val="24"/>
                <w:szCs w:val="21"/>
              </w:rPr>
              <w:t>项目厂界外50m范围内声环境保护目</w:t>
            </w:r>
            <w:r>
              <w:rPr>
                <w:rFonts w:hint="default" w:ascii="Times New Roman" w:hAnsi="Times New Roman" w:eastAsia="宋体" w:cs="Times New Roman"/>
                <w:b w:val="0"/>
                <w:bCs w:val="0"/>
                <w:color w:val="auto"/>
                <w:sz w:val="24"/>
                <w:szCs w:val="21"/>
              </w:rPr>
              <w:t>标</w:t>
            </w:r>
            <w:r>
              <w:rPr>
                <w:rFonts w:hint="default" w:ascii="Times New Roman" w:hAnsi="Times New Roman" w:eastAsia="宋体" w:cs="Times New Roman"/>
                <w:b w:val="0"/>
                <w:bCs w:val="0"/>
                <w:color w:val="auto"/>
                <w:sz w:val="24"/>
                <w:szCs w:val="21"/>
                <w:lang w:val="en-US"/>
              </w:rPr>
              <w:fldChar w:fldCharType="begin"/>
            </w:r>
            <w:r>
              <w:rPr>
                <w:rFonts w:hint="default" w:ascii="Times New Roman" w:hAnsi="Times New Roman" w:eastAsia="宋体" w:cs="Times New Roman"/>
                <w:b w:val="0"/>
                <w:bCs w:val="0"/>
                <w:color w:val="auto"/>
                <w:sz w:val="24"/>
                <w:szCs w:val="21"/>
                <w:lang w:val="en-US"/>
              </w:rPr>
              <w:instrText xml:space="preserve"> REF _Ref14663 \h </w:instrText>
            </w:r>
            <w:r>
              <w:rPr>
                <w:rFonts w:hint="default" w:ascii="Times New Roman" w:hAnsi="Times New Roman" w:eastAsia="宋体" w:cs="Times New Roman"/>
                <w:b w:val="0"/>
                <w:bCs w:val="0"/>
                <w:color w:val="auto"/>
                <w:sz w:val="24"/>
                <w:szCs w:val="21"/>
                <w:lang w:val="en-US"/>
              </w:rPr>
              <w:fldChar w:fldCharType="separate"/>
            </w:r>
            <w:r>
              <w:rPr>
                <w:rFonts w:hint="default" w:ascii="Times New Roman" w:hAnsi="Times New Roman" w:eastAsia="宋体" w:cs="Times New Roman"/>
                <w:b w:val="0"/>
                <w:bCs w:val="0"/>
                <w:color w:val="auto"/>
                <w:kern w:val="2"/>
                <w:sz w:val="24"/>
                <w:szCs w:val="20"/>
                <w:lang w:val="en-US" w:eastAsia="zh-CN" w:bidi="ar-SA"/>
              </w:rPr>
              <w:t>表3- 7</w:t>
            </w:r>
            <w:r>
              <w:rPr>
                <w:rFonts w:hint="default" w:ascii="Times New Roman" w:hAnsi="Times New Roman" w:eastAsia="宋体" w:cs="Times New Roman"/>
                <w:b w:val="0"/>
                <w:bCs w:val="0"/>
                <w:color w:val="auto"/>
                <w:sz w:val="24"/>
                <w:szCs w:val="21"/>
                <w:lang w:val="en-US"/>
              </w:rPr>
              <w:fldChar w:fldCharType="end"/>
            </w:r>
            <w:r>
              <w:rPr>
                <w:rFonts w:hint="default" w:ascii="Times New Roman" w:hAnsi="Times New Roman" w:eastAsia="宋体" w:cs="Times New Roman"/>
                <w:b w:val="0"/>
                <w:bCs w:val="0"/>
                <w:color w:val="auto"/>
                <w:sz w:val="24"/>
                <w:szCs w:val="21"/>
              </w:rPr>
              <w:t>。</w:t>
            </w:r>
          </w:p>
          <w:p>
            <w:pPr>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4"/>
                <w:szCs w:val="21"/>
                <w:lang w:val="en-US" w:eastAsia="zh-CN" w:bidi="ar-SA"/>
              </w:rPr>
            </w:pPr>
            <w:bookmarkStart w:id="26" w:name="_Ref14663"/>
            <w:r>
              <w:rPr>
                <w:rFonts w:hint="default" w:ascii="Times New Roman" w:hAnsi="Times New Roman" w:eastAsia="宋体" w:cs="Times New Roman"/>
                <w:b/>
                <w:color w:val="auto"/>
                <w:kern w:val="2"/>
                <w:sz w:val="24"/>
                <w:szCs w:val="20"/>
                <w:lang w:val="en-US" w:eastAsia="zh-CN" w:bidi="ar-SA"/>
              </w:rPr>
              <w:t xml:space="preserve">表3- </w:t>
            </w:r>
            <w:r>
              <w:rPr>
                <w:rFonts w:hint="default" w:ascii="Times New Roman" w:hAnsi="Times New Roman" w:eastAsia="宋体" w:cs="Times New Roman"/>
                <w:b/>
                <w:color w:val="auto"/>
                <w:kern w:val="2"/>
                <w:sz w:val="24"/>
                <w:szCs w:val="20"/>
                <w:lang w:val="en-US" w:eastAsia="zh-CN" w:bidi="ar-SA"/>
              </w:rPr>
              <w:fldChar w:fldCharType="begin"/>
            </w:r>
            <w:r>
              <w:rPr>
                <w:rFonts w:hint="default" w:ascii="Times New Roman" w:hAnsi="Times New Roman" w:eastAsia="宋体" w:cs="Times New Roman"/>
                <w:b/>
                <w:color w:val="auto"/>
                <w:kern w:val="2"/>
                <w:sz w:val="24"/>
                <w:szCs w:val="20"/>
                <w:lang w:val="en-US" w:eastAsia="zh-CN" w:bidi="ar-SA"/>
              </w:rPr>
              <w:instrText xml:space="preserve"> SEQ 表3- \* ARABIC </w:instrText>
            </w:r>
            <w:r>
              <w:rPr>
                <w:rFonts w:hint="default" w:ascii="Times New Roman" w:hAnsi="Times New Roman" w:eastAsia="宋体" w:cs="Times New Roman"/>
                <w:b/>
                <w:color w:val="auto"/>
                <w:kern w:val="2"/>
                <w:sz w:val="24"/>
                <w:szCs w:val="20"/>
                <w:lang w:val="en-US" w:eastAsia="zh-CN" w:bidi="ar-SA"/>
              </w:rPr>
              <w:fldChar w:fldCharType="separate"/>
            </w:r>
            <w:r>
              <w:rPr>
                <w:rFonts w:hint="default" w:ascii="Times New Roman" w:hAnsi="Times New Roman" w:eastAsia="宋体" w:cs="Times New Roman"/>
                <w:b/>
                <w:color w:val="auto"/>
                <w:kern w:val="2"/>
                <w:sz w:val="24"/>
                <w:szCs w:val="20"/>
                <w:lang w:val="en-US" w:eastAsia="zh-CN" w:bidi="ar-SA"/>
              </w:rPr>
              <w:t>7</w:t>
            </w:r>
            <w:r>
              <w:rPr>
                <w:rFonts w:hint="default" w:ascii="Times New Roman" w:hAnsi="Times New Roman" w:eastAsia="宋体" w:cs="Times New Roman"/>
                <w:b/>
                <w:color w:val="auto"/>
                <w:kern w:val="2"/>
                <w:sz w:val="24"/>
                <w:szCs w:val="20"/>
                <w:lang w:val="en-US" w:eastAsia="zh-CN" w:bidi="ar-SA"/>
              </w:rPr>
              <w:fldChar w:fldCharType="end"/>
            </w:r>
            <w:bookmarkEnd w:id="26"/>
            <w:r>
              <w:rPr>
                <w:rFonts w:hint="default" w:ascii="Times New Roman" w:hAnsi="Times New Roman" w:eastAsia="宋体" w:cs="Times New Roman"/>
                <w:b/>
                <w:color w:val="auto"/>
                <w:kern w:val="0"/>
                <w:sz w:val="24"/>
                <w:szCs w:val="21"/>
                <w:lang w:val="en-US" w:eastAsia="zh-CN" w:bidi="ar-SA"/>
              </w:rPr>
              <w:t>环境保护目标一览表</w:t>
            </w:r>
          </w:p>
          <w:tbl>
            <w:tblPr>
              <w:tblStyle w:val="26"/>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12"/>
              <w:gridCol w:w="1173"/>
              <w:gridCol w:w="2405"/>
              <w:gridCol w:w="1487"/>
              <w:gridCol w:w="1361"/>
              <w:gridCol w:w="16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608"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名称</w:t>
                  </w:r>
                </w:p>
              </w:tc>
              <w:tc>
                <w:tcPr>
                  <w:tcW w:w="641"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保护内容</w:t>
                  </w:r>
                </w:p>
              </w:tc>
              <w:tc>
                <w:tcPr>
                  <w:tcW w:w="1315"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保护目标</w:t>
                  </w:r>
                </w:p>
              </w:tc>
              <w:tc>
                <w:tcPr>
                  <w:tcW w:w="813"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环境功能区</w:t>
                  </w:r>
                </w:p>
              </w:tc>
              <w:tc>
                <w:tcPr>
                  <w:tcW w:w="744"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相对厂址方位</w:t>
                  </w:r>
                </w:p>
              </w:tc>
              <w:tc>
                <w:tcPr>
                  <w:tcW w:w="876"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相对厂界距离（m）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08"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东侧居民区</w:t>
                  </w:r>
                </w:p>
              </w:tc>
              <w:tc>
                <w:tcPr>
                  <w:tcW w:w="641"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声环境</w:t>
                  </w:r>
                </w:p>
              </w:tc>
              <w:tc>
                <w:tcPr>
                  <w:tcW w:w="1315"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《声环境质量标准》（GB3096-2008）中的2类标准</w:t>
                  </w:r>
                </w:p>
              </w:tc>
              <w:tc>
                <w:tcPr>
                  <w:tcW w:w="813"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声环境2类区</w:t>
                  </w:r>
                </w:p>
              </w:tc>
              <w:tc>
                <w:tcPr>
                  <w:tcW w:w="744"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东</w:t>
                  </w:r>
                </w:p>
              </w:tc>
              <w:tc>
                <w:tcPr>
                  <w:tcW w:w="876" w:type="pct"/>
                  <w:tcBorders>
                    <w:tl2br w:val="nil"/>
                    <w:tr2bl w:val="nil"/>
                  </w:tcBorders>
                  <w:noWrap w:val="0"/>
                  <w:vAlign w:val="center"/>
                </w:tcPr>
                <w:p>
                  <w:pPr>
                    <w:keepNext w:val="0"/>
                    <w:keepLines w:val="0"/>
                    <w:widowControl w:val="0"/>
                    <w:suppressLineNumbers w:val="0"/>
                    <w:autoSpaceDE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42</w:t>
                  </w:r>
                </w:p>
              </w:tc>
            </w:tr>
          </w:tbl>
          <w:p>
            <w:pPr>
              <w:keepNext w:val="0"/>
              <w:keepLines w:val="0"/>
              <w:numPr>
                <w:ilvl w:val="0"/>
                <w:numId w:val="12"/>
              </w:numPr>
              <w:suppressLineNumbers w:val="0"/>
              <w:adjustRightInd w:val="0"/>
              <w:snapToGrid w:val="0"/>
              <w:spacing w:before="0" w:beforeAutospacing="0" w:after="0" w:afterAutospacing="0" w:line="360" w:lineRule="auto"/>
              <w:ind w:right="0" w:firstLine="400" w:firstLineChars="0"/>
              <w:rPr>
                <w:rFonts w:hint="default" w:ascii="Times New Roman" w:hAnsi="Times New Roman" w:eastAsia="宋体" w:cs="Times New Roman"/>
                <w:b/>
                <w:color w:val="auto"/>
                <w:sz w:val="24"/>
                <w:szCs w:val="21"/>
              </w:rPr>
            </w:pPr>
            <w:r>
              <w:rPr>
                <w:rFonts w:hint="default" w:ascii="Times New Roman" w:hAnsi="Times New Roman" w:eastAsia="宋体" w:cs="Times New Roman"/>
                <w:b/>
                <w:color w:val="auto"/>
                <w:sz w:val="24"/>
                <w:szCs w:val="21"/>
              </w:rPr>
              <w:t>地下水环境</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经调查，项目厂界外500m范围内不存在的地下水集中式饮用水水源和热水、矿泉水、温泉等特殊地下水资源。</w:t>
            </w:r>
          </w:p>
          <w:p>
            <w:pPr>
              <w:keepNext w:val="0"/>
              <w:keepLines w:val="0"/>
              <w:numPr>
                <w:ilvl w:val="0"/>
                <w:numId w:val="12"/>
              </w:numPr>
              <w:suppressLineNumbers w:val="0"/>
              <w:adjustRightInd w:val="0"/>
              <w:snapToGrid w:val="0"/>
              <w:spacing w:before="0" w:beforeAutospacing="0" w:after="0" w:afterAutospacing="0" w:line="360" w:lineRule="auto"/>
              <w:ind w:right="0" w:firstLine="400" w:firstLineChars="0"/>
              <w:rPr>
                <w:rFonts w:hint="default" w:ascii="Times New Roman" w:hAnsi="Times New Roman" w:eastAsia="宋体" w:cs="Times New Roman"/>
                <w:b/>
                <w:color w:val="auto"/>
                <w:sz w:val="24"/>
                <w:szCs w:val="21"/>
              </w:rPr>
            </w:pPr>
            <w:r>
              <w:rPr>
                <w:rFonts w:hint="default" w:ascii="Times New Roman" w:hAnsi="Times New Roman" w:eastAsia="宋体" w:cs="Times New Roman"/>
                <w:b/>
                <w:color w:val="auto"/>
                <w:sz w:val="24"/>
                <w:szCs w:val="21"/>
              </w:rPr>
              <w:t>生态环境</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 w:val="24"/>
                <w:szCs w:val="21"/>
              </w:rPr>
              <w:t>本项目租用已建好的生产厂房进行生产，无新增用地</w:t>
            </w:r>
            <w:r>
              <w:rPr>
                <w:rFonts w:hint="default" w:ascii="Times New Roman" w:hAnsi="Times New Roman" w:eastAsia="宋体" w:cs="Times New Roman"/>
                <w:color w:val="auto"/>
                <w:sz w:val="24"/>
                <w:szCs w:val="21"/>
                <w:lang w:eastAsia="zh-CN"/>
              </w:rPr>
              <w:t>，</w:t>
            </w:r>
            <w:r>
              <w:rPr>
                <w:rFonts w:hint="default" w:ascii="Times New Roman" w:hAnsi="Times New Roman" w:eastAsia="宋体" w:cs="Times New Roman"/>
                <w:color w:val="auto"/>
                <w:sz w:val="24"/>
                <w:szCs w:val="21"/>
              </w:rPr>
              <w:t>无生态环境保护目标。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249" w:type="pct"/>
            <w:noWrap w:val="0"/>
            <w:tcMar>
              <w:left w:w="28" w:type="dxa"/>
              <w:right w:w="28"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4"/>
              </w:rPr>
            </w:pPr>
            <w:r>
              <w:rPr>
                <w:rFonts w:hint="default" w:ascii="Times New Roman" w:hAnsi="Times New Roman" w:eastAsia="宋体" w:cs="Times New Roman"/>
                <w:b/>
                <w:bCs/>
                <w:color w:val="auto"/>
                <w:kern w:val="0"/>
                <w:sz w:val="24"/>
              </w:rPr>
              <w:t>污染</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4"/>
              </w:rPr>
            </w:pPr>
            <w:r>
              <w:rPr>
                <w:rFonts w:hint="default" w:ascii="Times New Roman" w:hAnsi="Times New Roman" w:eastAsia="宋体" w:cs="Times New Roman"/>
                <w:b/>
                <w:bCs/>
                <w:color w:val="auto"/>
                <w:kern w:val="0"/>
                <w:sz w:val="24"/>
              </w:rPr>
              <w:t>物排</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4"/>
              </w:rPr>
            </w:pPr>
            <w:r>
              <w:rPr>
                <w:rFonts w:hint="default" w:ascii="Times New Roman" w:hAnsi="Times New Roman" w:eastAsia="宋体" w:cs="Times New Roman"/>
                <w:b/>
                <w:bCs/>
                <w:color w:val="auto"/>
                <w:kern w:val="0"/>
                <w:sz w:val="24"/>
              </w:rPr>
              <w:t>放控</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4"/>
              </w:rPr>
            </w:pPr>
            <w:r>
              <w:rPr>
                <w:rFonts w:hint="default" w:ascii="Times New Roman" w:hAnsi="Times New Roman" w:eastAsia="宋体" w:cs="Times New Roman"/>
                <w:b/>
                <w:bCs/>
                <w:color w:val="auto"/>
                <w:kern w:val="0"/>
                <w:sz w:val="24"/>
              </w:rPr>
              <w:t>制标</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b/>
                <w:bCs/>
                <w:color w:val="auto"/>
                <w:kern w:val="0"/>
                <w:sz w:val="24"/>
              </w:rPr>
              <w:t>准</w:t>
            </w:r>
          </w:p>
        </w:tc>
        <w:tc>
          <w:tcPr>
            <w:tcW w:w="4750" w:type="pct"/>
            <w:noWrap w:val="0"/>
            <w:vAlign w:val="center"/>
          </w:tcPr>
          <w:p>
            <w:pPr>
              <w:keepNext w:val="0"/>
              <w:keepLines w:val="0"/>
              <w:numPr>
                <w:ilvl w:val="0"/>
                <w:numId w:val="13"/>
              </w:numPr>
              <w:suppressLineNumbers w:val="0"/>
              <w:adjustRightInd w:val="0"/>
              <w:snapToGrid w:val="0"/>
              <w:spacing w:before="0" w:beforeAutospacing="0" w:after="0" w:afterAutospacing="0" w:line="360" w:lineRule="auto"/>
              <w:ind w:left="0" w:right="0" w:firstLine="400" w:firstLineChars="0"/>
              <w:rPr>
                <w:rFonts w:hint="default" w:ascii="Times New Roman" w:hAnsi="Times New Roman" w:eastAsia="宋体" w:cs="Times New Roman"/>
                <w:b/>
                <w:bCs/>
                <w:color w:val="auto"/>
                <w:sz w:val="24"/>
                <w:szCs w:val="21"/>
              </w:rPr>
            </w:pPr>
            <w:r>
              <w:rPr>
                <w:rFonts w:hint="default" w:ascii="Times New Roman" w:hAnsi="Times New Roman" w:eastAsia="宋体" w:cs="Times New Roman"/>
                <w:b/>
                <w:bCs/>
                <w:color w:val="auto"/>
                <w:sz w:val="24"/>
                <w:szCs w:val="21"/>
              </w:rPr>
              <w:t>大气污染物排放标准</w:t>
            </w:r>
          </w:p>
          <w:p>
            <w:pPr>
              <w:keepNext w:val="0"/>
              <w:keepLines w:val="0"/>
              <w:numPr>
                <w:ilvl w:val="0"/>
                <w:numId w:val="14"/>
              </w:numPr>
              <w:suppressLineNumbers w:val="0"/>
              <w:adjustRightInd w:val="0"/>
              <w:snapToGrid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szCs w:val="21"/>
              </w:rPr>
            </w:pPr>
            <w:bookmarkStart w:id="27" w:name="活性炭装填量"/>
            <w:bookmarkStart w:id="28" w:name="有机废气执行标准"/>
            <w:r>
              <w:rPr>
                <w:rFonts w:hint="default" w:ascii="Times New Roman" w:hAnsi="Times New Roman" w:eastAsia="宋体" w:cs="Times New Roman"/>
                <w:b/>
                <w:bCs/>
                <w:color w:val="auto"/>
                <w:sz w:val="24"/>
                <w:szCs w:val="21"/>
                <w:lang w:val="en-US" w:eastAsia="zh-CN"/>
              </w:rPr>
              <w:t>颗粒物</w:t>
            </w:r>
          </w:p>
          <w:bookmarkEnd w:id="27"/>
          <w:bookmarkEnd w:id="28"/>
          <w:p>
            <w:pPr>
              <w:pStyle w:val="57"/>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项目</w:t>
            </w:r>
            <w:r>
              <w:rPr>
                <w:rFonts w:hint="default" w:ascii="Times New Roman" w:hAnsi="Times New Roman" w:eastAsia="宋体" w:cs="Times New Roman"/>
                <w:color w:val="auto"/>
                <w:lang w:val="en-US" w:eastAsia="zh-CN"/>
              </w:rPr>
              <w:t>喷粉、喷砂和喷漆产生的颗粒物</w:t>
            </w:r>
            <w:r>
              <w:rPr>
                <w:rFonts w:hint="default" w:ascii="Times New Roman" w:hAnsi="Times New Roman" w:eastAsia="宋体" w:cs="Times New Roman"/>
                <w:b w:val="0"/>
                <w:bCs w:val="0"/>
                <w:color w:val="auto"/>
              </w:rPr>
              <w:t>执行</w:t>
            </w:r>
            <w:r>
              <w:rPr>
                <w:rFonts w:hint="default" w:ascii="Times New Roman" w:hAnsi="Times New Roman" w:eastAsia="宋体" w:cs="Times New Roman"/>
                <w:b w:val="0"/>
                <w:bCs w:val="0"/>
                <w:color w:val="auto"/>
                <w:lang w:eastAsia="zh-CN"/>
              </w:rPr>
              <w:t>《大气污染物排放限值》（DB44</w:t>
            </w:r>
            <w:r>
              <w:rPr>
                <w:rFonts w:hint="default" w:ascii="Times New Roman" w:hAnsi="Times New Roman" w:eastAsia="宋体" w:cs="Times New Roman"/>
                <w:b w:val="0"/>
                <w:bCs w:val="0"/>
                <w:color w:val="auto"/>
                <w:highlight w:val="none"/>
                <w:lang w:val="en-US" w:eastAsia="zh-CN"/>
              </w:rPr>
              <w:t>/</w:t>
            </w:r>
            <w:r>
              <w:rPr>
                <w:rFonts w:hint="default" w:ascii="Times New Roman" w:hAnsi="Times New Roman" w:eastAsia="宋体" w:cs="Times New Roman"/>
                <w:b w:val="0"/>
                <w:bCs w:val="0"/>
                <w:color w:val="auto"/>
                <w:highlight w:val="none"/>
                <w:lang w:eastAsia="zh-CN"/>
              </w:rPr>
              <w:t>27-2001)</w:t>
            </w:r>
            <w:r>
              <w:rPr>
                <w:rFonts w:hint="default" w:ascii="Times New Roman" w:hAnsi="Times New Roman" w:eastAsia="宋体" w:cs="Times New Roman"/>
                <w:b w:val="0"/>
                <w:bCs w:val="0"/>
                <w:color w:val="auto"/>
                <w:highlight w:val="none"/>
                <w:lang w:val="en-US" w:eastAsia="zh-CN"/>
              </w:rPr>
              <w:t>第二时段二级标准和无</w:t>
            </w:r>
            <w:r>
              <w:rPr>
                <w:rFonts w:hint="default" w:ascii="Times New Roman" w:hAnsi="Times New Roman" w:eastAsia="宋体" w:cs="Times New Roman"/>
                <w:b w:val="0"/>
                <w:bCs w:val="0"/>
                <w:color w:val="auto"/>
                <w:lang w:val="en-US" w:eastAsia="zh-CN"/>
              </w:rPr>
              <w:t>组织排放监控浓度限值。</w:t>
            </w:r>
            <w:r>
              <w:rPr>
                <w:rFonts w:hint="default" w:ascii="Times New Roman" w:hAnsi="Times New Roman" w:eastAsia="宋体" w:cs="Times New Roman"/>
                <w:b w:val="0"/>
                <w:bCs w:val="0"/>
                <w:color w:val="auto"/>
              </w:rPr>
              <w:t>具体见</w:t>
            </w:r>
            <w:r>
              <w:rPr>
                <w:rFonts w:hint="default" w:ascii="Times New Roman" w:hAnsi="Times New Roman" w:eastAsia="宋体" w:cs="Times New Roman"/>
                <w:b w:val="0"/>
                <w:bCs w:val="0"/>
                <w:color w:val="auto"/>
                <w:lang w:eastAsia="zh-CN"/>
              </w:rPr>
              <w:fldChar w:fldCharType="begin"/>
            </w:r>
            <w:r>
              <w:rPr>
                <w:rFonts w:hint="default" w:ascii="Times New Roman" w:hAnsi="Times New Roman" w:eastAsia="宋体" w:cs="Times New Roman"/>
                <w:b w:val="0"/>
                <w:bCs w:val="0"/>
                <w:color w:val="auto"/>
                <w:lang w:eastAsia="zh-CN"/>
              </w:rPr>
              <w:instrText xml:space="preserve"> REF _Ref26758 \h </w:instrText>
            </w:r>
            <w:r>
              <w:rPr>
                <w:rFonts w:hint="default" w:ascii="Times New Roman" w:hAnsi="Times New Roman" w:eastAsia="宋体" w:cs="Times New Roman"/>
                <w:b w:val="0"/>
                <w:bCs w:val="0"/>
                <w:color w:val="auto"/>
                <w:lang w:eastAsia="zh-CN"/>
              </w:rPr>
              <w:fldChar w:fldCharType="separate"/>
            </w:r>
            <w:r>
              <w:rPr>
                <w:rFonts w:hint="default" w:ascii="Times New Roman" w:hAnsi="Times New Roman" w:eastAsia="宋体" w:cs="Times New Roman"/>
                <w:b w:val="0"/>
                <w:bCs w:val="0"/>
                <w:color w:val="auto"/>
                <w:kern w:val="2"/>
                <w:sz w:val="24"/>
                <w:szCs w:val="20"/>
                <w:lang w:val="en-US" w:eastAsia="zh-CN" w:bidi="ar-SA"/>
              </w:rPr>
              <w:t>表3- 8</w:t>
            </w:r>
            <w:r>
              <w:rPr>
                <w:rFonts w:hint="default" w:ascii="Times New Roman" w:hAnsi="Times New Roman" w:eastAsia="宋体" w:cs="Times New Roman"/>
                <w:b w:val="0"/>
                <w:bCs w:val="0"/>
                <w:color w:val="auto"/>
                <w:lang w:eastAsia="zh-CN"/>
              </w:rPr>
              <w:fldChar w:fldCharType="end"/>
            </w:r>
            <w:r>
              <w:rPr>
                <w:rFonts w:hint="default" w:ascii="Times New Roman" w:hAnsi="Times New Roman" w:eastAsia="宋体" w:cs="Times New Roman"/>
                <w:b w:val="0"/>
                <w:bCs w:val="0"/>
                <w:color w:val="auto"/>
                <w:lang w:eastAsia="zh-CN"/>
              </w:rPr>
              <w:t>。</w:t>
            </w:r>
          </w:p>
          <w:p>
            <w:pPr>
              <w:keepNext w:val="0"/>
              <w:keepLines w:val="0"/>
              <w:widowControl/>
              <w:suppressLineNumbers w:val="0"/>
              <w:tabs>
                <w:tab w:val="left" w:pos="360"/>
                <w:tab w:val="left" w:pos="420"/>
              </w:tabs>
              <w:adjustRightInd w:val="0"/>
              <w:snapToGrid w:val="0"/>
              <w:spacing w:before="0" w:beforeAutospacing="0" w:after="0" w:afterAutospacing="0" w:line="240" w:lineRule="auto"/>
              <w:ind w:left="471" w:right="0" w:hanging="360"/>
              <w:jc w:val="center"/>
              <w:rPr>
                <w:rFonts w:hint="default" w:ascii="Times New Roman" w:hAnsi="Times New Roman" w:eastAsia="宋体" w:cs="Times New Roman"/>
                <w:b/>
                <w:color w:val="auto"/>
                <w:kern w:val="0"/>
                <w:sz w:val="24"/>
                <w:szCs w:val="20"/>
                <w:lang w:val="en-US" w:eastAsia="zh-CN" w:bidi="ar-SA"/>
              </w:rPr>
            </w:pPr>
            <w:bookmarkStart w:id="29" w:name="_Ref26758"/>
            <w:bookmarkStart w:id="30" w:name="_Ref6216"/>
            <w:r>
              <w:rPr>
                <w:rFonts w:hint="default" w:ascii="Times New Roman" w:hAnsi="Times New Roman" w:eastAsia="宋体" w:cs="Times New Roman"/>
                <w:b/>
                <w:color w:val="auto"/>
                <w:kern w:val="2"/>
                <w:sz w:val="24"/>
                <w:szCs w:val="20"/>
                <w:lang w:val="en-US" w:eastAsia="zh-CN" w:bidi="ar-SA"/>
              </w:rPr>
              <w:t xml:space="preserve">表3- </w:t>
            </w:r>
            <w:r>
              <w:rPr>
                <w:rFonts w:hint="default" w:ascii="Times New Roman" w:hAnsi="Times New Roman" w:eastAsia="宋体" w:cs="Times New Roman"/>
                <w:b/>
                <w:color w:val="auto"/>
                <w:kern w:val="2"/>
                <w:sz w:val="24"/>
                <w:szCs w:val="20"/>
                <w:lang w:val="en-US" w:eastAsia="zh-CN" w:bidi="ar-SA"/>
              </w:rPr>
              <w:fldChar w:fldCharType="begin"/>
            </w:r>
            <w:r>
              <w:rPr>
                <w:rFonts w:hint="default" w:ascii="Times New Roman" w:hAnsi="Times New Roman" w:eastAsia="宋体" w:cs="Times New Roman"/>
                <w:b/>
                <w:color w:val="auto"/>
                <w:kern w:val="2"/>
                <w:sz w:val="24"/>
                <w:szCs w:val="20"/>
                <w:lang w:val="en-US" w:eastAsia="zh-CN" w:bidi="ar-SA"/>
              </w:rPr>
              <w:instrText xml:space="preserve"> SEQ 表3- \* ARABIC </w:instrText>
            </w:r>
            <w:r>
              <w:rPr>
                <w:rFonts w:hint="default" w:ascii="Times New Roman" w:hAnsi="Times New Roman" w:eastAsia="宋体" w:cs="Times New Roman"/>
                <w:b/>
                <w:color w:val="auto"/>
                <w:kern w:val="2"/>
                <w:sz w:val="24"/>
                <w:szCs w:val="20"/>
                <w:lang w:val="en-US" w:eastAsia="zh-CN" w:bidi="ar-SA"/>
              </w:rPr>
              <w:fldChar w:fldCharType="separate"/>
            </w:r>
            <w:r>
              <w:rPr>
                <w:rFonts w:hint="default" w:ascii="Times New Roman" w:hAnsi="Times New Roman" w:eastAsia="宋体" w:cs="Times New Roman"/>
                <w:b/>
                <w:color w:val="auto"/>
                <w:kern w:val="2"/>
                <w:sz w:val="24"/>
                <w:szCs w:val="20"/>
                <w:lang w:val="en-US" w:eastAsia="zh-CN" w:bidi="ar-SA"/>
              </w:rPr>
              <w:t>8</w:t>
            </w:r>
            <w:r>
              <w:rPr>
                <w:rFonts w:hint="default" w:ascii="Times New Roman" w:hAnsi="Times New Roman" w:eastAsia="宋体" w:cs="Times New Roman"/>
                <w:b/>
                <w:color w:val="auto"/>
                <w:kern w:val="2"/>
                <w:sz w:val="24"/>
                <w:szCs w:val="20"/>
                <w:lang w:val="en-US" w:eastAsia="zh-CN" w:bidi="ar-SA"/>
              </w:rPr>
              <w:fldChar w:fldCharType="end"/>
            </w:r>
            <w:bookmarkEnd w:id="29"/>
            <w:r>
              <w:rPr>
                <w:rFonts w:hint="default" w:ascii="Times New Roman" w:hAnsi="Times New Roman" w:eastAsia="宋体" w:cs="Times New Roman"/>
                <w:b/>
                <w:color w:val="auto"/>
                <w:kern w:val="2"/>
                <w:sz w:val="24"/>
                <w:szCs w:val="20"/>
                <w:lang w:val="en-US" w:eastAsia="zh-CN" w:bidi="ar-SA"/>
              </w:rPr>
              <w:t>《大气污染物排放限值》（DB44/27-2001）</w:t>
            </w:r>
            <w:bookmarkEnd w:id="30"/>
          </w:p>
          <w:tbl>
            <w:tblPr>
              <w:tblStyle w:val="26"/>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05"/>
              <w:gridCol w:w="1205"/>
              <w:gridCol w:w="1728"/>
              <w:gridCol w:w="2006"/>
              <w:gridCol w:w="1358"/>
              <w:gridCol w:w="143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69" w:type="pct"/>
                  <w:vMerge w:val="restar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rPr>
                    <w:t>污染物</w:t>
                  </w:r>
                  <w:r>
                    <w:rPr>
                      <w:rFonts w:hint="default" w:ascii="Times New Roman" w:hAnsi="Times New Roman" w:eastAsia="宋体" w:cs="Times New Roman"/>
                      <w:b/>
                      <w:bCs w:val="0"/>
                      <w:color w:val="auto"/>
                      <w:kern w:val="0"/>
                      <w:sz w:val="21"/>
                      <w:szCs w:val="21"/>
                      <w:lang w:val="en-US" w:eastAsia="zh-CN"/>
                    </w:rPr>
                    <w:t>项目</w:t>
                  </w:r>
                </w:p>
              </w:tc>
              <w:tc>
                <w:tcPr>
                  <w:tcW w:w="659"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排气筒</w:t>
                  </w:r>
                </w:p>
              </w:tc>
              <w:tc>
                <w:tcPr>
                  <w:tcW w:w="2042" w:type="pct"/>
                  <w:gridSpan w:val="2"/>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p>
              </w:tc>
              <w:tc>
                <w:tcPr>
                  <w:tcW w:w="1528" w:type="pct"/>
                  <w:gridSpan w:val="2"/>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无组织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69" w:type="pct"/>
                  <w:vMerge w:val="continue"/>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p>
              </w:tc>
              <w:tc>
                <w:tcPr>
                  <w:tcW w:w="659"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高度</w:t>
                  </w:r>
                </w:p>
              </w:tc>
              <w:tc>
                <w:tcPr>
                  <w:tcW w:w="945"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最高允许排放浓度限值</w:t>
                  </w:r>
                  <w:r>
                    <w:rPr>
                      <w:rFonts w:hint="default" w:ascii="Times New Roman" w:hAnsi="Times New Roman" w:eastAsia="宋体" w:cs="Times New Roman"/>
                      <w:b/>
                      <w:bCs w:val="0"/>
                      <w:color w:val="auto"/>
                      <w:kern w:val="0"/>
                      <w:sz w:val="21"/>
                      <w:szCs w:val="21"/>
                    </w:rPr>
                    <w:t>（mg/m³）</w:t>
                  </w:r>
                </w:p>
              </w:tc>
              <w:tc>
                <w:tcPr>
                  <w:tcW w:w="1097"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最高允许排放速率（kg/h）#</w:t>
                  </w:r>
                </w:p>
              </w:tc>
              <w:tc>
                <w:tcPr>
                  <w:tcW w:w="743"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eastAsia="zh-CN"/>
                    </w:rPr>
                  </w:pPr>
                  <w:r>
                    <w:rPr>
                      <w:rFonts w:hint="default" w:ascii="Times New Roman" w:hAnsi="Times New Roman" w:eastAsia="宋体" w:cs="Times New Roman"/>
                      <w:b/>
                      <w:bCs w:val="0"/>
                      <w:color w:val="auto"/>
                      <w:kern w:val="0"/>
                      <w:sz w:val="21"/>
                      <w:szCs w:val="21"/>
                      <w:lang w:val="en-US" w:eastAsia="zh-CN"/>
                    </w:rPr>
                    <w:t>监控点</w:t>
                  </w:r>
                </w:p>
              </w:tc>
              <w:tc>
                <w:tcPr>
                  <w:tcW w:w="784"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浓度</w:t>
                  </w:r>
                </w:p>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（mg/m³）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69"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颗粒物</w:t>
                  </w:r>
                </w:p>
              </w:tc>
              <w:tc>
                <w:tcPr>
                  <w:tcW w:w="659"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15m</w:t>
                  </w:r>
                </w:p>
              </w:tc>
              <w:tc>
                <w:tcPr>
                  <w:tcW w:w="945"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120</w:t>
                  </w:r>
                </w:p>
              </w:tc>
              <w:tc>
                <w:tcPr>
                  <w:tcW w:w="1097"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1.45</w:t>
                  </w:r>
                </w:p>
              </w:tc>
              <w:tc>
                <w:tcPr>
                  <w:tcW w:w="743"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周界外浓度最高点</w:t>
                  </w:r>
                </w:p>
              </w:tc>
              <w:tc>
                <w:tcPr>
                  <w:tcW w:w="784"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6"/>
                  <w:tcBorders>
                    <w:bottom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#：因排气筒未高出周围200 m半径范围的建筑5 m以上，应按其高度对应的排放速率限值的50％执行。</w:t>
                  </w:r>
                </w:p>
              </w:tc>
            </w:tr>
          </w:tbl>
          <w:p>
            <w:pPr>
              <w:keepNext w:val="0"/>
              <w:keepLines w:val="0"/>
              <w:numPr>
                <w:ilvl w:val="0"/>
                <w:numId w:val="14"/>
              </w:numPr>
              <w:suppressLineNumbers w:val="0"/>
              <w:adjustRightInd w:val="0"/>
              <w:snapToGrid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szCs w:val="21"/>
              </w:rPr>
            </w:pPr>
            <w:r>
              <w:rPr>
                <w:rFonts w:hint="default" w:ascii="Times New Roman" w:hAnsi="Times New Roman" w:eastAsia="宋体" w:cs="Times New Roman"/>
                <w:b/>
                <w:bCs/>
                <w:color w:val="auto"/>
                <w:sz w:val="24"/>
                <w:szCs w:val="21"/>
                <w:lang w:val="en-US" w:eastAsia="zh-CN"/>
              </w:rPr>
              <w:t>有机废气</w:t>
            </w:r>
          </w:p>
          <w:p>
            <w:pPr>
              <w:pStyle w:val="57"/>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项目</w:t>
            </w:r>
            <w:r>
              <w:rPr>
                <w:rFonts w:hint="default" w:ascii="Times New Roman" w:hAnsi="Times New Roman" w:eastAsia="宋体" w:cs="Times New Roman"/>
                <w:color w:val="auto"/>
                <w:lang w:val="en-US" w:eastAsia="zh-CN"/>
              </w:rPr>
              <w:t>喷粉</w:t>
            </w:r>
            <w:r>
              <w:rPr>
                <w:rFonts w:hint="eastAsia" w:cs="Times New Roman"/>
                <w:color w:val="auto"/>
                <w:lang w:val="en-US" w:eastAsia="zh-CN"/>
              </w:rPr>
              <w:t>烘干</w:t>
            </w:r>
            <w:r>
              <w:rPr>
                <w:rFonts w:hint="default" w:ascii="Times New Roman" w:hAnsi="Times New Roman" w:eastAsia="宋体" w:cs="Times New Roman"/>
                <w:color w:val="auto"/>
                <w:lang w:val="en-US" w:eastAsia="zh-CN"/>
              </w:rPr>
              <w:t>和喷漆、喷漆</w:t>
            </w:r>
            <w:r>
              <w:rPr>
                <w:rFonts w:hint="eastAsia" w:cs="Times New Roman"/>
                <w:color w:val="auto"/>
                <w:lang w:val="en-US" w:eastAsia="zh-CN"/>
              </w:rPr>
              <w:t>烘干</w:t>
            </w:r>
            <w:r>
              <w:rPr>
                <w:rFonts w:hint="default" w:ascii="Times New Roman" w:hAnsi="Times New Roman" w:eastAsia="宋体" w:cs="Times New Roman"/>
                <w:color w:val="auto"/>
                <w:lang w:val="en-US" w:eastAsia="zh-CN"/>
              </w:rPr>
              <w:t>产生的有机废气</w:t>
            </w:r>
            <w:r>
              <w:rPr>
                <w:rFonts w:hint="default" w:ascii="Times New Roman" w:hAnsi="Times New Roman" w:eastAsia="宋体" w:cs="Times New Roman"/>
                <w:b w:val="0"/>
                <w:bCs w:val="0"/>
                <w:color w:val="auto"/>
              </w:rPr>
              <w:t>执行《固定污染源挥发性有机物综合排放标准》（DB44</w:t>
            </w:r>
            <w:r>
              <w:rPr>
                <w:rFonts w:hint="default" w:ascii="Times New Roman" w:hAnsi="Times New Roman" w:eastAsia="宋体" w:cs="Times New Roman"/>
                <w:b w:val="0"/>
                <w:bCs w:val="0"/>
                <w:color w:val="auto"/>
                <w:lang w:val="en-US" w:eastAsia="zh-CN"/>
              </w:rPr>
              <w:t>/</w:t>
            </w:r>
            <w:r>
              <w:rPr>
                <w:rFonts w:hint="default" w:ascii="Times New Roman" w:hAnsi="Times New Roman" w:eastAsia="宋体" w:cs="Times New Roman"/>
                <w:b w:val="0"/>
                <w:bCs w:val="0"/>
                <w:color w:val="auto"/>
              </w:rPr>
              <w:t>2367—2022）</w:t>
            </w:r>
            <w:r>
              <w:rPr>
                <w:rFonts w:hint="default" w:ascii="Times New Roman" w:hAnsi="Times New Roman" w:eastAsia="宋体" w:cs="Times New Roman"/>
                <w:b w:val="0"/>
                <w:bCs w:val="0"/>
                <w:color w:val="auto"/>
                <w:lang w:val="en-US" w:eastAsia="zh-CN"/>
              </w:rPr>
              <w:t>的排放限值</w:t>
            </w:r>
            <w:r>
              <w:rPr>
                <w:rFonts w:hint="default" w:ascii="Times New Roman" w:hAnsi="Times New Roman" w:eastAsia="宋体" w:cs="Times New Roman"/>
                <w:b w:val="0"/>
                <w:bCs w:val="0"/>
                <w:color w:val="auto"/>
                <w:lang w:eastAsia="zh-CN"/>
              </w:rPr>
              <w:t>，</w:t>
            </w:r>
            <w:r>
              <w:rPr>
                <w:rFonts w:hint="default" w:ascii="Times New Roman" w:hAnsi="Times New Roman" w:eastAsia="宋体" w:cs="Times New Roman"/>
                <w:b w:val="0"/>
                <w:bCs w:val="0"/>
                <w:color w:val="auto"/>
                <w:lang w:val="en-US" w:eastAsia="zh-CN"/>
              </w:rPr>
              <w:t>厂界无组织TVOC执行《家具制造行业挥发性有机化合物排放标准》（DB 44/814-2010）的排放限值。</w:t>
            </w:r>
            <w:r>
              <w:rPr>
                <w:rFonts w:hint="default" w:ascii="Times New Roman" w:hAnsi="Times New Roman" w:eastAsia="宋体" w:cs="Times New Roman"/>
                <w:b w:val="0"/>
                <w:bCs w:val="0"/>
                <w:color w:val="auto"/>
              </w:rPr>
              <w:t>具体见</w:t>
            </w:r>
            <w:r>
              <w:rPr>
                <w:rFonts w:hint="default" w:ascii="Times New Roman" w:hAnsi="Times New Roman" w:eastAsia="宋体" w:cs="Times New Roman"/>
                <w:b w:val="0"/>
                <w:bCs w:val="0"/>
                <w:color w:val="auto"/>
                <w:lang w:val="en-US"/>
              </w:rPr>
              <w:fldChar w:fldCharType="begin"/>
            </w:r>
            <w:r>
              <w:rPr>
                <w:rFonts w:hint="default" w:ascii="Times New Roman" w:hAnsi="Times New Roman" w:eastAsia="宋体" w:cs="Times New Roman"/>
                <w:b w:val="0"/>
                <w:bCs w:val="0"/>
                <w:color w:val="auto"/>
                <w:lang w:val="en-US"/>
              </w:rPr>
              <w:instrText xml:space="preserve"> REF _Ref4743 \h </w:instrText>
            </w:r>
            <w:r>
              <w:rPr>
                <w:rFonts w:hint="default" w:ascii="Times New Roman" w:hAnsi="Times New Roman" w:eastAsia="宋体" w:cs="Times New Roman"/>
                <w:b w:val="0"/>
                <w:bCs w:val="0"/>
                <w:color w:val="auto"/>
                <w:lang w:val="en-US"/>
              </w:rPr>
              <w:fldChar w:fldCharType="separate"/>
            </w:r>
            <w:r>
              <w:rPr>
                <w:rFonts w:hint="default" w:ascii="Times New Roman" w:hAnsi="Times New Roman" w:eastAsia="宋体" w:cs="Times New Roman"/>
                <w:b w:val="0"/>
                <w:bCs w:val="0"/>
                <w:color w:val="auto"/>
                <w:kern w:val="2"/>
                <w:sz w:val="24"/>
                <w:szCs w:val="20"/>
                <w:lang w:val="en-US" w:eastAsia="zh-CN" w:bidi="ar-SA"/>
              </w:rPr>
              <w:t>表3- 9</w:t>
            </w:r>
            <w:r>
              <w:rPr>
                <w:rFonts w:hint="default" w:ascii="Times New Roman" w:hAnsi="Times New Roman" w:eastAsia="宋体" w:cs="Times New Roman"/>
                <w:b w:val="0"/>
                <w:bCs w:val="0"/>
                <w:color w:val="auto"/>
                <w:lang w:val="en-US"/>
              </w:rPr>
              <w:fldChar w:fldCharType="end"/>
            </w:r>
            <w:r>
              <w:rPr>
                <w:rFonts w:hint="default" w:ascii="Times New Roman" w:hAnsi="Times New Roman" w:eastAsia="宋体" w:cs="Times New Roman"/>
                <w:b w:val="0"/>
                <w:bCs w:val="0"/>
                <w:color w:val="auto"/>
                <w:lang w:val="en-US" w:eastAsia="zh-CN"/>
              </w:rPr>
              <w:t>和</w:t>
            </w:r>
            <w:r>
              <w:rPr>
                <w:rFonts w:hint="default" w:ascii="Times New Roman" w:hAnsi="Times New Roman" w:eastAsia="宋体" w:cs="Times New Roman"/>
                <w:b w:val="0"/>
                <w:bCs w:val="0"/>
                <w:color w:val="auto"/>
                <w:lang w:val="en-US"/>
              </w:rPr>
              <w:fldChar w:fldCharType="begin"/>
            </w:r>
            <w:r>
              <w:rPr>
                <w:rFonts w:hint="default" w:ascii="Times New Roman" w:hAnsi="Times New Roman" w:eastAsia="宋体" w:cs="Times New Roman"/>
                <w:b w:val="0"/>
                <w:bCs w:val="0"/>
                <w:color w:val="auto"/>
                <w:lang w:val="en-US"/>
              </w:rPr>
              <w:instrText xml:space="preserve"> REF _Ref4753 \h </w:instrText>
            </w:r>
            <w:r>
              <w:rPr>
                <w:rFonts w:hint="default" w:ascii="Times New Roman" w:hAnsi="Times New Roman" w:eastAsia="宋体" w:cs="Times New Roman"/>
                <w:b w:val="0"/>
                <w:bCs w:val="0"/>
                <w:color w:val="auto"/>
                <w:lang w:val="en-US"/>
              </w:rPr>
              <w:fldChar w:fldCharType="separate"/>
            </w:r>
            <w:r>
              <w:rPr>
                <w:rFonts w:hint="default" w:ascii="Times New Roman" w:hAnsi="Times New Roman" w:eastAsia="宋体" w:cs="Times New Roman"/>
                <w:b w:val="0"/>
                <w:bCs w:val="0"/>
                <w:color w:val="auto"/>
                <w:kern w:val="2"/>
                <w:sz w:val="24"/>
                <w:szCs w:val="20"/>
                <w:lang w:val="en-US" w:eastAsia="zh-CN" w:bidi="ar-SA"/>
              </w:rPr>
              <w:t>表3- 10</w:t>
            </w:r>
            <w:r>
              <w:rPr>
                <w:rFonts w:hint="default" w:ascii="Times New Roman" w:hAnsi="Times New Roman" w:eastAsia="宋体" w:cs="Times New Roman"/>
                <w:b w:val="0"/>
                <w:bCs w:val="0"/>
                <w:color w:val="auto"/>
                <w:lang w:val="en-US"/>
              </w:rPr>
              <w:fldChar w:fldCharType="end"/>
            </w:r>
            <w:r>
              <w:rPr>
                <w:rFonts w:hint="default" w:ascii="Times New Roman" w:hAnsi="Times New Roman" w:eastAsia="宋体" w:cs="Times New Roman"/>
                <w:b w:val="0"/>
                <w:bCs w:val="0"/>
                <w:color w:val="auto"/>
                <w:lang w:eastAsia="zh-CN"/>
              </w:rPr>
              <w:t>。</w:t>
            </w:r>
          </w:p>
          <w:p>
            <w:pPr>
              <w:keepNext w:val="0"/>
              <w:keepLines w:val="0"/>
              <w:widowControl/>
              <w:suppressLineNumbers w:val="0"/>
              <w:tabs>
                <w:tab w:val="left" w:pos="360"/>
                <w:tab w:val="left" w:pos="420"/>
              </w:tabs>
              <w:adjustRightInd w:val="0"/>
              <w:snapToGrid w:val="0"/>
              <w:spacing w:before="0" w:beforeAutospacing="0" w:after="0" w:afterAutospacing="0" w:line="240" w:lineRule="auto"/>
              <w:ind w:left="471" w:right="0" w:hanging="360"/>
              <w:jc w:val="center"/>
              <w:rPr>
                <w:rFonts w:hint="default" w:ascii="Times New Roman" w:hAnsi="Times New Roman" w:eastAsia="宋体" w:cs="Times New Roman"/>
                <w:b/>
                <w:color w:val="auto"/>
                <w:kern w:val="0"/>
                <w:sz w:val="24"/>
                <w:szCs w:val="20"/>
                <w:lang w:val="en-US" w:eastAsia="zh-CN" w:bidi="ar-SA"/>
              </w:rPr>
            </w:pPr>
            <w:bookmarkStart w:id="31" w:name="_Ref4743"/>
            <w:r>
              <w:rPr>
                <w:rFonts w:hint="default" w:ascii="Times New Roman" w:hAnsi="Times New Roman" w:eastAsia="宋体" w:cs="Times New Roman"/>
                <w:b/>
                <w:color w:val="auto"/>
                <w:kern w:val="2"/>
                <w:sz w:val="24"/>
                <w:szCs w:val="20"/>
                <w:lang w:val="en-US" w:eastAsia="zh-CN" w:bidi="ar-SA"/>
              </w:rPr>
              <w:t xml:space="preserve">表3- </w:t>
            </w:r>
            <w:r>
              <w:rPr>
                <w:rFonts w:hint="default" w:ascii="Times New Roman" w:hAnsi="Times New Roman" w:eastAsia="宋体" w:cs="Times New Roman"/>
                <w:b/>
                <w:color w:val="auto"/>
                <w:kern w:val="2"/>
                <w:sz w:val="24"/>
                <w:szCs w:val="20"/>
                <w:lang w:val="en-US" w:eastAsia="zh-CN" w:bidi="ar-SA"/>
              </w:rPr>
              <w:fldChar w:fldCharType="begin"/>
            </w:r>
            <w:r>
              <w:rPr>
                <w:rFonts w:hint="default" w:ascii="Times New Roman" w:hAnsi="Times New Roman" w:eastAsia="宋体" w:cs="Times New Roman"/>
                <w:b/>
                <w:color w:val="auto"/>
                <w:kern w:val="2"/>
                <w:sz w:val="24"/>
                <w:szCs w:val="20"/>
                <w:lang w:val="en-US" w:eastAsia="zh-CN" w:bidi="ar-SA"/>
              </w:rPr>
              <w:instrText xml:space="preserve"> SEQ 表3- \* ARABIC </w:instrText>
            </w:r>
            <w:r>
              <w:rPr>
                <w:rFonts w:hint="default" w:ascii="Times New Roman" w:hAnsi="Times New Roman" w:eastAsia="宋体" w:cs="Times New Roman"/>
                <w:b/>
                <w:color w:val="auto"/>
                <w:kern w:val="2"/>
                <w:sz w:val="24"/>
                <w:szCs w:val="20"/>
                <w:lang w:val="en-US" w:eastAsia="zh-CN" w:bidi="ar-SA"/>
              </w:rPr>
              <w:fldChar w:fldCharType="separate"/>
            </w:r>
            <w:r>
              <w:rPr>
                <w:rFonts w:hint="default" w:ascii="Times New Roman" w:hAnsi="Times New Roman" w:eastAsia="宋体" w:cs="Times New Roman"/>
                <w:b/>
                <w:color w:val="auto"/>
                <w:kern w:val="2"/>
                <w:sz w:val="24"/>
                <w:szCs w:val="20"/>
                <w:lang w:val="en-US" w:eastAsia="zh-CN" w:bidi="ar-SA"/>
              </w:rPr>
              <w:t>9</w:t>
            </w:r>
            <w:r>
              <w:rPr>
                <w:rFonts w:hint="default" w:ascii="Times New Roman" w:hAnsi="Times New Roman" w:eastAsia="宋体" w:cs="Times New Roman"/>
                <w:b/>
                <w:color w:val="auto"/>
                <w:kern w:val="2"/>
                <w:sz w:val="24"/>
                <w:szCs w:val="20"/>
                <w:lang w:val="en-US" w:eastAsia="zh-CN" w:bidi="ar-SA"/>
              </w:rPr>
              <w:fldChar w:fldCharType="end"/>
            </w:r>
            <w:bookmarkEnd w:id="31"/>
            <w:r>
              <w:rPr>
                <w:rFonts w:hint="default" w:ascii="Times New Roman" w:hAnsi="Times New Roman" w:eastAsia="宋体" w:cs="Times New Roman"/>
                <w:b/>
                <w:color w:val="auto"/>
                <w:kern w:val="2"/>
                <w:sz w:val="24"/>
                <w:szCs w:val="20"/>
                <w:lang w:val="en-US" w:eastAsia="zh-CN" w:bidi="ar-SA"/>
              </w:rPr>
              <w:t>《固定污染源挥发性有机物综合排放标准》（DB44/2367—2022）</w:t>
            </w:r>
          </w:p>
          <w:tbl>
            <w:tblPr>
              <w:tblStyle w:val="26"/>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84"/>
              <w:gridCol w:w="1282"/>
              <w:gridCol w:w="1842"/>
              <w:gridCol w:w="1443"/>
              <w:gridCol w:w="1544"/>
              <w:gridCol w:w="154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12" w:type="pct"/>
                  <w:vMerge w:val="restar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rPr>
                    <w:t>污染物</w:t>
                  </w:r>
                  <w:r>
                    <w:rPr>
                      <w:rFonts w:hint="default" w:ascii="Times New Roman" w:hAnsi="Times New Roman" w:eastAsia="宋体" w:cs="Times New Roman"/>
                      <w:b/>
                      <w:bCs w:val="0"/>
                      <w:color w:val="auto"/>
                      <w:kern w:val="0"/>
                      <w:sz w:val="21"/>
                      <w:szCs w:val="21"/>
                      <w:lang w:val="en-US" w:eastAsia="zh-CN"/>
                    </w:rPr>
                    <w:t>项目</w:t>
                  </w:r>
                </w:p>
              </w:tc>
              <w:tc>
                <w:tcPr>
                  <w:tcW w:w="1708" w:type="pct"/>
                  <w:gridSpan w:val="2"/>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排气筒</w:t>
                  </w:r>
                </w:p>
              </w:tc>
              <w:tc>
                <w:tcPr>
                  <w:tcW w:w="2478" w:type="pct"/>
                  <w:gridSpan w:val="3"/>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无组织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12" w:type="pct"/>
                  <w:vMerge w:val="continue"/>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p>
              </w:tc>
              <w:tc>
                <w:tcPr>
                  <w:tcW w:w="701"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高度</w:t>
                  </w:r>
                </w:p>
              </w:tc>
              <w:tc>
                <w:tcPr>
                  <w:tcW w:w="1007"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最高允许排放浓度限值</w:t>
                  </w:r>
                  <w:r>
                    <w:rPr>
                      <w:rFonts w:hint="default" w:ascii="Times New Roman" w:hAnsi="Times New Roman" w:eastAsia="宋体" w:cs="Times New Roman"/>
                      <w:b/>
                      <w:bCs w:val="0"/>
                      <w:color w:val="auto"/>
                      <w:kern w:val="0"/>
                      <w:sz w:val="21"/>
                      <w:szCs w:val="21"/>
                    </w:rPr>
                    <w:t>（mg/m³）</w:t>
                  </w:r>
                </w:p>
              </w:tc>
              <w:tc>
                <w:tcPr>
                  <w:tcW w:w="789"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eastAsia="zh-CN"/>
                    </w:rPr>
                  </w:pPr>
                  <w:r>
                    <w:rPr>
                      <w:rFonts w:hint="default" w:ascii="Times New Roman" w:hAnsi="Times New Roman" w:eastAsia="宋体" w:cs="Times New Roman"/>
                      <w:b/>
                      <w:bCs w:val="0"/>
                      <w:color w:val="auto"/>
                      <w:kern w:val="0"/>
                      <w:sz w:val="21"/>
                      <w:szCs w:val="21"/>
                      <w:lang w:val="en-US" w:eastAsia="zh-CN"/>
                    </w:rPr>
                    <w:t>监控点</w:t>
                  </w:r>
                </w:p>
              </w:tc>
              <w:tc>
                <w:tcPr>
                  <w:tcW w:w="844"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浓度</w:t>
                  </w:r>
                </w:p>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（mg/m³）</w:t>
                  </w:r>
                </w:p>
              </w:tc>
              <w:tc>
                <w:tcPr>
                  <w:tcW w:w="845"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12"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NMHC</w:t>
                  </w:r>
                </w:p>
              </w:tc>
              <w:tc>
                <w:tcPr>
                  <w:tcW w:w="701" w:type="pct"/>
                  <w:vMerge w:val="restar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15m</w:t>
                  </w:r>
                </w:p>
              </w:tc>
              <w:tc>
                <w:tcPr>
                  <w:tcW w:w="1007"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80</w:t>
                  </w:r>
                </w:p>
              </w:tc>
              <w:tc>
                <w:tcPr>
                  <w:tcW w:w="789" w:type="pct"/>
                  <w:vMerge w:val="restar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在厂房外设置监控点</w:t>
                  </w:r>
                </w:p>
              </w:tc>
              <w:tc>
                <w:tcPr>
                  <w:tcW w:w="844"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6</w:t>
                  </w:r>
                </w:p>
              </w:tc>
              <w:tc>
                <w:tcPr>
                  <w:tcW w:w="845"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监控点处1小时平均浓度值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12"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TVOC</w:t>
                  </w:r>
                </w:p>
              </w:tc>
              <w:tc>
                <w:tcPr>
                  <w:tcW w:w="701" w:type="pct"/>
                  <w:vMerge w:val="continue"/>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p>
              </w:tc>
              <w:tc>
                <w:tcPr>
                  <w:tcW w:w="1007"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100</w:t>
                  </w:r>
                </w:p>
              </w:tc>
              <w:tc>
                <w:tcPr>
                  <w:tcW w:w="789" w:type="pct"/>
                  <w:vMerge w:val="continue"/>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p>
              </w:tc>
              <w:tc>
                <w:tcPr>
                  <w:tcW w:w="844"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20</w:t>
                  </w:r>
                </w:p>
              </w:tc>
              <w:tc>
                <w:tcPr>
                  <w:tcW w:w="845"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监控点处任意一次浓度值</w:t>
                  </w:r>
                </w:p>
              </w:tc>
            </w:tr>
          </w:tbl>
          <w:p>
            <w:pPr>
              <w:keepNext w:val="0"/>
              <w:keepLines w:val="0"/>
              <w:widowControl/>
              <w:suppressLineNumbers w:val="0"/>
              <w:tabs>
                <w:tab w:val="left" w:pos="360"/>
                <w:tab w:val="left" w:pos="420"/>
              </w:tabs>
              <w:adjustRightInd w:val="0"/>
              <w:snapToGrid w:val="0"/>
              <w:spacing w:before="0" w:beforeAutospacing="0" w:after="0" w:afterAutospacing="0" w:line="240" w:lineRule="auto"/>
              <w:ind w:left="471" w:right="0" w:hanging="360"/>
              <w:jc w:val="center"/>
              <w:rPr>
                <w:rFonts w:hint="default" w:ascii="Times New Roman" w:hAnsi="Times New Roman" w:eastAsia="宋体" w:cs="Times New Roman"/>
                <w:b/>
                <w:color w:val="auto"/>
                <w:kern w:val="0"/>
                <w:sz w:val="24"/>
                <w:szCs w:val="20"/>
                <w:lang w:val="en-US" w:eastAsia="zh-CN" w:bidi="ar-SA"/>
              </w:rPr>
            </w:pPr>
            <w:bookmarkStart w:id="32" w:name="_Ref4753"/>
            <w:r>
              <w:rPr>
                <w:rFonts w:hint="default" w:ascii="Times New Roman" w:hAnsi="Times New Roman" w:eastAsia="宋体" w:cs="Times New Roman"/>
                <w:b/>
                <w:color w:val="auto"/>
                <w:kern w:val="2"/>
                <w:sz w:val="24"/>
                <w:szCs w:val="20"/>
                <w:lang w:val="en-US" w:eastAsia="zh-CN" w:bidi="ar-SA"/>
              </w:rPr>
              <w:t xml:space="preserve">表3- </w:t>
            </w:r>
            <w:r>
              <w:rPr>
                <w:rFonts w:hint="default" w:ascii="Times New Roman" w:hAnsi="Times New Roman" w:eastAsia="宋体" w:cs="Times New Roman"/>
                <w:b/>
                <w:color w:val="auto"/>
                <w:kern w:val="2"/>
                <w:sz w:val="24"/>
                <w:szCs w:val="20"/>
                <w:lang w:val="en-US" w:eastAsia="zh-CN" w:bidi="ar-SA"/>
              </w:rPr>
              <w:fldChar w:fldCharType="begin"/>
            </w:r>
            <w:r>
              <w:rPr>
                <w:rFonts w:hint="default" w:ascii="Times New Roman" w:hAnsi="Times New Roman" w:eastAsia="宋体" w:cs="Times New Roman"/>
                <w:b/>
                <w:color w:val="auto"/>
                <w:kern w:val="2"/>
                <w:sz w:val="24"/>
                <w:szCs w:val="20"/>
                <w:lang w:val="en-US" w:eastAsia="zh-CN" w:bidi="ar-SA"/>
              </w:rPr>
              <w:instrText xml:space="preserve"> SEQ 表3- \* ARABIC </w:instrText>
            </w:r>
            <w:r>
              <w:rPr>
                <w:rFonts w:hint="default" w:ascii="Times New Roman" w:hAnsi="Times New Roman" w:eastAsia="宋体" w:cs="Times New Roman"/>
                <w:b/>
                <w:color w:val="auto"/>
                <w:kern w:val="2"/>
                <w:sz w:val="24"/>
                <w:szCs w:val="20"/>
                <w:lang w:val="en-US" w:eastAsia="zh-CN" w:bidi="ar-SA"/>
              </w:rPr>
              <w:fldChar w:fldCharType="separate"/>
            </w:r>
            <w:r>
              <w:rPr>
                <w:rFonts w:hint="default" w:ascii="Times New Roman" w:hAnsi="Times New Roman" w:eastAsia="宋体" w:cs="Times New Roman"/>
                <w:b/>
                <w:color w:val="auto"/>
                <w:kern w:val="2"/>
                <w:sz w:val="24"/>
                <w:szCs w:val="20"/>
                <w:lang w:val="en-US" w:eastAsia="zh-CN" w:bidi="ar-SA"/>
              </w:rPr>
              <w:t>10</w:t>
            </w:r>
            <w:r>
              <w:rPr>
                <w:rFonts w:hint="default" w:ascii="Times New Roman" w:hAnsi="Times New Roman" w:eastAsia="宋体" w:cs="Times New Roman"/>
                <w:b/>
                <w:color w:val="auto"/>
                <w:kern w:val="2"/>
                <w:sz w:val="24"/>
                <w:szCs w:val="20"/>
                <w:lang w:val="en-US" w:eastAsia="zh-CN" w:bidi="ar-SA"/>
              </w:rPr>
              <w:fldChar w:fldCharType="end"/>
            </w:r>
            <w:bookmarkEnd w:id="32"/>
            <w:r>
              <w:rPr>
                <w:rFonts w:hint="default" w:ascii="Times New Roman" w:hAnsi="Times New Roman" w:eastAsia="宋体" w:cs="Times New Roman"/>
                <w:b/>
                <w:color w:val="auto"/>
                <w:kern w:val="2"/>
                <w:sz w:val="24"/>
                <w:szCs w:val="20"/>
                <w:lang w:val="en-US" w:eastAsia="zh-CN" w:bidi="ar-SA"/>
              </w:rPr>
              <w:t>《家具制造行业挥发性有机化合物排放标准》（DB 44/814-2010）</w:t>
            </w:r>
          </w:p>
          <w:tbl>
            <w:tblPr>
              <w:tblStyle w:val="26"/>
              <w:tblW w:w="4999"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55"/>
              <w:gridCol w:w="2952"/>
              <w:gridCol w:w="313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70" w:type="pct"/>
                  <w:vMerge w:val="restar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rPr>
                    <w:t>污染物</w:t>
                  </w:r>
                  <w:r>
                    <w:rPr>
                      <w:rFonts w:hint="default" w:ascii="Times New Roman" w:hAnsi="Times New Roman" w:eastAsia="宋体" w:cs="Times New Roman"/>
                      <w:b/>
                      <w:bCs w:val="0"/>
                      <w:color w:val="auto"/>
                      <w:kern w:val="0"/>
                      <w:sz w:val="21"/>
                      <w:szCs w:val="21"/>
                      <w:lang w:val="en-US" w:eastAsia="zh-CN"/>
                    </w:rPr>
                    <w:t>项目</w:t>
                  </w:r>
                </w:p>
              </w:tc>
              <w:tc>
                <w:tcPr>
                  <w:tcW w:w="3329" w:type="pct"/>
                  <w:gridSpan w:val="2"/>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无组织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70" w:type="pct"/>
                  <w:vMerge w:val="continue"/>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p>
              </w:tc>
              <w:tc>
                <w:tcPr>
                  <w:tcW w:w="1614"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eastAsia="zh-CN"/>
                    </w:rPr>
                  </w:pPr>
                  <w:r>
                    <w:rPr>
                      <w:rFonts w:hint="default" w:ascii="Times New Roman" w:hAnsi="Times New Roman" w:eastAsia="宋体" w:cs="Times New Roman"/>
                      <w:b/>
                      <w:bCs w:val="0"/>
                      <w:color w:val="auto"/>
                      <w:kern w:val="0"/>
                      <w:sz w:val="21"/>
                      <w:szCs w:val="21"/>
                      <w:lang w:val="en-US" w:eastAsia="zh-CN"/>
                    </w:rPr>
                    <w:t>监控点</w:t>
                  </w:r>
                </w:p>
              </w:tc>
              <w:tc>
                <w:tcPr>
                  <w:tcW w:w="1715" w:type="pct"/>
                  <w:tcBorders>
                    <w:top w:val="single" w:color="auto" w:sz="12" w:space="0"/>
                  </w:tcBorders>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浓度</w:t>
                  </w:r>
                </w:p>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val="en-US" w:eastAsia="zh-CN"/>
                    </w:rPr>
                    <w:t>（mg/m³）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70"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TVOC</w:t>
                  </w:r>
                </w:p>
              </w:tc>
              <w:tc>
                <w:tcPr>
                  <w:tcW w:w="1614"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周界外浓度最高点</w:t>
                  </w:r>
                </w:p>
              </w:tc>
              <w:tc>
                <w:tcPr>
                  <w:tcW w:w="1715" w:type="pct"/>
                  <w:vAlign w:val="center"/>
                </w:tcPr>
                <w:p>
                  <w:pPr>
                    <w:keepNext w:val="0"/>
                    <w:keepLines w:val="0"/>
                    <w:widowControl/>
                    <w:suppressLineNumbers w:val="0"/>
                    <w:tabs>
                      <w:tab w:val="left" w:pos="360"/>
                      <w:tab w:val="left" w:pos="42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2.0</w:t>
                  </w:r>
                </w:p>
              </w:tc>
            </w:tr>
          </w:tbl>
          <w:p>
            <w:pPr>
              <w:keepNext w:val="0"/>
              <w:keepLines w:val="0"/>
              <w:suppressLineNumbers w:val="0"/>
              <w:bidi w:val="0"/>
              <w:adjustRightInd/>
              <w:snapToGrid/>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汇总本项目各生产废气污染源所执行的排放标准和排放限值，详见</w:t>
            </w: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REF _Ref32261 \h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表3- 12</w:t>
            </w:r>
            <w:r>
              <w:rPr>
                <w:rFonts w:hint="default" w:ascii="Times New Roman" w:hAnsi="Times New Roman" w:eastAsia="宋体" w:cs="Times New Roman"/>
                <w:color w:val="auto"/>
                <w:lang w:val="en-US" w:eastAsia="zh-CN"/>
              </w:rPr>
              <w:fldChar w:fldCharType="end"/>
            </w:r>
            <w:r>
              <w:rPr>
                <w:rFonts w:hint="default" w:ascii="Times New Roman" w:hAnsi="Times New Roman" w:eastAsia="宋体" w:cs="Times New Roman"/>
                <w:color w:val="auto"/>
                <w:lang w:val="en-US" w:eastAsia="zh-CN"/>
              </w:rPr>
              <w:t>。</w:t>
            </w:r>
          </w:p>
          <w:p>
            <w:pPr>
              <w:pStyle w:val="8"/>
              <w:keepNext w:val="0"/>
              <w:keepLines w:val="0"/>
              <w:widowControl w:val="0"/>
              <w:suppressLineNumbers w:val="0"/>
              <w:spacing w:beforeAutospacing="0" w:afterAutospacing="0" w:line="240" w:lineRule="auto"/>
              <w:ind w:left="0" w:right="0" w:firstLine="0" w:firstLineChars="0"/>
              <w:jc w:val="center"/>
              <w:rPr>
                <w:rFonts w:hint="default" w:ascii="Times New Roman" w:hAnsi="Times New Roman" w:eastAsia="宋体" w:cs="Times New Roman"/>
                <w:b/>
                <w:color w:val="auto"/>
                <w:kern w:val="0"/>
                <w:sz w:val="24"/>
                <w:szCs w:val="20"/>
                <w:highlight w:val="none"/>
                <w:lang w:val="en-US" w:eastAsia="zh-CN" w:bidi="ar-SA"/>
              </w:rPr>
            </w:pPr>
            <w:bookmarkStart w:id="33" w:name="_Ref32261"/>
            <w:r>
              <w:rPr>
                <w:rFonts w:hint="default" w:ascii="Times New Roman" w:hAnsi="Times New Roman" w:eastAsia="宋体" w:cs="Times New Roman"/>
                <w:color w:val="auto"/>
              </w:rPr>
              <w:t xml:space="preserve">表3-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表3-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w:t>
            </w:r>
            <w:r>
              <w:rPr>
                <w:rFonts w:hint="default" w:ascii="Times New Roman" w:hAnsi="Times New Roman" w:eastAsia="宋体" w:cs="Times New Roman"/>
                <w:color w:val="auto"/>
              </w:rPr>
              <w:fldChar w:fldCharType="end"/>
            </w:r>
            <w:bookmarkEnd w:id="33"/>
            <w:r>
              <w:rPr>
                <w:rFonts w:hint="default" w:ascii="Times New Roman" w:hAnsi="Times New Roman" w:eastAsia="宋体" w:cs="Times New Roman"/>
                <w:b/>
                <w:color w:val="auto"/>
                <w:kern w:val="0"/>
                <w:sz w:val="24"/>
                <w:szCs w:val="20"/>
                <w:highlight w:val="none"/>
                <w:lang w:val="en-US" w:eastAsia="zh-CN" w:bidi="ar-SA"/>
              </w:rPr>
              <w:t>项目大气污染物排放限值表</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45"/>
              <w:gridCol w:w="1290"/>
              <w:gridCol w:w="3036"/>
              <w:gridCol w:w="1220"/>
              <w:gridCol w:w="1081"/>
              <w:gridCol w:w="14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1"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排放口/污染源</w:t>
                  </w:r>
                </w:p>
              </w:tc>
              <w:tc>
                <w:tcPr>
                  <w:tcW w:w="705"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污染物</w:t>
                  </w:r>
                </w:p>
              </w:tc>
              <w:tc>
                <w:tcPr>
                  <w:tcW w:w="1660"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执行标准</w:t>
                  </w:r>
                </w:p>
              </w:tc>
              <w:tc>
                <w:tcPr>
                  <w:tcW w:w="667"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排放限值（mg/m</w:t>
                  </w:r>
                  <w:r>
                    <w:rPr>
                      <w:rFonts w:hint="default" w:ascii="Times New Roman" w:hAnsi="Times New Roman" w:eastAsia="宋体" w:cs="Times New Roman"/>
                      <w:b/>
                      <w:bCs/>
                      <w:color w:val="auto"/>
                      <w:kern w:val="0"/>
                      <w:sz w:val="21"/>
                      <w:szCs w:val="20"/>
                      <w:vertAlign w:val="superscript"/>
                      <w:lang w:val="en-US" w:eastAsia="zh-CN" w:bidi="ar-SA"/>
                    </w:rPr>
                    <w:t>3</w:t>
                  </w:r>
                  <w:r>
                    <w:rPr>
                      <w:rFonts w:hint="default" w:ascii="Times New Roman" w:hAnsi="Times New Roman" w:eastAsia="宋体" w:cs="Times New Roman"/>
                      <w:b/>
                      <w:bCs/>
                      <w:color w:val="auto"/>
                      <w:kern w:val="0"/>
                      <w:sz w:val="21"/>
                      <w:szCs w:val="20"/>
                      <w:lang w:val="en-US" w:eastAsia="zh-CN" w:bidi="ar-SA"/>
                    </w:rPr>
                    <w:t>）</w:t>
                  </w:r>
                </w:p>
              </w:tc>
              <w:tc>
                <w:tcPr>
                  <w:tcW w:w="591"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排放速率（kg/h）</w:t>
                  </w:r>
                </w:p>
              </w:tc>
              <w:tc>
                <w:tcPr>
                  <w:tcW w:w="803"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1"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DA001、</w:t>
                  </w:r>
                </w:p>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DA002</w:t>
                  </w:r>
                </w:p>
              </w:tc>
              <w:tc>
                <w:tcPr>
                  <w:tcW w:w="705"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颗粒物</w:t>
                  </w:r>
                </w:p>
              </w:tc>
              <w:tc>
                <w:tcPr>
                  <w:tcW w:w="1660"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《大气污染物排放限值》（DB44/27-2001)</w:t>
                  </w:r>
                </w:p>
              </w:tc>
              <w:tc>
                <w:tcPr>
                  <w:tcW w:w="6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w:t>
                  </w:r>
                </w:p>
              </w:tc>
              <w:tc>
                <w:tcPr>
                  <w:tcW w:w="59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1.45</w:t>
                  </w:r>
                </w:p>
              </w:tc>
              <w:tc>
                <w:tcPr>
                  <w:tcW w:w="80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571"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DA003</w:t>
                  </w:r>
                </w:p>
              </w:tc>
              <w:tc>
                <w:tcPr>
                  <w:tcW w:w="705"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highlight w:val="none"/>
                      <w:lang w:val="en-US" w:eastAsia="zh-CN" w:bidi="ar-SA"/>
                    </w:rPr>
                    <w:t>NMHC</w:t>
                  </w:r>
                </w:p>
              </w:tc>
              <w:tc>
                <w:tcPr>
                  <w:tcW w:w="1660"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《固定污染源挥发性有机物综合排放标准》（DB44/2367—2022）</w:t>
                  </w:r>
                </w:p>
              </w:tc>
              <w:tc>
                <w:tcPr>
                  <w:tcW w:w="6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w:t>
                  </w:r>
                </w:p>
              </w:tc>
              <w:tc>
                <w:tcPr>
                  <w:tcW w:w="59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80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1"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p>
              </w:tc>
              <w:tc>
                <w:tcPr>
                  <w:tcW w:w="705"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TVOC</w:t>
                  </w:r>
                </w:p>
              </w:tc>
              <w:tc>
                <w:tcPr>
                  <w:tcW w:w="1660"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p>
              </w:tc>
              <w:tc>
                <w:tcPr>
                  <w:tcW w:w="6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c>
                <w:tcPr>
                  <w:tcW w:w="59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80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1"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DA004</w:t>
                  </w:r>
                </w:p>
              </w:tc>
              <w:tc>
                <w:tcPr>
                  <w:tcW w:w="705"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颗粒物</w:t>
                  </w:r>
                </w:p>
              </w:tc>
              <w:tc>
                <w:tcPr>
                  <w:tcW w:w="1660"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《大气污染物排放限值》（DB44/27-2001)</w:t>
                  </w:r>
                </w:p>
              </w:tc>
              <w:tc>
                <w:tcPr>
                  <w:tcW w:w="667"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w:t>
                  </w:r>
                </w:p>
              </w:tc>
              <w:tc>
                <w:tcPr>
                  <w:tcW w:w="591"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1.45</w:t>
                  </w:r>
                </w:p>
              </w:tc>
              <w:tc>
                <w:tcPr>
                  <w:tcW w:w="80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1"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p>
              </w:tc>
              <w:tc>
                <w:tcPr>
                  <w:tcW w:w="705"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highlight w:val="none"/>
                      <w:lang w:val="en-US" w:eastAsia="zh-CN" w:bidi="ar-SA"/>
                    </w:rPr>
                    <w:t>NMHC</w:t>
                  </w:r>
                </w:p>
              </w:tc>
              <w:tc>
                <w:tcPr>
                  <w:tcW w:w="1660"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《固定污染源挥发性有机物综合排放标准》（DB44/2367—2022）</w:t>
                  </w:r>
                </w:p>
              </w:tc>
              <w:tc>
                <w:tcPr>
                  <w:tcW w:w="667"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w:t>
                  </w:r>
                </w:p>
              </w:tc>
              <w:tc>
                <w:tcPr>
                  <w:tcW w:w="591"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80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1"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p>
              </w:tc>
              <w:tc>
                <w:tcPr>
                  <w:tcW w:w="705"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TVOC</w:t>
                  </w:r>
                </w:p>
              </w:tc>
              <w:tc>
                <w:tcPr>
                  <w:tcW w:w="1660"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p>
              </w:tc>
              <w:tc>
                <w:tcPr>
                  <w:tcW w:w="667"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c>
                <w:tcPr>
                  <w:tcW w:w="591"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80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1"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厂区内</w:t>
                  </w:r>
                </w:p>
              </w:tc>
              <w:tc>
                <w:tcPr>
                  <w:tcW w:w="705"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highlight w:val="none"/>
                      <w:lang w:val="en-US" w:eastAsia="zh-CN" w:bidi="ar-SA"/>
                    </w:rPr>
                  </w:pPr>
                  <w:r>
                    <w:rPr>
                      <w:rFonts w:hint="default" w:ascii="Times New Roman" w:hAnsi="Times New Roman" w:eastAsia="宋体" w:cs="Times New Roman"/>
                      <w:color w:val="auto"/>
                      <w:kern w:val="0"/>
                      <w:sz w:val="21"/>
                      <w:szCs w:val="20"/>
                      <w:highlight w:val="none"/>
                      <w:lang w:val="en-US" w:eastAsia="zh-CN" w:bidi="ar-SA"/>
                    </w:rPr>
                    <w:t>NMHC</w:t>
                  </w:r>
                </w:p>
              </w:tc>
              <w:tc>
                <w:tcPr>
                  <w:tcW w:w="1660"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highlight w:val="none"/>
                      <w:lang w:val="en-US" w:eastAsia="zh-CN" w:bidi="ar-SA"/>
                    </w:rPr>
                  </w:pPr>
                  <w:r>
                    <w:rPr>
                      <w:rFonts w:hint="default" w:ascii="Times New Roman" w:hAnsi="Times New Roman" w:eastAsia="宋体" w:cs="Times New Roman"/>
                      <w:color w:val="auto"/>
                      <w:kern w:val="0"/>
                      <w:sz w:val="21"/>
                      <w:szCs w:val="20"/>
                      <w:lang w:val="en-US" w:eastAsia="zh-CN" w:bidi="ar-SA"/>
                    </w:rPr>
                    <w:t>《固定污染源挥发性有机物综合排放标准》（DB44/2367-2022）</w:t>
                  </w:r>
                </w:p>
              </w:tc>
              <w:tc>
                <w:tcPr>
                  <w:tcW w:w="6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w:t>
                  </w:r>
                </w:p>
              </w:tc>
              <w:tc>
                <w:tcPr>
                  <w:tcW w:w="59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80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监控点处1h平均浓度值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1"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p>
              </w:tc>
              <w:tc>
                <w:tcPr>
                  <w:tcW w:w="705"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highlight w:val="none"/>
                      <w:lang w:val="en-US" w:eastAsia="zh-CN" w:bidi="ar-SA"/>
                    </w:rPr>
                  </w:pPr>
                </w:p>
              </w:tc>
              <w:tc>
                <w:tcPr>
                  <w:tcW w:w="1660"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highlight w:val="none"/>
                      <w:lang w:val="en-US" w:eastAsia="zh-CN" w:bidi="ar-SA"/>
                    </w:rPr>
                  </w:pPr>
                </w:p>
              </w:tc>
              <w:tc>
                <w:tcPr>
                  <w:tcW w:w="6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59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80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监控点处任意一次浓度值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1" w:type="pct"/>
                  <w:vMerge w:val="restar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厂界</w:t>
                  </w:r>
                </w:p>
              </w:tc>
              <w:tc>
                <w:tcPr>
                  <w:tcW w:w="705"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highlight w:val="none"/>
                      <w:lang w:val="en-US" w:eastAsia="zh-CN" w:bidi="ar-SA"/>
                    </w:rPr>
                  </w:pPr>
                  <w:r>
                    <w:rPr>
                      <w:rFonts w:hint="default" w:ascii="Times New Roman" w:hAnsi="Times New Roman" w:eastAsia="宋体" w:cs="Times New Roman"/>
                      <w:color w:val="auto"/>
                      <w:kern w:val="0"/>
                      <w:sz w:val="21"/>
                      <w:szCs w:val="20"/>
                      <w:highlight w:val="none"/>
                      <w:lang w:val="en-US" w:eastAsia="zh-CN" w:bidi="ar-SA"/>
                    </w:rPr>
                    <w:t>颗粒物</w:t>
                  </w:r>
                </w:p>
              </w:tc>
              <w:tc>
                <w:tcPr>
                  <w:tcW w:w="1660"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《大气污染物排放限值》（DB44/27-2001)</w:t>
                  </w:r>
                </w:p>
              </w:tc>
              <w:tc>
                <w:tcPr>
                  <w:tcW w:w="6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59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80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1" w:type="pct"/>
                  <w:vMerge w:val="continue"/>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p>
              </w:tc>
              <w:tc>
                <w:tcPr>
                  <w:tcW w:w="705"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highlight w:val="none"/>
                      <w:lang w:val="en-US" w:eastAsia="zh-CN" w:bidi="ar-SA"/>
                    </w:rPr>
                  </w:pPr>
                  <w:r>
                    <w:rPr>
                      <w:rFonts w:hint="default" w:ascii="Times New Roman" w:hAnsi="Times New Roman" w:eastAsia="宋体" w:cs="Times New Roman"/>
                      <w:color w:val="auto"/>
                      <w:kern w:val="0"/>
                      <w:sz w:val="21"/>
                      <w:szCs w:val="20"/>
                      <w:highlight w:val="none"/>
                      <w:lang w:val="en-US" w:eastAsia="zh-CN" w:bidi="ar-SA"/>
                    </w:rPr>
                    <w:t>TVOC</w:t>
                  </w:r>
                </w:p>
              </w:tc>
              <w:tc>
                <w:tcPr>
                  <w:tcW w:w="1660" w:type="pct"/>
                  <w:tcBorders>
                    <w:tl2br w:val="nil"/>
                    <w:tr2bl w:val="nil"/>
                  </w:tcBorders>
                  <w:noWrap w:val="0"/>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《家具制造行业挥发性有机化合物排放标准》（DB 44/814-2010）</w:t>
                  </w:r>
                </w:p>
              </w:tc>
              <w:tc>
                <w:tcPr>
                  <w:tcW w:w="66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59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80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bl>
          <w:p>
            <w:pPr>
              <w:keepNext w:val="0"/>
              <w:keepLines w:val="0"/>
              <w:numPr>
                <w:ilvl w:val="0"/>
                <w:numId w:val="13"/>
              </w:numPr>
              <w:suppressLineNumbers w:val="0"/>
              <w:adjustRightInd w:val="0"/>
              <w:snapToGrid w:val="0"/>
              <w:spacing w:before="0" w:beforeAutospacing="0" w:after="0" w:afterAutospacing="0" w:line="360" w:lineRule="auto"/>
              <w:ind w:right="0" w:firstLine="400" w:firstLineChars="0"/>
              <w:rPr>
                <w:rFonts w:hint="default" w:ascii="Times New Roman" w:hAnsi="Times New Roman" w:eastAsia="宋体" w:cs="Times New Roman"/>
                <w:b/>
                <w:bCs/>
                <w:color w:val="auto"/>
                <w:sz w:val="24"/>
                <w:szCs w:val="21"/>
              </w:rPr>
            </w:pPr>
            <w:r>
              <w:rPr>
                <w:rFonts w:hint="default" w:ascii="Times New Roman" w:hAnsi="Times New Roman" w:eastAsia="宋体" w:cs="Times New Roman"/>
                <w:b/>
                <w:bCs/>
                <w:color w:val="auto"/>
                <w:sz w:val="24"/>
                <w:szCs w:val="21"/>
              </w:rPr>
              <w:t>水污染物排放标准</w:t>
            </w:r>
          </w:p>
          <w:p>
            <w:pPr>
              <w:keepNext w:val="0"/>
              <w:keepLines w:val="0"/>
              <w:numPr>
                <w:ilvl w:val="0"/>
                <w:numId w:val="15"/>
              </w:numPr>
              <w:suppressLineNumbers w:val="0"/>
              <w:adjustRightInd w:val="0"/>
              <w:snapToGrid w:val="0"/>
              <w:spacing w:before="0" w:beforeAutospacing="0" w:after="0" w:afterAutospacing="0" w:line="360" w:lineRule="auto"/>
              <w:ind w:left="0" w:leftChars="0" w:right="0" w:firstLine="397" w:firstLineChars="0"/>
              <w:rPr>
                <w:rFonts w:hint="default" w:ascii="Times New Roman" w:hAnsi="Times New Roman" w:eastAsia="宋体" w:cs="Times New Roman"/>
                <w:b/>
                <w:bCs/>
                <w:color w:val="auto"/>
                <w:sz w:val="24"/>
                <w:szCs w:val="21"/>
                <w:lang w:val="en-US" w:eastAsia="zh-CN"/>
              </w:rPr>
            </w:pPr>
            <w:r>
              <w:rPr>
                <w:rFonts w:hint="default" w:ascii="Times New Roman" w:hAnsi="Times New Roman" w:eastAsia="宋体" w:cs="Times New Roman"/>
                <w:b/>
                <w:bCs/>
                <w:color w:val="auto"/>
                <w:sz w:val="24"/>
                <w:szCs w:val="21"/>
                <w:lang w:val="en-US" w:eastAsia="zh-CN"/>
              </w:rPr>
              <w:t>生活污水</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项目生活污水经三级化粪池预处理达到博罗县石湾镇大牛垒生活污水处理厂接管标准后，即达到《水污染物排放限值》（DB44/26-2001）标准中第二时段三级标准，排入博罗县石湾镇大牛垒生活污水处理厂。博罗县石湾镇大牛垒生活污水处理厂排放废水中氨氮和总磷排放执行《地表水环境质量标准》（GB3838-2002）V类标准，其余指标排放执行《城镇污水处理厂污染物排放标准》（GB18918-2002）一级A标准、广东省地方标准《水污染物排放限值》（DB44/26-2001）第二时段一级标准的较严值者标准，处理达标后排入石湾镇中心排渠。</w:t>
            </w:r>
          </w:p>
          <w:p>
            <w:pPr>
              <w:pStyle w:val="8"/>
              <w:keepNext w:val="0"/>
              <w:keepLines w:val="0"/>
              <w:suppressLineNumbers w:val="0"/>
              <w:bidi w:val="0"/>
              <w:spacing w:beforeAutospacing="0" w:afterAutospacing="0"/>
              <w:ind w:left="0" w:right="0"/>
              <w:rPr>
                <w:rFonts w:hint="default" w:ascii="Times New Roman" w:hAnsi="Times New Roman" w:eastAsia="宋体" w:cs="Times New Roman"/>
                <w:b/>
                <w:bCs/>
                <w:color w:val="auto"/>
                <w:kern w:val="2"/>
                <w:sz w:val="24"/>
                <w:szCs w:val="24"/>
                <w:lang w:val="en-US" w:eastAsia="zh-CN" w:bidi="ar"/>
              </w:rPr>
            </w:pPr>
            <w:r>
              <w:rPr>
                <w:rFonts w:hint="default"/>
              </w:rPr>
              <w:t xml:space="preserve">表3- </w:t>
            </w:r>
            <w:r>
              <w:rPr>
                <w:rFonts w:hint="default"/>
              </w:rPr>
              <w:fldChar w:fldCharType="begin"/>
            </w:r>
            <w:r>
              <w:rPr>
                <w:rFonts w:hint="default"/>
              </w:rPr>
              <w:instrText xml:space="preserve"> SEQ 表3- \* ARABIC </w:instrText>
            </w:r>
            <w:r>
              <w:rPr>
                <w:rFonts w:hint="default"/>
              </w:rPr>
              <w:fldChar w:fldCharType="separate"/>
            </w:r>
            <w:r>
              <w:rPr>
                <w:rFonts w:hint="default"/>
              </w:rPr>
              <w:t>13</w:t>
            </w:r>
            <w:r>
              <w:rPr>
                <w:rFonts w:hint="default"/>
              </w:rPr>
              <w:fldChar w:fldCharType="end"/>
            </w:r>
            <w:r>
              <w:rPr>
                <w:rFonts w:hint="default" w:ascii="Times New Roman" w:hAnsi="Times New Roman" w:eastAsia="宋体" w:cs="Times New Roman"/>
                <w:b/>
                <w:bCs/>
                <w:color w:val="auto"/>
                <w:kern w:val="2"/>
                <w:sz w:val="24"/>
                <w:szCs w:val="24"/>
                <w:lang w:val="en-US" w:eastAsia="zh-CN" w:bidi="ar"/>
              </w:rPr>
              <w:t>水污染物排放限值   单位：mg/L</w:t>
            </w:r>
          </w:p>
          <w:tbl>
            <w:tblPr>
              <w:tblStyle w:val="27"/>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74"/>
              <w:gridCol w:w="1952"/>
              <w:gridCol w:w="1720"/>
              <w:gridCol w:w="1901"/>
              <w:gridCol w:w="11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98"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lang w:val="en-US" w:eastAsia="zh-CN"/>
                    </w:rPr>
                    <w:t>污染物</w:t>
                  </w:r>
                </w:p>
              </w:tc>
              <w:tc>
                <w:tcPr>
                  <w:tcW w:w="1067"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lang w:val="en-US" w:eastAsia="zh-CN"/>
                    </w:rPr>
                    <w:t>COD</w:t>
                  </w:r>
                  <w:r>
                    <w:rPr>
                      <w:rFonts w:hint="default" w:ascii="Times New Roman" w:hAnsi="Times New Roman" w:eastAsia="宋体" w:cs="Times New Roman"/>
                      <w:b/>
                      <w:bCs/>
                      <w:color w:val="auto"/>
                      <w:vertAlign w:val="subscript"/>
                      <w:lang w:val="en-US" w:eastAsia="zh-CN"/>
                    </w:rPr>
                    <w:t>Cr</w:t>
                  </w:r>
                </w:p>
              </w:tc>
              <w:tc>
                <w:tcPr>
                  <w:tcW w:w="940"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lang w:val="en-US" w:eastAsia="zh-CN"/>
                    </w:rPr>
                    <w:t>BOD</w:t>
                  </w:r>
                  <w:r>
                    <w:rPr>
                      <w:rFonts w:hint="default" w:ascii="Times New Roman" w:hAnsi="Times New Roman" w:eastAsia="宋体" w:cs="Times New Roman"/>
                      <w:b/>
                      <w:bCs/>
                      <w:color w:val="auto"/>
                      <w:vertAlign w:val="subscript"/>
                      <w:lang w:val="en-US" w:eastAsia="zh-CN"/>
                    </w:rPr>
                    <w:t>5</w:t>
                  </w:r>
                </w:p>
              </w:tc>
              <w:tc>
                <w:tcPr>
                  <w:tcW w:w="1039"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lang w:val="en-US" w:eastAsia="zh-CN"/>
                    </w:rPr>
                    <w:t>NH</w:t>
                  </w:r>
                  <w:r>
                    <w:rPr>
                      <w:rFonts w:hint="default" w:ascii="Times New Roman" w:hAnsi="Times New Roman" w:eastAsia="宋体" w:cs="Times New Roman"/>
                      <w:b/>
                      <w:bCs/>
                      <w:color w:val="auto"/>
                      <w:vertAlign w:val="subscript"/>
                      <w:lang w:val="en-US" w:eastAsia="zh-CN"/>
                    </w:rPr>
                    <w:t>3</w:t>
                  </w:r>
                  <w:r>
                    <w:rPr>
                      <w:rFonts w:hint="default" w:ascii="Times New Roman" w:hAnsi="Times New Roman" w:eastAsia="宋体" w:cs="Times New Roman"/>
                      <w:b/>
                      <w:bCs/>
                      <w:color w:val="auto"/>
                      <w:lang w:val="en-US" w:eastAsia="zh-CN"/>
                    </w:rPr>
                    <w:t>-N</w:t>
                  </w:r>
                </w:p>
              </w:tc>
              <w:tc>
                <w:tcPr>
                  <w:tcW w:w="653"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lang w:val="en-US" w:eastAsia="zh-CN"/>
                    </w:rPr>
                    <w:t>SS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98"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接管标准</w:t>
                  </w:r>
                </w:p>
              </w:tc>
              <w:tc>
                <w:tcPr>
                  <w:tcW w:w="1067"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500</w:t>
                  </w:r>
                </w:p>
              </w:tc>
              <w:tc>
                <w:tcPr>
                  <w:tcW w:w="940"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300</w:t>
                  </w:r>
                </w:p>
              </w:tc>
              <w:tc>
                <w:tcPr>
                  <w:tcW w:w="1039"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653"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98"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排放标准</w:t>
                  </w:r>
                </w:p>
              </w:tc>
              <w:tc>
                <w:tcPr>
                  <w:tcW w:w="1067"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40</w:t>
                  </w:r>
                </w:p>
              </w:tc>
              <w:tc>
                <w:tcPr>
                  <w:tcW w:w="940"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10</w:t>
                  </w:r>
                </w:p>
              </w:tc>
              <w:tc>
                <w:tcPr>
                  <w:tcW w:w="1039"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2</w:t>
                  </w:r>
                </w:p>
              </w:tc>
              <w:tc>
                <w:tcPr>
                  <w:tcW w:w="653" w:type="pct"/>
                  <w:tcBorders>
                    <w:tl2br w:val="nil"/>
                    <w:tr2bl w:val="nil"/>
                  </w:tcBorders>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10</w:t>
                  </w:r>
                </w:p>
              </w:tc>
            </w:tr>
          </w:tbl>
          <w:p>
            <w:pPr>
              <w:keepNext w:val="0"/>
              <w:keepLines w:val="0"/>
              <w:numPr>
                <w:ilvl w:val="0"/>
                <w:numId w:val="13"/>
              </w:numPr>
              <w:suppressLineNumbers w:val="0"/>
              <w:adjustRightInd w:val="0"/>
              <w:snapToGrid w:val="0"/>
              <w:spacing w:before="0" w:beforeAutospacing="0" w:after="0" w:afterAutospacing="0" w:line="360" w:lineRule="auto"/>
              <w:ind w:right="0" w:firstLine="400" w:firstLineChars="0"/>
              <w:rPr>
                <w:rFonts w:hint="default" w:ascii="Times New Roman" w:hAnsi="Times New Roman" w:eastAsia="宋体" w:cs="Times New Roman"/>
                <w:b/>
                <w:bCs/>
                <w:color w:val="auto"/>
                <w:sz w:val="24"/>
                <w:szCs w:val="21"/>
              </w:rPr>
            </w:pPr>
            <w:r>
              <w:rPr>
                <w:rFonts w:hint="default" w:ascii="Times New Roman" w:hAnsi="Times New Roman" w:eastAsia="宋体" w:cs="Times New Roman"/>
                <w:b/>
                <w:bCs/>
                <w:color w:val="auto"/>
                <w:sz w:val="24"/>
                <w:szCs w:val="21"/>
              </w:rPr>
              <w:t>噪声排放标准</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18"/>
                <w:sz w:val="24"/>
              </w:rPr>
            </w:pPr>
            <w:r>
              <w:rPr>
                <w:rFonts w:hint="default" w:ascii="Times New Roman" w:hAnsi="Times New Roman" w:eastAsia="宋体" w:cs="Times New Roman"/>
                <w:color w:val="auto"/>
                <w:kern w:val="18"/>
                <w:sz w:val="24"/>
              </w:rPr>
              <w:t>项目营运期噪声排放执行</w:t>
            </w:r>
            <w:r>
              <w:rPr>
                <w:rFonts w:hint="default" w:ascii="Times New Roman" w:hAnsi="Times New Roman" w:eastAsia="宋体" w:cs="Times New Roman"/>
                <w:color w:val="auto"/>
                <w:sz w:val="24"/>
                <w:szCs w:val="21"/>
              </w:rPr>
              <w:t>《工业企业厂界环境噪声排放标准》（GB12348-2008）中2类标准</w:t>
            </w:r>
            <w:r>
              <w:rPr>
                <w:rFonts w:hint="default" w:ascii="Times New Roman" w:hAnsi="Times New Roman" w:eastAsia="宋体" w:cs="Times New Roman"/>
                <w:color w:val="auto"/>
                <w:kern w:val="18"/>
                <w:sz w:val="24"/>
              </w:rPr>
              <w:t>，详见</w:t>
            </w:r>
            <w:r>
              <w:rPr>
                <w:rFonts w:hint="default" w:ascii="Times New Roman" w:hAnsi="Times New Roman" w:eastAsia="宋体" w:cs="Times New Roman"/>
                <w:color w:val="auto"/>
                <w:kern w:val="18"/>
                <w:sz w:val="24"/>
                <w:lang w:val="en-US"/>
              </w:rPr>
              <w:fldChar w:fldCharType="begin"/>
            </w:r>
            <w:r>
              <w:rPr>
                <w:rFonts w:hint="default" w:ascii="Times New Roman" w:hAnsi="Times New Roman" w:eastAsia="宋体" w:cs="Times New Roman"/>
                <w:color w:val="auto"/>
                <w:kern w:val="18"/>
                <w:sz w:val="24"/>
                <w:lang w:val="en-US"/>
              </w:rPr>
              <w:instrText xml:space="preserve"> REF _Ref27145 \h </w:instrText>
            </w:r>
            <w:r>
              <w:rPr>
                <w:rFonts w:hint="default" w:ascii="Times New Roman" w:hAnsi="Times New Roman" w:eastAsia="宋体" w:cs="Times New Roman"/>
                <w:color w:val="auto"/>
                <w:kern w:val="18"/>
                <w:sz w:val="24"/>
                <w:lang w:val="en-US"/>
              </w:rPr>
              <w:fldChar w:fldCharType="separate"/>
            </w:r>
            <w:r>
              <w:rPr>
                <w:rFonts w:hint="default" w:ascii="Times New Roman" w:hAnsi="Times New Roman" w:eastAsia="宋体" w:cs="Times New Roman"/>
                <w:color w:val="auto"/>
              </w:rPr>
              <w:t>表3- 14</w:t>
            </w:r>
            <w:r>
              <w:rPr>
                <w:rFonts w:hint="default" w:ascii="Times New Roman" w:hAnsi="Times New Roman" w:eastAsia="宋体" w:cs="Times New Roman"/>
                <w:color w:val="auto"/>
                <w:kern w:val="18"/>
                <w:sz w:val="24"/>
                <w:lang w:val="en-US"/>
              </w:rPr>
              <w:fldChar w:fldCharType="end"/>
            </w:r>
            <w:r>
              <w:rPr>
                <w:rFonts w:hint="default" w:ascii="Times New Roman" w:hAnsi="Times New Roman" w:eastAsia="宋体" w:cs="Times New Roman"/>
                <w:color w:val="auto"/>
                <w:kern w:val="18"/>
                <w:sz w:val="24"/>
              </w:rPr>
              <w:t>。</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b/>
                <w:color w:val="auto"/>
                <w:kern w:val="0"/>
              </w:rPr>
            </w:pPr>
            <w:r>
              <w:rPr>
                <w:rFonts w:hint="default" w:ascii="Times New Roman" w:hAnsi="Times New Roman" w:eastAsia="宋体" w:cs="Times New Roman"/>
                <w:b/>
                <w:color w:val="auto"/>
                <w:kern w:val="0"/>
              </w:rPr>
              <w:t xml:space="preserve"> </w:t>
            </w:r>
            <w:bookmarkStart w:id="34" w:name="_Ref27145"/>
            <w:r>
              <w:rPr>
                <w:rFonts w:hint="default" w:ascii="Times New Roman" w:hAnsi="Times New Roman" w:eastAsia="宋体" w:cs="Times New Roman"/>
                <w:color w:val="auto"/>
              </w:rPr>
              <w:t xml:space="preserve">表3-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表3-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14</w:t>
            </w:r>
            <w:r>
              <w:rPr>
                <w:rFonts w:hint="default" w:ascii="Times New Roman" w:hAnsi="Times New Roman" w:eastAsia="宋体" w:cs="Times New Roman"/>
                <w:color w:val="auto"/>
              </w:rPr>
              <w:fldChar w:fldCharType="end"/>
            </w:r>
            <w:bookmarkEnd w:id="34"/>
            <w:r>
              <w:rPr>
                <w:rFonts w:hint="default" w:ascii="Times New Roman" w:hAnsi="Times New Roman" w:eastAsia="宋体" w:cs="Times New Roman"/>
                <w:b/>
                <w:color w:val="auto"/>
                <w:kern w:val="0"/>
              </w:rPr>
              <w:t xml:space="preserve"> 工业企业厂界环境噪声排放限值（单位：dB（A））</w:t>
            </w:r>
          </w:p>
          <w:tbl>
            <w:tblPr>
              <w:tblStyle w:val="26"/>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87"/>
              <w:gridCol w:w="3364"/>
              <w:gridCol w:w="32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exact"/>
              </w:trPr>
              <w:tc>
                <w:tcPr>
                  <w:tcW w:w="136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类别</w:t>
                  </w:r>
                </w:p>
              </w:tc>
              <w:tc>
                <w:tcPr>
                  <w:tcW w:w="183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昼间6:00-22:00</w:t>
                  </w:r>
                </w:p>
              </w:tc>
              <w:tc>
                <w:tcPr>
                  <w:tcW w:w="179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夜间22:00-6:00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6" w:hRule="exact"/>
              </w:trPr>
              <w:tc>
                <w:tcPr>
                  <w:tcW w:w="136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2类</w:t>
                  </w:r>
                </w:p>
              </w:tc>
              <w:tc>
                <w:tcPr>
                  <w:tcW w:w="183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60</w:t>
                  </w:r>
                </w:p>
              </w:tc>
              <w:tc>
                <w:tcPr>
                  <w:tcW w:w="179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50</w:t>
                  </w:r>
                </w:p>
              </w:tc>
            </w:tr>
          </w:tbl>
          <w:p>
            <w:pPr>
              <w:keepNext w:val="0"/>
              <w:keepLines w:val="0"/>
              <w:numPr>
                <w:ilvl w:val="0"/>
                <w:numId w:val="13"/>
              </w:numPr>
              <w:suppressLineNumbers w:val="0"/>
              <w:adjustRightInd w:val="0"/>
              <w:snapToGrid w:val="0"/>
              <w:spacing w:before="0" w:beforeAutospacing="0" w:after="0" w:afterAutospacing="0" w:line="360" w:lineRule="auto"/>
              <w:ind w:right="0" w:firstLine="400" w:firstLineChars="0"/>
              <w:rPr>
                <w:rFonts w:hint="default" w:ascii="Times New Roman" w:hAnsi="Times New Roman" w:eastAsia="宋体" w:cs="Times New Roman"/>
                <w:b/>
                <w:color w:val="auto"/>
                <w:sz w:val="24"/>
                <w:szCs w:val="21"/>
              </w:rPr>
            </w:pPr>
            <w:r>
              <w:rPr>
                <w:rFonts w:hint="default" w:ascii="Times New Roman" w:hAnsi="Times New Roman" w:eastAsia="宋体" w:cs="Times New Roman"/>
                <w:b/>
                <w:color w:val="auto"/>
                <w:sz w:val="24"/>
                <w:szCs w:val="21"/>
              </w:rPr>
              <w:t>固体废物</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 w:val="24"/>
              </w:rPr>
              <w:t>营运期固体废弃物执行《中华人民共和国固体废物污染环境防治法》(2020年4月29日第十三届全国人民代表大会常务委员会第十七次会议第二次修订，自2020年9月1日起施行)、《广东省固体废物污染环境防治条例》（2018年11月29日修订，2019年3月1日起施行），危险废物执行</w:t>
            </w:r>
            <w:r>
              <w:rPr>
                <w:rFonts w:hint="default" w:ascii="Times New Roman" w:hAnsi="Times New Roman" w:eastAsia="宋体" w:cs="Times New Roman"/>
                <w:color w:val="auto"/>
                <w:sz w:val="24"/>
                <w:lang w:eastAsia="zh-CN"/>
              </w:rPr>
              <w:t>《危险废物贮存污染控制标准》（GB 18597-2023）</w:t>
            </w:r>
            <w:r>
              <w:rPr>
                <w:rFonts w:hint="default" w:ascii="Times New Roman" w:hAnsi="Times New Roman" w:eastAsia="宋体" w:cs="Times New Roman"/>
                <w:color w:val="auto"/>
                <w:sz w:val="24"/>
              </w:rPr>
              <w:t>中相关要求。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00" w:hRule="atLeast"/>
          <w:jc w:val="center"/>
        </w:trPr>
        <w:tc>
          <w:tcPr>
            <w:tcW w:w="249" w:type="pct"/>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4"/>
              </w:rPr>
            </w:pPr>
            <w:r>
              <w:rPr>
                <w:rFonts w:hint="default" w:ascii="Times New Roman" w:hAnsi="Times New Roman" w:eastAsia="宋体" w:cs="Times New Roman"/>
                <w:b/>
                <w:bCs/>
                <w:color w:val="auto"/>
                <w:kern w:val="0"/>
                <w:sz w:val="24"/>
              </w:rPr>
              <w:t>总量</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4"/>
              </w:rPr>
            </w:pPr>
            <w:r>
              <w:rPr>
                <w:rFonts w:hint="default" w:ascii="Times New Roman" w:hAnsi="Times New Roman" w:eastAsia="宋体" w:cs="Times New Roman"/>
                <w:b/>
                <w:bCs/>
                <w:color w:val="auto"/>
                <w:kern w:val="0"/>
                <w:sz w:val="24"/>
              </w:rPr>
              <w:t>控制</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b/>
                <w:bCs/>
                <w:color w:val="auto"/>
                <w:kern w:val="0"/>
                <w:sz w:val="24"/>
              </w:rPr>
              <w:t>指标</w:t>
            </w:r>
          </w:p>
        </w:tc>
        <w:tc>
          <w:tcPr>
            <w:tcW w:w="4750" w:type="pct"/>
            <w:noWrap w:val="0"/>
            <w:vAlign w:val="center"/>
          </w:tcPr>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lang w:val="en-US" w:eastAsia="zh-CN"/>
              </w:rPr>
              <w:t>根据《广东省“三线一单”生态环境分区管控方案》：广东省对化学需氧量（COD）、氨氮、氮氧化物（NO</w:t>
            </w:r>
            <w:r>
              <w:rPr>
                <w:rFonts w:hint="default" w:ascii="Times New Roman" w:hAnsi="Times New Roman" w:eastAsia="宋体" w:cs="Times New Roman"/>
                <w:color w:val="auto"/>
                <w:sz w:val="24"/>
                <w:szCs w:val="24"/>
                <w:vertAlign w:val="subscript"/>
                <w:lang w:val="en-US" w:eastAsia="zh-CN"/>
              </w:rPr>
              <w:t>X</w:t>
            </w:r>
            <w:r>
              <w:rPr>
                <w:rFonts w:hint="default" w:ascii="Times New Roman" w:hAnsi="Times New Roman" w:eastAsia="宋体" w:cs="Times New Roman"/>
                <w:color w:val="auto"/>
                <w:sz w:val="24"/>
                <w:szCs w:val="24"/>
                <w:lang w:val="en-US" w:eastAsia="zh-CN"/>
              </w:rPr>
              <w:t>）和挥发性有机物实施总量控制</w:t>
            </w:r>
            <w:r>
              <w:rPr>
                <w:rFonts w:hint="default" w:ascii="Times New Roman" w:hAnsi="Times New Roman" w:eastAsia="宋体" w:cs="Times New Roman"/>
                <w:color w:val="auto"/>
                <w:kern w:val="2"/>
                <w:sz w:val="24"/>
                <w:szCs w:val="24"/>
                <w:highlight w:val="none"/>
              </w:rPr>
              <w:t>。结合项目污染物排放情况，确定本项目总量控制因子</w:t>
            </w:r>
            <w:r>
              <w:rPr>
                <w:rFonts w:hint="default" w:ascii="Times New Roman" w:hAnsi="Times New Roman" w:eastAsia="宋体" w:cs="Times New Roman"/>
                <w:color w:val="auto"/>
                <w:kern w:val="2"/>
                <w:sz w:val="24"/>
                <w:szCs w:val="24"/>
                <w:highlight w:val="none"/>
                <w:lang w:val="en-US" w:eastAsia="zh-CN"/>
              </w:rPr>
              <w:t>如</w:t>
            </w:r>
            <w:r>
              <w:rPr>
                <w:rFonts w:hint="default" w:ascii="Times New Roman" w:hAnsi="Times New Roman" w:eastAsia="宋体" w:cs="Times New Roman"/>
                <w:color w:val="auto"/>
                <w:kern w:val="2"/>
                <w:sz w:val="24"/>
                <w:szCs w:val="24"/>
                <w:highlight w:val="none"/>
                <w:lang w:val="en-US" w:eastAsia="zh-CN"/>
              </w:rPr>
              <w:fldChar w:fldCharType="begin"/>
            </w:r>
            <w:r>
              <w:rPr>
                <w:rFonts w:hint="default" w:ascii="Times New Roman" w:hAnsi="Times New Roman" w:eastAsia="宋体" w:cs="Times New Roman"/>
                <w:color w:val="auto"/>
                <w:kern w:val="2"/>
                <w:sz w:val="24"/>
                <w:szCs w:val="24"/>
                <w:highlight w:val="none"/>
                <w:lang w:val="en-US" w:eastAsia="zh-CN"/>
              </w:rPr>
              <w:instrText xml:space="preserve"> REF _Ref27209 \h </w:instrText>
            </w:r>
            <w:r>
              <w:rPr>
                <w:rFonts w:hint="default" w:ascii="Times New Roman" w:hAnsi="Times New Roman" w:eastAsia="宋体" w:cs="Times New Roman"/>
                <w:color w:val="auto"/>
                <w:kern w:val="2"/>
                <w:sz w:val="24"/>
                <w:szCs w:val="24"/>
                <w:highlight w:val="none"/>
                <w:lang w:val="en-US" w:eastAsia="zh-CN"/>
              </w:rPr>
              <w:fldChar w:fldCharType="separate"/>
            </w:r>
            <w:r>
              <w:rPr>
                <w:rFonts w:hint="default" w:ascii="Times New Roman" w:hAnsi="Times New Roman" w:eastAsia="宋体" w:cs="Times New Roman"/>
                <w:color w:val="auto"/>
              </w:rPr>
              <w:t>表3- 15</w:t>
            </w:r>
            <w:r>
              <w:rPr>
                <w:rFonts w:hint="default" w:ascii="Times New Roman" w:hAnsi="Times New Roman" w:eastAsia="宋体" w:cs="Times New Roman"/>
                <w:color w:val="auto"/>
                <w:kern w:val="2"/>
                <w:sz w:val="24"/>
                <w:szCs w:val="24"/>
                <w:highlight w:val="none"/>
                <w:lang w:val="en-US" w:eastAsia="zh-CN"/>
              </w:rPr>
              <w:fldChar w:fldCharType="end"/>
            </w:r>
            <w:r>
              <w:rPr>
                <w:rFonts w:hint="default" w:ascii="Times New Roman" w:hAnsi="Times New Roman" w:eastAsia="宋体" w:cs="Times New Roman"/>
                <w:color w:val="auto"/>
                <w:kern w:val="2"/>
                <w:sz w:val="24"/>
                <w:szCs w:val="24"/>
                <w:highlight w:val="none"/>
              </w:rPr>
              <w:t>：</w:t>
            </w:r>
          </w:p>
          <w:p>
            <w:pPr>
              <w:pStyle w:val="8"/>
              <w:keepNext w:val="0"/>
              <w:keepLines w:val="0"/>
              <w:suppressLineNumbers w:val="0"/>
              <w:bidi w:val="0"/>
              <w:spacing w:beforeAutospacing="0" w:afterAutospacing="0"/>
              <w:ind w:left="0" w:right="0"/>
              <w:rPr>
                <w:rFonts w:hint="default" w:ascii="Times New Roman" w:hAnsi="Times New Roman" w:eastAsia="宋体" w:cs="Times New Roman"/>
                <w:color w:val="auto"/>
              </w:rPr>
            </w:pPr>
            <w:bookmarkStart w:id="35" w:name="_Ref27209"/>
            <w:bookmarkStart w:id="36" w:name="_Ref27187"/>
            <w:r>
              <w:rPr>
                <w:rFonts w:hint="default" w:ascii="Times New Roman" w:hAnsi="Times New Roman" w:eastAsia="宋体" w:cs="Times New Roman"/>
                <w:color w:val="auto"/>
              </w:rPr>
              <w:t xml:space="preserve">表3-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表3-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15</w:t>
            </w:r>
            <w:r>
              <w:rPr>
                <w:rFonts w:hint="default" w:ascii="Times New Roman" w:hAnsi="Times New Roman" w:eastAsia="宋体" w:cs="Times New Roman"/>
                <w:color w:val="auto"/>
              </w:rPr>
              <w:fldChar w:fldCharType="end"/>
            </w:r>
            <w:bookmarkEnd w:id="35"/>
            <w:r>
              <w:rPr>
                <w:rFonts w:hint="default" w:ascii="Times New Roman" w:hAnsi="Times New Roman" w:eastAsia="宋体" w:cs="Times New Roman"/>
                <w:color w:val="auto"/>
              </w:rPr>
              <w:t>项目主要污染物总量控制指标表</w:t>
            </w:r>
          </w:p>
          <w:tbl>
            <w:tblPr>
              <w:tblStyle w:val="26"/>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3777"/>
              <w:gridCol w:w="30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28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类别</w:t>
                  </w:r>
                </w:p>
              </w:tc>
              <w:tc>
                <w:tcPr>
                  <w:tcW w:w="20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控 制 指 标</w:t>
                  </w:r>
                </w:p>
              </w:tc>
              <w:tc>
                <w:tcPr>
                  <w:tcW w:w="165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项目排放量（t/a）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128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生产废气</w:t>
                  </w:r>
                </w:p>
              </w:tc>
              <w:tc>
                <w:tcPr>
                  <w:tcW w:w="20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挥发性有机物</w:t>
                  </w:r>
                </w:p>
              </w:tc>
              <w:tc>
                <w:tcPr>
                  <w:tcW w:w="165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0.617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1281"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生活污水</w:t>
                  </w:r>
                </w:p>
              </w:tc>
              <w:tc>
                <w:tcPr>
                  <w:tcW w:w="20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污水量(万m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/a)</w:t>
                  </w:r>
                </w:p>
              </w:tc>
              <w:tc>
                <w:tcPr>
                  <w:tcW w:w="165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rPr>
                  </w:pPr>
                  <w:r>
                    <w:rPr>
                      <w:rFonts w:hint="eastAsia" w:cs="Times New Roman"/>
                      <w:color w:val="auto"/>
                      <w:lang w:val="en-US" w:eastAsia="zh-CN"/>
                    </w:rPr>
                    <w:t>0.0328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1281"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0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COD</w:t>
                  </w:r>
                  <w:r>
                    <w:rPr>
                      <w:rFonts w:hint="default" w:ascii="Times New Roman" w:hAnsi="Times New Roman" w:eastAsia="宋体" w:cs="Times New Roman"/>
                      <w:color w:val="auto"/>
                      <w:vertAlign w:val="subscript"/>
                      <w:lang w:val="en-US" w:eastAsia="zh-CN"/>
                    </w:rPr>
                    <w:t>C</w:t>
                  </w:r>
                  <w:r>
                    <w:rPr>
                      <w:rFonts w:hint="default" w:ascii="Times New Roman" w:hAnsi="Times New Roman" w:eastAsia="宋体" w:cs="Times New Roman"/>
                      <w:color w:val="auto"/>
                      <w:vertAlign w:val="subscript"/>
                    </w:rPr>
                    <w:t>r</w:t>
                  </w:r>
                  <w:r>
                    <w:rPr>
                      <w:rFonts w:hint="default" w:ascii="Times New Roman" w:hAnsi="Times New Roman" w:eastAsia="宋体" w:cs="Times New Roman"/>
                      <w:color w:val="auto"/>
                    </w:rPr>
                    <w:t xml:space="preserve"> (t/a)</w:t>
                  </w:r>
                </w:p>
              </w:tc>
              <w:tc>
                <w:tcPr>
                  <w:tcW w:w="165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rPr>
                  </w:pPr>
                  <w:r>
                    <w:rPr>
                      <w:rFonts w:hint="eastAsia" w:cs="Times New Roman"/>
                      <w:color w:val="auto"/>
                      <w:lang w:val="en-US" w:eastAsia="zh-CN"/>
                    </w:rPr>
                    <w:t>0.0131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1281"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0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氨氮</w:t>
                  </w:r>
                  <w:r>
                    <w:rPr>
                      <w:rFonts w:hint="default" w:ascii="Times New Roman" w:hAnsi="Times New Roman" w:eastAsia="宋体" w:cs="Times New Roman"/>
                      <w:color w:val="auto"/>
                    </w:rPr>
                    <w:t xml:space="preserve"> (t/a)</w:t>
                  </w:r>
                </w:p>
              </w:tc>
              <w:tc>
                <w:tcPr>
                  <w:tcW w:w="165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r>
                    <w:rPr>
                      <w:rFonts w:hint="eastAsia" w:cs="Times New Roman"/>
                      <w:color w:val="auto"/>
                      <w:lang w:val="en-US" w:eastAsia="zh-CN"/>
                    </w:rPr>
                    <w:t>026</w:t>
                  </w:r>
                </w:p>
              </w:tc>
            </w:tr>
          </w:tbl>
          <w:p>
            <w:pPr>
              <w:keepNext w:val="0"/>
              <w:keepLines w:val="0"/>
              <w:suppressLineNumbers w:val="0"/>
              <w:adjustRightInd w:val="0"/>
              <w:snapToGrid w:val="0"/>
              <w:spacing w:before="0" w:beforeAutospacing="0" w:after="0" w:afterAutospacing="0"/>
              <w:ind w:left="0" w:leftChars="0" w:right="0" w:firstLine="0" w:firstLineChars="0"/>
              <w:rPr>
                <w:rFonts w:hint="default" w:ascii="Times New Roman" w:hAnsi="Times New Roman" w:eastAsia="宋体" w:cs="Times New Roman"/>
                <w:b/>
                <w:bCs/>
                <w:color w:val="auto"/>
                <w:spacing w:val="-6"/>
              </w:rPr>
            </w:pPr>
            <w:r>
              <w:rPr>
                <w:rFonts w:hint="default" w:ascii="Times New Roman" w:hAnsi="Times New Roman" w:eastAsia="宋体" w:cs="Times New Roman"/>
                <w:b/>
                <w:bCs/>
                <w:color w:val="auto"/>
              </w:rPr>
              <w:t>注：</w:t>
            </w:r>
            <w:r>
              <w:rPr>
                <w:rFonts w:hint="default" w:ascii="Times New Roman" w:hAnsi="Times New Roman" w:eastAsia="宋体" w:cs="Times New Roman"/>
                <w:b/>
                <w:bCs/>
                <w:color w:val="auto"/>
                <w:spacing w:val="-6"/>
              </w:rPr>
              <w:t>生活污水总量控制指标纳入</w:t>
            </w:r>
            <w:r>
              <w:rPr>
                <w:rFonts w:hint="default" w:ascii="Times New Roman" w:hAnsi="Times New Roman" w:eastAsia="宋体" w:cs="Times New Roman"/>
                <w:b/>
                <w:bCs/>
                <w:color w:val="auto"/>
                <w:spacing w:val="-6"/>
                <w:lang w:val="en-US" w:eastAsia="zh-CN"/>
              </w:rPr>
              <w:t>石湾镇大牛垒污水处理厂</w:t>
            </w:r>
            <w:r>
              <w:rPr>
                <w:rFonts w:hint="default" w:ascii="Times New Roman" w:hAnsi="Times New Roman" w:eastAsia="宋体" w:cs="Times New Roman"/>
                <w:b/>
                <w:bCs/>
                <w:color w:val="auto"/>
                <w:spacing w:val="-6"/>
              </w:rPr>
              <w:t>总量控制指标范围，不另外申请总量。</w:t>
            </w:r>
          </w:p>
          <w:bookmarkEnd w:id="36"/>
          <w:p>
            <w:pPr>
              <w:keepNext w:val="0"/>
              <w:keepLines w:val="0"/>
              <w:suppressLineNumbers w:val="0"/>
              <w:adjustRightInd w:val="0"/>
              <w:snapToGrid w:val="0"/>
              <w:spacing w:before="0" w:beforeAutospacing="0" w:after="0" w:afterAutospacing="0"/>
              <w:ind w:left="0" w:right="0" w:firstLine="0" w:firstLineChars="0"/>
              <w:jc w:val="both"/>
              <w:rPr>
                <w:rFonts w:hint="default" w:ascii="Times New Roman" w:hAnsi="Times New Roman" w:eastAsia="宋体" w:cs="Times New Roman"/>
                <w:color w:val="auto"/>
                <w:kern w:val="0"/>
                <w:szCs w:val="21"/>
              </w:rPr>
            </w:pPr>
          </w:p>
        </w:tc>
      </w:tr>
    </w:tbl>
    <w:p>
      <w:pPr>
        <w:pStyle w:val="22"/>
        <w:outlineLvl w:val="0"/>
        <w:rPr>
          <w:rFonts w:hint="default" w:ascii="Times New Roman" w:hAnsi="Times New Roman" w:eastAsia="宋体" w:cs="Times New Roman"/>
          <w:snapToGrid w:val="0"/>
          <w:color w:val="auto"/>
          <w:sz w:val="36"/>
          <w:szCs w:val="36"/>
        </w:rPr>
        <w:sectPr>
          <w:pgSz w:w="11907" w:h="16840"/>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pPr>
        <w:pStyle w:val="22"/>
        <w:keepNext w:val="0"/>
        <w:keepLines w:val="0"/>
        <w:pageBreakBefore w:val="0"/>
        <w:widowControl/>
        <w:tabs>
          <w:tab w:val="left" w:pos="5280"/>
        </w:tabs>
        <w:kinsoku/>
        <w:wordWrap/>
        <w:overflowPunct/>
        <w:topLinePunct w:val="0"/>
        <w:autoSpaceDE/>
        <w:autoSpaceDN/>
        <w:bidi w:val="0"/>
        <w:adjustRightInd/>
        <w:snapToGrid/>
        <w:spacing w:before="0" w:beforeAutospacing="0" w:after="0" w:afterAutospacing="0"/>
        <w:ind w:firstLine="0" w:firstLineChars="0"/>
        <w:jc w:val="both"/>
        <w:textAlignment w:val="auto"/>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四、主要环境影响和保护措施</w:t>
      </w: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3"/>
        <w:gridCol w:w="3186"/>
        <w:gridCol w:w="111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220" w:type="pct"/>
            <w:gridSpan w:val="2"/>
            <w:noWrap w:val="0"/>
            <w:tcMar>
              <w:left w:w="28" w:type="dxa"/>
              <w:right w:w="28"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施工期环境保护措施</w:t>
            </w:r>
          </w:p>
        </w:tc>
        <w:tc>
          <w:tcPr>
            <w:tcW w:w="3779" w:type="pct"/>
            <w:noWrap w:val="0"/>
            <w:vAlign w:val="center"/>
          </w:tcPr>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bCs/>
                <w:color w:val="auto"/>
                <w:spacing w:val="-10"/>
                <w:szCs w:val="21"/>
              </w:rPr>
            </w:pPr>
            <w:r>
              <w:rPr>
                <w:rFonts w:hint="default" w:ascii="Times New Roman" w:hAnsi="Times New Roman" w:eastAsia="宋体" w:cs="Times New Roman"/>
                <w:bCs/>
                <w:color w:val="auto"/>
                <w:sz w:val="24"/>
              </w:rPr>
              <w:t>项目利用现有厂房进行生产，无施工期影响。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01" w:hRule="atLeast"/>
          <w:jc w:val="center"/>
        </w:trPr>
        <w:tc>
          <w:tcPr>
            <w:tcW w:w="137" w:type="pct"/>
            <w:noWrap w:val="0"/>
            <w:tcMar>
              <w:left w:w="28" w:type="dxa"/>
              <w:right w:w="28" w:type="dxa"/>
            </w:tcMar>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运营</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期环</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境影</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响和</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保护</w:t>
            </w:r>
          </w:p>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措施</w:t>
            </w:r>
          </w:p>
        </w:tc>
        <w:tc>
          <w:tcPr>
            <w:tcW w:w="4862" w:type="pct"/>
            <w:gridSpan w:val="2"/>
            <w:noWrap w:val="0"/>
            <w:vAlign w:val="center"/>
          </w:tcPr>
          <w:p>
            <w:pPr>
              <w:keepNext w:val="0"/>
              <w:keepLines w:val="0"/>
              <w:numPr>
                <w:ilvl w:val="0"/>
                <w:numId w:val="16"/>
              </w:numPr>
              <w:suppressLineNumbers w:val="0"/>
              <w:adjustRightInd w:val="0"/>
              <w:snapToGrid w:val="0"/>
              <w:spacing w:before="0" w:beforeAutospacing="0" w:after="0" w:afterAutospacing="0" w:line="360" w:lineRule="auto"/>
              <w:ind w:left="0" w:right="0" w:firstLine="400" w:firstLineChars="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废气</w:t>
            </w:r>
          </w:p>
          <w:p>
            <w:pPr>
              <w:pStyle w:val="7"/>
              <w:keepNext w:val="0"/>
              <w:keepLines w:val="0"/>
              <w:numPr>
                <w:ilvl w:val="0"/>
                <w:numId w:val="17"/>
              </w:numPr>
              <w:suppressLineNumbers w:val="0"/>
              <w:spacing w:before="0" w:beforeAutospacing="0" w:after="0" w:afterAutospacing="0" w:line="360" w:lineRule="auto"/>
              <w:ind w:left="0" w:right="0" w:firstLine="397" w:firstLineChars="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废气源强</w:t>
            </w:r>
          </w:p>
          <w:p>
            <w:pPr>
              <w:pStyle w:val="53"/>
              <w:keepNext w:val="0"/>
              <w:keepLines w:val="0"/>
              <w:suppressLineNumbers w:val="0"/>
              <w:adjustRightInd/>
              <w:snapToGrid/>
              <w:spacing w:before="0" w:beforeAutospacing="0" w:after="0" w:afterAutospacing="0"/>
              <w:ind w:left="0" w:right="0"/>
              <w:jc w:val="left"/>
              <w:rPr>
                <w:rFonts w:hint="default" w:ascii="Times New Roman" w:hAnsi="Times New Roman" w:eastAsia="宋体" w:cs="Times New Roman"/>
                <w:color w:val="auto"/>
              </w:rPr>
            </w:pPr>
            <w:r>
              <w:rPr>
                <w:rFonts w:hint="default" w:ascii="Times New Roman" w:hAnsi="Times New Roman" w:eastAsia="宋体" w:cs="Times New Roman"/>
                <w:color w:val="auto"/>
              </w:rPr>
              <w:t>项目废气污染物排放源见</w:t>
            </w: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REF _Ref27252 \h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rPr>
              <w:t>表4- 1</w:t>
            </w:r>
            <w:r>
              <w:rPr>
                <w:rFonts w:hint="default" w:ascii="Times New Roman" w:hAnsi="Times New Roman" w:eastAsia="宋体" w:cs="Times New Roman"/>
                <w:color w:val="auto"/>
                <w:lang w:eastAsia="zh-CN"/>
              </w:rPr>
              <w:fldChar w:fldCharType="end"/>
            </w:r>
            <w:r>
              <w:rPr>
                <w:rFonts w:hint="default" w:ascii="Times New Roman" w:hAnsi="Times New Roman" w:eastAsia="宋体" w:cs="Times New Roman"/>
                <w:color w:val="auto"/>
              </w:rPr>
              <w:t>。</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color w:val="auto"/>
              </w:rPr>
            </w:pPr>
            <w:bookmarkStart w:id="37" w:name="_Ref27252"/>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bookmarkEnd w:id="37"/>
            <w:r>
              <w:rPr>
                <w:rFonts w:hint="default" w:ascii="Times New Roman" w:hAnsi="Times New Roman" w:eastAsia="宋体" w:cs="Times New Roman"/>
                <w:color w:val="auto"/>
              </w:rPr>
              <w:t xml:space="preserve"> 项目废气产排情况一览表</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273"/>
              <w:gridCol w:w="864"/>
              <w:gridCol w:w="764"/>
              <w:gridCol w:w="990"/>
              <w:gridCol w:w="1146"/>
              <w:gridCol w:w="1133"/>
              <w:gridCol w:w="1132"/>
              <w:gridCol w:w="1259"/>
              <w:gridCol w:w="1045"/>
              <w:gridCol w:w="982"/>
              <w:gridCol w:w="1078"/>
              <w:gridCol w:w="997"/>
              <w:gridCol w:w="6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76"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产污环节</w:t>
                  </w:r>
                </w:p>
              </w:tc>
              <w:tc>
                <w:tcPr>
                  <w:tcW w:w="452"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污染物种类</w:t>
                  </w:r>
                </w:p>
              </w:tc>
              <w:tc>
                <w:tcPr>
                  <w:tcW w:w="306"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排气筒</w:t>
                  </w:r>
                </w:p>
              </w:tc>
              <w:tc>
                <w:tcPr>
                  <w:tcW w:w="271"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排放形式</w:t>
                  </w:r>
                </w:p>
              </w:tc>
              <w:tc>
                <w:tcPr>
                  <w:tcW w:w="1563" w:type="pct"/>
                  <w:gridSpan w:val="4"/>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污染物产生情况</w:t>
                  </w:r>
                </w:p>
              </w:tc>
              <w:tc>
                <w:tcPr>
                  <w:tcW w:w="818" w:type="pct"/>
                  <w:gridSpan w:val="2"/>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治理设施情况</w:t>
                  </w:r>
                </w:p>
              </w:tc>
              <w:tc>
                <w:tcPr>
                  <w:tcW w:w="1085" w:type="pct"/>
                  <w:gridSpan w:val="3"/>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污染物排放情况</w:t>
                  </w:r>
                </w:p>
              </w:tc>
              <w:tc>
                <w:tcPr>
                  <w:tcW w:w="226"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b/>
                      <w:bCs/>
                      <w:color w:val="auto"/>
                    </w:rPr>
                    <w:t>排放时间/h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76"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p>
              </w:tc>
              <w:tc>
                <w:tcPr>
                  <w:tcW w:w="45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p>
              </w:tc>
              <w:tc>
                <w:tcPr>
                  <w:tcW w:w="306"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p>
              </w:tc>
              <w:tc>
                <w:tcPr>
                  <w:tcW w:w="271"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p>
              </w:tc>
              <w:tc>
                <w:tcPr>
                  <w:tcW w:w="3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产生量t/a</w:t>
                  </w:r>
                </w:p>
              </w:tc>
              <w:tc>
                <w:tcPr>
                  <w:tcW w:w="40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产生速率kg/h</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产生浓度mg/m</w:t>
                  </w:r>
                  <w:r>
                    <w:rPr>
                      <w:rFonts w:hint="default" w:ascii="Times New Roman" w:hAnsi="Times New Roman" w:eastAsia="宋体" w:cs="Times New Roman"/>
                      <w:b/>
                      <w:bCs/>
                      <w:color w:val="auto"/>
                      <w:vertAlign w:val="superscript"/>
                    </w:rPr>
                    <w:t>3</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收集风量（m³/h）</w:t>
                  </w:r>
                </w:p>
              </w:tc>
              <w:tc>
                <w:tcPr>
                  <w:tcW w:w="44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名称</w:t>
                  </w:r>
                </w:p>
              </w:tc>
              <w:tc>
                <w:tcPr>
                  <w:tcW w:w="3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去除率%</w:t>
                  </w:r>
                </w:p>
              </w:tc>
              <w:tc>
                <w:tcPr>
                  <w:tcW w:w="34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排放量t/a</w:t>
                  </w:r>
                </w:p>
              </w:tc>
              <w:tc>
                <w:tcPr>
                  <w:tcW w:w="38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排放速率kg/h</w:t>
                  </w:r>
                </w:p>
              </w:tc>
              <w:tc>
                <w:tcPr>
                  <w:tcW w:w="35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排放浓度mg/m</w:t>
                  </w:r>
                  <w:r>
                    <w:rPr>
                      <w:rFonts w:hint="default" w:ascii="Times New Roman" w:hAnsi="Times New Roman" w:eastAsia="宋体" w:cs="Times New Roman"/>
                      <w:b/>
                      <w:bCs/>
                      <w:color w:val="auto"/>
                      <w:vertAlign w:val="superscript"/>
                    </w:rPr>
                    <w:t>3</w:t>
                  </w:r>
                </w:p>
              </w:tc>
              <w:tc>
                <w:tcPr>
                  <w:tcW w:w="226"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喷砂</w:t>
                  </w:r>
                </w:p>
              </w:tc>
              <w:tc>
                <w:tcPr>
                  <w:tcW w:w="45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颗粒物</w:t>
                  </w:r>
                </w:p>
              </w:tc>
              <w:tc>
                <w:tcPr>
                  <w:tcW w:w="30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DA001</w:t>
                  </w:r>
                </w:p>
              </w:tc>
              <w:tc>
                <w:tcPr>
                  <w:tcW w:w="2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有组织</w:t>
                  </w:r>
                </w:p>
              </w:tc>
              <w:tc>
                <w:tcPr>
                  <w:tcW w:w="3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rPr>
                  </w:pPr>
                  <w:r>
                    <w:rPr>
                      <w:rFonts w:hint="default"/>
                      <w:lang w:val="en-US" w:eastAsia="zh-CN"/>
                    </w:rPr>
                    <w:t>2.042</w:t>
                  </w:r>
                </w:p>
              </w:tc>
              <w:tc>
                <w:tcPr>
                  <w:tcW w:w="40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0.851 </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472.69 </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1800</w:t>
                  </w:r>
                </w:p>
              </w:tc>
              <w:tc>
                <w:tcPr>
                  <w:tcW w:w="44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滤筒除尘器</w:t>
                  </w:r>
                </w:p>
              </w:tc>
              <w:tc>
                <w:tcPr>
                  <w:tcW w:w="3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95%</w:t>
                  </w:r>
                </w:p>
              </w:tc>
              <w:tc>
                <w:tcPr>
                  <w:tcW w:w="34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0.102 </w:t>
                  </w:r>
                </w:p>
              </w:tc>
              <w:tc>
                <w:tcPr>
                  <w:tcW w:w="38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0.043 </w:t>
                  </w:r>
                </w:p>
              </w:tc>
              <w:tc>
                <w:tcPr>
                  <w:tcW w:w="35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23.63 </w:t>
                  </w:r>
                </w:p>
              </w:tc>
              <w:tc>
                <w:tcPr>
                  <w:tcW w:w="22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喷粉</w:t>
                  </w:r>
                </w:p>
              </w:tc>
              <w:tc>
                <w:tcPr>
                  <w:tcW w:w="45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30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DA002</w:t>
                  </w:r>
                </w:p>
              </w:tc>
              <w:tc>
                <w:tcPr>
                  <w:tcW w:w="2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有组织</w:t>
                  </w:r>
                </w:p>
              </w:tc>
              <w:tc>
                <w:tcPr>
                  <w:tcW w:w="3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15.419</w:t>
                  </w:r>
                </w:p>
              </w:tc>
              <w:tc>
                <w:tcPr>
                  <w:tcW w:w="40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6.425 </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917.80 </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7000</w:t>
                  </w:r>
                </w:p>
              </w:tc>
              <w:tc>
                <w:tcPr>
                  <w:tcW w:w="44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滤筒式粉末回收机</w:t>
                  </w:r>
                </w:p>
              </w:tc>
              <w:tc>
                <w:tcPr>
                  <w:tcW w:w="3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95%</w:t>
                  </w:r>
                </w:p>
              </w:tc>
              <w:tc>
                <w:tcPr>
                  <w:tcW w:w="34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0.771 </w:t>
                  </w:r>
                </w:p>
              </w:tc>
              <w:tc>
                <w:tcPr>
                  <w:tcW w:w="38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0.321 </w:t>
                  </w:r>
                </w:p>
              </w:tc>
              <w:tc>
                <w:tcPr>
                  <w:tcW w:w="35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45.89 </w:t>
                  </w:r>
                </w:p>
              </w:tc>
              <w:tc>
                <w:tcPr>
                  <w:tcW w:w="22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7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喷粉烘干</w:t>
                  </w:r>
                </w:p>
              </w:tc>
              <w:tc>
                <w:tcPr>
                  <w:tcW w:w="45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w:t>
                  </w:r>
                </w:p>
              </w:tc>
              <w:tc>
                <w:tcPr>
                  <w:tcW w:w="30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DA003</w:t>
                  </w:r>
                </w:p>
              </w:tc>
              <w:tc>
                <w:tcPr>
                  <w:tcW w:w="2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有组织</w:t>
                  </w:r>
                </w:p>
              </w:tc>
              <w:tc>
                <w:tcPr>
                  <w:tcW w:w="3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0.057</w:t>
                  </w:r>
                </w:p>
              </w:tc>
              <w:tc>
                <w:tcPr>
                  <w:tcW w:w="40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0.024 </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1.53 </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15500</w:t>
                  </w:r>
                </w:p>
              </w:tc>
              <w:tc>
                <w:tcPr>
                  <w:tcW w:w="44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水喷淋塔+活性炭吸附装置</w:t>
                  </w:r>
                </w:p>
              </w:tc>
              <w:tc>
                <w:tcPr>
                  <w:tcW w:w="3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55%</w:t>
                  </w:r>
                </w:p>
              </w:tc>
              <w:tc>
                <w:tcPr>
                  <w:tcW w:w="34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0.026 </w:t>
                  </w:r>
                </w:p>
              </w:tc>
              <w:tc>
                <w:tcPr>
                  <w:tcW w:w="38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0.011 </w:t>
                  </w:r>
                </w:p>
              </w:tc>
              <w:tc>
                <w:tcPr>
                  <w:tcW w:w="35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0.69 </w:t>
                  </w:r>
                </w:p>
              </w:tc>
              <w:tc>
                <w:tcPr>
                  <w:tcW w:w="22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76"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喷漆</w:t>
                  </w:r>
                </w:p>
              </w:tc>
              <w:tc>
                <w:tcPr>
                  <w:tcW w:w="45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306"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DA004</w:t>
                  </w:r>
                </w:p>
              </w:tc>
              <w:tc>
                <w:tcPr>
                  <w:tcW w:w="271"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有组织</w:t>
                  </w:r>
                </w:p>
              </w:tc>
              <w:tc>
                <w:tcPr>
                  <w:tcW w:w="3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1.52</w:t>
                  </w:r>
                </w:p>
              </w:tc>
              <w:tc>
                <w:tcPr>
                  <w:tcW w:w="40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0.633</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15.45</w:t>
                  </w:r>
                </w:p>
              </w:tc>
              <w:tc>
                <w:tcPr>
                  <w:tcW w:w="402"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41000</w:t>
                  </w:r>
                </w:p>
              </w:tc>
              <w:tc>
                <w:tcPr>
                  <w:tcW w:w="447"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水喷淋塔+二级活性炭吸附装置</w:t>
                  </w:r>
                </w:p>
              </w:tc>
              <w:tc>
                <w:tcPr>
                  <w:tcW w:w="3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85%</w:t>
                  </w:r>
                </w:p>
              </w:tc>
              <w:tc>
                <w:tcPr>
                  <w:tcW w:w="34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0.228</w:t>
                  </w:r>
                  <w:r>
                    <w:rPr>
                      <w:rFonts w:hint="default"/>
                      <w:lang w:val="en-US" w:eastAsia="zh-CN"/>
                    </w:rPr>
                    <w:t xml:space="preserve"> </w:t>
                  </w:r>
                </w:p>
              </w:tc>
              <w:tc>
                <w:tcPr>
                  <w:tcW w:w="38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0.095</w:t>
                  </w:r>
                </w:p>
              </w:tc>
              <w:tc>
                <w:tcPr>
                  <w:tcW w:w="35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2.32</w:t>
                  </w:r>
                </w:p>
              </w:tc>
              <w:tc>
                <w:tcPr>
                  <w:tcW w:w="22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6"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45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w:t>
                  </w:r>
                </w:p>
              </w:tc>
              <w:tc>
                <w:tcPr>
                  <w:tcW w:w="306"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271"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3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1.478</w:t>
                  </w:r>
                </w:p>
              </w:tc>
              <w:tc>
                <w:tcPr>
                  <w:tcW w:w="40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0.616 </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15.02 </w:t>
                  </w:r>
                </w:p>
              </w:tc>
              <w:tc>
                <w:tcPr>
                  <w:tcW w:w="40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447"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3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w:t>
                  </w:r>
                </w:p>
              </w:tc>
              <w:tc>
                <w:tcPr>
                  <w:tcW w:w="34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0.296 </w:t>
                  </w:r>
                </w:p>
              </w:tc>
              <w:tc>
                <w:tcPr>
                  <w:tcW w:w="38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0.123 </w:t>
                  </w:r>
                </w:p>
              </w:tc>
              <w:tc>
                <w:tcPr>
                  <w:tcW w:w="35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3.00 </w:t>
                  </w:r>
                </w:p>
              </w:tc>
              <w:tc>
                <w:tcPr>
                  <w:tcW w:w="22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76"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无组织</w:t>
                  </w:r>
                </w:p>
              </w:tc>
              <w:tc>
                <w:tcPr>
                  <w:tcW w:w="45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306"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厂界</w:t>
                  </w:r>
                </w:p>
              </w:tc>
              <w:tc>
                <w:tcPr>
                  <w:tcW w:w="271"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无组织</w:t>
                  </w:r>
                </w:p>
              </w:tc>
              <w:tc>
                <w:tcPr>
                  <w:tcW w:w="3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0.65</w:t>
                  </w:r>
                </w:p>
              </w:tc>
              <w:tc>
                <w:tcPr>
                  <w:tcW w:w="40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0.271</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44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3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34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eastAsia"/>
                      <w:lang w:val="en-US" w:eastAsia="zh-CN"/>
                    </w:rPr>
                    <w:t>0.65</w:t>
                  </w:r>
                </w:p>
              </w:tc>
              <w:tc>
                <w:tcPr>
                  <w:tcW w:w="38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eastAsia"/>
                      <w:lang w:val="en-US" w:eastAsia="zh-CN"/>
                    </w:rPr>
                    <w:t>0.271</w:t>
                  </w:r>
                </w:p>
              </w:tc>
              <w:tc>
                <w:tcPr>
                  <w:tcW w:w="35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22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76"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45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w:t>
                  </w:r>
                </w:p>
              </w:tc>
              <w:tc>
                <w:tcPr>
                  <w:tcW w:w="306"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71"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0.295</w:t>
                  </w:r>
                </w:p>
              </w:tc>
              <w:tc>
                <w:tcPr>
                  <w:tcW w:w="40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0.123 </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w:t>
                  </w:r>
                </w:p>
              </w:tc>
              <w:tc>
                <w:tcPr>
                  <w:tcW w:w="40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4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34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lang w:val="en-US" w:eastAsia="zh-CN"/>
                    </w:rPr>
                    <w:t>0.295</w:t>
                  </w:r>
                </w:p>
              </w:tc>
              <w:tc>
                <w:tcPr>
                  <w:tcW w:w="38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lang w:val="en-US" w:eastAsia="zh-CN"/>
                    </w:rPr>
                    <w:t xml:space="preserve">0.123 </w:t>
                  </w:r>
                </w:p>
              </w:tc>
              <w:tc>
                <w:tcPr>
                  <w:tcW w:w="35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22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2400</w:t>
                  </w:r>
                </w:p>
              </w:tc>
            </w:tr>
          </w:tbl>
          <w:p>
            <w:pPr>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r>
    </w:tbl>
    <w:p>
      <w:pPr>
        <w:rPr>
          <w:rFonts w:hint="default" w:ascii="Times New Roman" w:hAnsi="Times New Roman" w:eastAsia="宋体" w:cs="Times New Roman"/>
          <w:color w:val="auto"/>
        </w:rPr>
        <w:sectPr>
          <w:type w:val="continuous"/>
          <w:pgSz w:w="16840" w:h="11907"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0"/>
        <w:gridCol w:w="935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84" w:hRule="atLeast"/>
          <w:jc w:val="center"/>
        </w:trPr>
        <w:tc>
          <w:tcPr>
            <w:tcW w:w="215" w:type="pct"/>
            <w:noWrap w:val="0"/>
            <w:tcMar>
              <w:left w:w="28" w:type="dxa"/>
              <w:right w:w="28" w:type="dxa"/>
            </w:tcMar>
            <w:vAlign w:val="center"/>
          </w:tcPr>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营运</w:t>
            </w:r>
          </w:p>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期环</w:t>
            </w:r>
          </w:p>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境影</w:t>
            </w:r>
          </w:p>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响和</w:t>
            </w:r>
          </w:p>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保护</w:t>
            </w:r>
          </w:p>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bCs/>
                <w:color w:val="auto"/>
              </w:rPr>
            </w:pPr>
            <w:r>
              <w:rPr>
                <w:rFonts w:hint="default" w:ascii="Times New Roman" w:hAnsi="Times New Roman" w:eastAsia="宋体" w:cs="Times New Roman"/>
                <w:color w:val="auto"/>
              </w:rPr>
              <w:t>措施</w:t>
            </w:r>
          </w:p>
        </w:tc>
        <w:tc>
          <w:tcPr>
            <w:tcW w:w="4784" w:type="pct"/>
            <w:noWrap w:val="0"/>
            <w:vAlign w:val="center"/>
          </w:tcPr>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项目废气源强核算过程：</w:t>
            </w:r>
          </w:p>
          <w:p>
            <w:pPr>
              <w:keepNext w:val="0"/>
              <w:keepLines w:val="0"/>
              <w:numPr>
                <w:ilvl w:val="0"/>
                <w:numId w:val="18"/>
              </w:numPr>
              <w:suppressLineNumbers w:val="0"/>
              <w:adjustRightInd w:val="0"/>
              <w:snapToGrid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rPr>
            </w:pPr>
            <w:bookmarkStart w:id="38" w:name="特征污染物产排情况"/>
            <w:r>
              <w:rPr>
                <w:rFonts w:hint="default" w:ascii="Times New Roman" w:hAnsi="Times New Roman" w:eastAsia="宋体" w:cs="Times New Roman"/>
                <w:b/>
                <w:bCs/>
                <w:color w:val="auto"/>
                <w:sz w:val="24"/>
                <w:lang w:val="en-US" w:eastAsia="zh-CN"/>
              </w:rPr>
              <w:t>喷砂废气</w:t>
            </w:r>
          </w:p>
          <w:bookmarkEnd w:id="38"/>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snapToGrid/>
                <w:color w:val="auto"/>
                <w:kern w:val="2"/>
                <w:sz w:val="24"/>
                <w:szCs w:val="24"/>
                <w:lang w:val="en-US" w:eastAsia="zh-CN" w:bidi="ar"/>
              </w:rPr>
            </w:pPr>
            <w:r>
              <w:rPr>
                <w:rFonts w:hint="default" w:ascii="Times New Roman" w:hAnsi="Times New Roman" w:eastAsia="宋体" w:cs="Times New Roman"/>
                <w:snapToGrid/>
                <w:color w:val="auto"/>
                <w:kern w:val="2"/>
                <w:sz w:val="24"/>
                <w:szCs w:val="24"/>
                <w:lang w:val="en-US" w:eastAsia="zh-CN" w:bidi="ar"/>
              </w:rPr>
              <w:t>项目在喷砂工序产生颗粒物，根据《排放源统计调查产排污核算方法和系数手册》33-37,431-434机械行业系数手册中，产品为干式预处理件，原料为其他金属材料</w:t>
            </w:r>
            <w:r>
              <w:rPr>
                <w:rFonts w:hint="eastAsia" w:cs="Times New Roman"/>
                <w:snapToGrid/>
                <w:color w:val="auto"/>
                <w:kern w:val="2"/>
                <w:sz w:val="24"/>
                <w:szCs w:val="24"/>
                <w:lang w:val="en-US" w:eastAsia="zh-CN" w:bidi="ar"/>
              </w:rPr>
              <w:t>，</w:t>
            </w:r>
            <w:r>
              <w:rPr>
                <w:rFonts w:hint="default" w:ascii="Times New Roman" w:hAnsi="Times New Roman" w:eastAsia="宋体" w:cs="Times New Roman"/>
                <w:snapToGrid/>
                <w:color w:val="auto"/>
                <w:kern w:val="2"/>
                <w:sz w:val="24"/>
                <w:szCs w:val="24"/>
                <w:lang w:val="en-US" w:eastAsia="zh-CN" w:bidi="ar"/>
              </w:rPr>
              <w:t>艺名称为：喷砂、打磨的颗粒物产污系数为2.19kg/t-原料</w:t>
            </w:r>
            <w:r>
              <w:rPr>
                <w:rFonts w:hint="default" w:ascii="Times New Roman" w:hAnsi="Times New Roman" w:eastAsia="宋体" w:cs="Times New Roman"/>
                <w:bCs/>
                <w:snapToGrid/>
                <w:color w:val="auto"/>
                <w:kern w:val="2"/>
                <w:sz w:val="24"/>
                <w:szCs w:val="24"/>
                <w:lang w:val="en-US" w:eastAsia="zh-CN" w:bidi="ar"/>
              </w:rPr>
              <w:t>，项目金属材料（铁料、铝料、散热器坯件）使用量为</w:t>
            </w:r>
            <w:r>
              <w:rPr>
                <w:rFonts w:hint="eastAsia" w:cs="Times New Roman"/>
                <w:bCs/>
                <w:snapToGrid/>
                <w:color w:val="auto"/>
                <w:kern w:val="2"/>
                <w:sz w:val="24"/>
                <w:szCs w:val="24"/>
                <w:lang w:val="en-US" w:eastAsia="zh-CN" w:bidi="ar"/>
              </w:rPr>
              <w:t>981.05</w:t>
            </w:r>
            <w:r>
              <w:rPr>
                <w:rFonts w:hint="default" w:ascii="Times New Roman" w:hAnsi="Times New Roman" w:eastAsia="宋体" w:cs="Times New Roman"/>
                <w:bCs/>
                <w:snapToGrid/>
                <w:color w:val="auto"/>
                <w:kern w:val="2"/>
                <w:sz w:val="24"/>
                <w:szCs w:val="24"/>
                <w:lang w:val="en-US" w:eastAsia="zh-CN" w:bidi="ar"/>
              </w:rPr>
              <w:t>t/a，则</w:t>
            </w:r>
            <w:r>
              <w:rPr>
                <w:rFonts w:hint="default" w:ascii="Times New Roman" w:hAnsi="Times New Roman" w:eastAsia="宋体" w:cs="Times New Roman"/>
                <w:snapToGrid/>
                <w:color w:val="auto"/>
                <w:kern w:val="2"/>
                <w:sz w:val="24"/>
                <w:szCs w:val="24"/>
                <w:lang w:val="en-US" w:eastAsia="zh-CN" w:bidi="ar"/>
              </w:rPr>
              <w:t>喷砂工序</w:t>
            </w:r>
            <w:r>
              <w:rPr>
                <w:rFonts w:hint="default" w:ascii="Times New Roman" w:hAnsi="Times New Roman" w:eastAsia="宋体" w:cs="Times New Roman"/>
                <w:bCs/>
                <w:snapToGrid/>
                <w:color w:val="auto"/>
                <w:kern w:val="2"/>
                <w:sz w:val="24"/>
                <w:szCs w:val="24"/>
                <w:lang w:val="en-US" w:eastAsia="zh-CN" w:bidi="ar"/>
              </w:rPr>
              <w:t>颗粒物产生量为2.1</w:t>
            </w:r>
            <w:r>
              <w:rPr>
                <w:rFonts w:hint="eastAsia" w:cs="Times New Roman"/>
                <w:bCs/>
                <w:snapToGrid/>
                <w:color w:val="auto"/>
                <w:kern w:val="2"/>
                <w:sz w:val="24"/>
                <w:szCs w:val="24"/>
                <w:lang w:val="en-US" w:eastAsia="zh-CN" w:bidi="ar"/>
              </w:rPr>
              <w:t>5</w:t>
            </w:r>
            <w:r>
              <w:rPr>
                <w:rFonts w:hint="default" w:ascii="Times New Roman" w:hAnsi="Times New Roman" w:eastAsia="宋体" w:cs="Times New Roman"/>
                <w:bCs/>
                <w:snapToGrid/>
                <w:color w:val="auto"/>
                <w:kern w:val="2"/>
                <w:sz w:val="24"/>
                <w:szCs w:val="24"/>
                <w:lang w:val="en-US" w:eastAsia="zh-CN" w:bidi="ar"/>
              </w:rPr>
              <w:t>t/a。</w:t>
            </w:r>
          </w:p>
          <w:p>
            <w:pPr>
              <w:keepNext w:val="0"/>
              <w:keepLines w:val="0"/>
              <w:numPr>
                <w:ilvl w:val="0"/>
                <w:numId w:val="18"/>
              </w:numPr>
              <w:suppressLineNumbers w:val="0"/>
              <w:adjustRightInd w:val="0"/>
              <w:snapToGrid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val="en-US" w:eastAsia="zh-CN"/>
              </w:rPr>
              <w:t>喷粉废气</w:t>
            </w:r>
          </w:p>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color w:val="auto"/>
                <w:lang w:val="en-US"/>
              </w:rPr>
            </w:pPr>
            <w:r>
              <w:rPr>
                <w:rFonts w:hint="eastAsia" w:cs="Times New Roman"/>
                <w:b/>
                <w:bCs/>
                <w:color w:val="auto"/>
                <w:kern w:val="2"/>
                <w:sz w:val="24"/>
                <w:szCs w:val="24"/>
                <w:lang w:val="en-US" w:eastAsia="zh-CN" w:bidi="ar"/>
              </w:rPr>
              <w:t>颗粒物：</w:t>
            </w:r>
            <w:r>
              <w:rPr>
                <w:rFonts w:hint="default" w:ascii="Times New Roman" w:hAnsi="Times New Roman" w:eastAsia="宋体" w:cs="Times New Roman"/>
                <w:color w:val="auto"/>
                <w:kern w:val="2"/>
                <w:sz w:val="24"/>
                <w:szCs w:val="24"/>
                <w:lang w:val="en-US" w:eastAsia="zh-CN" w:bidi="ar"/>
              </w:rPr>
              <w:t>项目产品经喷砂处理后需要进行喷粉涂装，采用静电喷涂工艺，根据</w:t>
            </w:r>
            <w:r>
              <w:rPr>
                <w:rFonts w:hint="default" w:ascii="Times New Roman" w:hAnsi="Times New Roman" w:eastAsia="宋体" w:cs="Times New Roman"/>
                <w:snapToGrid/>
                <w:color w:val="auto"/>
                <w:kern w:val="2"/>
                <w:sz w:val="24"/>
                <w:szCs w:val="24"/>
                <w:lang w:val="en-US" w:eastAsia="zh-CN" w:bidi="ar"/>
              </w:rPr>
              <w:t>《排放源统计调查产排污核算方法和系数手册》33-37,431-434机械行业系数手册中</w:t>
            </w:r>
            <w:r>
              <w:rPr>
                <w:rFonts w:hint="default" w:ascii="Times New Roman" w:hAnsi="Times New Roman" w:eastAsia="宋体" w:cs="Times New Roman"/>
                <w:color w:val="auto"/>
                <w:kern w:val="2"/>
                <w:sz w:val="24"/>
                <w:szCs w:val="24"/>
                <w:lang w:val="en-US" w:eastAsia="zh-CN" w:bidi="ar"/>
              </w:rPr>
              <w:t>，粉末涂料涂装过程的颗粒物产污系数为300千克/吨-原料，项目静电粉末使用量共54.</w:t>
            </w:r>
            <w:r>
              <w:rPr>
                <w:rFonts w:hint="eastAsia" w:cs="Times New Roman"/>
                <w:color w:val="auto"/>
                <w:kern w:val="2"/>
                <w:sz w:val="24"/>
                <w:szCs w:val="24"/>
                <w:lang w:val="en-US" w:eastAsia="zh-CN" w:bidi="ar"/>
              </w:rPr>
              <w:t>10</w:t>
            </w:r>
            <w:r>
              <w:rPr>
                <w:rFonts w:hint="default" w:ascii="Times New Roman" w:hAnsi="Times New Roman" w:eastAsia="宋体" w:cs="Times New Roman"/>
                <w:color w:val="auto"/>
                <w:kern w:val="2"/>
                <w:sz w:val="24"/>
                <w:szCs w:val="24"/>
                <w:lang w:val="en-US" w:eastAsia="zh-CN" w:bidi="ar"/>
              </w:rPr>
              <w:t>t/a，则喷粉粉尘产生量约为16.23t/a。喷粉房废气经密闭收集后通过“滤筒式粉末回收机”处理后（</w:t>
            </w:r>
            <w:r>
              <w:rPr>
                <w:rFonts w:hint="default" w:ascii="Times New Roman" w:hAnsi="Times New Roman" w:eastAsia="宋体" w:cs="Times New Roman"/>
                <w:b/>
                <w:bCs/>
                <w:color w:val="auto"/>
                <w:kern w:val="2"/>
                <w:sz w:val="24"/>
                <w:szCs w:val="24"/>
                <w:lang w:val="en-US" w:eastAsia="zh-CN" w:bidi="ar"/>
              </w:rPr>
              <w:t>收集效率以95%计</w:t>
            </w:r>
            <w:r>
              <w:rPr>
                <w:rFonts w:hint="default" w:ascii="Times New Roman" w:hAnsi="Times New Roman" w:eastAsia="宋体" w:cs="Times New Roman"/>
                <w:color w:val="auto"/>
                <w:kern w:val="2"/>
                <w:sz w:val="24"/>
                <w:szCs w:val="24"/>
                <w:lang w:val="en-US" w:eastAsia="zh-CN" w:bidi="ar"/>
              </w:rPr>
              <w:t>，</w:t>
            </w:r>
            <w:r>
              <w:rPr>
                <w:rFonts w:hint="default" w:ascii="Times New Roman" w:hAnsi="Times New Roman" w:eastAsia="宋体" w:cs="Times New Roman"/>
                <w:b/>
                <w:bCs/>
                <w:color w:val="auto"/>
                <w:kern w:val="2"/>
                <w:sz w:val="24"/>
                <w:szCs w:val="24"/>
                <w:lang w:val="en-US" w:eastAsia="zh-CN" w:bidi="ar"/>
              </w:rPr>
              <w:t>粉尘处理效率以</w:t>
            </w:r>
            <w:r>
              <w:rPr>
                <w:rFonts w:hint="eastAsia" w:cs="Times New Roman"/>
                <w:b/>
                <w:bCs/>
                <w:color w:val="auto"/>
                <w:kern w:val="2"/>
                <w:sz w:val="24"/>
                <w:szCs w:val="24"/>
                <w:lang w:val="en-US" w:eastAsia="zh-CN" w:bidi="ar"/>
              </w:rPr>
              <w:t>,95</w:t>
            </w:r>
            <w:r>
              <w:rPr>
                <w:rFonts w:hint="default" w:ascii="Times New Roman" w:hAnsi="Times New Roman" w:eastAsia="宋体" w:cs="Times New Roman"/>
                <w:b/>
                <w:bCs/>
                <w:color w:val="auto"/>
                <w:kern w:val="2"/>
                <w:sz w:val="24"/>
                <w:szCs w:val="24"/>
                <w:lang w:val="en-US" w:eastAsia="zh-CN" w:bidi="ar"/>
              </w:rPr>
              <w:t>%计</w:t>
            </w:r>
            <w:r>
              <w:rPr>
                <w:rFonts w:hint="default" w:ascii="Times New Roman" w:hAnsi="Times New Roman" w:eastAsia="宋体" w:cs="Times New Roman"/>
                <w:color w:val="auto"/>
                <w:kern w:val="2"/>
                <w:sz w:val="24"/>
                <w:szCs w:val="24"/>
                <w:lang w:val="en-US" w:eastAsia="zh-CN" w:bidi="ar"/>
              </w:rPr>
              <w:t>）沿一根15m高的排气筒（DA003）排放。未被收集的5%粉尘通过粉末喷粉室柜体和车间墙壁拦截后，约80%沉降在喷粉室车间内， 剩余20%通过车间门窗逸散，形成无组织排放。则计算得该工序沉降粉尘为0.649t/a，无组织排放的粉尘为0.162t/a。</w:t>
            </w:r>
          </w:p>
          <w:p>
            <w:pPr>
              <w:keepNext w:val="0"/>
              <w:keepLines w:val="0"/>
              <w:widowControl w:val="0"/>
              <w:suppressLineNumbers w:val="0"/>
              <w:adjustRightInd w:val="0"/>
              <w:snapToGrid w:val="0"/>
              <w:spacing w:before="0" w:beforeAutospacing="0" w:after="0" w:afterAutospacing="0" w:line="360" w:lineRule="auto"/>
              <w:ind w:left="0" w:right="0" w:firstLine="442" w:firstLineChars="200"/>
              <w:jc w:val="both"/>
              <w:rPr>
                <w:rFonts w:hint="default" w:ascii="Times New Roman" w:hAnsi="Times New Roman" w:eastAsia="宋体" w:cs="Times New Roman"/>
                <w:bCs/>
                <w:color w:val="auto"/>
                <w:spacing w:val="-10"/>
                <w:kern w:val="2"/>
                <w:sz w:val="24"/>
                <w:szCs w:val="24"/>
              </w:rPr>
            </w:pPr>
            <w:r>
              <w:rPr>
                <w:rFonts w:hint="eastAsia" w:cs="Times New Roman"/>
                <w:b/>
                <w:bCs w:val="0"/>
                <w:color w:val="auto"/>
                <w:spacing w:val="-10"/>
                <w:kern w:val="2"/>
                <w:sz w:val="24"/>
                <w:szCs w:val="24"/>
                <w:lang w:val="en-US" w:eastAsia="zh-CN" w:bidi="ar"/>
              </w:rPr>
              <w:t>总VOCs</w:t>
            </w:r>
            <w:r>
              <w:rPr>
                <w:rFonts w:hint="eastAsia" w:cs="Times New Roman"/>
                <w:bCs/>
                <w:color w:val="auto"/>
                <w:spacing w:val="-10"/>
                <w:kern w:val="2"/>
                <w:sz w:val="24"/>
                <w:szCs w:val="24"/>
                <w:lang w:val="en-US" w:eastAsia="zh-CN" w:bidi="ar"/>
              </w:rPr>
              <w:t>：</w:t>
            </w:r>
            <w:r>
              <w:rPr>
                <w:rFonts w:hint="default" w:ascii="Times New Roman" w:hAnsi="Times New Roman" w:eastAsia="宋体" w:cs="Times New Roman"/>
                <w:bCs/>
                <w:color w:val="auto"/>
                <w:spacing w:val="-10"/>
                <w:kern w:val="2"/>
                <w:sz w:val="24"/>
                <w:szCs w:val="24"/>
                <w:lang w:val="en-US" w:eastAsia="zh-CN" w:bidi="ar"/>
              </w:rPr>
              <w:t>本项目工件经喷粉工序后进入固化工序，该工序采用喷粉烘干炉和烤箱进行固化，烘烤温度约为</w:t>
            </w:r>
            <w:r>
              <w:rPr>
                <w:rFonts w:hint="default" w:ascii="Times New Roman" w:hAnsi="Times New Roman" w:eastAsia="宋体" w:cs="Times New Roman"/>
                <w:color w:val="auto"/>
                <w:kern w:val="2"/>
                <w:sz w:val="24"/>
                <w:szCs w:val="24"/>
                <w:lang w:val="en-US" w:eastAsia="zh-CN" w:bidi="ar"/>
              </w:rPr>
              <w:t>180~200℃，高温烘烤过程会有少量的有机废气产生，以</w:t>
            </w:r>
            <w:r>
              <w:rPr>
                <w:rFonts w:hint="eastAsia" w:cs="Times New Roman"/>
                <w:color w:val="auto"/>
                <w:kern w:val="2"/>
                <w:sz w:val="24"/>
                <w:szCs w:val="24"/>
                <w:lang w:val="en-US" w:eastAsia="zh-CN" w:bidi="ar"/>
              </w:rPr>
              <w:t>总</w:t>
            </w:r>
            <w:r>
              <w:rPr>
                <w:rFonts w:hint="default" w:ascii="Times New Roman" w:hAnsi="Times New Roman" w:eastAsia="宋体" w:cs="Times New Roman"/>
                <w:color w:val="auto"/>
                <w:kern w:val="2"/>
                <w:sz w:val="24"/>
                <w:szCs w:val="24"/>
                <w:lang w:val="en-US" w:eastAsia="zh-CN" w:bidi="ar"/>
              </w:rPr>
              <w:t>VOCs计。根据</w:t>
            </w:r>
            <w:r>
              <w:rPr>
                <w:rFonts w:hint="default" w:ascii="Times New Roman" w:hAnsi="Times New Roman" w:eastAsia="宋体" w:cs="Times New Roman"/>
                <w:snapToGrid/>
                <w:color w:val="auto"/>
                <w:kern w:val="2"/>
                <w:sz w:val="24"/>
                <w:szCs w:val="24"/>
                <w:lang w:val="en-US" w:eastAsia="zh-CN" w:bidi="ar"/>
              </w:rPr>
              <w:t>《排放源统计调查产排污核算方法和系数手册》33-37,431-434机械行业系数手册中，</w:t>
            </w:r>
            <w:r>
              <w:rPr>
                <w:rFonts w:hint="default" w:ascii="Times New Roman" w:hAnsi="Times New Roman" w:eastAsia="宋体" w:cs="Times New Roman"/>
                <w:color w:val="auto"/>
                <w:kern w:val="2"/>
                <w:sz w:val="24"/>
                <w:szCs w:val="24"/>
                <w:lang w:val="en-US" w:eastAsia="zh-CN" w:bidi="ar"/>
              </w:rPr>
              <w:t>粉末涂料固化过程的挥发性有机物产污系数为1.20千克/吨-原料，项目粉末涂料使用量为54.</w:t>
            </w:r>
            <w:r>
              <w:rPr>
                <w:rFonts w:hint="eastAsia" w:cs="Times New Roman"/>
                <w:color w:val="auto"/>
                <w:kern w:val="2"/>
                <w:sz w:val="24"/>
                <w:szCs w:val="24"/>
                <w:lang w:val="en-US" w:eastAsia="zh-CN" w:bidi="ar"/>
              </w:rPr>
              <w:t>10</w:t>
            </w:r>
            <w:r>
              <w:rPr>
                <w:rFonts w:hint="default" w:ascii="Times New Roman" w:hAnsi="Times New Roman" w:eastAsia="宋体" w:cs="Times New Roman"/>
                <w:color w:val="auto"/>
                <w:kern w:val="2"/>
                <w:sz w:val="24"/>
                <w:szCs w:val="24"/>
                <w:lang w:val="en-US" w:eastAsia="zh-CN" w:bidi="ar"/>
              </w:rPr>
              <w:t>t/a，则固化工序VOCs产生量为0.06t/a。</w:t>
            </w:r>
          </w:p>
          <w:p>
            <w:pPr>
              <w:keepNext w:val="0"/>
              <w:keepLines w:val="0"/>
              <w:numPr>
                <w:ilvl w:val="0"/>
                <w:numId w:val="18"/>
              </w:numPr>
              <w:suppressLineNumbers w:val="0"/>
              <w:adjustRightInd w:val="0"/>
              <w:snapToGrid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val="en-US" w:eastAsia="zh-CN"/>
              </w:rPr>
              <w:t>喷漆废气</w:t>
            </w:r>
          </w:p>
          <w:p>
            <w:pPr>
              <w:keepNext w:val="0"/>
              <w:keepLines w:val="0"/>
              <w:widowControl w:val="0"/>
              <w:suppressLineNumbers w:val="0"/>
              <w:adjustRightInd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color w:val="auto"/>
                <w:kern w:val="2"/>
                <w:sz w:val="24"/>
                <w:szCs w:val="24"/>
              </w:rPr>
            </w:pPr>
            <w:r>
              <w:rPr>
                <w:rFonts w:hint="eastAsia" w:cs="Times New Roman"/>
                <w:b/>
                <w:bCs/>
                <w:snapToGrid/>
                <w:color w:val="auto"/>
                <w:kern w:val="2"/>
                <w:sz w:val="24"/>
                <w:szCs w:val="24"/>
                <w:lang w:val="en-US" w:eastAsia="zh-CN" w:bidi="ar"/>
              </w:rPr>
              <w:t>颗粒物（漆雾）</w:t>
            </w:r>
            <w:r>
              <w:rPr>
                <w:rFonts w:hint="eastAsia" w:cs="Times New Roman"/>
                <w:snapToGrid/>
                <w:color w:val="auto"/>
                <w:kern w:val="2"/>
                <w:sz w:val="24"/>
                <w:szCs w:val="24"/>
                <w:lang w:val="en-US" w:eastAsia="zh-CN" w:bidi="ar"/>
              </w:rPr>
              <w:t>：</w:t>
            </w:r>
            <w:r>
              <w:rPr>
                <w:rFonts w:hint="default" w:ascii="Times New Roman" w:hAnsi="Times New Roman" w:eastAsia="宋体" w:cs="Times New Roman"/>
                <w:snapToGrid/>
                <w:color w:val="auto"/>
                <w:kern w:val="2"/>
                <w:sz w:val="24"/>
                <w:szCs w:val="24"/>
                <w:lang w:val="en-US" w:eastAsia="zh-CN" w:bidi="ar"/>
              </w:rPr>
              <w:t>项目喷漆时会产生颗粒物（漆雾），参考《谈喷涂涂着效率》（王锡春），涂着效率与喷涂方法、喷具的压力、喷嘴等因素有关，</w:t>
            </w:r>
            <w:r>
              <w:rPr>
                <w:rFonts w:hint="default" w:ascii="Times New Roman" w:hAnsi="Times New Roman" w:eastAsia="宋体" w:cs="Times New Roman"/>
                <w:snapToGrid/>
                <w:color w:val="auto"/>
                <w:spacing w:val="0"/>
                <w:kern w:val="2"/>
                <w:sz w:val="24"/>
                <w:szCs w:val="24"/>
                <w:lang w:val="en-US" w:eastAsia="zh-CN" w:bidi="ar"/>
              </w:rPr>
              <w:t>低压空气喷涂上漆率为50%~65%，本项目产品水性油漆上漆率按65%计算。</w:t>
            </w:r>
            <w:r>
              <w:rPr>
                <w:rFonts w:hint="default" w:ascii="Times New Roman" w:hAnsi="Times New Roman" w:eastAsia="宋体" w:cs="Times New Roman"/>
                <w:snapToGrid/>
                <w:color w:val="auto"/>
                <w:kern w:val="2"/>
                <w:sz w:val="24"/>
                <w:szCs w:val="24"/>
                <w:lang w:val="en-US" w:eastAsia="zh-CN" w:bidi="ar"/>
              </w:rPr>
              <w:t>因此项目</w:t>
            </w:r>
            <w:r>
              <w:rPr>
                <w:rFonts w:hint="default" w:ascii="Times New Roman" w:hAnsi="Times New Roman" w:eastAsia="宋体" w:cs="Times New Roman"/>
                <w:snapToGrid/>
                <w:color w:val="auto"/>
                <w:spacing w:val="0"/>
                <w:kern w:val="2"/>
                <w:sz w:val="24"/>
                <w:szCs w:val="24"/>
                <w:lang w:val="en-US" w:eastAsia="zh-CN" w:bidi="ar"/>
              </w:rPr>
              <w:t>水性油漆</w:t>
            </w:r>
            <w:r>
              <w:rPr>
                <w:rFonts w:hint="default" w:ascii="Times New Roman" w:hAnsi="Times New Roman" w:eastAsia="宋体" w:cs="Times New Roman"/>
                <w:snapToGrid/>
                <w:color w:val="auto"/>
                <w:kern w:val="2"/>
                <w:sz w:val="24"/>
                <w:szCs w:val="24"/>
                <w:lang w:val="en-US" w:eastAsia="zh-CN" w:bidi="ar"/>
              </w:rPr>
              <w:t>使用量如</w:t>
            </w:r>
            <w:r>
              <w:rPr>
                <w:rFonts w:hint="default" w:ascii="Times New Roman" w:hAnsi="Times New Roman" w:eastAsia="宋体" w:cs="Times New Roman"/>
                <w:snapToGrid/>
                <w:color w:val="auto"/>
                <w:kern w:val="2"/>
                <w:sz w:val="24"/>
                <w:szCs w:val="24"/>
                <w:lang w:val="en-US" w:eastAsia="zh-CN" w:bidi="ar"/>
              </w:rPr>
              <w:fldChar w:fldCharType="begin"/>
            </w:r>
            <w:r>
              <w:rPr>
                <w:rFonts w:hint="default" w:ascii="Times New Roman" w:hAnsi="Times New Roman" w:eastAsia="宋体" w:cs="Times New Roman"/>
                <w:snapToGrid/>
                <w:color w:val="auto"/>
                <w:kern w:val="2"/>
                <w:sz w:val="24"/>
                <w:szCs w:val="24"/>
                <w:lang w:val="en-US" w:eastAsia="zh-CN" w:bidi="ar"/>
              </w:rPr>
              <w:instrText xml:space="preserve"> REF _Ref5168 \h </w:instrText>
            </w:r>
            <w:r>
              <w:rPr>
                <w:rFonts w:hint="default" w:ascii="Times New Roman" w:hAnsi="Times New Roman" w:eastAsia="宋体" w:cs="Times New Roman"/>
                <w:snapToGrid/>
                <w:color w:val="auto"/>
                <w:kern w:val="2"/>
                <w:sz w:val="24"/>
                <w:szCs w:val="24"/>
                <w:lang w:val="en-US" w:eastAsia="zh-CN" w:bidi="ar"/>
              </w:rPr>
              <w:fldChar w:fldCharType="separate"/>
            </w:r>
            <w:r>
              <w:rPr>
                <w:rFonts w:hint="default"/>
              </w:rPr>
              <w:t>表4- 2</w:t>
            </w:r>
            <w:r>
              <w:rPr>
                <w:rFonts w:hint="default" w:ascii="Times New Roman" w:hAnsi="Times New Roman" w:eastAsia="宋体" w:cs="Times New Roman"/>
                <w:snapToGrid/>
                <w:color w:val="auto"/>
                <w:kern w:val="2"/>
                <w:sz w:val="24"/>
                <w:szCs w:val="24"/>
                <w:lang w:val="en-US" w:eastAsia="zh-CN" w:bidi="ar"/>
              </w:rPr>
              <w:fldChar w:fldCharType="end"/>
            </w:r>
            <w:r>
              <w:rPr>
                <w:rFonts w:hint="default" w:ascii="Times New Roman" w:hAnsi="Times New Roman" w:eastAsia="宋体" w:cs="Times New Roman"/>
                <w:snapToGrid/>
                <w:color w:val="auto"/>
                <w:kern w:val="2"/>
                <w:sz w:val="24"/>
                <w:szCs w:val="24"/>
                <w:lang w:val="en-US" w:eastAsia="zh-CN" w:bidi="ar"/>
              </w:rPr>
              <w:t>。</w:t>
            </w:r>
          </w:p>
          <w:p>
            <w:pPr>
              <w:pStyle w:val="8"/>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4"/>
                <w:szCs w:val="24"/>
              </w:rPr>
            </w:pPr>
            <w:bookmarkStart w:id="39" w:name="_Ref27396"/>
            <w:bookmarkEnd w:id="39"/>
            <w:bookmarkStart w:id="40" w:name="_Ref5168"/>
            <w:r>
              <w:rPr>
                <w:rFonts w:hint="default"/>
              </w:rPr>
              <w:t xml:space="preserve">表4- </w:t>
            </w:r>
            <w:r>
              <w:rPr>
                <w:rFonts w:hint="default"/>
              </w:rPr>
              <w:fldChar w:fldCharType="begin"/>
            </w:r>
            <w:r>
              <w:rPr>
                <w:rFonts w:hint="default"/>
              </w:rPr>
              <w:instrText xml:space="preserve"> SEQ 表4- \* ARABIC </w:instrText>
            </w:r>
            <w:r>
              <w:rPr>
                <w:rFonts w:hint="default"/>
              </w:rPr>
              <w:fldChar w:fldCharType="separate"/>
            </w:r>
            <w:r>
              <w:rPr>
                <w:rFonts w:hint="default"/>
              </w:rPr>
              <w:t>2</w:t>
            </w:r>
            <w:r>
              <w:rPr>
                <w:rFonts w:hint="default"/>
              </w:rPr>
              <w:fldChar w:fldCharType="end"/>
            </w:r>
            <w:bookmarkEnd w:id="40"/>
            <w:r>
              <w:rPr>
                <w:rFonts w:hint="default" w:ascii="Times New Roman" w:hAnsi="Times New Roman" w:eastAsia="宋体" w:cs="Times New Roman"/>
                <w:b/>
                <w:bCs w:val="0"/>
                <w:snapToGrid/>
                <w:color w:val="auto"/>
                <w:kern w:val="0"/>
                <w:sz w:val="24"/>
                <w:szCs w:val="24"/>
                <w:lang w:val="en-US" w:eastAsia="zh-CN" w:bidi="ar"/>
              </w:rPr>
              <w:t>项目调配</w:t>
            </w:r>
            <w:r>
              <w:rPr>
                <w:rFonts w:hint="eastAsia" w:ascii="Times New Roman" w:hAnsi="Times New Roman" w:cs="Times New Roman"/>
                <w:b/>
                <w:bCs w:val="0"/>
                <w:snapToGrid/>
                <w:color w:val="auto"/>
                <w:kern w:val="0"/>
                <w:sz w:val="24"/>
                <w:szCs w:val="24"/>
                <w:lang w:val="en-US" w:eastAsia="zh-CN" w:bidi="ar"/>
              </w:rPr>
              <w:t>水性油漆</w:t>
            </w:r>
            <w:r>
              <w:rPr>
                <w:rFonts w:hint="default" w:ascii="Times New Roman" w:hAnsi="Times New Roman" w:eastAsia="宋体" w:cs="Times New Roman"/>
                <w:b/>
                <w:bCs w:val="0"/>
                <w:snapToGrid/>
                <w:color w:val="auto"/>
                <w:kern w:val="0"/>
                <w:sz w:val="24"/>
                <w:szCs w:val="24"/>
                <w:lang w:val="en-US" w:eastAsia="zh-CN" w:bidi="ar"/>
              </w:rPr>
              <w:t>使用量一览表</w:t>
            </w:r>
          </w:p>
          <w:tbl>
            <w:tblPr>
              <w:tblStyle w:val="27"/>
              <w:tblW w:w="0" w:type="auto"/>
              <w:tblInd w:w="5" w:type="dxa"/>
              <w:tblBorders>
                <w:top w:val="single" w:color="auto" w:sz="12" w:space="0"/>
                <w:left w:val="none" w:color="auto" w:sz="4" w:space="0"/>
                <w:bottom w:val="single" w:color="auto" w:sz="12"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35"/>
              <w:gridCol w:w="1486"/>
              <w:gridCol w:w="1218"/>
              <w:gridCol w:w="1587"/>
              <w:gridCol w:w="1626"/>
              <w:gridCol w:w="1980"/>
            </w:tblGrid>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tcBorders>
                    <w:top w:val="single" w:color="auto" w:sz="12" w:space="0"/>
                    <w:left w:val="nil"/>
                    <w:bottom w:val="single" w:color="auto" w:sz="4" w:space="0"/>
                    <w:right w:val="single" w:color="auto" w:sz="4" w:space="0"/>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rPr>
                  </w:pPr>
                  <w:r>
                    <w:rPr>
                      <w:rFonts w:hint="default" w:ascii="Times New Roman" w:hAnsi="Times New Roman" w:eastAsia="宋体" w:cs="Times New Roman"/>
                      <w:b/>
                      <w:bCs/>
                      <w:snapToGrid/>
                      <w:color w:val="auto"/>
                      <w:kern w:val="2"/>
                      <w:sz w:val="21"/>
                      <w:szCs w:val="21"/>
                      <w:lang w:val="en-US" w:eastAsia="zh-CN" w:bidi="ar"/>
                    </w:rPr>
                    <w:t>厚度（mm）</w:t>
                  </w:r>
                </w:p>
              </w:tc>
              <w:tc>
                <w:tcPr>
                  <w:tcW w:w="0" w:type="auto"/>
                  <w:tcBorders>
                    <w:top w:val="single" w:color="auto" w:sz="12" w:space="0"/>
                    <w:left w:val="single" w:color="auto" w:sz="4" w:space="0"/>
                    <w:bottom w:val="single" w:color="auto" w:sz="4" w:space="0"/>
                    <w:right w:val="single" w:color="auto" w:sz="4" w:space="0"/>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rPr>
                  </w:pPr>
                  <w:r>
                    <w:rPr>
                      <w:rFonts w:hint="default" w:ascii="Times New Roman" w:hAnsi="Times New Roman" w:eastAsia="宋体" w:cs="Times New Roman"/>
                      <w:b/>
                      <w:bCs/>
                      <w:snapToGrid/>
                      <w:color w:val="auto"/>
                      <w:kern w:val="2"/>
                      <w:sz w:val="21"/>
                      <w:szCs w:val="21"/>
                      <w:lang w:val="en-US" w:eastAsia="zh-CN" w:bidi="ar"/>
                    </w:rPr>
                    <w:t>喷漆总面积（</w:t>
                  </w:r>
                  <w:r>
                    <w:rPr>
                      <w:rFonts w:hint="default" w:ascii="Times New Roman" w:hAnsi="Times New Roman" w:eastAsia="宋体" w:cs="Times New Roman"/>
                      <w:snapToGrid/>
                      <w:color w:val="auto"/>
                      <w:kern w:val="2"/>
                      <w:sz w:val="21"/>
                      <w:szCs w:val="21"/>
                      <w:lang w:val="en-US" w:eastAsia="zh-CN" w:bidi="ar"/>
                    </w:rPr>
                    <w:t>m</w:t>
                  </w:r>
                  <w:r>
                    <w:rPr>
                      <w:rFonts w:hint="default" w:ascii="Times New Roman" w:hAnsi="Times New Roman" w:eastAsia="宋体" w:cs="Times New Roman"/>
                      <w:snapToGrid/>
                      <w:color w:val="auto"/>
                      <w:kern w:val="2"/>
                      <w:sz w:val="21"/>
                      <w:szCs w:val="21"/>
                      <w:vertAlign w:val="superscript"/>
                      <w:lang w:val="en-US" w:eastAsia="zh-CN" w:bidi="ar"/>
                    </w:rPr>
                    <w:t>2</w:t>
                  </w:r>
                  <w:r>
                    <w:rPr>
                      <w:rFonts w:hint="default" w:ascii="Times New Roman" w:hAnsi="Times New Roman" w:eastAsia="宋体" w:cs="Times New Roman"/>
                      <w:b/>
                      <w:bCs/>
                      <w:snapToGrid/>
                      <w:color w:val="auto"/>
                      <w:kern w:val="2"/>
                      <w:sz w:val="21"/>
                      <w:szCs w:val="21"/>
                      <w:lang w:val="en-US" w:eastAsia="zh-CN" w:bidi="ar"/>
                    </w:rPr>
                    <w:t>）</w:t>
                  </w:r>
                </w:p>
              </w:tc>
              <w:tc>
                <w:tcPr>
                  <w:tcW w:w="0" w:type="auto"/>
                  <w:tcBorders>
                    <w:top w:val="single" w:color="auto" w:sz="12" w:space="0"/>
                    <w:left w:val="single" w:color="auto" w:sz="4" w:space="0"/>
                    <w:bottom w:val="single" w:color="auto" w:sz="4" w:space="0"/>
                    <w:right w:val="single" w:color="auto" w:sz="4" w:space="0"/>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rPr>
                  </w:pPr>
                  <w:r>
                    <w:rPr>
                      <w:rFonts w:hint="default" w:ascii="Times New Roman" w:hAnsi="Times New Roman" w:eastAsia="宋体" w:cs="Times New Roman"/>
                      <w:b/>
                      <w:bCs/>
                      <w:snapToGrid/>
                      <w:color w:val="auto"/>
                      <w:kern w:val="2"/>
                      <w:sz w:val="21"/>
                      <w:szCs w:val="21"/>
                      <w:lang w:val="en-US" w:eastAsia="zh-CN" w:bidi="ar"/>
                    </w:rPr>
                    <w:t>附着率（%）</w:t>
                  </w:r>
                </w:p>
              </w:tc>
              <w:tc>
                <w:tcPr>
                  <w:tcW w:w="0" w:type="auto"/>
                  <w:tcBorders>
                    <w:top w:val="single" w:color="auto" w:sz="12" w:space="0"/>
                    <w:left w:val="single" w:color="auto" w:sz="4" w:space="0"/>
                    <w:bottom w:val="single" w:color="auto" w:sz="4" w:space="0"/>
                    <w:right w:val="single" w:color="auto" w:sz="4" w:space="0"/>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rPr>
                  </w:pPr>
                  <w:r>
                    <w:rPr>
                      <w:rFonts w:hint="default" w:ascii="Times New Roman" w:hAnsi="Times New Roman" w:eastAsia="宋体" w:cs="Times New Roman"/>
                      <w:b/>
                      <w:bCs/>
                      <w:snapToGrid/>
                      <w:color w:val="auto"/>
                      <w:kern w:val="2"/>
                      <w:sz w:val="21"/>
                      <w:szCs w:val="21"/>
                      <w:lang w:val="en-US" w:eastAsia="zh-CN" w:bidi="ar"/>
                    </w:rPr>
                    <w:t>固体成分占比（%）</w:t>
                  </w:r>
                </w:p>
              </w:tc>
              <w:tc>
                <w:tcPr>
                  <w:tcW w:w="0" w:type="auto"/>
                  <w:tcBorders>
                    <w:top w:val="single" w:color="auto" w:sz="12" w:space="0"/>
                    <w:left w:val="single" w:color="auto" w:sz="4" w:space="0"/>
                    <w:bottom w:val="single" w:color="auto" w:sz="4" w:space="0"/>
                    <w:right w:val="single" w:color="auto" w:sz="4" w:space="0"/>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rPr>
                  </w:pPr>
                  <w:r>
                    <w:rPr>
                      <w:rFonts w:hint="default" w:ascii="Times New Roman" w:hAnsi="Times New Roman" w:eastAsia="宋体" w:cs="Times New Roman"/>
                      <w:b/>
                      <w:bCs/>
                      <w:snapToGrid/>
                      <w:color w:val="auto"/>
                      <w:kern w:val="2"/>
                      <w:sz w:val="21"/>
                      <w:szCs w:val="21"/>
                      <w:lang w:val="en-US" w:eastAsia="zh-CN" w:bidi="ar"/>
                    </w:rPr>
                    <w:t>涂料密度（g/cm³）</w:t>
                  </w:r>
                </w:p>
              </w:tc>
              <w:tc>
                <w:tcPr>
                  <w:tcW w:w="0" w:type="auto"/>
                  <w:tcBorders>
                    <w:top w:val="single" w:color="auto" w:sz="12" w:space="0"/>
                    <w:left w:val="single" w:color="auto" w:sz="4" w:space="0"/>
                    <w:bottom w:val="single" w:color="auto" w:sz="4" w:space="0"/>
                    <w:right w:val="nil"/>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rPr>
                  </w:pPr>
                  <w:r>
                    <w:rPr>
                      <w:rFonts w:hint="default" w:ascii="Times New Roman" w:hAnsi="Times New Roman" w:eastAsia="宋体" w:cs="Times New Roman"/>
                      <w:b/>
                      <w:bCs/>
                      <w:snapToGrid/>
                      <w:color w:val="auto"/>
                      <w:kern w:val="2"/>
                      <w:sz w:val="21"/>
                      <w:szCs w:val="21"/>
                      <w:lang w:val="en-US" w:eastAsia="zh-CN" w:bidi="ar"/>
                    </w:rPr>
                    <w:t>所需调配水性油漆量（t/a）</w:t>
                  </w:r>
                </w:p>
              </w:tc>
            </w:tr>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tcBorders>
                    <w:top w:val="single" w:color="auto" w:sz="4" w:space="0"/>
                    <w:left w:val="nil"/>
                    <w:bottom w:val="single" w:color="auto" w:sz="12" w:space="0"/>
                    <w:right w:val="single" w:color="auto" w:sz="4" w:space="0"/>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snapToGrid/>
                      <w:color w:val="auto"/>
                      <w:kern w:val="2"/>
                      <w:sz w:val="21"/>
                      <w:szCs w:val="21"/>
                      <w:lang w:val="en-US" w:eastAsia="zh-CN" w:bidi="ar"/>
                    </w:rPr>
                    <w:t>0.04</w:t>
                  </w:r>
                </w:p>
              </w:tc>
              <w:tc>
                <w:tcPr>
                  <w:tcW w:w="0" w:type="auto"/>
                  <w:tcBorders>
                    <w:top w:val="single" w:color="auto" w:sz="4" w:space="0"/>
                    <w:left w:val="single" w:color="auto" w:sz="4" w:space="0"/>
                    <w:bottom w:val="single" w:color="auto" w:sz="12" w:space="0"/>
                    <w:right w:val="single" w:color="auto" w:sz="4" w:space="0"/>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snapToGrid/>
                      <w:color w:val="auto"/>
                      <w:kern w:val="2"/>
                      <w:sz w:val="21"/>
                      <w:szCs w:val="21"/>
                      <w:lang w:val="en-US" w:eastAsia="zh-CN" w:bidi="ar"/>
                    </w:rPr>
                    <w:t>76000</w:t>
                  </w:r>
                </w:p>
              </w:tc>
              <w:tc>
                <w:tcPr>
                  <w:tcW w:w="0" w:type="auto"/>
                  <w:tcBorders>
                    <w:top w:val="single" w:color="auto" w:sz="4" w:space="0"/>
                    <w:left w:val="single" w:color="auto" w:sz="4" w:space="0"/>
                    <w:bottom w:val="single" w:color="auto" w:sz="12" w:space="0"/>
                    <w:right w:val="single" w:color="auto" w:sz="4" w:space="0"/>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snapToGrid/>
                      <w:color w:val="auto"/>
                      <w:kern w:val="2"/>
                      <w:sz w:val="21"/>
                      <w:szCs w:val="21"/>
                      <w:lang w:val="en-US" w:eastAsia="zh-CN" w:bidi="ar"/>
                    </w:rPr>
                    <w:t>65</w:t>
                  </w:r>
                </w:p>
              </w:tc>
              <w:tc>
                <w:tcPr>
                  <w:tcW w:w="0" w:type="auto"/>
                  <w:tcBorders>
                    <w:top w:val="single" w:color="auto" w:sz="4" w:space="0"/>
                    <w:left w:val="single" w:color="auto" w:sz="4" w:space="0"/>
                    <w:bottom w:val="single" w:color="auto" w:sz="12" w:space="0"/>
                    <w:right w:val="single" w:color="auto" w:sz="4" w:space="0"/>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snapToGrid/>
                      <w:color w:val="auto"/>
                      <w:kern w:val="2"/>
                      <w:sz w:val="21"/>
                      <w:szCs w:val="21"/>
                      <w:lang w:val="en-US" w:eastAsia="zh-CN" w:bidi="ar"/>
                    </w:rPr>
                    <w:t>32</w:t>
                  </w:r>
                </w:p>
              </w:tc>
              <w:tc>
                <w:tcPr>
                  <w:tcW w:w="0" w:type="auto"/>
                  <w:tcBorders>
                    <w:top w:val="single" w:color="auto" w:sz="4" w:space="0"/>
                    <w:left w:val="single" w:color="auto" w:sz="4" w:space="0"/>
                    <w:bottom w:val="single" w:color="auto" w:sz="12" w:space="0"/>
                    <w:right w:val="single" w:color="auto" w:sz="4" w:space="0"/>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snapToGrid/>
                      <w:color w:val="auto"/>
                      <w:kern w:val="2"/>
                      <w:sz w:val="21"/>
                      <w:szCs w:val="21"/>
                      <w:lang w:val="en-US" w:eastAsia="zh-CN" w:bidi="ar"/>
                    </w:rPr>
                    <w:t>1.16</w:t>
                  </w:r>
                </w:p>
              </w:tc>
              <w:tc>
                <w:tcPr>
                  <w:tcW w:w="0" w:type="auto"/>
                  <w:tcBorders>
                    <w:top w:val="single" w:color="auto" w:sz="4" w:space="0"/>
                    <w:left w:val="single" w:color="auto" w:sz="4" w:space="0"/>
                    <w:bottom w:val="single" w:color="auto" w:sz="12" w:space="0"/>
                    <w:right w:val="nil"/>
                  </w:tcBorders>
                  <w:shd w:val="clear" w:color="auto" w:fill="auto"/>
                  <w:vAlign w:val="center"/>
                </w:tcPr>
                <w:p>
                  <w:pPr>
                    <w:pStyle w:val="22"/>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snapToGrid/>
                      <w:color w:val="auto"/>
                      <w:kern w:val="2"/>
                      <w:sz w:val="21"/>
                      <w:szCs w:val="21"/>
                      <w:lang w:val="en-US" w:eastAsia="zh-CN" w:bidi="ar"/>
                    </w:rPr>
                    <w:t>16.95</w:t>
                  </w:r>
                </w:p>
              </w:tc>
            </w:tr>
          </w:tbl>
          <w:p>
            <w:pPr>
              <w:pStyle w:val="22"/>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default" w:ascii="Times New Roman" w:hAnsi="Times New Roman" w:eastAsia="宋体" w:cs="Times New Roman"/>
                <w:snapToGrid/>
                <w:color w:val="auto"/>
                <w:kern w:val="2"/>
                <w:sz w:val="24"/>
                <w:szCs w:val="24"/>
                <w:vertAlign w:val="baseline"/>
                <w:lang w:val="en-US" w:eastAsia="zh-CN" w:bidi="ar"/>
              </w:rPr>
            </w:pPr>
            <w:r>
              <w:rPr>
                <w:rFonts w:hint="default" w:ascii="Times New Roman" w:hAnsi="Times New Roman" w:eastAsia="宋体" w:cs="Times New Roman"/>
                <w:snapToGrid/>
                <w:color w:val="auto"/>
                <w:kern w:val="2"/>
                <w:sz w:val="24"/>
                <w:szCs w:val="24"/>
                <w:vertAlign w:val="baseline"/>
                <w:lang w:val="en-US" w:eastAsia="zh-CN" w:bidi="ar"/>
              </w:rPr>
              <w:t>喷漆时未附着到产品上的的固体成分转化为颗粒物，因此颗粒物的产生量为</w:t>
            </w:r>
            <w:r>
              <w:rPr>
                <w:rFonts w:hint="eastAsia" w:ascii="Times New Roman" w:hAnsi="Times New Roman" w:cs="Times New Roman"/>
                <w:snapToGrid/>
                <w:color w:val="auto"/>
                <w:kern w:val="2"/>
                <w:sz w:val="24"/>
                <w:szCs w:val="24"/>
                <w:vertAlign w:val="baseline"/>
                <w:lang w:val="en-US" w:eastAsia="zh-CN" w:bidi="ar"/>
              </w:rPr>
              <w:t>1.90</w:t>
            </w:r>
            <w:r>
              <w:rPr>
                <w:rFonts w:hint="default" w:ascii="Times New Roman" w:hAnsi="Times New Roman" w:eastAsia="宋体" w:cs="Times New Roman"/>
                <w:snapToGrid/>
                <w:color w:val="auto"/>
                <w:kern w:val="2"/>
                <w:sz w:val="24"/>
                <w:szCs w:val="24"/>
                <w:vertAlign w:val="baseline"/>
                <w:lang w:val="en-US" w:eastAsia="zh-CN" w:bidi="ar"/>
              </w:rPr>
              <w:t>t/a。</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b/>
                <w:bCs/>
                <w:color w:val="auto"/>
                <w:lang w:val="en-US" w:eastAsia="zh-CN"/>
              </w:rPr>
              <w:t>总VOCs：</w:t>
            </w:r>
            <w:r>
              <w:rPr>
                <w:rFonts w:hint="default" w:ascii="Times New Roman" w:hAnsi="Times New Roman" w:eastAsia="宋体" w:cs="Times New Roman"/>
                <w:color w:val="auto"/>
                <w:lang w:val="en-US" w:eastAsia="zh-CN"/>
              </w:rPr>
              <w:t>项目喷漆使用水性油漆的量约为</w:t>
            </w:r>
            <w:r>
              <w:rPr>
                <w:rFonts w:hint="eastAsia" w:cs="Times New Roman"/>
                <w:color w:val="auto"/>
                <w:lang w:val="en-US" w:eastAsia="zh-CN"/>
              </w:rPr>
              <w:t>13.56</w:t>
            </w:r>
            <w:r>
              <w:rPr>
                <w:rFonts w:hint="default" w:ascii="Times New Roman" w:hAnsi="Times New Roman" w:eastAsia="宋体" w:cs="Times New Roman"/>
                <w:color w:val="auto"/>
                <w:lang w:val="en-US" w:eastAsia="zh-CN"/>
              </w:rPr>
              <w:t>/a，总VOCs挥发含量为130.8g/l，则总VOCs的产生量为</w:t>
            </w:r>
            <w:r>
              <w:rPr>
                <w:rFonts w:hint="eastAsia" w:cs="Times New Roman"/>
                <w:color w:val="auto"/>
                <w:lang w:val="en-US" w:eastAsia="zh-CN"/>
              </w:rPr>
              <w:t>1.77</w:t>
            </w:r>
            <w:r>
              <w:rPr>
                <w:rFonts w:hint="default" w:ascii="Times New Roman" w:hAnsi="Times New Roman" w:eastAsia="宋体" w:cs="Times New Roman"/>
                <w:color w:val="auto"/>
                <w:lang w:val="en-US" w:eastAsia="zh-CN"/>
              </w:rPr>
              <w:t>t/a。</w:t>
            </w:r>
            <w:r>
              <w:rPr>
                <w:rFonts w:hint="default" w:ascii="Times New Roman" w:hAnsi="Times New Roman" w:eastAsia="宋体" w:cs="Times New Roman"/>
                <w:color w:val="auto"/>
                <w:highlight w:val="none"/>
                <w:lang w:val="en-US" w:eastAsia="zh-CN"/>
              </w:rPr>
              <w:t>本项目喷漆作业</w:t>
            </w:r>
            <w:r>
              <w:rPr>
                <w:rFonts w:hint="default" w:ascii="Times New Roman" w:hAnsi="Times New Roman" w:eastAsia="宋体" w:cs="Times New Roman"/>
                <w:color w:val="auto"/>
                <w:lang w:val="en-US" w:eastAsia="zh-CN"/>
              </w:rPr>
              <w:t>挥发性有机物</w:t>
            </w:r>
            <w:r>
              <w:rPr>
                <w:rFonts w:hint="default" w:ascii="Times New Roman" w:hAnsi="Times New Roman" w:eastAsia="宋体" w:cs="Times New Roman"/>
                <w:color w:val="auto"/>
                <w:highlight w:val="none"/>
                <w:lang w:val="en-US" w:eastAsia="zh-CN"/>
              </w:rPr>
              <w:t>主要来源于调漆、喷漆和烘干固化工序。参考《涂装工艺及车间设计手册》（傅邵燕）表38-20：该表并未对调漆间有机溶剂挥发量进行赋值，且无相关资料对调漆间挥发性有机物产生量进行统计，本项目暂定该环节有机物产生量占总产生量的5%。再者本项目并未设置专用的流平室，喷漆完后直接经传送带输送至烘干炉加热，故本项目烘干环节有机溶剂挥发量以30%计算（流平室20%+烘干室10%）。汇总后，本项目喷漆作业中各阶段有机溶剂挥发占比及</w:t>
            </w:r>
            <w:r>
              <w:rPr>
                <w:rFonts w:hint="default" w:ascii="Times New Roman" w:hAnsi="Times New Roman" w:eastAsia="宋体" w:cs="Times New Roman"/>
                <w:color w:val="auto"/>
                <w:lang w:val="en-US" w:eastAsia="zh-CN"/>
              </w:rPr>
              <w:t>挥发性有机物</w:t>
            </w:r>
            <w:r>
              <w:rPr>
                <w:rFonts w:hint="default" w:ascii="Times New Roman" w:hAnsi="Times New Roman" w:eastAsia="宋体" w:cs="Times New Roman"/>
                <w:color w:val="auto"/>
                <w:highlight w:val="none"/>
                <w:lang w:val="en-US" w:eastAsia="zh-CN"/>
              </w:rPr>
              <w:t>产生量具体见</w:t>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REF _Ref27805 \h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rPr>
              <w:t>表4- 3</w:t>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t>。</w:t>
            </w:r>
          </w:p>
          <w:p>
            <w:pPr>
              <w:pStyle w:val="8"/>
              <w:keepNext w:val="0"/>
              <w:keepLines w:val="0"/>
              <w:suppressLineNumbers w:val="0"/>
              <w:spacing w:beforeAutospacing="0" w:afterAutospacing="0"/>
              <w:ind w:left="0" w:right="0"/>
              <w:rPr>
                <w:rFonts w:hint="default" w:ascii="Times New Roman" w:hAnsi="Times New Roman" w:eastAsia="宋体" w:cs="Times New Roman"/>
                <w:color w:val="auto"/>
                <w:lang w:eastAsia="zh-CN"/>
              </w:rPr>
            </w:pPr>
            <w:bookmarkStart w:id="41" w:name="_Ref16374"/>
            <w:bookmarkStart w:id="42" w:name="_Ref27805"/>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w:t>
            </w:r>
            <w:r>
              <w:rPr>
                <w:rFonts w:hint="default" w:ascii="Times New Roman" w:hAnsi="Times New Roman" w:eastAsia="宋体" w:cs="Times New Roman"/>
                <w:color w:val="auto"/>
              </w:rPr>
              <w:fldChar w:fldCharType="end"/>
            </w:r>
            <w:bookmarkEnd w:id="41"/>
            <w:bookmarkEnd w:id="42"/>
            <w:r>
              <w:rPr>
                <w:rFonts w:hint="default" w:ascii="Times New Roman" w:hAnsi="Times New Roman" w:eastAsia="宋体" w:cs="Times New Roman"/>
                <w:color w:val="auto"/>
                <w:lang w:eastAsia="zh-CN"/>
              </w:rPr>
              <w:t>项目涂装过程有机溶剂产生比例及各工序产生VOCs量表</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20"/>
              <w:gridCol w:w="1153"/>
              <w:gridCol w:w="1153"/>
              <w:gridCol w:w="1153"/>
              <w:gridCol w:w="11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2473" w:type="pct"/>
                  <w:tcBorders>
                    <w:tl2br w:val="nil"/>
                    <w:tr2bl w:val="nil"/>
                  </w:tcBorders>
                  <w:noWrap w:val="0"/>
                  <w:vAlign w:val="center"/>
                  <mc:AlternateContent>
                    <mc:Choice Requires="wpsCustomData">
                      <wpsCustomData:diagonals>
                        <wpsCustomData:diagonal from="10000" to="30000">
                          <wpsCustomData:border w:val="single" w:color="auto" w:sz="12" w:space="0"/>
                        </wpsCustomData:diagonal>
                      </wpsCustomData:diagonals>
                    </mc:Choice>
                  </mc:AlternateContent>
                </w:tcPr>
                <w:p>
                  <w:pPr>
                    <w:pStyle w:val="44"/>
                    <w:keepNext w:val="0"/>
                    <w:keepLines w:val="0"/>
                    <w:suppressLineNumbers w:val="0"/>
                    <w:bidi w:val="0"/>
                    <w:spacing w:before="0" w:beforeAutospacing="0" w:after="0" w:afterAutospacing="0"/>
                    <w:ind w:right="0"/>
                    <mc:AlternateContent>
                      <mc:Choice Requires="wpsCustomData">
                        <wpsCustomData:diagonalParaType/>
                      </mc:Choice>
                    </mc:AlternateContent>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类别</w:t>
                  </w:r>
                </w:p>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工序</w:t>
                  </w:r>
                </w:p>
              </w:tc>
              <w:tc>
                <w:tcPr>
                  <w:tcW w:w="631" w:type="pct"/>
                  <w:tcBorders>
                    <w:tl2br w:val="nil"/>
                    <w:tr2bl w:val="nil"/>
                  </w:tcBorders>
                  <w:noWrap w:val="0"/>
                  <w:vAlign w:val="center"/>
                </w:tcPr>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调漆间</w:t>
                  </w:r>
                </w:p>
              </w:tc>
              <w:tc>
                <w:tcPr>
                  <w:tcW w:w="631" w:type="pct"/>
                  <w:tcBorders>
                    <w:tl2br w:val="nil"/>
                    <w:tr2bl w:val="nil"/>
                  </w:tcBorders>
                  <w:noWrap w:val="0"/>
                  <w:vAlign w:val="center"/>
                </w:tcPr>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喷漆柜</w:t>
                  </w:r>
                </w:p>
              </w:tc>
              <w:tc>
                <w:tcPr>
                  <w:tcW w:w="631" w:type="pct"/>
                  <w:tcBorders>
                    <w:tl2br w:val="nil"/>
                    <w:tr2bl w:val="nil"/>
                  </w:tcBorders>
                  <w:noWrap w:val="0"/>
                  <w:vAlign w:val="center"/>
                </w:tcPr>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烘干炉</w:t>
                  </w:r>
                </w:p>
              </w:tc>
              <w:tc>
                <w:tcPr>
                  <w:tcW w:w="631" w:type="pct"/>
                  <w:tcBorders>
                    <w:tl2br w:val="nil"/>
                    <w:tr2bl w:val="nil"/>
                  </w:tcBorders>
                  <w:noWrap w:val="0"/>
                  <w:vAlign w:val="center"/>
                </w:tcPr>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合计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73" w:type="pct"/>
                  <w:tcBorders>
                    <w:tl2br w:val="nil"/>
                    <w:tr2bl w:val="nil"/>
                  </w:tcBorders>
                  <w:noWrap w:val="0"/>
                  <w:vAlign w:val="center"/>
                </w:tcPr>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有机溶剂挥发占比（%）</w:t>
                  </w:r>
                </w:p>
              </w:tc>
              <w:tc>
                <w:tcPr>
                  <w:tcW w:w="631" w:type="pct"/>
                  <w:tcBorders>
                    <w:tl2br w:val="nil"/>
                    <w:tr2bl w:val="nil"/>
                  </w:tcBorders>
                  <w:noWrap w:val="0"/>
                  <w:vAlign w:val="center"/>
                </w:tcPr>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631" w:type="pct"/>
                  <w:tcBorders>
                    <w:tl2br w:val="nil"/>
                    <w:tr2bl w:val="nil"/>
                  </w:tcBorders>
                  <w:noWrap w:val="0"/>
                  <w:vAlign w:val="center"/>
                </w:tcPr>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p>
              </w:tc>
              <w:tc>
                <w:tcPr>
                  <w:tcW w:w="631" w:type="pct"/>
                  <w:tcBorders>
                    <w:tl2br w:val="nil"/>
                    <w:tr2bl w:val="nil"/>
                  </w:tcBorders>
                  <w:noWrap w:val="0"/>
                  <w:vAlign w:val="center"/>
                </w:tcPr>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w:t>
                  </w:r>
                </w:p>
              </w:tc>
              <w:tc>
                <w:tcPr>
                  <w:tcW w:w="631" w:type="pct"/>
                  <w:tcBorders>
                    <w:tl2br w:val="nil"/>
                    <w:tr2bl w:val="nil"/>
                  </w:tcBorders>
                  <w:noWrap w:val="0"/>
                  <w:vAlign w:val="center"/>
                </w:tcPr>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73" w:type="pct"/>
                  <w:tcBorders>
                    <w:tl2br w:val="nil"/>
                    <w:tr2bl w:val="nil"/>
                  </w:tcBorders>
                  <w:noWrap w:val="0"/>
                  <w:vAlign w:val="center"/>
                </w:tcPr>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有机溶剂挥发量（t/a）</w:t>
                  </w:r>
                </w:p>
              </w:tc>
              <w:tc>
                <w:tcPr>
                  <w:tcW w:w="631" w:type="pct"/>
                  <w:tcBorders>
                    <w:tl2br w:val="nil"/>
                    <w:tr2bl w:val="nil"/>
                  </w:tcBorders>
                  <w:noWrap w:val="0"/>
                  <w:vAlign w:val="center"/>
                </w:tcPr>
                <w:p>
                  <w:pPr>
                    <w:pStyle w:val="49"/>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0.089</w:t>
                  </w:r>
                </w:p>
              </w:tc>
              <w:tc>
                <w:tcPr>
                  <w:tcW w:w="631" w:type="pct"/>
                  <w:tcBorders>
                    <w:tl2br w:val="nil"/>
                    <w:tr2bl w:val="nil"/>
                  </w:tcBorders>
                  <w:noWrap w:val="0"/>
                  <w:vAlign w:val="center"/>
                </w:tcPr>
                <w:p>
                  <w:pPr>
                    <w:pStyle w:val="49"/>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1.150</w:t>
                  </w:r>
                </w:p>
              </w:tc>
              <w:tc>
                <w:tcPr>
                  <w:tcW w:w="631" w:type="pct"/>
                  <w:tcBorders>
                    <w:tl2br w:val="nil"/>
                    <w:tr2bl w:val="nil"/>
                  </w:tcBorders>
                  <w:noWrap w:val="0"/>
                  <w:vAlign w:val="center"/>
                </w:tcPr>
                <w:p>
                  <w:pPr>
                    <w:pStyle w:val="49"/>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0.531</w:t>
                  </w:r>
                </w:p>
              </w:tc>
              <w:tc>
                <w:tcPr>
                  <w:tcW w:w="631" w:type="pct"/>
                  <w:tcBorders>
                    <w:tl2br w:val="nil"/>
                    <w:tr2bl w:val="nil"/>
                  </w:tcBorders>
                  <w:noWrap w:val="0"/>
                  <w:vAlign w:val="center"/>
                </w:tcPr>
                <w:p>
                  <w:pPr>
                    <w:pStyle w:val="44"/>
                    <w:keepNext w:val="0"/>
                    <w:keepLines w:val="0"/>
                    <w:suppressLineNumbers w:val="0"/>
                    <w:bidi w:val="0"/>
                    <w:spacing w:before="0" w:beforeAutospacing="0" w:after="0" w:afterAutospacing="0"/>
                    <w:ind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1.770</w:t>
                  </w:r>
                </w:p>
              </w:tc>
            </w:tr>
          </w:tbl>
          <w:p>
            <w:pPr>
              <w:keepNext w:val="0"/>
              <w:keepLines w:val="0"/>
              <w:numPr>
                <w:ilvl w:val="0"/>
                <w:numId w:val="18"/>
              </w:numPr>
              <w:suppressLineNumbers w:val="0"/>
              <w:adjustRightInd w:val="0"/>
              <w:snapToGrid w:val="0"/>
              <w:spacing w:before="0" w:beforeAutospacing="0" w:after="0" w:afterAutospacing="0" w:line="360" w:lineRule="auto"/>
              <w:ind w:right="0" w:firstLine="397" w:firstLineChars="0"/>
              <w:rPr>
                <w:rFonts w:hint="default" w:ascii="Times New Roman" w:hAnsi="Times New Roman" w:eastAsia="宋体" w:cs="Times New Roman"/>
                <w:b/>
                <w:bCs/>
                <w:color w:val="auto"/>
                <w:sz w:val="24"/>
              </w:rPr>
            </w:pPr>
            <w:bookmarkStart w:id="43" w:name="_Ref28140"/>
            <w:bookmarkEnd w:id="43"/>
            <w:r>
              <w:rPr>
                <w:rFonts w:hint="default" w:ascii="Times New Roman" w:hAnsi="Times New Roman" w:eastAsia="宋体" w:cs="Times New Roman"/>
                <w:b/>
                <w:bCs/>
                <w:color w:val="auto"/>
                <w:sz w:val="24"/>
              </w:rPr>
              <w:t>废气收集方式及参数设计</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建设单位</w:t>
            </w:r>
            <w:r>
              <w:rPr>
                <w:rFonts w:hint="default" w:ascii="Times New Roman" w:hAnsi="Times New Roman" w:eastAsia="宋体" w:cs="Times New Roman"/>
                <w:color w:val="auto"/>
                <w:sz w:val="24"/>
                <w:lang w:val="en-US" w:eastAsia="zh-CN"/>
              </w:rPr>
              <w:t>喷砂机拟采用设备直连集气管收集产生的颗粒物；</w:t>
            </w:r>
            <w:r>
              <w:rPr>
                <w:rFonts w:hint="eastAsia" w:cs="Times New Roman"/>
                <w:color w:val="auto"/>
                <w:sz w:val="24"/>
                <w:lang w:val="en-US" w:eastAsia="zh-CN"/>
              </w:rPr>
              <w:t>粉末喷涂室密闭负压</w:t>
            </w:r>
            <w:r>
              <w:rPr>
                <w:rFonts w:hint="default" w:ascii="Times New Roman" w:hAnsi="Times New Roman" w:eastAsia="宋体" w:cs="Times New Roman"/>
                <w:color w:val="auto"/>
                <w:sz w:val="24"/>
                <w:lang w:val="en-US" w:eastAsia="zh-CN"/>
              </w:rPr>
              <w:t>收集产生的颗粒物，喷粉后的烘干炉采用设备直连集气管收集产生的有机废气；调漆采用集气罩收集产生的有机废气，喷漆采用水帘柜收集产生的颗粒物和有机废气，喷漆后的烘干炉采用设备直连集气管收集产生的有机废气。</w:t>
            </w:r>
            <w:r>
              <w:rPr>
                <w:rFonts w:hint="default" w:ascii="Times New Roman" w:hAnsi="Times New Roman" w:eastAsia="宋体" w:cs="Times New Roman"/>
                <w:color w:val="auto"/>
                <w:sz w:val="24"/>
              </w:rPr>
              <w:t>集气管风量根据《环境工程设计手册》（湖南科学技术出版社）计算，有边集气罩风量公式如下：</w:t>
            </w:r>
          </w:p>
          <w:p>
            <w:pPr>
              <w:keepNext w:val="0"/>
              <w:keepLines w:val="0"/>
              <w:suppressLineNumbers w:val="0"/>
              <w:autoSpaceDE w:val="0"/>
              <w:autoSpaceDN w:val="0"/>
              <w:adjustRightInd w:val="0"/>
              <w:spacing w:before="0" w:beforeAutospacing="0" w:after="0" w:afterAutospacing="0" w:line="360" w:lineRule="auto"/>
              <w:ind w:left="0" w:right="0" w:firstLine="420" w:firstLineChars="200"/>
              <w:jc w:val="center"/>
              <w:rPr>
                <w:rFonts w:hint="default" w:ascii="Times New Roman" w:hAnsi="Times New Roman" w:eastAsia="宋体" w:cs="Times New Roman"/>
                <w:color w:val="auto"/>
                <w:sz w:val="24"/>
              </w:rPr>
            </w:pPr>
            <m:oMathPara>
              <m:oMath>
                <m:r>
                  <m:rPr>
                    <m:sty m:val="p"/>
                  </m:rPr>
                  <w:rPr>
                    <w:rFonts w:hint="default" w:ascii="Cambria Math" w:hAnsi="Cambria Math" w:eastAsia="宋体" w:cs="Times New Roman"/>
                    <w:color w:val="auto"/>
                    <w:kern w:val="2"/>
                    <w:sz w:val="21"/>
                    <w:szCs w:val="24"/>
                    <w:lang w:val="en-US" w:eastAsia="zh-CN" w:bidi="ar-SA"/>
                  </w:rPr>
                  <m:t>L=(10</m:t>
                </m:r>
                <m:sSup>
                  <m:sSupPr>
                    <m:ctrlPr>
                      <w:rPr>
                        <w:rFonts w:hint="default" w:ascii="Cambria Math" w:hAnsi="Cambria Math" w:eastAsia="宋体" w:cs="Times New Roman"/>
                        <w:color w:val="auto"/>
                        <w:kern w:val="2"/>
                        <w:sz w:val="21"/>
                        <w:szCs w:val="24"/>
                        <w:lang w:val="en-US" w:eastAsia="zh-CN" w:bidi="ar-SA"/>
                      </w:rPr>
                    </m:ctrlPr>
                  </m:sSupPr>
                  <m:e>
                    <m:r>
                      <m:rPr>
                        <m:sty m:val="p"/>
                      </m:rPr>
                      <w:rPr>
                        <w:rFonts w:hint="default" w:ascii="Cambria Math" w:hAnsi="Cambria Math" w:eastAsia="宋体" w:cs="Times New Roman"/>
                        <w:color w:val="auto"/>
                        <w:kern w:val="2"/>
                        <w:sz w:val="21"/>
                        <w:szCs w:val="24"/>
                        <w:lang w:val="en-US" w:eastAsia="zh-CN" w:bidi="ar-SA"/>
                      </w:rPr>
                      <m:t>X</m:t>
                    </m:r>
                    <m:ctrlPr>
                      <w:rPr>
                        <w:rFonts w:hint="default" w:ascii="Cambria Math" w:hAnsi="Cambria Math" w:eastAsia="宋体" w:cs="Times New Roman"/>
                        <w:color w:val="auto"/>
                        <w:kern w:val="2"/>
                        <w:sz w:val="21"/>
                        <w:szCs w:val="24"/>
                        <w:lang w:val="en-US" w:eastAsia="zh-CN" w:bidi="ar-SA"/>
                      </w:rPr>
                    </m:ctrlPr>
                  </m:e>
                  <m:sup>
                    <m:r>
                      <m:rPr>
                        <m:sty m:val="p"/>
                      </m:rPr>
                      <w:rPr>
                        <w:rFonts w:hint="default" w:ascii="Cambria Math" w:hAnsi="Cambria Math" w:eastAsia="宋体" w:cs="Times New Roman"/>
                        <w:color w:val="auto"/>
                        <w:kern w:val="2"/>
                        <w:sz w:val="21"/>
                        <w:szCs w:val="24"/>
                        <w:lang w:val="en-US" w:eastAsia="zh-CN" w:bidi="ar-SA"/>
                      </w:rPr>
                      <m:t>2</m:t>
                    </m:r>
                    <m:ctrlPr>
                      <w:rPr>
                        <w:rFonts w:hint="default" w:ascii="Cambria Math" w:hAnsi="Cambria Math" w:eastAsia="宋体" w:cs="Times New Roman"/>
                        <w:color w:val="auto"/>
                        <w:kern w:val="2"/>
                        <w:sz w:val="21"/>
                        <w:szCs w:val="24"/>
                        <w:lang w:val="en-US" w:eastAsia="zh-CN" w:bidi="ar-SA"/>
                      </w:rPr>
                    </m:ctrlPr>
                  </m:sup>
                </m:sSup>
                <m:r>
                  <m:rPr>
                    <m:sty m:val="p"/>
                  </m:rPr>
                  <w:rPr>
                    <w:rFonts w:hint="default" w:ascii="Cambria Math" w:hAnsi="Cambria Math" w:eastAsia="宋体" w:cs="Times New Roman"/>
                    <w:color w:val="auto"/>
                    <w:kern w:val="2"/>
                    <w:sz w:val="21"/>
                    <w:szCs w:val="24"/>
                    <w:lang w:val="en-US" w:eastAsia="zh-CN" w:bidi="ar-SA"/>
                  </w:rPr>
                  <m:t>+F）</m:t>
                </m:r>
                <m:sSub>
                  <m:sSubPr>
                    <m:ctrlPr>
                      <w:rPr>
                        <w:rFonts w:hint="default" w:ascii="Cambria Math" w:hAnsi="Cambria Math" w:eastAsia="宋体" w:cs="Times New Roman"/>
                        <w:color w:val="auto"/>
                        <w:kern w:val="2"/>
                        <w:sz w:val="21"/>
                        <w:szCs w:val="24"/>
                        <w:lang w:val="en-US" w:eastAsia="zh-CN" w:bidi="ar-SA"/>
                      </w:rPr>
                    </m:ctrlPr>
                  </m:sSubPr>
                  <m:e>
                    <m:r>
                      <m:rPr>
                        <m:sty m:val="p"/>
                      </m:rPr>
                      <w:rPr>
                        <w:rFonts w:hint="default" w:ascii="Cambria Math" w:hAnsi="Cambria Math" w:eastAsia="宋体" w:cs="Times New Roman"/>
                        <w:color w:val="auto"/>
                        <w:kern w:val="2"/>
                        <w:sz w:val="21"/>
                        <w:szCs w:val="24"/>
                        <w:lang w:val="en-US" w:eastAsia="zh-CN" w:bidi="ar-SA"/>
                      </w:rPr>
                      <m:t>V</m:t>
                    </m:r>
                    <m:ctrlPr>
                      <w:rPr>
                        <w:rFonts w:hint="default" w:ascii="Cambria Math" w:hAnsi="Cambria Math" w:eastAsia="宋体" w:cs="Times New Roman"/>
                        <w:color w:val="auto"/>
                        <w:kern w:val="2"/>
                        <w:sz w:val="21"/>
                        <w:szCs w:val="24"/>
                        <w:lang w:val="en-US" w:eastAsia="zh-CN" w:bidi="ar-SA"/>
                      </w:rPr>
                    </m:ctrlPr>
                  </m:e>
                  <m:sub>
                    <m:r>
                      <m:rPr>
                        <m:sty m:val="p"/>
                      </m:rPr>
                      <w:rPr>
                        <w:rFonts w:hint="default" w:ascii="Cambria Math" w:hAnsi="Cambria Math" w:eastAsia="宋体" w:cs="Times New Roman"/>
                        <w:color w:val="auto"/>
                        <w:kern w:val="2"/>
                        <w:sz w:val="21"/>
                        <w:szCs w:val="24"/>
                        <w:lang w:val="en-US" w:eastAsia="zh-CN" w:bidi="ar-SA"/>
                      </w:rPr>
                      <m:t>r</m:t>
                    </m:r>
                    <m:ctrlPr>
                      <w:rPr>
                        <w:rFonts w:hint="default" w:ascii="Cambria Math" w:hAnsi="Cambria Math" w:eastAsia="宋体" w:cs="Times New Roman"/>
                        <w:color w:val="auto"/>
                        <w:kern w:val="2"/>
                        <w:sz w:val="21"/>
                        <w:szCs w:val="24"/>
                        <w:lang w:val="en-US" w:eastAsia="zh-CN" w:bidi="ar-SA"/>
                      </w:rPr>
                    </m:ctrlPr>
                  </m:sub>
                </m:sSub>
              </m:oMath>
            </m:oMathPara>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注：L--集气罩风量，m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s</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X--控制点至吸气口的距离，m；Vr</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控制点的吸入速度</w:t>
            </w:r>
            <w:r>
              <w:rPr>
                <w:rFonts w:hint="default" w:ascii="Times New Roman" w:hAnsi="Times New Roman" w:eastAsia="宋体" w:cs="Times New Roman"/>
                <w:color w:val="auto"/>
                <w:sz w:val="24"/>
              </w:rPr>
              <w:t>，m/s；F--</w:t>
            </w:r>
            <w:r>
              <w:rPr>
                <w:rFonts w:hint="default" w:ascii="Times New Roman" w:hAnsi="Times New Roman" w:eastAsia="宋体" w:cs="Times New Roman"/>
                <w:color w:val="auto"/>
                <w:sz w:val="24"/>
                <w:lang w:val="en-US" w:eastAsia="zh-CN"/>
              </w:rPr>
              <w:t>吸气口的</w:t>
            </w:r>
            <w:r>
              <w:rPr>
                <w:rFonts w:hint="default" w:ascii="Times New Roman" w:hAnsi="Times New Roman" w:eastAsia="宋体" w:cs="Times New Roman"/>
                <w:color w:val="auto"/>
                <w:sz w:val="24"/>
              </w:rPr>
              <w:t>面积，㎡。</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集气管：</w:t>
            </w:r>
          </w:p>
          <w:p>
            <w:pPr>
              <w:keepNext w:val="0"/>
              <w:keepLines w:val="0"/>
              <w:suppressLineNumbers w:val="0"/>
              <w:spacing w:before="0" w:beforeAutospacing="0" w:after="0" w:afterAutospacing="0" w:line="360" w:lineRule="auto"/>
              <w:ind w:left="0" w:right="0" w:firstLine="42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L=3600×（π/4）×D</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×V</w:t>
            </w:r>
          </w:p>
          <w:p>
            <w:pPr>
              <w:pStyle w:val="36"/>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注：L--集气管风量，m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/h；D--风管直径；V--断面平均风速，设为3m/s。</w:t>
            </w:r>
          </w:p>
          <w:p>
            <w:pPr>
              <w:keepNext w:val="0"/>
              <w:keepLines w:val="0"/>
              <w:suppressLineNumbers w:val="0"/>
              <w:autoSpaceDE w:val="0"/>
              <w:autoSpaceDN w:val="0"/>
              <w:adjustRightInd w:val="0"/>
              <w:spacing w:before="0" w:beforeAutospacing="0" w:after="0" w:afterAutospacing="0" w:line="360" w:lineRule="auto"/>
              <w:ind w:left="0" w:right="0" w:firstLine="482" w:firstLineChars="200"/>
              <w:jc w:val="left"/>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val="en-US" w:eastAsia="zh-CN"/>
              </w:rPr>
              <w:t>项目</w:t>
            </w:r>
            <w:r>
              <w:rPr>
                <w:rFonts w:hint="default" w:ascii="Times New Roman" w:hAnsi="Times New Roman" w:eastAsia="宋体" w:cs="Times New Roman"/>
                <w:b/>
                <w:bCs/>
                <w:color w:val="auto"/>
                <w:sz w:val="24"/>
              </w:rPr>
              <w:t>收集风量</w:t>
            </w:r>
            <w:r>
              <w:rPr>
                <w:rFonts w:hint="default" w:ascii="Times New Roman" w:hAnsi="Times New Roman" w:eastAsia="宋体" w:cs="Times New Roman"/>
                <w:b/>
                <w:bCs/>
                <w:color w:val="auto"/>
                <w:sz w:val="24"/>
                <w:lang w:val="en-US" w:eastAsia="zh-CN"/>
              </w:rPr>
              <w:t>和收集效率</w:t>
            </w:r>
            <w:r>
              <w:rPr>
                <w:rFonts w:hint="default" w:ascii="Times New Roman" w:hAnsi="Times New Roman" w:eastAsia="宋体" w:cs="Times New Roman"/>
                <w:b/>
                <w:bCs/>
                <w:color w:val="auto"/>
                <w:sz w:val="24"/>
              </w:rPr>
              <w:t>：</w:t>
            </w:r>
          </w:p>
          <w:p>
            <w:pPr>
              <w:keepNext w:val="0"/>
              <w:keepLines w:val="0"/>
              <w:numPr>
                <w:ilvl w:val="0"/>
                <w:numId w:val="19"/>
              </w:numPr>
              <w:suppressLineNumbers w:val="0"/>
              <w:autoSpaceDE w:val="0"/>
              <w:autoSpaceDN w:val="0"/>
              <w:adjustRightInd w:val="0"/>
              <w:spacing w:before="0" w:beforeAutospacing="0" w:after="0" w:afterAutospacing="0" w:line="360" w:lineRule="auto"/>
              <w:ind w:right="0" w:firstLine="480" w:firstLineChars="200"/>
              <w:jc w:val="both"/>
              <w:rPr>
                <w:rFonts w:hint="default" w:ascii="Times New Roman" w:hAnsi="Times New Roman" w:eastAsia="宋体" w:cs="Times New Roman"/>
                <w:color w:val="auto"/>
                <w:sz w:val="24"/>
              </w:rPr>
            </w:pPr>
            <w:r>
              <w:rPr>
                <w:rFonts w:hint="eastAsia" w:cs="Times New Roman"/>
                <w:color w:val="auto"/>
                <w:sz w:val="24"/>
                <w:lang w:val="en-US" w:eastAsia="zh-CN"/>
              </w:rPr>
              <w:t>项目</w:t>
            </w:r>
            <w:r>
              <w:rPr>
                <w:rFonts w:hint="default" w:ascii="Times New Roman" w:hAnsi="Times New Roman" w:eastAsia="宋体" w:cs="Times New Roman"/>
                <w:color w:val="auto"/>
                <w:sz w:val="24"/>
                <w:lang w:val="en-US" w:eastAsia="zh-CN"/>
              </w:rPr>
              <w:t>喷砂机采用设备直连管道收集废气，</w:t>
            </w:r>
            <w:r>
              <w:rPr>
                <w:rFonts w:hint="default" w:ascii="Times New Roman" w:hAnsi="Times New Roman" w:eastAsia="宋体" w:cs="Times New Roman"/>
                <w:color w:val="auto"/>
                <w:sz w:val="24"/>
              </w:rPr>
              <w:t>项目共有</w:t>
            </w:r>
            <w:r>
              <w:rPr>
                <w:rFonts w:hint="default" w:ascii="Times New Roman" w:hAnsi="Times New Roman" w:eastAsia="宋体" w:cs="Times New Roman"/>
                <w:color w:val="auto"/>
                <w:sz w:val="24"/>
                <w:lang w:val="en-US" w:eastAsia="zh-CN"/>
              </w:rPr>
              <w:t>2台</w:t>
            </w:r>
            <w:r>
              <w:rPr>
                <w:rFonts w:hint="default" w:ascii="Times New Roman" w:hAnsi="Times New Roman" w:eastAsia="宋体" w:cs="Times New Roman"/>
                <w:color w:val="auto"/>
                <w:sz w:val="24"/>
              </w:rPr>
              <w:t>喷砂机</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每台喷砂机安装集气管，管风管直径为30cm，计算的喷砂机集气管风量为764m³/h，则计算得</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台喷砂机总计风量为</w:t>
            </w:r>
            <w:r>
              <w:rPr>
                <w:rFonts w:hint="default" w:ascii="Times New Roman" w:hAnsi="Times New Roman" w:eastAsia="宋体" w:cs="Times New Roman"/>
                <w:color w:val="auto"/>
                <w:sz w:val="24"/>
                <w:lang w:val="en-US" w:eastAsia="zh-CN"/>
              </w:rPr>
              <w:t>1528</w:t>
            </w:r>
            <w:r>
              <w:rPr>
                <w:rFonts w:hint="default" w:ascii="Times New Roman" w:hAnsi="Times New Roman" w:eastAsia="宋体" w:cs="Times New Roman"/>
                <w:color w:val="auto"/>
                <w:sz w:val="24"/>
              </w:rPr>
              <w:t>m³/h。</w:t>
            </w:r>
          </w:p>
          <w:p>
            <w:pPr>
              <w:keepNext w:val="0"/>
              <w:keepLines w:val="0"/>
              <w:widowControl w:val="0"/>
              <w:numPr>
                <w:ilvl w:val="0"/>
                <w:numId w:val="19"/>
              </w:numPr>
              <w:suppressLineNumbers w:val="0"/>
              <w:adjustRightInd w:val="0"/>
              <w:snapToGrid w:val="0"/>
              <w:spacing w:before="0" w:beforeAutospacing="0" w:after="0" w:afterAutospacing="0" w:line="360" w:lineRule="auto"/>
              <w:ind w:left="0" w:leftChars="0" w:right="0" w:firstLine="480" w:firstLineChars="200"/>
              <w:jc w:val="both"/>
              <w:rPr>
                <w:rFonts w:hint="default" w:ascii="Times New Roman" w:hAnsi="Times New Roman" w:eastAsia="宋体" w:cs="Times New Roman"/>
                <w:color w:val="auto"/>
                <w:sz w:val="24"/>
                <w:lang w:val="en-US" w:eastAsia="zh-CN"/>
              </w:rPr>
            </w:pPr>
            <w:bookmarkStart w:id="44" w:name="废气收集效率"/>
            <w:r>
              <w:rPr>
                <w:rFonts w:hint="eastAsia" w:cs="Times New Roman"/>
                <w:color w:val="auto"/>
                <w:sz w:val="24"/>
                <w:lang w:val="en-US" w:eastAsia="zh-CN"/>
              </w:rPr>
              <w:t>项目粉末喷粉室通过密闭负压车间</w:t>
            </w:r>
            <w:r>
              <w:rPr>
                <w:rFonts w:hint="default" w:ascii="Times New Roman" w:hAnsi="Times New Roman" w:eastAsia="宋体" w:cs="Times New Roman"/>
                <w:color w:val="auto"/>
                <w:sz w:val="24"/>
                <w:lang w:val="en-US" w:eastAsia="zh-CN"/>
              </w:rPr>
              <w:t>收集喷粉产生的颗粒物</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项目共有7条喷粉线，共有7个配套</w:t>
            </w:r>
            <w:r>
              <w:rPr>
                <w:rFonts w:hint="eastAsia" w:cs="Times New Roman"/>
                <w:color w:val="auto"/>
                <w:sz w:val="24"/>
                <w:lang w:val="en-US" w:eastAsia="zh-CN"/>
              </w:rPr>
              <w:t>粉末喷粉室通</w:t>
            </w:r>
            <w:r>
              <w:rPr>
                <w:rFonts w:hint="default" w:ascii="Times New Roman" w:hAnsi="Times New Roman" w:eastAsia="宋体" w:cs="Times New Roman"/>
                <w:color w:val="auto"/>
                <w:sz w:val="24"/>
                <w:lang w:val="en-US" w:eastAsia="zh-CN"/>
              </w:rPr>
              <w:t>，喷粉间尺寸均为长6m</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宽2m</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高2.5m</w:t>
            </w:r>
            <w:r>
              <w:rPr>
                <w:rFonts w:hint="eastAsia" w:cs="Times New Roman"/>
                <w:color w:val="auto"/>
                <w:sz w:val="24"/>
                <w:lang w:val="en-US" w:eastAsia="zh-CN"/>
              </w:rPr>
              <w:t>。粉末喷粉室</w:t>
            </w:r>
            <w:r>
              <w:rPr>
                <w:rFonts w:hint="default" w:ascii="Times New Roman" w:hAnsi="Times New Roman" w:eastAsia="宋体" w:cs="Times New Roman"/>
                <w:color w:val="auto"/>
                <w:sz w:val="24"/>
                <w:szCs w:val="24"/>
              </w:rPr>
              <w:t>除预留工件进、出口外，其余四面均密闭，通过大风量抽吸，工件进、出口处可保持微负压状态。</w:t>
            </w:r>
            <w:r>
              <w:rPr>
                <w:rFonts w:hint="default" w:ascii="Times New Roman" w:hAnsi="Times New Roman" w:eastAsia="宋体" w:cs="Times New Roman"/>
                <w:color w:val="auto"/>
                <w:sz w:val="24"/>
                <w:lang w:val="en-US" w:eastAsia="zh-CN"/>
              </w:rPr>
              <w:t>参考《三废处理工程技术手册废气卷》中“第十七章 表17-1每小时各种场所换气次数”中涂装室换气次数为20次/ h,为保证收集效率，故本项目换气次数取30次。</w:t>
            </w:r>
          </w:p>
          <w:p>
            <w:pPr>
              <w:pStyle w:val="8"/>
              <w:keepNext w:val="0"/>
              <w:keepLines w:val="0"/>
              <w:widowControl w:val="0"/>
              <w:suppressLineNumbers w:val="0"/>
              <w:adjustRightInd w:val="0"/>
              <w:snapToGrid w:val="0"/>
              <w:spacing w:before="0" w:beforeAutospacing="0" w:after="0" w:afterAutospacing="0" w:line="360" w:lineRule="auto"/>
              <w:ind w:left="0" w:right="0" w:firstLine="482" w:firstLineChars="200"/>
              <w:jc w:val="center"/>
              <w:rPr>
                <w:rFonts w:hint="default" w:ascii="Times New Roman" w:hAnsi="Times New Roman" w:eastAsia="宋体" w:cs="Times New Roman"/>
                <w:color w:val="auto"/>
              </w:rPr>
            </w:pPr>
          </w:p>
          <w:p>
            <w:pPr>
              <w:pStyle w:val="8"/>
              <w:keepNext w:val="0"/>
              <w:keepLines w:val="0"/>
              <w:widowControl w:val="0"/>
              <w:suppressLineNumbers w:val="0"/>
              <w:adjustRightInd w:val="0"/>
              <w:snapToGrid w:val="0"/>
              <w:spacing w:before="0" w:beforeAutospacing="0" w:after="0" w:afterAutospacing="0" w:line="360" w:lineRule="auto"/>
              <w:ind w:left="0" w:right="0" w:firstLine="482" w:firstLineChars="200"/>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sz w:val="24"/>
                <w:lang w:val="en-US" w:eastAsia="zh-CN"/>
              </w:rPr>
              <w:t>喷粉工序风量核算表</w:t>
            </w:r>
          </w:p>
          <w:tbl>
            <w:tblPr>
              <w:tblStyle w:val="27"/>
              <w:tblW w:w="4996"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79"/>
              <w:gridCol w:w="1710"/>
              <w:gridCol w:w="1483"/>
              <w:gridCol w:w="1483"/>
              <w:gridCol w:w="1490"/>
              <w:gridCol w:w="14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10" w:type="pct"/>
                  <w:tcBorders>
                    <w:tl2br w:val="nil"/>
                    <w:tr2bl w:val="nil"/>
                  </w:tcBorders>
                  <w:vAlign w:val="top"/>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设备名称</w:t>
                  </w:r>
                </w:p>
              </w:tc>
              <w:tc>
                <w:tcPr>
                  <w:tcW w:w="936"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尺寸</w:t>
                  </w:r>
                </w:p>
              </w:tc>
              <w:tc>
                <w:tcPr>
                  <w:tcW w:w="812"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容积（m³）</w:t>
                  </w:r>
                </w:p>
              </w:tc>
              <w:tc>
                <w:tcPr>
                  <w:tcW w:w="812"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数量（个）</w:t>
                  </w:r>
                </w:p>
              </w:tc>
              <w:tc>
                <w:tcPr>
                  <w:tcW w:w="814"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换气次数（次/ h）</w:t>
                  </w:r>
                </w:p>
              </w:tc>
              <w:tc>
                <w:tcPr>
                  <w:tcW w:w="813"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风量（</w:t>
                  </w:r>
                  <w:r>
                    <w:rPr>
                      <w:rFonts w:hint="default" w:ascii="Times New Roman" w:hAnsi="Times New Roman" w:eastAsia="宋体" w:cs="Times New Roman"/>
                      <w:b/>
                      <w:bCs/>
                      <w:color w:val="auto"/>
                    </w:rPr>
                    <w:t>m³/h</w:t>
                  </w:r>
                  <w:r>
                    <w:rPr>
                      <w:rFonts w:hint="default" w:ascii="Times New Roman" w:hAnsi="Times New Roman" w:eastAsia="宋体" w:cs="Times New Roman"/>
                      <w:b/>
                      <w:bCs/>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10"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喷粉间</w:t>
                  </w:r>
                </w:p>
              </w:tc>
              <w:tc>
                <w:tcPr>
                  <w:tcW w:w="936"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6m</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2m</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2.5m</w:t>
                  </w:r>
                </w:p>
              </w:tc>
              <w:tc>
                <w:tcPr>
                  <w:tcW w:w="812"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c>
                <w:tcPr>
                  <w:tcW w:w="812"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w:t>
                  </w:r>
                </w:p>
              </w:tc>
              <w:tc>
                <w:tcPr>
                  <w:tcW w:w="814"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w:t>
                  </w:r>
                </w:p>
              </w:tc>
              <w:tc>
                <w:tcPr>
                  <w:tcW w:w="813"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186" w:type="pct"/>
                  <w:gridSpan w:val="5"/>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合计</w:t>
                  </w:r>
                </w:p>
              </w:tc>
              <w:tc>
                <w:tcPr>
                  <w:tcW w:w="813" w:type="pct"/>
                  <w:tcBorders>
                    <w:tl2br w:val="nil"/>
                    <w:tr2bl w:val="nil"/>
                  </w:tcBorders>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6300</w:t>
                  </w:r>
                </w:p>
              </w:tc>
            </w:tr>
          </w:tbl>
          <w:p>
            <w:pPr>
              <w:keepNext w:val="0"/>
              <w:keepLines w:val="0"/>
              <w:numPr>
                <w:ilvl w:val="0"/>
                <w:numId w:val="19"/>
              </w:numPr>
              <w:suppressLineNumbers w:val="0"/>
              <w:autoSpaceDE w:val="0"/>
              <w:autoSpaceDN w:val="0"/>
              <w:adjustRightInd w:val="0"/>
              <w:spacing w:before="0" w:beforeAutospacing="0" w:after="0" w:afterAutospacing="0" w:line="360" w:lineRule="auto"/>
              <w:ind w:right="0" w:firstLine="480" w:firstLineChars="200"/>
              <w:jc w:val="both"/>
              <w:rPr>
                <w:rFonts w:hint="default" w:ascii="Times New Roman" w:hAnsi="Times New Roman" w:eastAsia="宋体" w:cs="Times New Roman"/>
                <w:color w:val="auto"/>
                <w:sz w:val="24"/>
              </w:rPr>
            </w:pPr>
            <w:r>
              <w:rPr>
                <w:rFonts w:hint="eastAsia" w:cs="Times New Roman"/>
                <w:color w:val="auto"/>
                <w:sz w:val="24"/>
                <w:lang w:val="en-US" w:eastAsia="zh-CN"/>
              </w:rPr>
              <w:t>项目</w:t>
            </w:r>
            <w:r>
              <w:rPr>
                <w:rStyle w:val="96"/>
                <w:rFonts w:hint="default" w:ascii="Times New Roman" w:hAnsi="Times New Roman" w:eastAsia="宋体" w:cs="Times New Roman"/>
                <w:color w:val="auto"/>
                <w:lang w:val="en-US" w:eastAsia="zh-CN"/>
              </w:rPr>
              <w:t>喷粉后的工件需要由喷粉线中的</w:t>
            </w:r>
            <w:r>
              <w:rPr>
                <w:rStyle w:val="96"/>
                <w:rFonts w:hint="eastAsia" w:cs="Times New Roman"/>
                <w:color w:val="auto"/>
                <w:lang w:val="en-US" w:eastAsia="zh-CN"/>
              </w:rPr>
              <w:t>喷粉</w:t>
            </w:r>
            <w:r>
              <w:rPr>
                <w:rStyle w:val="96"/>
                <w:rFonts w:hint="default" w:ascii="Times New Roman" w:hAnsi="Times New Roman" w:eastAsia="宋体" w:cs="Times New Roman"/>
                <w:color w:val="auto"/>
                <w:lang w:val="en-US" w:eastAsia="zh-CN"/>
              </w:rPr>
              <w:t>烘干炉和</w:t>
            </w:r>
            <w:r>
              <w:rPr>
                <w:rStyle w:val="96"/>
                <w:rFonts w:hint="eastAsia" w:cs="Times New Roman"/>
                <w:color w:val="auto"/>
                <w:lang w:val="en-US" w:eastAsia="zh-CN"/>
              </w:rPr>
              <w:t>烤箱</w:t>
            </w:r>
            <w:r>
              <w:rPr>
                <w:rStyle w:val="96"/>
                <w:rFonts w:hint="default" w:ascii="Times New Roman" w:hAnsi="Times New Roman" w:eastAsia="宋体" w:cs="Times New Roman"/>
                <w:color w:val="auto"/>
                <w:lang w:val="en-US" w:eastAsia="zh-CN"/>
              </w:rPr>
              <w:t>进行加热固化。</w:t>
            </w:r>
            <w:r>
              <w:rPr>
                <w:rFonts w:hint="default" w:ascii="Times New Roman" w:hAnsi="Times New Roman" w:eastAsia="宋体" w:cs="Times New Roman"/>
                <w:color w:val="auto"/>
                <w:sz w:val="24"/>
                <w:lang w:val="en-US" w:eastAsia="zh-CN"/>
              </w:rPr>
              <w:t>喷粉线的烘干炉和</w:t>
            </w:r>
            <w:r>
              <w:rPr>
                <w:rFonts w:hint="eastAsia" w:cs="Times New Roman"/>
                <w:color w:val="auto"/>
                <w:sz w:val="24"/>
                <w:lang w:val="en-US" w:eastAsia="zh-CN"/>
              </w:rPr>
              <w:t>烤箱</w:t>
            </w:r>
            <w:r>
              <w:rPr>
                <w:rFonts w:hint="default" w:ascii="Times New Roman" w:hAnsi="Times New Roman" w:eastAsia="宋体" w:cs="Times New Roman"/>
                <w:color w:val="auto"/>
                <w:sz w:val="24"/>
                <w:lang w:val="en-US" w:eastAsia="zh-CN"/>
              </w:rPr>
              <w:t>通过设备直连管道收集废气，项目共有7条喷粉线，共有7个烘干炉，烘干炉尺寸均为长35m</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宽2m</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高2.5m，另有1台</w:t>
            </w:r>
            <w:r>
              <w:rPr>
                <w:rFonts w:hint="eastAsia" w:cs="Times New Roman"/>
                <w:color w:val="auto"/>
                <w:sz w:val="24"/>
                <w:lang w:val="en-US" w:eastAsia="zh-CN"/>
              </w:rPr>
              <w:t>烤箱</w:t>
            </w:r>
            <w:r>
              <w:rPr>
                <w:rFonts w:hint="default" w:ascii="Times New Roman" w:hAnsi="Times New Roman" w:eastAsia="宋体" w:cs="Times New Roman"/>
                <w:color w:val="auto"/>
                <w:sz w:val="24"/>
                <w:lang w:val="en-US" w:eastAsia="zh-CN"/>
              </w:rPr>
              <w:t>，</w:t>
            </w:r>
            <w:r>
              <w:rPr>
                <w:rFonts w:hint="eastAsia" w:cs="Times New Roman"/>
                <w:color w:val="auto"/>
                <w:sz w:val="24"/>
                <w:lang w:val="en-US" w:eastAsia="zh-CN"/>
              </w:rPr>
              <w:t>烤箱</w:t>
            </w:r>
            <w:r>
              <w:rPr>
                <w:rFonts w:hint="default" w:ascii="Times New Roman" w:hAnsi="Times New Roman" w:eastAsia="宋体" w:cs="Times New Roman"/>
                <w:color w:val="auto"/>
                <w:sz w:val="24"/>
                <w:lang w:val="en-US" w:eastAsia="zh-CN"/>
              </w:rPr>
              <w:t>尺寸为6m×2.5m×3m。换气次数参照《工业建筑供暖通风与空气调节设计规范》（GB50019-2015）中要求，每小时以12次计，计算得单个烘干炉的集气风量为2100</w:t>
            </w:r>
            <w:r>
              <w:rPr>
                <w:rFonts w:hint="default" w:ascii="Times New Roman" w:hAnsi="Times New Roman" w:eastAsia="宋体" w:cs="Times New Roman"/>
                <w:snapToGrid/>
                <w:color w:val="auto"/>
                <w:kern w:val="2"/>
                <w:sz w:val="24"/>
                <w:szCs w:val="24"/>
                <w:lang w:val="en-US" w:eastAsia="zh-CN" w:bidi="ar"/>
              </w:rPr>
              <w:t>m</w:t>
            </w:r>
            <w:r>
              <w:rPr>
                <w:rFonts w:hint="default" w:ascii="Times New Roman" w:hAnsi="Times New Roman" w:eastAsia="宋体" w:cs="Times New Roman"/>
                <w:snapToGrid/>
                <w:color w:val="auto"/>
                <w:kern w:val="2"/>
                <w:sz w:val="24"/>
                <w:szCs w:val="24"/>
                <w:vertAlign w:val="superscript"/>
                <w:lang w:val="en-US" w:eastAsia="zh-CN" w:bidi="ar"/>
              </w:rPr>
              <w:t>3</w:t>
            </w:r>
            <w:r>
              <w:rPr>
                <w:rFonts w:hint="default" w:ascii="Times New Roman" w:hAnsi="Times New Roman" w:eastAsia="宋体" w:cs="Times New Roman"/>
                <w:snapToGrid/>
                <w:color w:val="auto"/>
                <w:kern w:val="2"/>
                <w:sz w:val="24"/>
                <w:szCs w:val="24"/>
                <w:lang w:val="en-US" w:eastAsia="zh-CN" w:bidi="ar"/>
              </w:rPr>
              <w:t>/h，单台</w:t>
            </w:r>
            <w:r>
              <w:rPr>
                <w:rFonts w:hint="eastAsia" w:cs="Times New Roman"/>
                <w:snapToGrid/>
                <w:color w:val="auto"/>
                <w:kern w:val="2"/>
                <w:sz w:val="24"/>
                <w:szCs w:val="24"/>
                <w:lang w:val="en-US" w:eastAsia="zh-CN" w:bidi="ar"/>
              </w:rPr>
              <w:t>烤箱</w:t>
            </w:r>
            <w:r>
              <w:rPr>
                <w:rFonts w:hint="default" w:ascii="Times New Roman" w:hAnsi="Times New Roman" w:eastAsia="宋体" w:cs="Times New Roman"/>
                <w:snapToGrid/>
                <w:color w:val="auto"/>
                <w:kern w:val="2"/>
                <w:sz w:val="24"/>
                <w:szCs w:val="24"/>
                <w:lang w:val="en-US" w:eastAsia="zh-CN" w:bidi="ar"/>
              </w:rPr>
              <w:t>的集气风量为540m</w:t>
            </w:r>
            <w:r>
              <w:rPr>
                <w:rFonts w:hint="default" w:ascii="Times New Roman" w:hAnsi="Times New Roman" w:eastAsia="宋体" w:cs="Times New Roman"/>
                <w:snapToGrid/>
                <w:color w:val="auto"/>
                <w:kern w:val="2"/>
                <w:sz w:val="24"/>
                <w:szCs w:val="24"/>
                <w:vertAlign w:val="superscript"/>
                <w:lang w:val="en-US" w:eastAsia="zh-CN" w:bidi="ar"/>
              </w:rPr>
              <w:t>3</w:t>
            </w:r>
            <w:r>
              <w:rPr>
                <w:rFonts w:hint="default" w:ascii="Times New Roman" w:hAnsi="Times New Roman" w:eastAsia="宋体" w:cs="Times New Roman"/>
                <w:snapToGrid/>
                <w:color w:val="auto"/>
                <w:kern w:val="2"/>
                <w:sz w:val="24"/>
                <w:szCs w:val="24"/>
                <w:lang w:val="en-US" w:eastAsia="zh-CN" w:bidi="ar"/>
              </w:rPr>
              <w:t>/h，则7台喷粉烘干炉和1台</w:t>
            </w:r>
            <w:r>
              <w:rPr>
                <w:rFonts w:hint="eastAsia" w:cs="Times New Roman"/>
                <w:snapToGrid/>
                <w:color w:val="auto"/>
                <w:kern w:val="2"/>
                <w:sz w:val="24"/>
                <w:szCs w:val="24"/>
                <w:lang w:val="en-US" w:eastAsia="zh-CN" w:bidi="ar"/>
              </w:rPr>
              <w:t>烤箱</w:t>
            </w:r>
            <w:r>
              <w:rPr>
                <w:rFonts w:hint="default" w:ascii="Times New Roman" w:hAnsi="Times New Roman" w:eastAsia="宋体" w:cs="Times New Roman"/>
                <w:snapToGrid/>
                <w:color w:val="auto"/>
                <w:kern w:val="2"/>
                <w:sz w:val="24"/>
                <w:szCs w:val="24"/>
                <w:lang w:val="en-US" w:eastAsia="zh-CN" w:bidi="ar"/>
              </w:rPr>
              <w:t>的总风量为15240m</w:t>
            </w:r>
            <w:r>
              <w:rPr>
                <w:rFonts w:hint="default" w:ascii="Times New Roman" w:hAnsi="Times New Roman" w:eastAsia="宋体" w:cs="Times New Roman"/>
                <w:snapToGrid/>
                <w:color w:val="auto"/>
                <w:kern w:val="2"/>
                <w:sz w:val="24"/>
                <w:szCs w:val="24"/>
                <w:vertAlign w:val="superscript"/>
                <w:lang w:val="en-US" w:eastAsia="zh-CN" w:bidi="ar"/>
              </w:rPr>
              <w:t>3</w:t>
            </w:r>
            <w:r>
              <w:rPr>
                <w:rFonts w:hint="default" w:ascii="Times New Roman" w:hAnsi="Times New Roman" w:eastAsia="宋体" w:cs="Times New Roman"/>
                <w:snapToGrid/>
                <w:color w:val="auto"/>
                <w:kern w:val="2"/>
                <w:sz w:val="24"/>
                <w:szCs w:val="24"/>
                <w:lang w:val="en-US" w:eastAsia="zh-CN" w:bidi="ar"/>
              </w:rPr>
              <w:t>/h。</w:t>
            </w:r>
          </w:p>
          <w:p>
            <w:pPr>
              <w:keepNext w:val="0"/>
              <w:keepLines w:val="0"/>
              <w:numPr>
                <w:ilvl w:val="0"/>
                <w:numId w:val="19"/>
              </w:numPr>
              <w:suppressLineNumbers w:val="0"/>
              <w:autoSpaceDE w:val="0"/>
              <w:autoSpaceDN w:val="0"/>
              <w:adjustRightInd w:val="0"/>
              <w:spacing w:before="0" w:beforeAutospacing="0" w:after="0" w:afterAutospacing="0" w:line="360" w:lineRule="auto"/>
              <w:ind w:right="0" w:firstLine="480" w:firstLineChars="200"/>
              <w:jc w:val="left"/>
              <w:rPr>
                <w:rFonts w:hint="default" w:ascii="Times New Roman" w:hAnsi="Times New Roman" w:eastAsia="宋体" w:cs="Times New Roman"/>
                <w:color w:val="auto"/>
                <w:sz w:val="24"/>
              </w:rPr>
            </w:pPr>
            <w:r>
              <w:rPr>
                <w:rFonts w:hint="eastAsia" w:cs="Times New Roman"/>
                <w:color w:val="auto"/>
                <w:sz w:val="24"/>
                <w:lang w:val="en-US" w:eastAsia="zh-CN"/>
              </w:rPr>
              <w:t>项目</w:t>
            </w:r>
            <w:r>
              <w:rPr>
                <w:rFonts w:hint="default" w:ascii="Times New Roman" w:hAnsi="Times New Roman" w:eastAsia="宋体" w:cs="Times New Roman"/>
                <w:b w:val="0"/>
                <w:bCs/>
                <w:color w:val="auto"/>
                <w:spacing w:val="0"/>
                <w:kern w:val="2"/>
                <w:sz w:val="24"/>
                <w:szCs w:val="24"/>
                <w:lang w:val="en-US" w:eastAsia="zh-CN"/>
              </w:rPr>
              <w:t>喷漆线中的调漆工位通过集气罩收集调漆废气，</w:t>
            </w:r>
            <w:r>
              <w:rPr>
                <w:rFonts w:hint="default" w:ascii="Times New Roman" w:hAnsi="Times New Roman" w:eastAsia="宋体" w:cs="Times New Roman"/>
                <w:color w:val="auto"/>
                <w:sz w:val="24"/>
              </w:rPr>
              <w:t>并通过软质垂帘将四周围挡（偶有部分敞开），控制敞开面风速不小于0.5m/s</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项目设有2个调漆工位，</w:t>
            </w:r>
            <w:r>
              <w:rPr>
                <w:rFonts w:hint="default" w:ascii="Times New Roman" w:hAnsi="Times New Roman" w:eastAsia="宋体" w:cs="Times New Roman"/>
                <w:color w:val="auto"/>
                <w:sz w:val="24"/>
              </w:rPr>
              <w:t>每个</w:t>
            </w:r>
            <w:r>
              <w:rPr>
                <w:rFonts w:hint="default" w:ascii="Times New Roman" w:hAnsi="Times New Roman" w:eastAsia="宋体" w:cs="Times New Roman"/>
                <w:color w:val="auto"/>
                <w:sz w:val="24"/>
                <w:lang w:val="en-US" w:eastAsia="zh-CN"/>
              </w:rPr>
              <w:t>调漆</w:t>
            </w:r>
            <w:r>
              <w:rPr>
                <w:rFonts w:hint="default" w:ascii="Times New Roman" w:hAnsi="Times New Roman" w:eastAsia="宋体" w:cs="Times New Roman"/>
                <w:color w:val="auto"/>
                <w:sz w:val="24"/>
              </w:rPr>
              <w:t>工位集气罩面积设为</w:t>
            </w:r>
            <w:r>
              <w:rPr>
                <w:rFonts w:hint="default" w:ascii="Times New Roman" w:hAnsi="Times New Roman" w:eastAsia="宋体" w:cs="Times New Roman"/>
                <w:color w:val="auto"/>
                <w:sz w:val="24"/>
                <w:lang w:val="en-US" w:eastAsia="zh-CN"/>
              </w:rPr>
              <w:t>0.36</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vertAlign w:val="baseline"/>
                <w:lang w:val="en-US" w:eastAsia="zh-CN"/>
              </w:rPr>
              <w:t>（0.6m×0.6m）</w:t>
            </w:r>
            <w:r>
              <w:rPr>
                <w:rFonts w:hint="default" w:ascii="Times New Roman" w:hAnsi="Times New Roman" w:eastAsia="宋体" w:cs="Times New Roman"/>
                <w:color w:val="auto"/>
                <w:sz w:val="24"/>
              </w:rPr>
              <w:t>，集气面积总计为</w:t>
            </w:r>
            <w:r>
              <w:rPr>
                <w:rFonts w:hint="default" w:ascii="Times New Roman" w:hAnsi="Times New Roman" w:eastAsia="宋体" w:cs="Times New Roman"/>
                <w:color w:val="auto"/>
                <w:sz w:val="24"/>
                <w:lang w:val="en-US" w:eastAsia="zh-CN"/>
              </w:rPr>
              <w:t>0.72m</w:t>
            </w:r>
            <w:r>
              <w:rPr>
                <w:rFonts w:hint="default" w:ascii="Times New Roman" w:hAnsi="Times New Roman" w:eastAsia="宋体" w:cs="Times New Roman"/>
                <w:color w:val="auto"/>
                <w:sz w:val="24"/>
                <w:vertAlign w:val="superscript"/>
                <w:lang w:val="en-US" w:eastAsia="zh-CN"/>
              </w:rPr>
              <w:t>2</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控制点到吸气口的距离设为0.3m，控制点吸入速度设为0.5m/s</w:t>
            </w:r>
            <w:r>
              <w:rPr>
                <w:rFonts w:hint="default" w:ascii="Times New Roman" w:hAnsi="Times New Roman" w:eastAsia="宋体" w:cs="Times New Roman"/>
                <w:color w:val="auto"/>
                <w:sz w:val="24"/>
              </w:rPr>
              <w:t>。则计算得</w:t>
            </w:r>
            <w:r>
              <w:rPr>
                <w:rFonts w:hint="default" w:ascii="Times New Roman" w:hAnsi="Times New Roman" w:eastAsia="宋体" w:cs="Times New Roman"/>
                <w:color w:val="auto"/>
                <w:sz w:val="24"/>
                <w:lang w:val="en-US" w:eastAsia="zh-CN"/>
              </w:rPr>
              <w:t>调漆</w:t>
            </w:r>
            <w:r>
              <w:rPr>
                <w:rFonts w:hint="default" w:ascii="Times New Roman" w:hAnsi="Times New Roman" w:eastAsia="宋体" w:cs="Times New Roman"/>
                <w:color w:val="auto"/>
                <w:sz w:val="24"/>
              </w:rPr>
              <w:t>工位</w:t>
            </w:r>
            <w:r>
              <w:rPr>
                <w:rFonts w:hint="default" w:ascii="Times New Roman" w:hAnsi="Times New Roman" w:eastAsia="宋体" w:cs="Times New Roman"/>
                <w:color w:val="auto"/>
                <w:sz w:val="24"/>
                <w:lang w:val="en-US" w:eastAsia="zh-CN"/>
              </w:rPr>
              <w:t>单个集气罩风量为2268</w:t>
            </w:r>
            <w:r>
              <w:rPr>
                <w:rFonts w:hint="default" w:ascii="Times New Roman" w:hAnsi="Times New Roman" w:eastAsia="宋体" w:cs="Times New Roman"/>
                <w:color w:val="auto"/>
                <w:sz w:val="24"/>
              </w:rPr>
              <w:t>m³/h</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总计风量为</w:t>
            </w:r>
            <w:r>
              <w:rPr>
                <w:rFonts w:hint="default" w:ascii="Times New Roman" w:hAnsi="Times New Roman" w:eastAsia="宋体" w:cs="Times New Roman"/>
                <w:color w:val="auto"/>
                <w:sz w:val="24"/>
                <w:lang w:val="en-US" w:eastAsia="zh-CN"/>
              </w:rPr>
              <w:t>4536</w:t>
            </w:r>
            <w:r>
              <w:rPr>
                <w:rFonts w:hint="default" w:ascii="Times New Roman" w:hAnsi="Times New Roman" w:eastAsia="宋体" w:cs="Times New Roman"/>
                <w:color w:val="auto"/>
                <w:sz w:val="24"/>
              </w:rPr>
              <w:t>m³/h。</w:t>
            </w:r>
          </w:p>
          <w:p>
            <w:pPr>
              <w:keepNext w:val="0"/>
              <w:keepLines w:val="0"/>
              <w:widowControl w:val="0"/>
              <w:numPr>
                <w:ilvl w:val="0"/>
                <w:numId w:val="19"/>
              </w:numPr>
              <w:suppressLineNumbers w:val="0"/>
              <w:adjustRightInd w:val="0"/>
              <w:snapToGrid w:val="0"/>
              <w:spacing w:before="0" w:beforeAutospacing="0" w:after="0" w:afterAutospacing="0" w:line="360" w:lineRule="auto"/>
              <w:ind w:left="0" w:leftChars="0" w:right="0" w:firstLine="480" w:firstLineChars="200"/>
              <w:jc w:val="both"/>
              <w:rPr>
                <w:rFonts w:hint="default" w:ascii="Times New Roman" w:hAnsi="Times New Roman" w:eastAsia="宋体" w:cs="Times New Roman"/>
                <w:b w:val="0"/>
                <w:bCs/>
                <w:color w:val="auto"/>
                <w:spacing w:val="0"/>
                <w:kern w:val="2"/>
                <w:sz w:val="24"/>
                <w:szCs w:val="24"/>
              </w:rPr>
            </w:pPr>
            <w:r>
              <w:rPr>
                <w:rFonts w:hint="default" w:ascii="Times New Roman" w:hAnsi="Times New Roman" w:eastAsia="宋体" w:cs="Times New Roman"/>
                <w:color w:val="auto"/>
                <w:sz w:val="24"/>
                <w:lang w:val="en-US" w:eastAsia="zh-CN"/>
              </w:rPr>
              <w:t xml:space="preserve"> 喷漆线通过喷漆柜收集喷漆废气，项目共有2条喷漆线，共有4个喷漆柜，喷漆柜尺寸均为长1.5m</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宽2m</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高2.5m，</w:t>
            </w:r>
            <w:r>
              <w:rPr>
                <w:rFonts w:hint="default" w:ascii="Times New Roman" w:hAnsi="Times New Roman" w:eastAsia="宋体" w:cs="Times New Roman"/>
                <w:b w:val="0"/>
                <w:bCs/>
                <w:snapToGrid/>
                <w:color w:val="auto"/>
                <w:spacing w:val="0"/>
                <w:kern w:val="2"/>
                <w:sz w:val="24"/>
                <w:szCs w:val="24"/>
                <w:lang w:val="en-US" w:eastAsia="zh-CN" w:bidi="ar"/>
              </w:rPr>
              <w:t>参考《涂装工艺及车间设计手册》（傅邵燕）喷漆房排风量计算公示：</w:t>
            </w:r>
          </w:p>
          <w:p>
            <w:pPr>
              <w:keepNext w:val="0"/>
              <w:keepLines w:val="0"/>
              <w:widowControl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lang w:val="en-US" w:eastAsia="zh-CN"/>
              </w:rPr>
              <w:t>L=Fv3600</w:t>
            </w:r>
          </w:p>
          <w:p>
            <w:pPr>
              <w:keepNext w:val="0"/>
              <w:keepLines w:val="0"/>
              <w:widowControl w:val="0"/>
              <w:suppressLineNumbers w:val="0"/>
              <w:autoSpaceDE w:val="0"/>
              <w:autoSpaceDN/>
              <w:adjustRightInd w:val="0"/>
              <w:snapToGrid w:val="0"/>
              <w:spacing w:before="0" w:beforeAutospacing="0" w:after="0" w:afterAutospacing="0" w:line="360" w:lineRule="auto"/>
              <w:ind w:left="0" w:leftChars="0" w:right="0"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snapToGrid/>
                <w:color w:val="auto"/>
                <w:kern w:val="2"/>
                <w:sz w:val="24"/>
                <w:szCs w:val="24"/>
                <w:lang w:val="en-US" w:eastAsia="zh-CN" w:bidi="ar"/>
              </w:rPr>
              <w:t>式中：L—喷漆房排风量（m</w:t>
            </w:r>
            <w:r>
              <w:rPr>
                <w:rFonts w:hint="default" w:ascii="Times New Roman" w:hAnsi="Times New Roman" w:eastAsia="宋体" w:cs="Times New Roman"/>
                <w:snapToGrid/>
                <w:color w:val="auto"/>
                <w:kern w:val="2"/>
                <w:sz w:val="24"/>
                <w:szCs w:val="24"/>
                <w:vertAlign w:val="superscript"/>
                <w:lang w:val="en-US" w:eastAsia="zh-CN" w:bidi="ar"/>
              </w:rPr>
              <w:t>3</w:t>
            </w:r>
            <w:r>
              <w:rPr>
                <w:rFonts w:hint="default" w:ascii="Times New Roman" w:hAnsi="Times New Roman" w:eastAsia="宋体" w:cs="Times New Roman"/>
                <w:snapToGrid/>
                <w:color w:val="auto"/>
                <w:kern w:val="2"/>
                <w:sz w:val="24"/>
                <w:szCs w:val="24"/>
                <w:lang w:val="en-US" w:eastAsia="zh-CN" w:bidi="ar"/>
              </w:rPr>
              <w:t>/h）；</w:t>
            </w:r>
          </w:p>
          <w:p>
            <w:pPr>
              <w:keepNext w:val="0"/>
              <w:keepLines w:val="0"/>
              <w:widowControl w:val="0"/>
              <w:suppressLineNumbers w:val="0"/>
              <w:autoSpaceDE w:val="0"/>
              <w:autoSpaceDN/>
              <w:adjustRightInd w:val="0"/>
              <w:snapToGrid w:val="0"/>
              <w:spacing w:before="0" w:beforeAutospacing="0" w:after="0" w:afterAutospacing="0" w:line="360" w:lineRule="auto"/>
              <w:ind w:left="0" w:leftChars="0" w:right="0" w:firstLine="1200" w:firstLineChars="5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snapToGrid/>
                <w:color w:val="auto"/>
                <w:kern w:val="2"/>
                <w:sz w:val="24"/>
                <w:szCs w:val="24"/>
                <w:lang w:val="en-US" w:eastAsia="zh-CN" w:bidi="ar"/>
              </w:rPr>
              <w:t>F—喷漆房操作口（或室断面）和工件进出洞口的面积之和；F为室操作口和工件进出洞口面积之和。本项目喷漆段洞口面积约1.5m×0.3m×2=0.9m</w:t>
            </w:r>
            <w:r>
              <w:rPr>
                <w:rFonts w:hint="default" w:ascii="Times New Roman" w:hAnsi="Times New Roman" w:eastAsia="宋体" w:cs="Times New Roman"/>
                <w:snapToGrid/>
                <w:color w:val="auto"/>
                <w:kern w:val="2"/>
                <w:sz w:val="24"/>
                <w:szCs w:val="24"/>
                <w:vertAlign w:val="superscript"/>
                <w:lang w:val="en-US" w:eastAsia="zh-CN" w:bidi="ar"/>
              </w:rPr>
              <w:t>2</w:t>
            </w:r>
            <w:r>
              <w:rPr>
                <w:rFonts w:hint="default" w:ascii="Times New Roman" w:hAnsi="Times New Roman" w:eastAsia="宋体" w:cs="Times New Roman"/>
                <w:snapToGrid/>
                <w:color w:val="auto"/>
                <w:kern w:val="2"/>
                <w:sz w:val="24"/>
                <w:szCs w:val="24"/>
                <w:lang w:val="en-US" w:eastAsia="zh-CN" w:bidi="ar"/>
              </w:rPr>
              <w:t>，操作口面积约为1m×2m=2㎡，因此面积之和为2.9㎡。</w:t>
            </w:r>
          </w:p>
          <w:p>
            <w:pPr>
              <w:keepNext w:val="0"/>
              <w:keepLines w:val="0"/>
              <w:widowControl w:val="0"/>
              <w:suppressLineNumbers w:val="0"/>
              <w:autoSpaceDE w:val="0"/>
              <w:autoSpaceDN/>
              <w:adjustRightInd w:val="0"/>
              <w:snapToGrid w:val="0"/>
              <w:spacing w:before="0" w:beforeAutospacing="0" w:after="0" w:afterAutospacing="0" w:line="360" w:lineRule="auto"/>
              <w:ind w:left="0" w:leftChars="0" w:right="0" w:firstLine="1200" w:firstLineChars="500"/>
              <w:jc w:val="both"/>
              <w:rPr>
                <w:rFonts w:hint="default" w:ascii="Times New Roman" w:hAnsi="Times New Roman" w:eastAsia="宋体" w:cs="Times New Roman"/>
                <w:snapToGrid/>
                <w:color w:val="auto"/>
                <w:kern w:val="2"/>
                <w:sz w:val="24"/>
                <w:szCs w:val="24"/>
                <w:lang w:val="en-US" w:eastAsia="zh-CN" w:bidi="ar"/>
              </w:rPr>
            </w:pPr>
            <w:r>
              <w:rPr>
                <w:rFonts w:hint="default" w:ascii="Times New Roman" w:hAnsi="Times New Roman" w:eastAsia="宋体" w:cs="Times New Roman"/>
                <w:snapToGrid/>
                <w:color w:val="auto"/>
                <w:kern w:val="2"/>
                <w:sz w:val="24"/>
                <w:szCs w:val="24"/>
                <w:lang w:val="en-US" w:eastAsia="zh-CN" w:bidi="ar"/>
              </w:rPr>
              <w:t>V—喷漆房操作口的抽风速度（m/s），v值按表23-3喷漆房的控制风速的数值采用，本项目以0.75m/s计。</w:t>
            </w:r>
          </w:p>
          <w:p>
            <w:pPr>
              <w:pStyle w:val="8"/>
              <w:keepNext w:val="0"/>
              <w:keepLines w:val="0"/>
              <w:widowControl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0"/>
                <w:sz w:val="24"/>
                <w:szCs w:val="24"/>
              </w:rPr>
            </w:pPr>
            <w:r>
              <w:rPr>
                <w:rFonts w:hint="default"/>
              </w:rPr>
              <w:t xml:space="preserve">表4- </w:t>
            </w:r>
            <w:r>
              <w:rPr>
                <w:rFonts w:hint="default"/>
              </w:rPr>
              <w:fldChar w:fldCharType="begin"/>
            </w:r>
            <w:r>
              <w:rPr>
                <w:rFonts w:hint="default"/>
              </w:rPr>
              <w:instrText xml:space="preserve"> SEQ 表4- \* ARABIC </w:instrText>
            </w:r>
            <w:r>
              <w:rPr>
                <w:rFonts w:hint="default"/>
              </w:rPr>
              <w:fldChar w:fldCharType="separate"/>
            </w:r>
            <w:r>
              <w:rPr>
                <w:rFonts w:hint="default"/>
              </w:rPr>
              <w:t>6</w:t>
            </w:r>
            <w:r>
              <w:rPr>
                <w:rFonts w:hint="default"/>
              </w:rPr>
              <w:fldChar w:fldCharType="end"/>
            </w:r>
            <w:r>
              <w:rPr>
                <w:rFonts w:hint="default" w:ascii="Times New Roman" w:hAnsi="Times New Roman" w:eastAsia="宋体" w:cs="Times New Roman"/>
                <w:b/>
                <w:bCs w:val="0"/>
                <w:snapToGrid/>
                <w:color w:val="auto"/>
                <w:kern w:val="0"/>
                <w:sz w:val="24"/>
                <w:szCs w:val="24"/>
                <w:lang w:val="en-US" w:eastAsia="zh-CN" w:bidi="ar"/>
              </w:rPr>
              <w:t>水帘式喷漆柜所需风量计算结果一览表</w:t>
            </w:r>
          </w:p>
          <w:tbl>
            <w:tblPr>
              <w:tblStyle w:val="27"/>
              <w:tblW w:w="4996" w:type="pct"/>
              <w:jc w:val="center"/>
              <w:tblBorders>
                <w:top w:val="single" w:color="auto" w:sz="12" w:space="0"/>
                <w:left w:val="none" w:color="auto" w:sz="4" w:space="0"/>
                <w:bottom w:val="single" w:color="auto" w:sz="12"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518"/>
              <w:gridCol w:w="1675"/>
              <w:gridCol w:w="1689"/>
              <w:gridCol w:w="1185"/>
              <w:gridCol w:w="1521"/>
              <w:gridCol w:w="1542"/>
            </w:tblGrid>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31" w:type="pct"/>
                  <w:tcBorders>
                    <w:top w:val="single" w:color="auto" w:sz="12" w:space="0"/>
                    <w:left w:val="nil"/>
                    <w:bottom w:val="single" w:color="auto" w:sz="4" w:space="0"/>
                    <w:right w:val="single" w:color="auto" w:sz="4" w:space="0"/>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设备</w:t>
                  </w:r>
                </w:p>
              </w:tc>
              <w:tc>
                <w:tcPr>
                  <w:tcW w:w="4168" w:type="pct"/>
                  <w:gridSpan w:val="5"/>
                  <w:tcBorders>
                    <w:top w:val="single" w:color="auto" w:sz="12" w:space="0"/>
                    <w:left w:val="single" w:color="auto" w:sz="4" w:space="0"/>
                    <w:bottom w:val="single" w:color="auto" w:sz="4" w:space="0"/>
                    <w:right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包围型集气罩参数</w:t>
                  </w:r>
                </w:p>
              </w:tc>
            </w:tr>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 w:type="pct"/>
                  <w:vMerge w:val="restart"/>
                  <w:tcBorders>
                    <w:top w:val="single" w:color="auto" w:sz="4" w:space="0"/>
                    <w:left w:val="nil"/>
                    <w:bottom w:val="single" w:color="auto" w:sz="4" w:space="0"/>
                    <w:right w:val="single" w:color="auto" w:sz="4" w:space="0"/>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水帘式喷漆段</w:t>
                  </w:r>
                </w:p>
              </w:tc>
              <w:tc>
                <w:tcPr>
                  <w:tcW w:w="91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喷漆段面积（m2）</w:t>
                  </w:r>
                </w:p>
              </w:tc>
              <w:tc>
                <w:tcPr>
                  <w:tcW w:w="9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喷漆段操作口的抽风速度（m/s）</w:t>
                  </w:r>
                </w:p>
              </w:tc>
              <w:tc>
                <w:tcPr>
                  <w:tcW w:w="64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数量（个）</w:t>
                  </w:r>
                </w:p>
              </w:tc>
              <w:tc>
                <w:tcPr>
                  <w:tcW w:w="83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单个风机风量</w:t>
                  </w:r>
                </w:p>
              </w:tc>
              <w:tc>
                <w:tcPr>
                  <w:tcW w:w="841" w:type="pct"/>
                  <w:tcBorders>
                    <w:top w:val="single" w:color="auto" w:sz="4" w:space="0"/>
                    <w:left w:val="single" w:color="auto" w:sz="4" w:space="0"/>
                    <w:bottom w:val="single" w:color="auto" w:sz="4" w:space="0"/>
                    <w:right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风量（m3/h）</w:t>
                  </w:r>
                </w:p>
              </w:tc>
            </w:tr>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 w:type="pct"/>
                  <w:vMerge w:val="continue"/>
                  <w:tcBorders>
                    <w:top w:val="single" w:color="auto" w:sz="4" w:space="0"/>
                    <w:left w:val="nil"/>
                    <w:bottom w:val="single" w:color="auto" w:sz="4" w:space="0"/>
                    <w:right w:val="single" w:color="auto" w:sz="4" w:space="0"/>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917" w:type="pct"/>
                  <w:tcBorders>
                    <w:top w:val="single" w:color="auto" w:sz="4" w:space="0"/>
                    <w:left w:val="single" w:color="auto" w:sz="4" w:space="0"/>
                    <w:bottom w:val="single" w:color="auto" w:sz="12" w:space="0"/>
                    <w:right w:val="single" w:color="auto" w:sz="4" w:space="0"/>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2.9</w:t>
                  </w:r>
                </w:p>
              </w:tc>
              <w:tc>
                <w:tcPr>
                  <w:tcW w:w="925" w:type="pct"/>
                  <w:tcBorders>
                    <w:top w:val="single" w:color="auto" w:sz="4" w:space="0"/>
                    <w:left w:val="single" w:color="auto" w:sz="4" w:space="0"/>
                    <w:bottom w:val="single" w:color="auto" w:sz="12" w:space="0"/>
                    <w:right w:val="single" w:color="auto" w:sz="4" w:space="0"/>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0.75</w:t>
                  </w:r>
                </w:p>
              </w:tc>
              <w:tc>
                <w:tcPr>
                  <w:tcW w:w="649" w:type="pct"/>
                  <w:tcBorders>
                    <w:top w:val="single" w:color="auto" w:sz="4" w:space="0"/>
                    <w:left w:val="single" w:color="auto" w:sz="4" w:space="0"/>
                    <w:bottom w:val="single" w:color="auto" w:sz="12" w:space="0"/>
                    <w:right w:val="single" w:color="auto" w:sz="4" w:space="0"/>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w:t>
                  </w:r>
                </w:p>
              </w:tc>
              <w:tc>
                <w:tcPr>
                  <w:tcW w:w="833" w:type="pct"/>
                  <w:tcBorders>
                    <w:top w:val="single" w:color="auto" w:sz="4" w:space="0"/>
                    <w:left w:val="single" w:color="auto" w:sz="4" w:space="0"/>
                    <w:bottom w:val="single" w:color="auto" w:sz="12" w:space="0"/>
                    <w:right w:val="single" w:color="auto" w:sz="4" w:space="0"/>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7830</w:t>
                  </w:r>
                </w:p>
              </w:tc>
              <w:tc>
                <w:tcPr>
                  <w:tcW w:w="841" w:type="pct"/>
                  <w:tcBorders>
                    <w:top w:val="single" w:color="auto" w:sz="4" w:space="0"/>
                    <w:left w:val="single" w:color="auto" w:sz="4" w:space="0"/>
                    <w:bottom w:val="single" w:color="auto" w:sz="12" w:space="0"/>
                    <w:right w:val="nil"/>
                  </w:tcBorders>
                  <w:shd w:val="clear" w:color="auto" w:fill="auto"/>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31320</w:t>
                  </w:r>
                </w:p>
              </w:tc>
            </w:tr>
          </w:tbl>
          <w:p>
            <w:pPr>
              <w:keepNext w:val="0"/>
              <w:keepLines w:val="0"/>
              <w:numPr>
                <w:ilvl w:val="0"/>
                <w:numId w:val="19"/>
              </w:numPr>
              <w:suppressLineNumbers w:val="0"/>
              <w:autoSpaceDE w:val="0"/>
              <w:autoSpaceDN w:val="0"/>
              <w:adjustRightInd w:val="0"/>
              <w:spacing w:before="0" w:beforeAutospacing="0" w:after="0" w:afterAutospacing="0" w:line="360" w:lineRule="auto"/>
              <w:ind w:right="0"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喷漆线的烘干炉通过设备直连管道收集废气，项目共有2条喷粉线，共有2个烘干炉，烘干炉尺寸均为长35m</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宽2m</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高2.5m，换气次数参照《工业建筑供暖通风与空气调节设计规范》（GB50019-2015）中要求，每小时以12次计，计算得单个烘干炉的集气风量为2100</w:t>
            </w:r>
            <w:r>
              <w:rPr>
                <w:rFonts w:hint="default" w:ascii="Times New Roman" w:hAnsi="Times New Roman" w:eastAsia="宋体" w:cs="Times New Roman"/>
                <w:snapToGrid/>
                <w:color w:val="auto"/>
                <w:kern w:val="2"/>
                <w:sz w:val="24"/>
                <w:szCs w:val="24"/>
                <w:lang w:val="en-US" w:eastAsia="zh-CN" w:bidi="ar"/>
              </w:rPr>
              <w:t>m</w:t>
            </w:r>
            <w:r>
              <w:rPr>
                <w:rFonts w:hint="default" w:ascii="Times New Roman" w:hAnsi="Times New Roman" w:eastAsia="宋体" w:cs="Times New Roman"/>
                <w:snapToGrid/>
                <w:color w:val="auto"/>
                <w:kern w:val="2"/>
                <w:sz w:val="24"/>
                <w:szCs w:val="24"/>
                <w:vertAlign w:val="superscript"/>
                <w:lang w:val="en-US" w:eastAsia="zh-CN" w:bidi="ar"/>
              </w:rPr>
              <w:t>3</w:t>
            </w:r>
            <w:r>
              <w:rPr>
                <w:rFonts w:hint="default" w:ascii="Times New Roman" w:hAnsi="Times New Roman" w:eastAsia="宋体" w:cs="Times New Roman"/>
                <w:snapToGrid/>
                <w:color w:val="auto"/>
                <w:kern w:val="2"/>
                <w:sz w:val="24"/>
                <w:szCs w:val="24"/>
                <w:lang w:val="en-US" w:eastAsia="zh-CN" w:bidi="ar"/>
              </w:rPr>
              <w:t>/h，则2台喷漆烘干炉的总风量为4200m</w:t>
            </w:r>
            <w:r>
              <w:rPr>
                <w:rFonts w:hint="default" w:ascii="Times New Roman" w:hAnsi="Times New Roman" w:eastAsia="宋体" w:cs="Times New Roman"/>
                <w:snapToGrid/>
                <w:color w:val="auto"/>
                <w:kern w:val="2"/>
                <w:sz w:val="24"/>
                <w:szCs w:val="24"/>
                <w:vertAlign w:val="superscript"/>
                <w:lang w:val="en-US" w:eastAsia="zh-CN" w:bidi="ar"/>
              </w:rPr>
              <w:t>3</w:t>
            </w:r>
            <w:r>
              <w:rPr>
                <w:rFonts w:hint="default" w:ascii="Times New Roman" w:hAnsi="Times New Roman" w:eastAsia="宋体" w:cs="Times New Roman"/>
                <w:snapToGrid/>
                <w:color w:val="auto"/>
                <w:kern w:val="2"/>
                <w:sz w:val="24"/>
                <w:szCs w:val="24"/>
                <w:lang w:val="en-US" w:eastAsia="zh-CN" w:bidi="ar"/>
              </w:rPr>
              <w:t>/h。</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hd w:val="clear" w:color="auto" w:fill="auto"/>
                <w:lang w:val="en-US" w:eastAsia="zh-CN"/>
              </w:rPr>
              <w:t>参照《广东省工业源挥发性有机物减排量核算方法（试行）》，</w:t>
            </w:r>
            <w:bookmarkEnd w:id="44"/>
            <w:r>
              <w:rPr>
                <w:rFonts w:hint="default" w:ascii="Times New Roman" w:hAnsi="Times New Roman" w:eastAsia="宋体" w:cs="Times New Roman"/>
                <w:color w:val="auto"/>
                <w:shd w:val="clear" w:color="auto" w:fill="auto"/>
                <w:lang w:val="en-US" w:eastAsia="zh-CN"/>
              </w:rPr>
              <w:t>项目各工序收集效率</w:t>
            </w:r>
            <w:r>
              <w:rPr>
                <w:rFonts w:hint="default" w:ascii="Times New Roman" w:hAnsi="Times New Roman" w:eastAsia="宋体" w:cs="Times New Roman"/>
                <w:color w:val="auto"/>
                <w:lang w:val="en-US" w:eastAsia="zh-CN"/>
              </w:rPr>
              <w:t>详见</w:t>
            </w: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REF _Ref27514 \h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表4- 7</w:t>
            </w:r>
            <w:r>
              <w:rPr>
                <w:rFonts w:hint="default" w:ascii="Times New Roman" w:hAnsi="Times New Roman" w:eastAsia="宋体" w:cs="Times New Roman"/>
                <w:color w:val="auto"/>
                <w:lang w:val="en-US" w:eastAsia="zh-CN"/>
              </w:rPr>
              <w:fldChar w:fldCharType="end"/>
            </w:r>
            <w:r>
              <w:rPr>
                <w:rFonts w:hint="default" w:ascii="Times New Roman" w:hAnsi="Times New Roman" w:eastAsia="宋体" w:cs="Times New Roman"/>
                <w:color w:val="auto"/>
                <w:lang w:val="en-US" w:eastAsia="zh-CN"/>
              </w:rPr>
              <w:t>。</w:t>
            </w:r>
          </w:p>
          <w:p>
            <w:pPr>
              <w:pStyle w:val="8"/>
              <w:keepNext w:val="0"/>
              <w:keepLines w:val="0"/>
              <w:suppressLineNumbers w:val="0"/>
              <w:spacing w:beforeAutospacing="0" w:afterAutospacing="0"/>
              <w:ind w:left="0" w:right="0" w:firstLine="482" w:firstLineChars="200"/>
              <w:jc w:val="center"/>
              <w:rPr>
                <w:rFonts w:hint="default" w:ascii="Times New Roman" w:hAnsi="Times New Roman" w:eastAsia="宋体" w:cs="Times New Roman"/>
                <w:b/>
                <w:color w:val="auto"/>
                <w:kern w:val="0"/>
                <w:lang w:val="en-US" w:eastAsia="zh-CN"/>
              </w:rPr>
            </w:pPr>
            <w:bookmarkStart w:id="45" w:name="_Ref27514"/>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w:t>
            </w:r>
            <w:r>
              <w:rPr>
                <w:rFonts w:hint="default" w:ascii="Times New Roman" w:hAnsi="Times New Roman" w:eastAsia="宋体" w:cs="Times New Roman"/>
                <w:color w:val="auto"/>
              </w:rPr>
              <w:fldChar w:fldCharType="end"/>
            </w:r>
            <w:bookmarkEnd w:id="45"/>
            <w:r>
              <w:rPr>
                <w:rFonts w:hint="default" w:ascii="Times New Roman" w:hAnsi="Times New Roman" w:eastAsia="宋体" w:cs="Times New Roman"/>
                <w:b/>
                <w:color w:val="auto"/>
                <w:kern w:val="0"/>
                <w:lang w:val="en-US" w:eastAsia="zh-CN"/>
              </w:rPr>
              <w:t>项目废气收集效率一览表</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890"/>
              <w:gridCol w:w="6533"/>
              <w:gridCol w:w="7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2"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废气污染源</w:t>
                  </w:r>
                </w:p>
              </w:tc>
              <w:tc>
                <w:tcPr>
                  <w:tcW w:w="487"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污染物</w:t>
                  </w:r>
                </w:p>
              </w:tc>
              <w:tc>
                <w:tcPr>
                  <w:tcW w:w="3575"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废气收集方式</w:t>
                  </w:r>
                </w:p>
              </w:tc>
              <w:tc>
                <w:tcPr>
                  <w:tcW w:w="434"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集气效率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2"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喷砂机</w:t>
                  </w:r>
                </w:p>
              </w:tc>
              <w:tc>
                <w:tcPr>
                  <w:tcW w:w="487"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颗粒物</w:t>
                  </w:r>
                </w:p>
              </w:tc>
              <w:tc>
                <w:tcPr>
                  <w:tcW w:w="3575"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设备废气排口直连：设备有固定排放管(或口)直接与风管连接，设备整体密闭只留产品进出口，且进出口处有废气收集措施，收集系统运行时周边基本无VOCs散发。</w:t>
                  </w:r>
                </w:p>
              </w:tc>
              <w:tc>
                <w:tcPr>
                  <w:tcW w:w="434"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2"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喷粉间或喷粉柜</w:t>
                  </w:r>
                </w:p>
              </w:tc>
              <w:tc>
                <w:tcPr>
                  <w:tcW w:w="487"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颗粒物</w:t>
                  </w:r>
                </w:p>
              </w:tc>
              <w:tc>
                <w:tcPr>
                  <w:tcW w:w="3575"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单层密闭负压：VOCs产生源设置在密闭车间、密闭设备（含</w:t>
                  </w:r>
                </w:p>
                <w:p>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反应釜）、密闭管道内，所有开口处，包括人员或物料进出口处呈负压</w:t>
                  </w:r>
                </w:p>
              </w:tc>
              <w:tc>
                <w:tcPr>
                  <w:tcW w:w="434"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2"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喷粉烘干炉</w:t>
                  </w:r>
                </w:p>
              </w:tc>
              <w:tc>
                <w:tcPr>
                  <w:tcW w:w="487"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总VOC s</w:t>
                  </w:r>
                </w:p>
              </w:tc>
              <w:tc>
                <w:tcPr>
                  <w:tcW w:w="3575"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设备废气排口直连：设备有固定排放管(或口)直接与风管连接，设备整体密闭只留产品进出口，且进出口处有废气收集措施，收集系统运行时周边基本无VOCs散发。</w:t>
                  </w:r>
                </w:p>
              </w:tc>
              <w:tc>
                <w:tcPr>
                  <w:tcW w:w="434"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2"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调漆工位</w:t>
                  </w:r>
                </w:p>
              </w:tc>
              <w:tc>
                <w:tcPr>
                  <w:tcW w:w="487"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总VOCs</w:t>
                  </w:r>
                </w:p>
              </w:tc>
              <w:tc>
                <w:tcPr>
                  <w:tcW w:w="3575"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包围型集气设备：通过软质垂帘将四周围挡（偶有部分敞开），控制敞开面风速不小于0.5m/s</w:t>
                  </w:r>
                </w:p>
              </w:tc>
              <w:tc>
                <w:tcPr>
                  <w:tcW w:w="434" w:type="pct"/>
                  <w:tcBorders>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2" w:type="pct"/>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喷漆柜</w:t>
                  </w:r>
                </w:p>
              </w:tc>
              <w:tc>
                <w:tcPr>
                  <w:tcW w:w="487" w:type="pct"/>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颗粒物、总VOCs</w:t>
                  </w:r>
                </w:p>
              </w:tc>
              <w:tc>
                <w:tcPr>
                  <w:tcW w:w="3575" w:type="pct"/>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包围型集气设备：仅保留一个操作工位，控制敞开面风速不小于0.5m/s</w:t>
                  </w:r>
                </w:p>
              </w:tc>
              <w:tc>
                <w:tcPr>
                  <w:tcW w:w="434" w:type="pct"/>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2" w:type="pct"/>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喷漆烘干炉</w:t>
                  </w:r>
                </w:p>
              </w:tc>
              <w:tc>
                <w:tcPr>
                  <w:tcW w:w="487" w:type="pct"/>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总VOC s</w:t>
                  </w:r>
                </w:p>
              </w:tc>
              <w:tc>
                <w:tcPr>
                  <w:tcW w:w="3575" w:type="pct"/>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设备废气排口直连：设备有固定排放管(或口)直接与风管连接，设备整体密闭只留产品进出口，且进出口处有废气收集措施，收集系统运行时周边基本无VOCs散发。</w:t>
                  </w:r>
                </w:p>
              </w:tc>
              <w:tc>
                <w:tcPr>
                  <w:tcW w:w="434" w:type="pct"/>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95%</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rPr>
              <w:t>项目</w:t>
            </w:r>
            <w:r>
              <w:rPr>
                <w:rFonts w:hint="default" w:ascii="Times New Roman" w:hAnsi="Times New Roman" w:eastAsia="宋体" w:cs="Times New Roman"/>
                <w:color w:val="auto"/>
                <w:sz w:val="24"/>
                <w:lang w:val="en-US" w:eastAsia="zh-CN"/>
              </w:rPr>
              <w:t>喷砂产生的颗粒物经收集后经“滤筒除尘器”处理后由15m高排气筒（DA001）排放</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喷粉产生的颗粒物经收集后经“滤筒粉末回收机”处理后由15m高排气筒（DA002)排放。根据《滤筒式除尘器》（JB/T10341-2002）对滤筒式除尘器除尘效率要求为≥99.5%，考虑到滤筒安装密封性、使用寿命等问题，保守考虑项目处理效率取95%。</w:t>
            </w:r>
            <w:r>
              <w:rPr>
                <w:rFonts w:hint="default" w:ascii="Times New Roman" w:hAnsi="Times New Roman" w:eastAsia="宋体" w:cs="Times New Roman"/>
                <w:color w:val="auto"/>
                <w:lang w:val="en-US" w:eastAsia="zh-CN"/>
              </w:rPr>
              <w:t>喷粉烘干产生的总VOCs经</w:t>
            </w:r>
            <w:r>
              <w:rPr>
                <w:rFonts w:hint="eastAsia" w:cs="Times New Roman"/>
                <w:color w:val="auto"/>
                <w:lang w:val="en-US" w:eastAsia="zh-CN"/>
              </w:rPr>
              <w:t>“</w:t>
            </w:r>
            <w:r>
              <w:rPr>
                <w:rFonts w:hint="default" w:ascii="Times New Roman" w:hAnsi="Times New Roman" w:eastAsia="宋体" w:cs="Times New Roman"/>
                <w:color w:val="auto"/>
                <w:lang w:val="en-US" w:eastAsia="zh-CN"/>
              </w:rPr>
              <w:t>水喷淋塔+活性炭吸附装置</w:t>
            </w:r>
            <w:r>
              <w:rPr>
                <w:rFonts w:hint="eastAsia" w:cs="Times New Roman"/>
                <w:color w:val="auto"/>
                <w:lang w:val="en-US" w:eastAsia="zh-CN"/>
              </w:rPr>
              <w:t>”</w:t>
            </w:r>
            <w:r>
              <w:rPr>
                <w:rFonts w:hint="default" w:ascii="Times New Roman" w:hAnsi="Times New Roman" w:eastAsia="宋体" w:cs="Times New Roman"/>
                <w:color w:val="auto"/>
                <w:lang w:val="en-US" w:eastAsia="zh-CN"/>
              </w:rPr>
              <w:t>处理达标后由15m高排气筒（DA003）排放，喷漆产生的颗粒物和总VOCs经水喷淋塔+二级活性炭吸附装置处理达标后由15m高排气筒（DA004）排放。</w:t>
            </w:r>
            <w:r>
              <w:rPr>
                <w:rFonts w:hint="default" w:ascii="Times New Roman" w:hAnsi="Times New Roman" w:eastAsia="宋体" w:cs="Times New Roman"/>
                <w:snapToGrid/>
                <w:color w:val="auto"/>
                <w:kern w:val="2"/>
                <w:sz w:val="24"/>
                <w:szCs w:val="24"/>
                <w:lang w:val="en-US" w:eastAsia="zh-CN" w:bidi="ar"/>
              </w:rPr>
              <w:t>参考《33-37,431-434机械行业系数手册》中的14涂装工段，粉末涂料喷塑工艺中喷淋塔对颗粒物的处理效率，喷淋塔对颗粒物去除效率取85%；参考《广东省家具制造行业挥发性有机废气治理技术指南》资料显示：活性炭对挥发性有机物的处理效率约为50%~80%（本环评活性炭吸附装置去除效率取55%，故二级活性炭吸附装置的去除效率为80%），因此</w:t>
            </w:r>
            <w:r>
              <w:rPr>
                <w:rFonts w:hint="default" w:ascii="Times New Roman" w:hAnsi="Times New Roman" w:eastAsia="宋体" w:cs="Times New Roman"/>
                <w:color w:val="auto"/>
                <w:lang w:val="en-US" w:eastAsia="zh-CN"/>
              </w:rPr>
              <w:t>排气筒（DA0</w:t>
            </w:r>
            <w:r>
              <w:rPr>
                <w:rFonts w:hint="eastAsia" w:cs="Times New Roman"/>
                <w:color w:val="auto"/>
                <w:lang w:val="en-US" w:eastAsia="zh-CN"/>
              </w:rPr>
              <w:t>03</w:t>
            </w:r>
            <w:r>
              <w:rPr>
                <w:rFonts w:hint="default" w:ascii="Times New Roman" w:hAnsi="Times New Roman" w:eastAsia="宋体" w:cs="Times New Roman"/>
                <w:color w:val="auto"/>
                <w:lang w:val="en-US" w:eastAsia="zh-CN"/>
              </w:rPr>
              <w:t>）水喷淋塔+活性炭吸附装置对VOCs处理效率取55%，对颗粒物处理效率为85%；排气筒（DA00</w:t>
            </w:r>
            <w:r>
              <w:rPr>
                <w:rFonts w:hint="eastAsia" w:cs="Times New Roman"/>
                <w:color w:val="auto"/>
                <w:lang w:val="en-US" w:eastAsia="zh-CN"/>
              </w:rPr>
              <w:t>4</w:t>
            </w:r>
            <w:r>
              <w:rPr>
                <w:rFonts w:hint="default" w:ascii="Times New Roman" w:hAnsi="Times New Roman" w:eastAsia="宋体" w:cs="Times New Roman"/>
                <w:color w:val="auto"/>
                <w:lang w:val="en-US" w:eastAsia="zh-CN"/>
              </w:rPr>
              <w:t>）水喷淋塔+二级活性炭吸附装置对VOCs处理效率取80%，对颗粒物处理效率为85%。</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项目</w:t>
            </w:r>
            <w:r>
              <w:rPr>
                <w:rFonts w:hint="default" w:ascii="Times New Roman" w:hAnsi="Times New Roman" w:eastAsia="宋体" w:cs="Times New Roman"/>
                <w:color w:val="auto"/>
                <w:sz w:val="24"/>
              </w:rPr>
              <w:t>排气筒</w:t>
            </w:r>
            <w:r>
              <w:rPr>
                <w:rFonts w:hint="default" w:ascii="Times New Roman" w:hAnsi="Times New Roman" w:eastAsia="宋体" w:cs="Times New Roman"/>
                <w:color w:val="auto"/>
                <w:sz w:val="24"/>
                <w:lang w:val="en-US" w:eastAsia="zh-CN"/>
              </w:rPr>
              <w:t>风量和</w:t>
            </w:r>
            <w:r>
              <w:rPr>
                <w:rFonts w:hint="default" w:ascii="Times New Roman" w:hAnsi="Times New Roman" w:eastAsia="宋体" w:cs="Times New Roman"/>
                <w:color w:val="auto"/>
                <w:sz w:val="24"/>
              </w:rPr>
              <w:t>各工序有机废气有组织和无组织产生</w:t>
            </w:r>
            <w:r>
              <w:rPr>
                <w:rFonts w:hint="default" w:ascii="Times New Roman" w:hAnsi="Times New Roman" w:eastAsia="宋体" w:cs="Times New Roman"/>
                <w:b w:val="0"/>
                <w:bCs w:val="0"/>
                <w:color w:val="auto"/>
                <w:sz w:val="24"/>
              </w:rPr>
              <w:t>情况如</w:t>
            </w:r>
            <w:r>
              <w:rPr>
                <w:rFonts w:hint="default" w:ascii="Times New Roman" w:hAnsi="Times New Roman" w:eastAsia="宋体" w:cs="Times New Roman"/>
                <w:b w:val="0"/>
                <w:bCs w:val="0"/>
                <w:color w:val="auto"/>
                <w:sz w:val="24"/>
                <w:lang w:eastAsia="zh-CN"/>
              </w:rPr>
              <w:fldChar w:fldCharType="begin"/>
            </w:r>
            <w:r>
              <w:rPr>
                <w:rFonts w:hint="default" w:ascii="Times New Roman" w:hAnsi="Times New Roman" w:eastAsia="宋体" w:cs="Times New Roman"/>
                <w:b w:val="0"/>
                <w:bCs w:val="0"/>
                <w:color w:val="auto"/>
                <w:sz w:val="24"/>
                <w:lang w:eastAsia="zh-CN"/>
              </w:rPr>
              <w:instrText xml:space="preserve"> REF _Ref21491 \h </w:instrText>
            </w:r>
            <w:r>
              <w:rPr>
                <w:rFonts w:hint="default" w:ascii="Times New Roman" w:hAnsi="Times New Roman" w:eastAsia="宋体" w:cs="Times New Roman"/>
                <w:b w:val="0"/>
                <w:bCs w:val="0"/>
                <w:color w:val="auto"/>
                <w:sz w:val="24"/>
                <w:lang w:eastAsia="zh-CN"/>
              </w:rPr>
              <w:fldChar w:fldCharType="separate"/>
            </w:r>
            <w:r>
              <w:rPr>
                <w:rFonts w:hint="default" w:ascii="Times New Roman" w:hAnsi="Times New Roman" w:eastAsia="宋体" w:cs="Times New Roman"/>
                <w:color w:val="auto"/>
              </w:rPr>
              <w:t>表4- 8</w:t>
            </w:r>
            <w:r>
              <w:rPr>
                <w:rFonts w:hint="default" w:ascii="Times New Roman" w:hAnsi="Times New Roman" w:eastAsia="宋体" w:cs="Times New Roman"/>
                <w:b w:val="0"/>
                <w:bCs w:val="0"/>
                <w:color w:val="auto"/>
                <w:sz w:val="24"/>
                <w:lang w:eastAsia="zh-CN"/>
              </w:rPr>
              <w:fldChar w:fldCharType="end"/>
            </w:r>
            <w:r>
              <w:rPr>
                <w:rFonts w:hint="default" w:ascii="Times New Roman" w:hAnsi="Times New Roman" w:eastAsia="宋体" w:cs="Times New Roman"/>
                <w:b w:val="0"/>
                <w:bCs w:val="0"/>
                <w:color w:val="auto"/>
                <w:sz w:val="24"/>
                <w:lang w:eastAsia="zh-CN"/>
              </w:rPr>
              <w:t>和</w:t>
            </w:r>
            <w:r>
              <w:rPr>
                <w:rFonts w:hint="default" w:ascii="Times New Roman" w:hAnsi="Times New Roman" w:eastAsia="宋体" w:cs="Times New Roman"/>
                <w:b w:val="0"/>
                <w:bCs w:val="0"/>
                <w:color w:val="auto"/>
                <w:sz w:val="24"/>
                <w:lang w:val="en-US" w:eastAsia="zh-CN"/>
              </w:rPr>
              <w:fldChar w:fldCharType="begin"/>
            </w:r>
            <w:r>
              <w:rPr>
                <w:rFonts w:hint="default" w:ascii="Times New Roman" w:hAnsi="Times New Roman" w:eastAsia="宋体" w:cs="Times New Roman"/>
                <w:b w:val="0"/>
                <w:bCs w:val="0"/>
                <w:color w:val="auto"/>
                <w:sz w:val="24"/>
                <w:lang w:val="en-US" w:eastAsia="zh-CN"/>
              </w:rPr>
              <w:instrText xml:space="preserve"> REF _Ref5370 \h </w:instrText>
            </w:r>
            <w:r>
              <w:rPr>
                <w:rFonts w:hint="default" w:ascii="Times New Roman" w:hAnsi="Times New Roman" w:eastAsia="宋体" w:cs="Times New Roman"/>
                <w:b w:val="0"/>
                <w:bCs w:val="0"/>
                <w:color w:val="auto"/>
                <w:sz w:val="24"/>
                <w:lang w:val="en-US" w:eastAsia="zh-CN"/>
              </w:rPr>
              <w:fldChar w:fldCharType="separate"/>
            </w:r>
            <w:r>
              <w:rPr>
                <w:rFonts w:hint="default" w:ascii="Times New Roman" w:hAnsi="Times New Roman" w:eastAsia="宋体" w:cs="Times New Roman"/>
                <w:b w:val="0"/>
                <w:bCs w:val="0"/>
                <w:color w:val="auto"/>
              </w:rPr>
              <w:t>表4- 9</w:t>
            </w:r>
            <w:r>
              <w:rPr>
                <w:rFonts w:hint="default" w:ascii="Times New Roman" w:hAnsi="Times New Roman" w:eastAsia="宋体" w:cs="Times New Roman"/>
                <w:b w:val="0"/>
                <w:bCs w:val="0"/>
                <w:color w:val="auto"/>
                <w:sz w:val="24"/>
                <w:lang w:val="en-US" w:eastAsia="zh-CN"/>
              </w:rPr>
              <w:fldChar w:fldCharType="end"/>
            </w:r>
            <w:r>
              <w:rPr>
                <w:rFonts w:hint="default" w:ascii="Times New Roman" w:hAnsi="Times New Roman" w:eastAsia="宋体" w:cs="Times New Roman"/>
                <w:b w:val="0"/>
                <w:bCs w:val="0"/>
                <w:color w:val="auto"/>
                <w:sz w:val="24"/>
                <w:lang w:eastAsia="zh-CN"/>
              </w:rPr>
              <w:t>。</w:t>
            </w:r>
          </w:p>
          <w:p>
            <w:pPr>
              <w:pStyle w:val="8"/>
              <w:keepNext w:val="0"/>
              <w:keepLines w:val="0"/>
              <w:suppressLineNumbers w:val="0"/>
              <w:spacing w:beforeAutospacing="0" w:afterAutospacing="0"/>
              <w:ind w:left="0" w:right="0"/>
              <w:rPr>
                <w:rFonts w:hint="default" w:ascii="Times New Roman" w:hAnsi="Times New Roman" w:eastAsia="宋体" w:cs="Times New Roman"/>
                <w:b/>
                <w:color w:val="auto"/>
                <w:kern w:val="0"/>
                <w:sz w:val="24"/>
                <w:szCs w:val="24"/>
                <w:lang w:val="en-US" w:eastAsia="zh-CN" w:bidi="ar-SA"/>
              </w:rPr>
            </w:pPr>
            <w:bookmarkStart w:id="46" w:name="_Ref21491"/>
            <w:bookmarkStart w:id="47" w:name="_Ref27546"/>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w:t>
            </w:r>
            <w:r>
              <w:rPr>
                <w:rFonts w:hint="default" w:ascii="Times New Roman" w:hAnsi="Times New Roman" w:eastAsia="宋体" w:cs="Times New Roman"/>
                <w:color w:val="auto"/>
              </w:rPr>
              <w:fldChar w:fldCharType="end"/>
            </w:r>
            <w:bookmarkEnd w:id="46"/>
            <w:r>
              <w:rPr>
                <w:rFonts w:hint="default" w:ascii="Times New Roman" w:hAnsi="Times New Roman" w:eastAsia="宋体" w:cs="Times New Roman"/>
                <w:b/>
                <w:color w:val="auto"/>
                <w:kern w:val="0"/>
                <w:sz w:val="24"/>
                <w:szCs w:val="24"/>
                <w:lang w:val="en-US" w:eastAsia="zh-CN" w:bidi="ar-SA"/>
              </w:rPr>
              <w:t>项目车间风量计算一览表</w:t>
            </w:r>
          </w:p>
          <w:tbl>
            <w:tblPr>
              <w:tblStyle w:val="27"/>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1067"/>
              <w:gridCol w:w="1424"/>
              <w:gridCol w:w="1449"/>
              <w:gridCol w:w="1113"/>
              <w:gridCol w:w="1111"/>
              <w:gridCol w:w="1082"/>
              <w:gridCol w:w="10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7"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车间名称</w:t>
                  </w:r>
                </w:p>
              </w:tc>
              <w:tc>
                <w:tcPr>
                  <w:tcW w:w="584"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排气筒编号</w:t>
                  </w:r>
                </w:p>
              </w:tc>
              <w:tc>
                <w:tcPr>
                  <w:tcW w:w="77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工位或设备</w:t>
                  </w:r>
                </w:p>
              </w:tc>
              <w:tc>
                <w:tcPr>
                  <w:tcW w:w="793"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集气设施</w:t>
                  </w:r>
                </w:p>
              </w:tc>
              <w:tc>
                <w:tcPr>
                  <w:tcW w:w="60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收集风量m</w:t>
                  </w:r>
                  <w:r>
                    <w:rPr>
                      <w:rFonts w:hint="default"/>
                      <w:b/>
                      <w:bCs/>
                      <w:vertAlign w:val="superscript"/>
                      <w:lang w:val="en-US" w:eastAsia="zh-CN"/>
                    </w:rPr>
                    <w:t>3</w:t>
                  </w:r>
                  <w:r>
                    <w:rPr>
                      <w:rFonts w:hint="default"/>
                      <w:b/>
                      <w:bCs/>
                      <w:lang w:val="en-US" w:eastAsia="zh-CN"/>
                    </w:rPr>
                    <w:t>/h</w:t>
                  </w:r>
                </w:p>
              </w:tc>
              <w:tc>
                <w:tcPr>
                  <w:tcW w:w="608"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排气筒总风量m</w:t>
                  </w:r>
                  <w:r>
                    <w:rPr>
                      <w:rFonts w:hint="default"/>
                      <w:b/>
                      <w:bCs/>
                      <w:vertAlign w:val="superscript"/>
                      <w:lang w:val="en-US" w:eastAsia="zh-CN"/>
                    </w:rPr>
                    <w:t>3</w:t>
                  </w:r>
                  <w:r>
                    <w:rPr>
                      <w:rFonts w:hint="default"/>
                      <w:b/>
                      <w:bCs/>
                      <w:lang w:val="en-US" w:eastAsia="zh-CN"/>
                    </w:rPr>
                    <w:t>/h</w:t>
                  </w:r>
                </w:p>
              </w:tc>
              <w:tc>
                <w:tcPr>
                  <w:tcW w:w="592"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考虑风力损失设计取值m</w:t>
                  </w:r>
                  <w:r>
                    <w:rPr>
                      <w:rFonts w:hint="default"/>
                      <w:b/>
                      <w:bCs/>
                      <w:vertAlign w:val="superscript"/>
                      <w:lang w:val="en-US" w:eastAsia="zh-CN"/>
                    </w:rPr>
                    <w:t>3</w:t>
                  </w:r>
                  <w:r>
                    <w:rPr>
                      <w:rFonts w:hint="default"/>
                      <w:b/>
                      <w:bCs/>
                      <w:lang w:val="en-US" w:eastAsia="zh-CN"/>
                    </w:rPr>
                    <w:t>/h</w:t>
                  </w:r>
                </w:p>
              </w:tc>
              <w:tc>
                <w:tcPr>
                  <w:tcW w:w="594"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b/>
                      <w:bCs/>
                      <w:lang w:val="en-US" w:eastAsia="zh-CN"/>
                    </w:rPr>
                  </w:pPr>
                  <w:r>
                    <w:rPr>
                      <w:rFonts w:hint="default"/>
                      <w:b/>
                      <w:bCs/>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7"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w:t>
                  </w:r>
                </w:p>
              </w:tc>
              <w:tc>
                <w:tcPr>
                  <w:tcW w:w="584"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DA001</w:t>
                  </w:r>
                </w:p>
              </w:tc>
              <w:tc>
                <w:tcPr>
                  <w:tcW w:w="77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喷砂机</w:t>
                  </w:r>
                </w:p>
              </w:tc>
              <w:tc>
                <w:tcPr>
                  <w:tcW w:w="793"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集气管</w:t>
                  </w:r>
                </w:p>
              </w:tc>
              <w:tc>
                <w:tcPr>
                  <w:tcW w:w="60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1528</w:t>
                  </w:r>
                </w:p>
              </w:tc>
              <w:tc>
                <w:tcPr>
                  <w:tcW w:w="608"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1528</w:t>
                  </w:r>
                </w:p>
              </w:tc>
              <w:tc>
                <w:tcPr>
                  <w:tcW w:w="592"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1800</w:t>
                  </w:r>
                </w:p>
              </w:tc>
              <w:tc>
                <w:tcPr>
                  <w:tcW w:w="594"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7"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bookmarkStart w:id="48" w:name="_Ref15074"/>
                  <w:bookmarkStart w:id="49" w:name="_Ref27304"/>
                  <w:r>
                    <w:rPr>
                      <w:rFonts w:hint="default"/>
                      <w:lang w:val="en-US" w:eastAsia="zh-CN"/>
                    </w:rPr>
                    <w:t>2</w:t>
                  </w:r>
                </w:p>
              </w:tc>
              <w:tc>
                <w:tcPr>
                  <w:tcW w:w="584"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DA002</w:t>
                  </w:r>
                </w:p>
              </w:tc>
              <w:tc>
                <w:tcPr>
                  <w:tcW w:w="77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喷粉间</w:t>
                  </w:r>
                </w:p>
              </w:tc>
              <w:tc>
                <w:tcPr>
                  <w:tcW w:w="793"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密闭负压</w:t>
                  </w:r>
                </w:p>
              </w:tc>
              <w:tc>
                <w:tcPr>
                  <w:tcW w:w="60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6300</w:t>
                  </w:r>
                </w:p>
              </w:tc>
              <w:tc>
                <w:tcPr>
                  <w:tcW w:w="608"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6300</w:t>
                  </w:r>
                </w:p>
              </w:tc>
              <w:tc>
                <w:tcPr>
                  <w:tcW w:w="592"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7000</w:t>
                  </w:r>
                </w:p>
              </w:tc>
              <w:tc>
                <w:tcPr>
                  <w:tcW w:w="594"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7"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3</w:t>
                  </w:r>
                </w:p>
              </w:tc>
              <w:tc>
                <w:tcPr>
                  <w:tcW w:w="584"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DA003</w:t>
                  </w:r>
                </w:p>
              </w:tc>
              <w:tc>
                <w:tcPr>
                  <w:tcW w:w="77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喷粉烘干炉</w:t>
                  </w:r>
                </w:p>
              </w:tc>
              <w:tc>
                <w:tcPr>
                  <w:tcW w:w="793"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集气管</w:t>
                  </w:r>
                </w:p>
              </w:tc>
              <w:tc>
                <w:tcPr>
                  <w:tcW w:w="60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14700</w:t>
                  </w:r>
                </w:p>
              </w:tc>
              <w:tc>
                <w:tcPr>
                  <w:tcW w:w="608"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15240</w:t>
                  </w:r>
                </w:p>
              </w:tc>
              <w:tc>
                <w:tcPr>
                  <w:tcW w:w="592"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15500</w:t>
                  </w:r>
                </w:p>
              </w:tc>
              <w:tc>
                <w:tcPr>
                  <w:tcW w:w="594"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7" w:type="pct"/>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584" w:type="pct"/>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77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烤箱</w:t>
                  </w:r>
                </w:p>
              </w:tc>
              <w:tc>
                <w:tcPr>
                  <w:tcW w:w="793"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集气管</w:t>
                  </w:r>
                </w:p>
              </w:tc>
              <w:tc>
                <w:tcPr>
                  <w:tcW w:w="60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540</w:t>
                  </w:r>
                </w:p>
              </w:tc>
              <w:tc>
                <w:tcPr>
                  <w:tcW w:w="608" w:type="pct"/>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592" w:type="pct"/>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594"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7"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w:t>
                  </w:r>
                </w:p>
              </w:tc>
              <w:tc>
                <w:tcPr>
                  <w:tcW w:w="584"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DA004</w:t>
                  </w:r>
                </w:p>
              </w:tc>
              <w:tc>
                <w:tcPr>
                  <w:tcW w:w="77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调漆工位</w:t>
                  </w:r>
                </w:p>
              </w:tc>
              <w:tc>
                <w:tcPr>
                  <w:tcW w:w="793"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集气罩</w:t>
                  </w:r>
                </w:p>
              </w:tc>
              <w:tc>
                <w:tcPr>
                  <w:tcW w:w="60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4536</w:t>
                  </w:r>
                </w:p>
              </w:tc>
              <w:tc>
                <w:tcPr>
                  <w:tcW w:w="608"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40056</w:t>
                  </w:r>
                </w:p>
              </w:tc>
              <w:tc>
                <w:tcPr>
                  <w:tcW w:w="592"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41000</w:t>
                  </w:r>
                </w:p>
              </w:tc>
              <w:tc>
                <w:tcPr>
                  <w:tcW w:w="594"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7"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5</w:t>
                  </w:r>
                </w:p>
              </w:tc>
              <w:tc>
                <w:tcPr>
                  <w:tcW w:w="584" w:type="pct"/>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77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喷漆柜</w:t>
                  </w:r>
                </w:p>
              </w:tc>
              <w:tc>
                <w:tcPr>
                  <w:tcW w:w="793"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水帘柜集气管</w:t>
                  </w:r>
                </w:p>
              </w:tc>
              <w:tc>
                <w:tcPr>
                  <w:tcW w:w="60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31320</w:t>
                  </w:r>
                </w:p>
              </w:tc>
              <w:tc>
                <w:tcPr>
                  <w:tcW w:w="608" w:type="pct"/>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592" w:type="pct"/>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594"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7"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6</w:t>
                  </w:r>
                </w:p>
              </w:tc>
              <w:tc>
                <w:tcPr>
                  <w:tcW w:w="584" w:type="pct"/>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77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喷漆烘干炉</w:t>
                  </w:r>
                </w:p>
              </w:tc>
              <w:tc>
                <w:tcPr>
                  <w:tcW w:w="793"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集气管</w:t>
                  </w:r>
                </w:p>
              </w:tc>
              <w:tc>
                <w:tcPr>
                  <w:tcW w:w="60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4200</w:t>
                  </w:r>
                </w:p>
              </w:tc>
              <w:tc>
                <w:tcPr>
                  <w:tcW w:w="608" w:type="pct"/>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592" w:type="pct"/>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594"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r>
          </w:tbl>
          <w:p>
            <w:pPr>
              <w:keepNext w:val="0"/>
              <w:keepLines w:val="0"/>
              <w:widowControl/>
              <w:suppressLineNumbers w:val="0"/>
              <w:tabs>
                <w:tab w:val="left" w:pos="360"/>
                <w:tab w:val="left" w:pos="420"/>
              </w:tabs>
              <w:adjustRightInd w:val="0"/>
              <w:snapToGrid w:val="0"/>
              <w:spacing w:before="0" w:beforeAutospacing="0" w:after="0" w:afterAutospacing="0" w:line="240" w:lineRule="auto"/>
              <w:ind w:left="471" w:right="0"/>
              <w:jc w:val="center"/>
              <w:rPr>
                <w:rFonts w:hint="default" w:ascii="Times New Roman" w:hAnsi="Times New Roman" w:eastAsia="宋体" w:cs="Times New Roman"/>
                <w:b/>
                <w:bCs/>
                <w:color w:val="auto"/>
                <w:kern w:val="0"/>
                <w:sz w:val="24"/>
              </w:rPr>
            </w:pPr>
            <w:bookmarkStart w:id="50" w:name="_Ref5370"/>
            <w:r>
              <w:rPr>
                <w:rFonts w:hint="default" w:ascii="Times New Roman" w:hAnsi="Times New Roman" w:eastAsia="宋体" w:cs="Times New Roman"/>
                <w:b/>
                <w:bCs/>
                <w:color w:val="auto"/>
              </w:rPr>
              <w:t xml:space="preserve">表4- </w:t>
            </w:r>
            <w:r>
              <w:rPr>
                <w:rFonts w:hint="default" w:ascii="Times New Roman" w:hAnsi="Times New Roman" w:eastAsia="宋体" w:cs="Times New Roman"/>
                <w:b/>
                <w:bCs/>
                <w:color w:val="auto"/>
              </w:rPr>
              <w:fldChar w:fldCharType="begin"/>
            </w:r>
            <w:r>
              <w:rPr>
                <w:rFonts w:hint="default" w:ascii="Times New Roman" w:hAnsi="Times New Roman" w:eastAsia="宋体" w:cs="Times New Roman"/>
                <w:b/>
                <w:bCs/>
                <w:color w:val="auto"/>
              </w:rPr>
              <w:instrText xml:space="preserve"> SEQ 表4- \* ARABIC </w:instrText>
            </w:r>
            <w:r>
              <w:rPr>
                <w:rFonts w:hint="default" w:ascii="Times New Roman" w:hAnsi="Times New Roman" w:eastAsia="宋体" w:cs="Times New Roman"/>
                <w:b/>
                <w:bCs/>
                <w:color w:val="auto"/>
              </w:rPr>
              <w:fldChar w:fldCharType="separate"/>
            </w:r>
            <w:r>
              <w:rPr>
                <w:rFonts w:hint="default" w:ascii="Times New Roman" w:hAnsi="Times New Roman" w:eastAsia="宋体" w:cs="Times New Roman"/>
                <w:b/>
                <w:bCs/>
                <w:color w:val="auto"/>
              </w:rPr>
              <w:t>9</w:t>
            </w:r>
            <w:r>
              <w:rPr>
                <w:rFonts w:hint="default" w:ascii="Times New Roman" w:hAnsi="Times New Roman" w:eastAsia="宋体" w:cs="Times New Roman"/>
                <w:b/>
                <w:bCs/>
                <w:color w:val="auto"/>
              </w:rPr>
              <w:fldChar w:fldCharType="end"/>
            </w:r>
            <w:bookmarkEnd w:id="47"/>
            <w:bookmarkEnd w:id="48"/>
            <w:bookmarkEnd w:id="49"/>
            <w:bookmarkEnd w:id="50"/>
            <w:r>
              <w:rPr>
                <w:rFonts w:hint="default" w:ascii="Times New Roman" w:hAnsi="Times New Roman" w:eastAsia="宋体" w:cs="Times New Roman"/>
                <w:b/>
                <w:bCs/>
                <w:color w:val="auto"/>
                <w:kern w:val="0"/>
                <w:sz w:val="24"/>
              </w:rPr>
              <w:t>项目有组织和无组织产生情况一览表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55"/>
              <w:gridCol w:w="1119"/>
              <w:gridCol w:w="1229"/>
              <w:gridCol w:w="1053"/>
              <w:gridCol w:w="999"/>
              <w:gridCol w:w="1252"/>
              <w:gridCol w:w="1113"/>
              <w:gridCol w:w="11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排气筒名称</w:t>
                  </w:r>
                </w:p>
              </w:tc>
              <w:tc>
                <w:tcPr>
                  <w:tcW w:w="61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产生工位或设备</w:t>
                  </w: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污染物</w:t>
                  </w:r>
                </w:p>
              </w:tc>
              <w:tc>
                <w:tcPr>
                  <w:tcW w:w="57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产生量t/a</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收集效率</w:t>
                  </w:r>
                </w:p>
              </w:tc>
              <w:tc>
                <w:tcPr>
                  <w:tcW w:w="68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有组织产生量t/a</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无组织产生量t/a</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eastAsia" w:ascii="Times New Roman" w:hAnsi="Times New Roman" w:eastAsia="宋体" w:cs="Times New Roman"/>
                      <w:b/>
                      <w:bCs/>
                      <w:color w:val="auto"/>
                      <w:lang w:val="en-US" w:eastAsia="zh-CN"/>
                    </w:rPr>
                  </w:pPr>
                  <w:r>
                    <w:rPr>
                      <w:rFonts w:hint="eastAsia" w:cs="Times New Roman"/>
                      <w:b/>
                      <w:bCs/>
                      <w:color w:val="auto"/>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eastAsia="zh-CN"/>
                    </w:rPr>
                  </w:pPr>
                  <w:r>
                    <w:rPr>
                      <w:rFonts w:hint="default"/>
                    </w:rPr>
                    <w:t>1#排气筒</w:t>
                  </w:r>
                  <w:r>
                    <w:rPr>
                      <w:rFonts w:hint="default"/>
                      <w:lang w:eastAsia="zh-CN"/>
                    </w:rPr>
                    <w:t>（</w:t>
                  </w:r>
                  <w:r>
                    <w:rPr>
                      <w:rFonts w:hint="default"/>
                      <w:lang w:val="en-US" w:eastAsia="zh-CN"/>
                    </w:rPr>
                    <w:t>DA001</w:t>
                  </w:r>
                  <w:r>
                    <w:rPr>
                      <w:rFonts w:hint="default"/>
                      <w:lang w:eastAsia="zh-CN"/>
                    </w:rPr>
                    <w:t>）</w:t>
                  </w:r>
                </w:p>
              </w:tc>
              <w:tc>
                <w:tcPr>
                  <w:tcW w:w="61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喷砂机</w:t>
                  </w: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颗粒物</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2.15</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95%</w:t>
                  </w:r>
                </w:p>
              </w:tc>
              <w:tc>
                <w:tcPr>
                  <w:tcW w:w="127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rPr>
                  </w:pPr>
                  <w:r>
                    <w:rPr>
                      <w:rFonts w:hint="default"/>
                      <w:lang w:val="en-US" w:eastAsia="zh-CN"/>
                    </w:rPr>
                    <w:t>2.04</w:t>
                  </w:r>
                  <w:r>
                    <w:rPr>
                      <w:rFonts w:hint="eastAsia"/>
                      <w:lang w:val="en-US" w:eastAsia="zh-CN"/>
                    </w:rPr>
                    <w:t>2</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rPr>
                  </w:pPr>
                  <w:r>
                    <w:rPr>
                      <w:rFonts w:hint="default"/>
                      <w:lang w:val="en-US" w:eastAsia="zh-CN"/>
                    </w:rPr>
                    <w:t xml:space="preserve">0.108 </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2</w:t>
                  </w:r>
                  <w:r>
                    <w:rPr>
                      <w:rFonts w:hint="default"/>
                    </w:rPr>
                    <w:t>#排气筒</w:t>
                  </w:r>
                  <w:r>
                    <w:rPr>
                      <w:rFonts w:hint="default"/>
                      <w:lang w:eastAsia="zh-CN"/>
                    </w:rPr>
                    <w:t>（</w:t>
                  </w:r>
                  <w:r>
                    <w:rPr>
                      <w:rFonts w:hint="default"/>
                      <w:lang w:val="en-US" w:eastAsia="zh-CN"/>
                    </w:rPr>
                    <w:t>DA002</w:t>
                  </w:r>
                  <w:r>
                    <w:rPr>
                      <w:rFonts w:hint="default"/>
                      <w:lang w:eastAsia="zh-CN"/>
                    </w:rPr>
                    <w:t>）</w:t>
                  </w:r>
                </w:p>
              </w:tc>
              <w:tc>
                <w:tcPr>
                  <w:tcW w:w="61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喷粉间或喷粉柜</w:t>
                  </w: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颗粒物</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16.23</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95%</w:t>
                  </w:r>
                </w:p>
              </w:tc>
              <w:tc>
                <w:tcPr>
                  <w:tcW w:w="127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15.419 </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0.162 </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沉降粉尘量为0.649t/a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lang w:val="en-US" w:eastAsia="zh-CN"/>
                    </w:rPr>
                    <w:t>3</w:t>
                  </w:r>
                  <w:r>
                    <w:rPr>
                      <w:rFonts w:hint="default"/>
                    </w:rPr>
                    <w:t>#排气筒</w:t>
                  </w:r>
                  <w:r>
                    <w:rPr>
                      <w:rFonts w:hint="default"/>
                      <w:lang w:eastAsia="zh-CN"/>
                    </w:rPr>
                    <w:t>（</w:t>
                  </w:r>
                  <w:r>
                    <w:rPr>
                      <w:rFonts w:hint="default"/>
                      <w:lang w:val="en-US" w:eastAsia="zh-CN"/>
                    </w:rPr>
                    <w:t>DA003</w:t>
                  </w:r>
                  <w:r>
                    <w:rPr>
                      <w:rFonts w:hint="default"/>
                      <w:lang w:eastAsia="zh-CN"/>
                    </w:rPr>
                    <w:t>）</w:t>
                  </w:r>
                </w:p>
              </w:tc>
              <w:tc>
                <w:tcPr>
                  <w:tcW w:w="61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喷粉烘干炉</w:t>
                  </w: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总VOCs</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0.06</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95%</w:t>
                  </w:r>
                </w:p>
              </w:tc>
              <w:tc>
                <w:tcPr>
                  <w:tcW w:w="127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0.057 </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0.003 </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4#排气筒</w:t>
                  </w:r>
                </w:p>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（DA004）</w:t>
                  </w:r>
                </w:p>
              </w:tc>
              <w:tc>
                <w:tcPr>
                  <w:tcW w:w="61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调漆工位</w:t>
                  </w: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总VOCs</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0.089</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60%</w:t>
                  </w:r>
                </w:p>
              </w:tc>
              <w:tc>
                <w:tcPr>
                  <w:tcW w:w="127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0.053 </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0.036 </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614"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喷漆柜</w:t>
                  </w: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颗粒物</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1.90</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80%</w:t>
                  </w:r>
                </w:p>
              </w:tc>
              <w:tc>
                <w:tcPr>
                  <w:tcW w:w="127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1.520</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0.380</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6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总VOCs</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1.15</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80%</w:t>
                  </w:r>
                </w:p>
              </w:tc>
              <w:tc>
                <w:tcPr>
                  <w:tcW w:w="127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0.920 </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0.230 </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61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喷漆烘干炉</w:t>
                  </w: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总VOCs</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0.531</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95%</w:t>
                  </w:r>
                </w:p>
              </w:tc>
              <w:tc>
                <w:tcPr>
                  <w:tcW w:w="127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0.504 </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0.027 </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614"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合计</w:t>
                  </w: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颗粒物</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1.90</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7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1.52</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0.38</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614"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总VOCs</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1.77</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7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1.478 </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0.292 </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85" w:type="pct"/>
                  <w:gridSpan w:val="2"/>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本项目合计</w:t>
                  </w: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颗粒物</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20.28</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7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rPr>
                  </w:pPr>
                  <w:r>
                    <w:rPr>
                      <w:rFonts w:hint="eastAsia"/>
                      <w:lang w:val="en-US" w:eastAsia="zh-CN"/>
                    </w:rPr>
                    <w:t>18.981</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rPr>
                  </w:pPr>
                  <w:r>
                    <w:rPr>
                      <w:rFonts w:hint="eastAsia"/>
                      <w:lang w:val="en-US" w:eastAsia="zh-CN"/>
                    </w:rPr>
                    <w:t>0.650</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85" w:type="pct"/>
                  <w:gridSpan w:val="2"/>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p>
              </w:tc>
              <w:tc>
                <w:tcPr>
                  <w:tcW w:w="67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总VOCs</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1.83</w:t>
                  </w:r>
                </w:p>
              </w:tc>
              <w:tc>
                <w:tcPr>
                  <w:tcW w:w="54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7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1.535 </w:t>
                  </w:r>
                </w:p>
              </w:tc>
              <w:tc>
                <w:tcPr>
                  <w:tcW w:w="1169"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 xml:space="preserve">0.295 </w:t>
                  </w:r>
                </w:p>
              </w:tc>
              <w:tc>
                <w:tcPr>
                  <w:tcW w:w="6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p>
              </w:tc>
            </w:tr>
          </w:tbl>
          <w:p>
            <w:pPr>
              <w:pStyle w:val="53"/>
              <w:keepNext w:val="0"/>
              <w:keepLines w:val="0"/>
              <w:numPr>
                <w:ilvl w:val="0"/>
                <w:numId w:val="17"/>
              </w:numPr>
              <w:suppressLineNumbers w:val="0"/>
              <w:bidi w:val="0"/>
              <w:spacing w:before="0" w:beforeAutospacing="0" w:after="0" w:afterAutospacing="0"/>
              <w:ind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废气处理措施和达标排放情况</w:t>
            </w:r>
          </w:p>
          <w:p>
            <w:pPr>
              <w:keepNext w:val="0"/>
              <w:keepLines w:val="0"/>
              <w:pageBreakBefore w:val="0"/>
              <w:widowControl w:val="0"/>
              <w:numPr>
                <w:ilvl w:val="0"/>
                <w:numId w:val="20"/>
              </w:numPr>
              <w:suppressLineNumbers w:val="0"/>
              <w:kinsoku/>
              <w:wordWrap/>
              <w:overflowPunct/>
              <w:topLinePunct w:val="0"/>
              <w:bidi w:val="0"/>
              <w:adjustRightInd/>
              <w:snapToGrid/>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有组织排放情况分析</w:t>
            </w:r>
          </w:p>
          <w:p>
            <w:pPr>
              <w:keepNext w:val="0"/>
              <w:keepLines w:val="0"/>
              <w:suppressLineNumbers w:val="0"/>
              <w:bidi w:val="0"/>
              <w:adjustRightInd/>
              <w:snapToGrid/>
              <w:spacing w:before="0" w:beforeAutospacing="0" w:after="0" w:afterAutospacing="0"/>
              <w:ind w:left="0" w:right="0"/>
              <w:rPr>
                <w:rFonts w:hint="default" w:ascii="Times New Roman" w:hAnsi="Times New Roman" w:eastAsia="宋体" w:cs="Times New Roman"/>
                <w:color w:val="auto"/>
                <w:lang w:val="en-US" w:eastAsia="zh-CN"/>
              </w:rPr>
            </w:pPr>
            <w:bookmarkStart w:id="51" w:name="分析有组织、无组织排放和达标情况"/>
            <w:r>
              <w:rPr>
                <w:rFonts w:hint="default" w:ascii="Times New Roman" w:hAnsi="Times New Roman" w:eastAsia="宋体" w:cs="Times New Roman"/>
                <w:color w:val="auto"/>
                <w:sz w:val="24"/>
                <w:szCs w:val="21"/>
                <w:lang w:val="en-US" w:eastAsia="zh-CN"/>
              </w:rPr>
              <w:t>项目喷砂产生的颗粒物经“滤筒除尘器”处理设施处理达标后引至15m排气筒（DA001）排放。经处理后颗粒物</w:t>
            </w:r>
            <w:r>
              <w:rPr>
                <w:rFonts w:hint="default" w:ascii="Times New Roman" w:hAnsi="Times New Roman" w:eastAsia="宋体" w:cs="Times New Roman"/>
                <w:color w:val="auto"/>
                <w:highlight w:val="none"/>
                <w:lang w:val="en-US" w:eastAsia="zh-CN"/>
              </w:rPr>
              <w:t>有组织排放量为0.10</w:t>
            </w:r>
            <w:r>
              <w:rPr>
                <w:rFonts w:hint="eastAsia" w:cs="Times New Roman"/>
                <w:color w:val="auto"/>
                <w:highlight w:val="none"/>
                <w:lang w:val="en-US" w:eastAsia="zh-CN"/>
              </w:rPr>
              <w:t>2</w:t>
            </w:r>
            <w:r>
              <w:rPr>
                <w:rFonts w:hint="default" w:ascii="Times New Roman" w:hAnsi="Times New Roman" w:eastAsia="宋体" w:cs="Times New Roman"/>
                <w:color w:val="auto"/>
                <w:highlight w:val="none"/>
                <w:lang w:val="en-US" w:eastAsia="zh-CN"/>
              </w:rPr>
              <w:t>t/a，排放速率</w:t>
            </w:r>
            <w:r>
              <w:rPr>
                <w:rFonts w:hint="eastAsia" w:cs="Times New Roman"/>
                <w:color w:val="auto"/>
                <w:highlight w:val="none"/>
                <w:lang w:val="en-US" w:eastAsia="zh-CN"/>
              </w:rPr>
              <w:t>0.043</w:t>
            </w:r>
            <w:r>
              <w:rPr>
                <w:rFonts w:hint="default" w:ascii="Times New Roman" w:hAnsi="Times New Roman" w:eastAsia="宋体" w:cs="Times New Roman"/>
                <w:color w:val="auto"/>
                <w:highlight w:val="none"/>
                <w:lang w:val="en-US" w:eastAsia="zh-CN"/>
              </w:rPr>
              <w:t>kg/h，排放浓度为</w:t>
            </w:r>
            <w:r>
              <w:rPr>
                <w:rFonts w:hint="eastAsia" w:cs="Times New Roman"/>
                <w:color w:val="auto"/>
                <w:highlight w:val="none"/>
                <w:lang w:val="en-US" w:eastAsia="zh-CN"/>
              </w:rPr>
              <w:t>23.63</w:t>
            </w:r>
            <w:r>
              <w:rPr>
                <w:rFonts w:hint="default" w:ascii="Times New Roman" w:hAnsi="Times New Roman" w:eastAsia="宋体" w:cs="Times New Roman"/>
                <w:color w:val="auto"/>
                <w:highlight w:val="none"/>
                <w:lang w:val="en-US" w:eastAsia="zh-CN"/>
              </w:rPr>
              <w:t>mg/m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vertAlign w:val="baseline"/>
                <w:lang w:val="en-US" w:eastAsia="zh-CN"/>
              </w:rPr>
              <w:t>。DA001废气排放颗粒物满足</w:t>
            </w:r>
            <w:r>
              <w:rPr>
                <w:rFonts w:hint="default" w:ascii="Times New Roman" w:hAnsi="Times New Roman" w:eastAsia="宋体" w:cs="Times New Roman"/>
                <w:color w:val="auto"/>
                <w:lang w:eastAsia="zh-CN"/>
              </w:rPr>
              <w:t>《大气污染物排放限值》（DB44</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lang w:eastAsia="zh-CN"/>
              </w:rPr>
              <w:t>27-2001)</w:t>
            </w:r>
            <w:r>
              <w:rPr>
                <w:rFonts w:hint="default" w:ascii="Times New Roman" w:hAnsi="Times New Roman" w:eastAsia="宋体" w:cs="Times New Roman"/>
                <w:color w:val="auto"/>
                <w:lang w:val="en-US" w:eastAsia="zh-CN"/>
              </w:rPr>
              <w:t>第二时段二级标准。</w:t>
            </w:r>
          </w:p>
          <w:p>
            <w:pPr>
              <w:keepNext w:val="0"/>
              <w:keepLines w:val="0"/>
              <w:suppressLineNumbers w:val="0"/>
              <w:bidi w:val="0"/>
              <w:adjustRightInd/>
              <w:snapToGrid/>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szCs w:val="21"/>
                <w:lang w:val="en-US" w:eastAsia="zh-CN"/>
              </w:rPr>
              <w:t>项目喷粉产生的颗粒物经“滤筒式粉末回收机”处理设施处理达标后引至15m排气筒（DA002）排放。经处理后颗粒物</w:t>
            </w:r>
            <w:r>
              <w:rPr>
                <w:rFonts w:hint="default" w:ascii="Times New Roman" w:hAnsi="Times New Roman" w:eastAsia="宋体" w:cs="Times New Roman"/>
                <w:color w:val="auto"/>
                <w:highlight w:val="none"/>
                <w:lang w:val="en-US" w:eastAsia="zh-CN"/>
              </w:rPr>
              <w:t>有组织排放量为</w:t>
            </w:r>
            <w:r>
              <w:rPr>
                <w:rFonts w:hint="eastAsia" w:cs="Times New Roman"/>
                <w:color w:val="auto"/>
                <w:highlight w:val="none"/>
                <w:lang w:val="en-US" w:eastAsia="zh-CN"/>
              </w:rPr>
              <w:t>0.771</w:t>
            </w:r>
            <w:r>
              <w:rPr>
                <w:rFonts w:hint="default" w:ascii="Times New Roman" w:hAnsi="Times New Roman" w:eastAsia="宋体" w:cs="Times New Roman"/>
                <w:color w:val="auto"/>
                <w:highlight w:val="none"/>
                <w:lang w:val="en-US" w:eastAsia="zh-CN"/>
              </w:rPr>
              <w:t>t/a，排放速率0.3</w:t>
            </w:r>
            <w:r>
              <w:rPr>
                <w:rFonts w:hint="eastAsia" w:cs="Times New Roman"/>
                <w:color w:val="auto"/>
                <w:highlight w:val="none"/>
                <w:lang w:val="en-US" w:eastAsia="zh-CN"/>
              </w:rPr>
              <w:t>2</w:t>
            </w:r>
            <w:r>
              <w:rPr>
                <w:rFonts w:hint="default" w:ascii="Times New Roman" w:hAnsi="Times New Roman" w:eastAsia="宋体" w:cs="Times New Roman"/>
                <w:color w:val="auto"/>
                <w:highlight w:val="none"/>
                <w:lang w:val="en-US" w:eastAsia="zh-CN"/>
              </w:rPr>
              <w:t>1kg/h，排放浓度为</w:t>
            </w:r>
            <w:r>
              <w:rPr>
                <w:rFonts w:hint="eastAsia" w:cs="Times New Roman"/>
                <w:color w:val="auto"/>
                <w:highlight w:val="none"/>
                <w:lang w:val="en-US" w:eastAsia="zh-CN"/>
              </w:rPr>
              <w:t>45.89</w:t>
            </w:r>
            <w:r>
              <w:rPr>
                <w:rFonts w:hint="default" w:ascii="Times New Roman" w:hAnsi="Times New Roman" w:eastAsia="宋体" w:cs="Times New Roman"/>
                <w:color w:val="auto"/>
                <w:highlight w:val="none"/>
                <w:lang w:val="en-US" w:eastAsia="zh-CN"/>
              </w:rPr>
              <w:t>mg/m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vertAlign w:val="baseline"/>
                <w:lang w:val="en-US" w:eastAsia="zh-CN"/>
              </w:rPr>
              <w:t>。DA002废气排放颗粒物满足</w:t>
            </w:r>
            <w:r>
              <w:rPr>
                <w:rFonts w:hint="default" w:ascii="Times New Roman" w:hAnsi="Times New Roman" w:eastAsia="宋体" w:cs="Times New Roman"/>
                <w:color w:val="auto"/>
                <w:lang w:eastAsia="zh-CN"/>
              </w:rPr>
              <w:t>《大气污染物排放限值》（DB44</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lang w:eastAsia="zh-CN"/>
              </w:rPr>
              <w:t>27-2001)</w:t>
            </w:r>
            <w:r>
              <w:rPr>
                <w:rFonts w:hint="default" w:ascii="Times New Roman" w:hAnsi="Times New Roman" w:eastAsia="宋体" w:cs="Times New Roman"/>
                <w:color w:val="auto"/>
                <w:lang w:val="en-US" w:eastAsia="zh-CN"/>
              </w:rPr>
              <w:t>第二时段二级标准。</w:t>
            </w:r>
          </w:p>
          <w:p>
            <w:pPr>
              <w:keepNext w:val="0"/>
              <w:keepLines w:val="0"/>
              <w:suppressLineNumbers w:val="0"/>
              <w:bidi w:val="0"/>
              <w:adjustRightInd/>
              <w:snapToGrid/>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szCs w:val="21"/>
                <w:lang w:val="en-US" w:eastAsia="zh-CN"/>
              </w:rPr>
              <w:t>项目喷粉后烘干产生的总VOCs经“水喷淋塔+活性炭吸附装置”处理设施处理达标后引至15m排气筒（DA003）排放。经处理后总VOCs</w:t>
            </w:r>
            <w:r>
              <w:rPr>
                <w:rFonts w:hint="default" w:ascii="Times New Roman" w:hAnsi="Times New Roman" w:eastAsia="宋体" w:cs="Times New Roman"/>
                <w:color w:val="auto"/>
                <w:highlight w:val="none"/>
                <w:lang w:val="en-US" w:eastAsia="zh-CN"/>
              </w:rPr>
              <w:t>有组织排放量为</w:t>
            </w:r>
            <w:r>
              <w:rPr>
                <w:rFonts w:hint="eastAsia" w:cs="Times New Roman"/>
                <w:color w:val="auto"/>
                <w:highlight w:val="none"/>
                <w:lang w:val="en-US" w:eastAsia="zh-CN"/>
              </w:rPr>
              <w:t>0.026</w:t>
            </w:r>
            <w:r>
              <w:rPr>
                <w:rFonts w:hint="default" w:ascii="Times New Roman" w:hAnsi="Times New Roman" w:eastAsia="宋体" w:cs="Times New Roman"/>
                <w:color w:val="auto"/>
                <w:highlight w:val="none"/>
                <w:lang w:val="en-US" w:eastAsia="zh-CN"/>
              </w:rPr>
              <w:t>t/a，排放速率0.01</w:t>
            </w:r>
            <w:r>
              <w:rPr>
                <w:rFonts w:hint="eastAsia" w:cs="Times New Roman"/>
                <w:color w:val="auto"/>
                <w:highlight w:val="none"/>
                <w:lang w:val="en-US" w:eastAsia="zh-CN"/>
              </w:rPr>
              <w:t>1</w:t>
            </w:r>
            <w:r>
              <w:rPr>
                <w:rFonts w:hint="default" w:ascii="Times New Roman" w:hAnsi="Times New Roman" w:eastAsia="宋体" w:cs="Times New Roman"/>
                <w:color w:val="auto"/>
                <w:highlight w:val="none"/>
                <w:lang w:val="en-US" w:eastAsia="zh-CN"/>
              </w:rPr>
              <w:t>kg/h，排放浓度为</w:t>
            </w:r>
            <w:r>
              <w:rPr>
                <w:rFonts w:hint="eastAsia" w:cs="Times New Roman"/>
                <w:color w:val="auto"/>
                <w:highlight w:val="none"/>
                <w:lang w:val="en-US" w:eastAsia="zh-CN"/>
              </w:rPr>
              <w:t>0.69</w:t>
            </w:r>
            <w:r>
              <w:rPr>
                <w:rFonts w:hint="default" w:ascii="Times New Roman" w:hAnsi="Times New Roman" w:eastAsia="宋体" w:cs="Times New Roman"/>
                <w:color w:val="auto"/>
                <w:highlight w:val="none"/>
                <w:lang w:val="en-US" w:eastAsia="zh-CN"/>
              </w:rPr>
              <w:t>mg/m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vertAlign w:val="baseline"/>
                <w:lang w:val="en-US" w:eastAsia="zh-CN"/>
              </w:rPr>
              <w:t>。DA003废气排放总VOCs满足</w:t>
            </w:r>
            <w:r>
              <w:rPr>
                <w:rFonts w:hint="default" w:ascii="Times New Roman" w:hAnsi="Times New Roman" w:eastAsia="宋体" w:cs="Times New Roman"/>
                <w:b w:val="0"/>
                <w:bCs w:val="0"/>
                <w:color w:val="auto"/>
              </w:rPr>
              <w:t>《固定污染源挥发性有机物综合排放标准》（DB44</w:t>
            </w:r>
            <w:r>
              <w:rPr>
                <w:rFonts w:hint="default" w:ascii="Times New Roman" w:hAnsi="Times New Roman" w:eastAsia="宋体" w:cs="Times New Roman"/>
                <w:b w:val="0"/>
                <w:bCs w:val="0"/>
                <w:color w:val="auto"/>
                <w:lang w:val="en-US" w:eastAsia="zh-CN"/>
              </w:rPr>
              <w:t>/</w:t>
            </w:r>
            <w:r>
              <w:rPr>
                <w:rFonts w:hint="default" w:ascii="Times New Roman" w:hAnsi="Times New Roman" w:eastAsia="宋体" w:cs="Times New Roman"/>
                <w:b w:val="0"/>
                <w:bCs w:val="0"/>
                <w:color w:val="auto"/>
              </w:rPr>
              <w:t>2367—2022）</w:t>
            </w:r>
            <w:r>
              <w:rPr>
                <w:rFonts w:hint="default" w:ascii="Times New Roman" w:hAnsi="Times New Roman" w:eastAsia="宋体" w:cs="Times New Roman"/>
                <w:b w:val="0"/>
                <w:bCs w:val="0"/>
                <w:color w:val="auto"/>
                <w:lang w:val="en-US" w:eastAsia="zh-CN"/>
              </w:rPr>
              <w:t>的排放限值</w:t>
            </w:r>
            <w:r>
              <w:rPr>
                <w:rFonts w:hint="default" w:ascii="Times New Roman" w:hAnsi="Times New Roman" w:eastAsia="宋体" w:cs="Times New Roman"/>
                <w:color w:val="auto"/>
                <w:lang w:val="en-US" w:eastAsia="zh-CN"/>
              </w:rPr>
              <w:t>。</w:t>
            </w:r>
          </w:p>
          <w:p>
            <w:pPr>
              <w:keepNext w:val="0"/>
              <w:keepLines w:val="0"/>
              <w:suppressLineNumbers w:val="0"/>
              <w:bidi w:val="0"/>
              <w:adjustRightInd/>
              <w:snapToGrid/>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szCs w:val="21"/>
                <w:lang w:val="en-US" w:eastAsia="zh-CN"/>
              </w:rPr>
              <w:t>项目喷漆产生的颗粒物和总VOCs经“水喷淋塔+二级活性炭吸附装置”处理设施处理达标后引至15m排气筒（DA004）排放。经处理后颗粒物</w:t>
            </w:r>
            <w:r>
              <w:rPr>
                <w:rFonts w:hint="default" w:ascii="Times New Roman" w:hAnsi="Times New Roman" w:eastAsia="宋体" w:cs="Times New Roman"/>
                <w:color w:val="auto"/>
                <w:highlight w:val="none"/>
                <w:lang w:val="en-US" w:eastAsia="zh-CN"/>
              </w:rPr>
              <w:t>有组织排放量为</w:t>
            </w:r>
            <w:r>
              <w:rPr>
                <w:rFonts w:hint="eastAsia" w:cs="Times New Roman"/>
                <w:color w:val="auto"/>
                <w:highlight w:val="none"/>
                <w:lang w:val="en-US" w:eastAsia="zh-CN"/>
              </w:rPr>
              <w:t>0.228</w:t>
            </w:r>
            <w:r>
              <w:rPr>
                <w:rFonts w:hint="default" w:ascii="Times New Roman" w:hAnsi="Times New Roman" w:eastAsia="宋体" w:cs="Times New Roman"/>
                <w:color w:val="auto"/>
                <w:highlight w:val="none"/>
                <w:lang w:val="en-US" w:eastAsia="zh-CN"/>
              </w:rPr>
              <w:t>t/a，排放速率</w:t>
            </w:r>
            <w:r>
              <w:rPr>
                <w:rFonts w:hint="eastAsia" w:cs="Times New Roman"/>
                <w:color w:val="auto"/>
                <w:highlight w:val="none"/>
                <w:lang w:val="en-US" w:eastAsia="zh-CN"/>
              </w:rPr>
              <w:t>0.095</w:t>
            </w:r>
            <w:r>
              <w:rPr>
                <w:rFonts w:hint="default" w:ascii="Times New Roman" w:hAnsi="Times New Roman" w:eastAsia="宋体" w:cs="Times New Roman"/>
                <w:color w:val="auto"/>
                <w:highlight w:val="none"/>
                <w:lang w:val="en-US" w:eastAsia="zh-CN"/>
              </w:rPr>
              <w:t>kg/h，排放浓度为</w:t>
            </w:r>
            <w:r>
              <w:rPr>
                <w:rFonts w:hint="eastAsia" w:cs="Times New Roman"/>
                <w:color w:val="auto"/>
                <w:highlight w:val="none"/>
                <w:lang w:val="en-US" w:eastAsia="zh-CN"/>
              </w:rPr>
              <w:t>2.32</w:t>
            </w:r>
            <w:r>
              <w:rPr>
                <w:rFonts w:hint="default" w:ascii="Times New Roman" w:hAnsi="Times New Roman" w:eastAsia="宋体" w:cs="Times New Roman"/>
                <w:color w:val="auto"/>
                <w:highlight w:val="none"/>
                <w:lang w:val="en-US" w:eastAsia="zh-CN"/>
              </w:rPr>
              <w:t>mg/m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vertAlign w:val="baseline"/>
                <w:lang w:val="en-US" w:eastAsia="zh-CN"/>
              </w:rPr>
              <w:t>。</w:t>
            </w:r>
            <w:r>
              <w:rPr>
                <w:rFonts w:hint="default" w:ascii="Times New Roman" w:hAnsi="Times New Roman" w:eastAsia="宋体" w:cs="Times New Roman"/>
                <w:color w:val="auto"/>
                <w:sz w:val="24"/>
                <w:szCs w:val="21"/>
                <w:lang w:val="en-US" w:eastAsia="zh-CN"/>
              </w:rPr>
              <w:t>总VOCs</w:t>
            </w:r>
            <w:r>
              <w:rPr>
                <w:rFonts w:hint="default" w:ascii="Times New Roman" w:hAnsi="Times New Roman" w:eastAsia="宋体" w:cs="Times New Roman"/>
                <w:color w:val="auto"/>
                <w:highlight w:val="none"/>
                <w:lang w:val="en-US" w:eastAsia="zh-CN"/>
              </w:rPr>
              <w:t>有组织排放量为</w:t>
            </w:r>
            <w:r>
              <w:rPr>
                <w:rFonts w:hint="eastAsia" w:cs="Times New Roman"/>
                <w:color w:val="auto"/>
                <w:highlight w:val="none"/>
                <w:lang w:val="en-US" w:eastAsia="zh-CN"/>
              </w:rPr>
              <w:t>0.296</w:t>
            </w:r>
            <w:r>
              <w:rPr>
                <w:rFonts w:hint="default" w:ascii="Times New Roman" w:hAnsi="Times New Roman" w:eastAsia="宋体" w:cs="Times New Roman"/>
                <w:color w:val="auto"/>
                <w:highlight w:val="none"/>
                <w:lang w:val="en-US" w:eastAsia="zh-CN"/>
              </w:rPr>
              <w:t>t/a，排放速率</w:t>
            </w:r>
            <w:r>
              <w:rPr>
                <w:rFonts w:hint="eastAsia" w:cs="Times New Roman"/>
                <w:color w:val="auto"/>
                <w:highlight w:val="none"/>
                <w:lang w:val="en-US" w:eastAsia="zh-CN"/>
              </w:rPr>
              <w:t>0.123</w:t>
            </w:r>
            <w:r>
              <w:rPr>
                <w:rFonts w:hint="default" w:ascii="Times New Roman" w:hAnsi="Times New Roman" w:eastAsia="宋体" w:cs="Times New Roman"/>
                <w:color w:val="auto"/>
                <w:highlight w:val="none"/>
                <w:lang w:val="en-US" w:eastAsia="zh-CN"/>
              </w:rPr>
              <w:t>kg/h，排放浓度为</w:t>
            </w:r>
            <w:r>
              <w:rPr>
                <w:rFonts w:hint="eastAsia" w:cs="Times New Roman"/>
                <w:color w:val="auto"/>
                <w:highlight w:val="none"/>
                <w:lang w:val="en-US" w:eastAsia="zh-CN"/>
              </w:rPr>
              <w:t>3.00</w:t>
            </w:r>
            <w:r>
              <w:rPr>
                <w:rFonts w:hint="default" w:ascii="Times New Roman" w:hAnsi="Times New Roman" w:eastAsia="宋体" w:cs="Times New Roman"/>
                <w:color w:val="auto"/>
                <w:highlight w:val="none"/>
                <w:lang w:val="en-US" w:eastAsia="zh-CN"/>
              </w:rPr>
              <w:t>mg/m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vertAlign w:val="baseline"/>
                <w:lang w:val="en-US" w:eastAsia="zh-CN"/>
              </w:rPr>
              <w:t>。DA004废气排放总VOCs满足</w:t>
            </w:r>
            <w:r>
              <w:rPr>
                <w:rFonts w:hint="default" w:ascii="Times New Roman" w:hAnsi="Times New Roman" w:eastAsia="宋体" w:cs="Times New Roman"/>
                <w:b w:val="0"/>
                <w:bCs w:val="0"/>
                <w:color w:val="auto"/>
              </w:rPr>
              <w:t>《固定污染源挥发性有机物综合排放标准》（DB44</w:t>
            </w:r>
            <w:r>
              <w:rPr>
                <w:rFonts w:hint="default" w:ascii="Times New Roman" w:hAnsi="Times New Roman" w:eastAsia="宋体" w:cs="Times New Roman"/>
                <w:b w:val="0"/>
                <w:bCs w:val="0"/>
                <w:color w:val="auto"/>
                <w:lang w:val="en-US" w:eastAsia="zh-CN"/>
              </w:rPr>
              <w:t>/</w:t>
            </w:r>
            <w:r>
              <w:rPr>
                <w:rFonts w:hint="default" w:ascii="Times New Roman" w:hAnsi="Times New Roman" w:eastAsia="宋体" w:cs="Times New Roman"/>
                <w:b w:val="0"/>
                <w:bCs w:val="0"/>
                <w:color w:val="auto"/>
              </w:rPr>
              <w:t>2367—2022）</w:t>
            </w:r>
            <w:r>
              <w:rPr>
                <w:rFonts w:hint="default" w:ascii="Times New Roman" w:hAnsi="Times New Roman" w:eastAsia="宋体" w:cs="Times New Roman"/>
                <w:b w:val="0"/>
                <w:bCs w:val="0"/>
                <w:color w:val="auto"/>
                <w:lang w:val="en-US" w:eastAsia="zh-CN"/>
              </w:rPr>
              <w:t>的排放限值</w:t>
            </w:r>
            <w:r>
              <w:rPr>
                <w:rFonts w:hint="default" w:ascii="Times New Roman" w:hAnsi="Times New Roman" w:eastAsia="宋体" w:cs="Times New Roman"/>
                <w:color w:val="auto"/>
                <w:lang w:val="en-US" w:eastAsia="zh-CN"/>
              </w:rPr>
              <w:t>。</w:t>
            </w:r>
          </w:p>
          <w:bookmarkEnd w:id="51"/>
          <w:p>
            <w:pPr>
              <w:keepNext w:val="0"/>
              <w:keepLines w:val="0"/>
              <w:pageBreakBefore w:val="0"/>
              <w:widowControl w:val="0"/>
              <w:numPr>
                <w:ilvl w:val="0"/>
                <w:numId w:val="20"/>
              </w:numPr>
              <w:suppressLineNumbers w:val="0"/>
              <w:kinsoku/>
              <w:wordWrap/>
              <w:overflowPunct/>
              <w:topLinePunct w:val="0"/>
              <w:bidi w:val="0"/>
              <w:adjustRightInd/>
              <w:snapToGrid/>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无组织排放情况分析</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项目未收集的颗粒物以无组织形式排放于车间内，颗粒物无组织排放量为</w:t>
            </w:r>
            <w:r>
              <w:rPr>
                <w:rFonts w:hint="eastAsia" w:cs="Times New Roman"/>
                <w:color w:val="auto"/>
                <w:lang w:val="en-US" w:eastAsia="zh-CN"/>
              </w:rPr>
              <w:t>0.65</w:t>
            </w:r>
            <w:r>
              <w:rPr>
                <w:rFonts w:hint="default" w:ascii="Times New Roman" w:hAnsi="Times New Roman" w:eastAsia="宋体" w:cs="Times New Roman"/>
                <w:color w:val="auto"/>
                <w:lang w:val="en-US" w:eastAsia="zh-CN"/>
              </w:rPr>
              <w:t>t/a，排放速率为</w:t>
            </w:r>
            <w:r>
              <w:rPr>
                <w:rFonts w:hint="eastAsia" w:cs="Times New Roman"/>
                <w:color w:val="auto"/>
                <w:lang w:val="en-US" w:eastAsia="zh-CN"/>
              </w:rPr>
              <w:t>0.271</w:t>
            </w:r>
            <w:r>
              <w:rPr>
                <w:rFonts w:hint="default" w:ascii="Times New Roman" w:hAnsi="Times New Roman" w:eastAsia="宋体" w:cs="Times New Roman"/>
                <w:color w:val="auto"/>
                <w:lang w:val="en-US" w:eastAsia="zh-CN"/>
              </w:rPr>
              <w:t>kg/h；项目未收集到的总VOCs以无组织形式排放于车间内，总VOCs无组织排放量为</w:t>
            </w:r>
            <w:r>
              <w:rPr>
                <w:rFonts w:hint="eastAsia" w:cs="Times New Roman"/>
                <w:color w:val="auto"/>
                <w:lang w:val="en-US" w:eastAsia="zh-CN"/>
              </w:rPr>
              <w:t>0.295</w:t>
            </w:r>
            <w:r>
              <w:rPr>
                <w:rFonts w:hint="default" w:ascii="Times New Roman" w:hAnsi="Times New Roman" w:eastAsia="宋体" w:cs="Times New Roman"/>
                <w:color w:val="auto"/>
                <w:lang w:val="en-US" w:eastAsia="zh-CN"/>
              </w:rPr>
              <w:t>t/a，排放速率为</w:t>
            </w:r>
            <w:r>
              <w:rPr>
                <w:rFonts w:hint="eastAsia" w:cs="Times New Roman"/>
                <w:color w:val="auto"/>
                <w:lang w:val="en-US" w:eastAsia="zh-CN"/>
              </w:rPr>
              <w:t>0.123</w:t>
            </w:r>
            <w:r>
              <w:rPr>
                <w:rFonts w:hint="default" w:ascii="Times New Roman" w:hAnsi="Times New Roman" w:eastAsia="宋体" w:cs="Times New Roman"/>
                <w:color w:val="auto"/>
                <w:lang w:val="en-US" w:eastAsia="zh-CN"/>
              </w:rPr>
              <w:t>kg/h；厂区内VOCs无组织排放满足《固定污染源挥发性有机物综合排放标准》（DB44/2367-2022）表3排放限值，厂界TVOC满足</w:t>
            </w:r>
            <w:r>
              <w:rPr>
                <w:rFonts w:hint="default" w:ascii="Times New Roman" w:hAnsi="Times New Roman" w:eastAsia="宋体" w:cs="Times New Roman"/>
                <w:b w:val="0"/>
                <w:bCs w:val="0"/>
                <w:color w:val="auto"/>
                <w:lang w:val="en-US" w:eastAsia="zh-CN"/>
              </w:rPr>
              <w:t>《家具制造行业挥发性有机化合物排放标准》（DB 44/814-2010）的排放限值；厂界</w:t>
            </w:r>
            <w:r>
              <w:rPr>
                <w:rFonts w:hint="default" w:ascii="Times New Roman" w:hAnsi="Times New Roman" w:eastAsia="宋体" w:cs="Times New Roman"/>
                <w:color w:val="auto"/>
                <w:lang w:val="en-US" w:eastAsia="zh-CN"/>
              </w:rPr>
              <w:t>颗粒物无组织排放满足</w:t>
            </w:r>
            <w:r>
              <w:rPr>
                <w:rFonts w:hint="default" w:ascii="Times New Roman" w:hAnsi="Times New Roman" w:eastAsia="宋体" w:cs="Times New Roman"/>
                <w:color w:val="auto"/>
                <w:lang w:eastAsia="zh-CN"/>
              </w:rPr>
              <w:t>《大气污染物排放限值》（DB44</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lang w:eastAsia="zh-CN"/>
              </w:rPr>
              <w:t>27-2001)</w:t>
            </w:r>
            <w:r>
              <w:rPr>
                <w:rFonts w:hint="default" w:ascii="Times New Roman" w:hAnsi="Times New Roman" w:eastAsia="宋体" w:cs="Times New Roman"/>
                <w:color w:val="auto"/>
                <w:lang w:val="en-US" w:eastAsia="zh-CN"/>
              </w:rPr>
              <w:t>第二时段无组织排放监控浓</w:t>
            </w:r>
          </w:p>
        </w:tc>
      </w:tr>
    </w:tbl>
    <w:p>
      <w:pPr>
        <w:pStyle w:val="7"/>
        <w:ind w:left="0" w:leftChars="0" w:firstLine="0" w:firstLineChars="0"/>
        <w:rPr>
          <w:rFonts w:hint="default" w:ascii="Times New Roman" w:hAnsi="Times New Roman" w:eastAsia="宋体" w:cs="Times New Roman"/>
          <w:color w:val="auto"/>
        </w:rPr>
        <w:sectPr>
          <w:pgSz w:w="11907" w:h="16840"/>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420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35" w:hRule="atLeast"/>
          <w:jc w:val="center"/>
        </w:trPr>
        <w:tc>
          <w:tcPr>
            <w:tcW w:w="171" w:type="pct"/>
            <w:noWrap w:val="0"/>
            <w:tcMar>
              <w:left w:w="28" w:type="dxa"/>
              <w:right w:w="28" w:type="dxa"/>
            </w:tcMar>
            <w:vAlign w:val="center"/>
          </w:tcPr>
          <w:p>
            <w:pPr>
              <w:pStyle w:val="54"/>
              <w:keepNext w:val="0"/>
              <w:keepLines w:val="0"/>
              <w:suppressLineNumbers w:val="0"/>
              <w:adjustRightInd w:val="0"/>
              <w:snapToGrid w:val="0"/>
              <w:spacing w:before="0" w:before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bCs/>
                <w:color w:val="auto"/>
              </w:rPr>
              <w:t>运</w:t>
            </w:r>
            <w:r>
              <w:rPr>
                <w:rFonts w:hint="default" w:ascii="Times New Roman" w:hAnsi="Times New Roman" w:eastAsia="宋体" w:cs="Times New Roman"/>
                <w:color w:val="auto"/>
              </w:rPr>
              <w:t>营</w:t>
            </w:r>
          </w:p>
          <w:p>
            <w:pPr>
              <w:pStyle w:val="54"/>
              <w:keepNext w:val="0"/>
              <w:keepLines w:val="0"/>
              <w:suppressLineNumbers w:val="0"/>
              <w:adjustRightInd w:val="0"/>
              <w:snapToGrid w:val="0"/>
              <w:spacing w:before="0" w:before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期环</w:t>
            </w:r>
          </w:p>
          <w:p>
            <w:pPr>
              <w:pStyle w:val="54"/>
              <w:keepNext w:val="0"/>
              <w:keepLines w:val="0"/>
              <w:suppressLineNumbers w:val="0"/>
              <w:adjustRightInd w:val="0"/>
              <w:snapToGrid w:val="0"/>
              <w:spacing w:before="0" w:before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境影</w:t>
            </w:r>
          </w:p>
          <w:p>
            <w:pPr>
              <w:pStyle w:val="54"/>
              <w:keepNext w:val="0"/>
              <w:keepLines w:val="0"/>
              <w:suppressLineNumbers w:val="0"/>
              <w:adjustRightInd w:val="0"/>
              <w:snapToGrid w:val="0"/>
              <w:spacing w:before="0" w:before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响和</w:t>
            </w:r>
          </w:p>
          <w:p>
            <w:pPr>
              <w:pStyle w:val="54"/>
              <w:keepNext w:val="0"/>
              <w:keepLines w:val="0"/>
              <w:suppressLineNumbers w:val="0"/>
              <w:adjustRightInd w:val="0"/>
              <w:snapToGrid w:val="0"/>
              <w:spacing w:before="0" w:before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保护</w:t>
            </w:r>
          </w:p>
          <w:p>
            <w:pPr>
              <w:pStyle w:val="54"/>
              <w:keepNext w:val="0"/>
              <w:keepLines w:val="0"/>
              <w:suppressLineNumbers w:val="0"/>
              <w:adjustRightInd w:val="0"/>
              <w:snapToGrid w:val="0"/>
              <w:spacing w:before="0" w:beforeAutospacing="0"/>
              <w:ind w:left="0" w:right="0"/>
              <w:jc w:val="center"/>
              <w:rPr>
                <w:rFonts w:hint="default" w:ascii="Times New Roman" w:hAnsi="Times New Roman" w:eastAsia="宋体" w:cs="Times New Roman"/>
                <w:bCs/>
                <w:color w:val="auto"/>
              </w:rPr>
            </w:pPr>
            <w:r>
              <w:rPr>
                <w:rFonts w:hint="default" w:ascii="Times New Roman" w:hAnsi="Times New Roman" w:eastAsia="宋体" w:cs="Times New Roman"/>
                <w:color w:val="auto"/>
              </w:rPr>
              <w:t>措施</w:t>
            </w:r>
          </w:p>
        </w:tc>
        <w:tc>
          <w:tcPr>
            <w:tcW w:w="4828" w:type="pct"/>
            <w:noWrap w:val="0"/>
            <w:vAlign w:val="center"/>
          </w:tcPr>
          <w:p>
            <w:pPr>
              <w:pStyle w:val="57"/>
              <w:keepNext w:val="0"/>
              <w:keepLines w:val="0"/>
              <w:numPr>
                <w:ilvl w:val="0"/>
                <w:numId w:val="0"/>
              </w:numPr>
              <w:suppressLineNumbers w:val="0"/>
              <w:bidi w:val="0"/>
              <w:spacing w:before="0" w:beforeAutospacing="0" w:after="0" w:afterAutospacing="0"/>
              <w:ind w:left="0" w:right="0"/>
              <w:rPr>
                <w:rFonts w:hint="default"/>
              </w:rPr>
            </w:pPr>
            <w:r>
              <w:rPr>
                <w:rFonts w:hint="default"/>
              </w:rPr>
              <w:t>度限值。</w:t>
            </w:r>
          </w:p>
          <w:p>
            <w:pPr>
              <w:pStyle w:val="7"/>
              <w:keepNext w:val="0"/>
              <w:keepLines w:val="0"/>
              <w:numPr>
                <w:ilvl w:val="0"/>
                <w:numId w:val="17"/>
              </w:numPr>
              <w:suppressLineNumbers w:val="0"/>
              <w:spacing w:before="0" w:beforeAutospacing="0" w:after="0" w:afterAutospacing="0"/>
              <w:ind w:left="0" w:right="0" w:firstLine="397" w:firstLineChars="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排放口设置情况：</w:t>
            </w:r>
          </w:p>
          <w:p>
            <w:pPr>
              <w:keepNext w:val="0"/>
              <w:keepLines w:val="0"/>
              <w:suppressLineNumbers w:val="0"/>
              <w:adjustRightInd w:val="0"/>
              <w:spacing w:before="0" w:beforeAutospacing="0" w:after="0" w:afterAutospacing="0" w:line="360" w:lineRule="auto"/>
              <w:ind w:left="480" w:leftChars="200" w:right="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项目大气排放口基本情况详见</w:t>
            </w: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REF _Ref17676 \h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rPr>
              <w:t>表4- 10</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b/>
                <w:color w:val="auto"/>
                <w:kern w:val="0"/>
                <w:sz w:val="24"/>
              </w:rPr>
            </w:pPr>
            <w:bookmarkStart w:id="52" w:name="_Ref17676"/>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w:t>
            </w:r>
            <w:r>
              <w:rPr>
                <w:rFonts w:hint="default" w:ascii="Times New Roman" w:hAnsi="Times New Roman" w:eastAsia="宋体" w:cs="Times New Roman"/>
                <w:color w:val="auto"/>
              </w:rPr>
              <w:fldChar w:fldCharType="end"/>
            </w:r>
            <w:bookmarkEnd w:id="52"/>
            <w:r>
              <w:rPr>
                <w:rFonts w:hint="default" w:ascii="Times New Roman" w:hAnsi="Times New Roman" w:eastAsia="宋体" w:cs="Times New Roman"/>
                <w:b/>
                <w:color w:val="auto"/>
                <w:kern w:val="0"/>
                <w:sz w:val="24"/>
              </w:rPr>
              <w:t>项目大气排放口基本情况表</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8"/>
              <w:gridCol w:w="672"/>
              <w:gridCol w:w="795"/>
              <w:gridCol w:w="1274"/>
              <w:gridCol w:w="1441"/>
              <w:gridCol w:w="1349"/>
              <w:gridCol w:w="812"/>
              <w:gridCol w:w="812"/>
              <w:gridCol w:w="848"/>
              <w:gridCol w:w="761"/>
              <w:gridCol w:w="2108"/>
              <w:gridCol w:w="1220"/>
              <w:gridCol w:w="10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03"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排放口编号</w:t>
                  </w:r>
                </w:p>
              </w:tc>
              <w:tc>
                <w:tcPr>
                  <w:tcW w:w="24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排放口名称</w:t>
                  </w:r>
                </w:p>
              </w:tc>
              <w:tc>
                <w:tcPr>
                  <w:tcW w:w="284"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产污环节名称</w:t>
                  </w:r>
                </w:p>
              </w:tc>
              <w:tc>
                <w:tcPr>
                  <w:tcW w:w="455"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污染物种类</w:t>
                  </w:r>
                </w:p>
              </w:tc>
              <w:tc>
                <w:tcPr>
                  <w:tcW w:w="997" w:type="pct"/>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排放口地理坐标</w:t>
                  </w:r>
                </w:p>
              </w:tc>
              <w:tc>
                <w:tcPr>
                  <w:tcW w:w="29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排气筒高度（m）</w:t>
                  </w:r>
                </w:p>
              </w:tc>
              <w:tc>
                <w:tcPr>
                  <w:tcW w:w="29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排气筒出口内径（m）</w:t>
                  </w:r>
                </w:p>
              </w:tc>
              <w:tc>
                <w:tcPr>
                  <w:tcW w:w="303"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排气温度（℃）</w:t>
                  </w:r>
                </w:p>
              </w:tc>
              <w:tc>
                <w:tcPr>
                  <w:tcW w:w="272"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排放口类型</w:t>
                  </w:r>
                </w:p>
              </w:tc>
              <w:tc>
                <w:tcPr>
                  <w:tcW w:w="1561" w:type="pct"/>
                  <w:gridSpan w:val="3"/>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0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24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45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51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rPr>
                    <w:t>经度</w:t>
                  </w:r>
                  <w:r>
                    <w:rPr>
                      <w:rFonts w:hint="default" w:ascii="Times New Roman" w:hAnsi="Times New Roman" w:eastAsia="宋体" w:cs="Times New Roman"/>
                      <w:b/>
                      <w:bCs/>
                      <w:color w:val="auto"/>
                      <w:lang w:eastAsia="zh-CN"/>
                    </w:rPr>
                    <w:t>（</w:t>
                  </w:r>
                  <w:r>
                    <w:rPr>
                      <w:rFonts w:hint="default" w:ascii="Times New Roman" w:hAnsi="Times New Roman" w:eastAsia="宋体" w:cs="Times New Roman"/>
                      <w:b/>
                      <w:bCs/>
                      <w:color w:val="auto"/>
                      <w:lang w:val="en-US" w:eastAsia="zh-CN"/>
                    </w:rPr>
                    <w:t>°</w:t>
                  </w:r>
                  <w:r>
                    <w:rPr>
                      <w:rFonts w:hint="default" w:ascii="Times New Roman" w:hAnsi="Times New Roman" w:eastAsia="宋体" w:cs="Times New Roman"/>
                      <w:b/>
                      <w:bCs/>
                      <w:color w:val="auto"/>
                      <w:lang w:eastAsia="zh-CN"/>
                    </w:rPr>
                    <w:t>）</w:t>
                  </w:r>
                </w:p>
              </w:tc>
              <w:tc>
                <w:tcPr>
                  <w:tcW w:w="48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纬度</w:t>
                  </w:r>
                  <w:r>
                    <w:rPr>
                      <w:rFonts w:hint="default" w:ascii="Times New Roman" w:hAnsi="Times New Roman" w:eastAsia="宋体" w:cs="Times New Roman"/>
                      <w:b/>
                      <w:bCs/>
                      <w:color w:val="auto"/>
                      <w:lang w:eastAsia="zh-CN"/>
                    </w:rPr>
                    <w:t>（</w:t>
                  </w:r>
                  <w:r>
                    <w:rPr>
                      <w:rFonts w:hint="default" w:ascii="Times New Roman" w:hAnsi="Times New Roman" w:eastAsia="宋体" w:cs="Times New Roman"/>
                      <w:b/>
                      <w:bCs/>
                      <w:color w:val="auto"/>
                      <w:lang w:val="en-US" w:eastAsia="zh-CN"/>
                    </w:rPr>
                    <w:t>°</w:t>
                  </w:r>
                  <w:r>
                    <w:rPr>
                      <w:rFonts w:hint="default" w:ascii="Times New Roman" w:hAnsi="Times New Roman" w:eastAsia="宋体" w:cs="Times New Roman"/>
                      <w:b/>
                      <w:bCs/>
                      <w:color w:val="auto"/>
                      <w:lang w:eastAsia="zh-CN"/>
                    </w:rPr>
                    <w:t>）</w:t>
                  </w: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30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27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75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名称</w:t>
                  </w:r>
                </w:p>
              </w:tc>
              <w:tc>
                <w:tcPr>
                  <w:tcW w:w="43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浓度限值（mg/m</w:t>
                  </w:r>
                  <w:r>
                    <w:rPr>
                      <w:rFonts w:hint="default" w:ascii="Times New Roman" w:hAnsi="Times New Roman" w:eastAsia="宋体" w:cs="Times New Roman"/>
                      <w:b/>
                      <w:bCs/>
                      <w:color w:val="auto"/>
                      <w:vertAlign w:val="superscript"/>
                    </w:rPr>
                    <w:t>3</w:t>
                  </w:r>
                  <w:r>
                    <w:rPr>
                      <w:rFonts w:hint="default" w:ascii="Times New Roman" w:hAnsi="Times New Roman" w:eastAsia="宋体" w:cs="Times New Roman"/>
                      <w:b/>
                      <w:bCs/>
                      <w:color w:val="auto"/>
                    </w:rPr>
                    <w:t>）</w:t>
                  </w:r>
                </w:p>
              </w:tc>
              <w:tc>
                <w:tcPr>
                  <w:tcW w:w="37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速率限值（kg/h）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0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DA001</w:t>
                  </w:r>
                </w:p>
              </w:tc>
              <w:tc>
                <w:tcPr>
                  <w:tcW w:w="24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废气排放口1#</w:t>
                  </w:r>
                </w:p>
              </w:tc>
              <w:tc>
                <w:tcPr>
                  <w:tcW w:w="28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喷砂</w:t>
                  </w:r>
                </w:p>
              </w:tc>
              <w:tc>
                <w:tcPr>
                  <w:tcW w:w="45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51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113.908561</w:t>
                  </w:r>
                </w:p>
              </w:tc>
              <w:tc>
                <w:tcPr>
                  <w:tcW w:w="48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23.169037</w:t>
                  </w:r>
                </w:p>
              </w:tc>
              <w:tc>
                <w:tcPr>
                  <w:tcW w:w="29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15</w:t>
                  </w:r>
                </w:p>
              </w:tc>
              <w:tc>
                <w:tcPr>
                  <w:tcW w:w="29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c>
                <w:tcPr>
                  <w:tcW w:w="30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25</w:t>
                  </w:r>
                </w:p>
              </w:tc>
              <w:tc>
                <w:tcPr>
                  <w:tcW w:w="27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一般排放口</w:t>
                  </w:r>
                </w:p>
              </w:tc>
              <w:tc>
                <w:tcPr>
                  <w:tcW w:w="75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《大气污染物排放限值》（DB44</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lang w:eastAsia="zh-CN"/>
                    </w:rPr>
                    <w:t>27-2001)</w:t>
                  </w:r>
                </w:p>
              </w:tc>
              <w:tc>
                <w:tcPr>
                  <w:tcW w:w="43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w:t>
                  </w:r>
                </w:p>
              </w:tc>
              <w:tc>
                <w:tcPr>
                  <w:tcW w:w="37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0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DA002</w:t>
                  </w:r>
                </w:p>
              </w:tc>
              <w:tc>
                <w:tcPr>
                  <w:tcW w:w="24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废气排放口</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w:t>
                  </w:r>
                </w:p>
              </w:tc>
              <w:tc>
                <w:tcPr>
                  <w:tcW w:w="28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喷粉</w:t>
                  </w:r>
                </w:p>
              </w:tc>
              <w:tc>
                <w:tcPr>
                  <w:tcW w:w="45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51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113.908623</w:t>
                  </w:r>
                </w:p>
              </w:tc>
              <w:tc>
                <w:tcPr>
                  <w:tcW w:w="48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23.169037</w:t>
                  </w:r>
                </w:p>
              </w:tc>
              <w:tc>
                <w:tcPr>
                  <w:tcW w:w="29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w:t>
                  </w:r>
                </w:p>
              </w:tc>
              <w:tc>
                <w:tcPr>
                  <w:tcW w:w="29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w:t>
                  </w:r>
                </w:p>
              </w:tc>
              <w:tc>
                <w:tcPr>
                  <w:tcW w:w="30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25</w:t>
                  </w:r>
                </w:p>
              </w:tc>
              <w:tc>
                <w:tcPr>
                  <w:tcW w:w="27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一般排放口</w:t>
                  </w:r>
                </w:p>
              </w:tc>
              <w:tc>
                <w:tcPr>
                  <w:tcW w:w="754"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eastAsia="zh-CN"/>
                    </w:rPr>
                    <w:t>《大气污染物排放限值》（DB44</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lang w:eastAsia="zh-CN"/>
                    </w:rPr>
                    <w:t>27-2001)</w:t>
                  </w:r>
                </w:p>
              </w:tc>
              <w:tc>
                <w:tcPr>
                  <w:tcW w:w="43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120</w:t>
                  </w:r>
                </w:p>
              </w:tc>
              <w:tc>
                <w:tcPr>
                  <w:tcW w:w="37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03"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DA003</w:t>
                  </w:r>
                </w:p>
              </w:tc>
              <w:tc>
                <w:tcPr>
                  <w:tcW w:w="240"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废气排放口</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w:t>
                  </w:r>
                </w:p>
              </w:tc>
              <w:tc>
                <w:tcPr>
                  <w:tcW w:w="284"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喷粉烘干</w:t>
                  </w:r>
                </w:p>
              </w:tc>
              <w:tc>
                <w:tcPr>
                  <w:tcW w:w="45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w:t>
                  </w:r>
                </w:p>
              </w:tc>
              <w:tc>
                <w:tcPr>
                  <w:tcW w:w="515"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113.908677</w:t>
                  </w:r>
                </w:p>
              </w:tc>
              <w:tc>
                <w:tcPr>
                  <w:tcW w:w="482"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23.169021</w:t>
                  </w:r>
                </w:p>
              </w:tc>
              <w:tc>
                <w:tcPr>
                  <w:tcW w:w="29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w:t>
                  </w:r>
                </w:p>
              </w:tc>
              <w:tc>
                <w:tcPr>
                  <w:tcW w:w="29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0.6</w:t>
                  </w:r>
                </w:p>
              </w:tc>
              <w:tc>
                <w:tcPr>
                  <w:tcW w:w="303"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25</w:t>
                  </w:r>
                </w:p>
              </w:tc>
              <w:tc>
                <w:tcPr>
                  <w:tcW w:w="272"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一般排放口</w:t>
                  </w:r>
                </w:p>
              </w:tc>
              <w:tc>
                <w:tcPr>
                  <w:tcW w:w="754"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《固定污染源挥发性有机物综合排放标准》（DB44/2367—2022）</w:t>
                  </w:r>
                </w:p>
              </w:tc>
              <w:tc>
                <w:tcPr>
                  <w:tcW w:w="43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c>
                <w:tcPr>
                  <w:tcW w:w="37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0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24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45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bCs/>
                      <w:color w:val="auto"/>
                      <w:kern w:val="0"/>
                      <w:sz w:val="21"/>
                      <w:szCs w:val="21"/>
                      <w:lang w:val="en-US" w:eastAsia="zh-CN"/>
                    </w:rPr>
                    <w:t>NMHC</w:t>
                  </w:r>
                </w:p>
              </w:tc>
              <w:tc>
                <w:tcPr>
                  <w:tcW w:w="51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48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303"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7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75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eastAsia="zh-CN"/>
                    </w:rPr>
                  </w:pPr>
                </w:p>
              </w:tc>
              <w:tc>
                <w:tcPr>
                  <w:tcW w:w="43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w:t>
                  </w:r>
                </w:p>
              </w:tc>
              <w:tc>
                <w:tcPr>
                  <w:tcW w:w="37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03"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DA004</w:t>
                  </w:r>
                </w:p>
              </w:tc>
              <w:tc>
                <w:tcPr>
                  <w:tcW w:w="240"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废气排放口</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rPr>
                    <w:t>#</w:t>
                  </w:r>
                </w:p>
              </w:tc>
              <w:tc>
                <w:tcPr>
                  <w:tcW w:w="284"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喷漆</w:t>
                  </w:r>
                </w:p>
              </w:tc>
              <w:tc>
                <w:tcPr>
                  <w:tcW w:w="45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515"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113.908728</w:t>
                  </w:r>
                </w:p>
              </w:tc>
              <w:tc>
                <w:tcPr>
                  <w:tcW w:w="482"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23.169021</w:t>
                  </w:r>
                </w:p>
              </w:tc>
              <w:tc>
                <w:tcPr>
                  <w:tcW w:w="29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w:t>
                  </w:r>
                </w:p>
              </w:tc>
              <w:tc>
                <w:tcPr>
                  <w:tcW w:w="29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303"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25</w:t>
                  </w:r>
                </w:p>
              </w:tc>
              <w:tc>
                <w:tcPr>
                  <w:tcW w:w="272"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一般排放口</w:t>
                  </w:r>
                </w:p>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754"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eastAsia="zh-CN"/>
                    </w:rPr>
                    <w:t>《大气污染物排放限值》（DB44</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lang w:eastAsia="zh-CN"/>
                    </w:rPr>
                    <w:t>27-2001)</w:t>
                  </w:r>
                </w:p>
              </w:tc>
              <w:tc>
                <w:tcPr>
                  <w:tcW w:w="43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120</w:t>
                  </w:r>
                </w:p>
              </w:tc>
              <w:tc>
                <w:tcPr>
                  <w:tcW w:w="37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0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24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45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w:t>
                  </w:r>
                </w:p>
              </w:tc>
              <w:tc>
                <w:tcPr>
                  <w:tcW w:w="51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48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30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27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754"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eastAsia="zh-CN"/>
                    </w:rPr>
                    <w:t>《固定污染源挥发性有机物综合排放标准》（DB44/2367—2022）</w:t>
                  </w:r>
                </w:p>
              </w:tc>
              <w:tc>
                <w:tcPr>
                  <w:tcW w:w="43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100</w:t>
                  </w:r>
                </w:p>
              </w:tc>
              <w:tc>
                <w:tcPr>
                  <w:tcW w:w="37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0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24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45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NMHC</w:t>
                  </w:r>
                </w:p>
              </w:tc>
              <w:tc>
                <w:tcPr>
                  <w:tcW w:w="51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48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303"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27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75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eastAsia="zh-CN"/>
                    </w:rPr>
                  </w:pPr>
                </w:p>
              </w:tc>
              <w:tc>
                <w:tcPr>
                  <w:tcW w:w="43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w:t>
                  </w:r>
                </w:p>
              </w:tc>
              <w:tc>
                <w:tcPr>
                  <w:tcW w:w="37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bl>
          <w:p>
            <w:pPr>
              <w:pStyle w:val="7"/>
              <w:keepNext w:val="0"/>
              <w:keepLines w:val="0"/>
              <w:numPr>
                <w:ilvl w:val="0"/>
                <w:numId w:val="17"/>
              </w:numPr>
              <w:suppressLineNumbers w:val="0"/>
              <w:spacing w:before="0" w:beforeAutospacing="0" w:after="0" w:afterAutospacing="0"/>
              <w:ind w:right="0" w:firstLine="397" w:firstLineChars="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监测计划</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根据《固定污染物排污许可分类管理名录》（2019</w:t>
            </w:r>
            <w:r>
              <w:rPr>
                <w:rFonts w:hint="default" w:ascii="Times New Roman" w:hAnsi="Times New Roman" w:eastAsia="宋体" w:cs="Times New Roman"/>
                <w:color w:val="auto"/>
                <w:lang w:val="en-US" w:eastAsia="zh-CN"/>
              </w:rPr>
              <w:t>年版</w:t>
            </w:r>
            <w:r>
              <w:rPr>
                <w:rFonts w:hint="default" w:ascii="Times New Roman" w:hAnsi="Times New Roman" w:eastAsia="宋体" w:cs="Times New Roman"/>
                <w:color w:val="auto"/>
              </w:rPr>
              <w:t>），项目属于</w:t>
            </w:r>
            <w:r>
              <w:rPr>
                <w:rFonts w:hint="default" w:ascii="Times New Roman" w:hAnsi="Times New Roman" w:eastAsia="宋体" w:cs="Times New Roman"/>
                <w:color w:val="auto"/>
                <w:lang w:val="en-US" w:eastAsia="zh-CN"/>
              </w:rPr>
              <w:t>登记</w:t>
            </w:r>
            <w:r>
              <w:rPr>
                <w:rFonts w:hint="default" w:ascii="Times New Roman" w:hAnsi="Times New Roman" w:eastAsia="宋体" w:cs="Times New Roman"/>
                <w:color w:val="auto"/>
                <w:lang w:eastAsia="zh-CN"/>
              </w:rPr>
              <w:t>管理类别</w:t>
            </w:r>
            <w:r>
              <w:rPr>
                <w:rFonts w:hint="default" w:ascii="Times New Roman" w:hAnsi="Times New Roman" w:eastAsia="宋体" w:cs="Times New Roman"/>
                <w:color w:val="auto"/>
              </w:rPr>
              <w:t>，根据《排污单位自行监测技术指南 总则》（HJ819-2017），并结合项目运营期间大气污染物排放特点，制定本项目大气污染源自行监测计划</w:t>
            </w:r>
            <w:r>
              <w:rPr>
                <w:rFonts w:hint="default" w:ascii="Times New Roman" w:hAnsi="Times New Roman" w:eastAsia="宋体" w:cs="Times New Roman"/>
                <w:color w:val="auto"/>
                <w:lang w:val="en-US" w:eastAsia="zh-CN"/>
              </w:rPr>
              <w:t>见</w:t>
            </w: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REF _Ref28580 \h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表4- 11</w:t>
            </w:r>
            <w:r>
              <w:rPr>
                <w:rFonts w:hint="default" w:ascii="Times New Roman" w:hAnsi="Times New Roman" w:eastAsia="宋体" w:cs="Times New Roman"/>
                <w:color w:val="auto"/>
                <w:lang w:val="en-US" w:eastAsia="zh-CN"/>
              </w:rPr>
              <w:fldChar w:fldCharType="end"/>
            </w:r>
            <w:r>
              <w:rPr>
                <w:rFonts w:hint="default" w:ascii="Times New Roman" w:hAnsi="Times New Roman" w:eastAsia="宋体" w:cs="Times New Roman"/>
                <w:color w:val="auto"/>
              </w:rPr>
              <w:t>，建议建设单位按监测计划实施。监测分析方法按照现行标准和有关规定执行。</w:t>
            </w:r>
            <w:bookmarkStart w:id="53" w:name="_Ref27657"/>
          </w:p>
          <w:p>
            <w:pPr>
              <w:pStyle w:val="8"/>
              <w:keepNext w:val="0"/>
              <w:keepLines w:val="0"/>
              <w:suppressLineNumbers w:val="0"/>
              <w:spacing w:beforeAutospacing="0" w:afterAutospacing="0"/>
              <w:ind w:left="0" w:right="0"/>
              <w:jc w:val="center"/>
              <w:rPr>
                <w:rFonts w:hint="default" w:ascii="Times New Roman" w:hAnsi="Times New Roman" w:eastAsia="宋体" w:cs="Times New Roman"/>
                <w:b/>
                <w:color w:val="auto"/>
                <w:kern w:val="0"/>
                <w:sz w:val="24"/>
              </w:rPr>
            </w:pPr>
            <w:bookmarkStart w:id="54" w:name="_Ref28580"/>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bookmarkEnd w:id="53"/>
            <w:bookmarkEnd w:id="54"/>
            <w:r>
              <w:rPr>
                <w:rFonts w:hint="default" w:ascii="Times New Roman" w:hAnsi="Times New Roman" w:eastAsia="宋体" w:cs="Times New Roman"/>
                <w:b/>
                <w:color w:val="auto"/>
                <w:kern w:val="0"/>
                <w:sz w:val="24"/>
              </w:rPr>
              <w:t>项目大气环境自行监测计划</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2"/>
              <w:gridCol w:w="982"/>
              <w:gridCol w:w="1401"/>
              <w:gridCol w:w="965"/>
              <w:gridCol w:w="811"/>
              <w:gridCol w:w="1066"/>
              <w:gridCol w:w="996"/>
              <w:gridCol w:w="2341"/>
              <w:gridCol w:w="1365"/>
              <w:gridCol w:w="1491"/>
              <w:gridCol w:w="15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369"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排放口编号/监测点位</w:t>
                  </w:r>
                </w:p>
              </w:tc>
              <w:tc>
                <w:tcPr>
                  <w:tcW w:w="35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排放口名称/名称</w:t>
                  </w:r>
                </w:p>
              </w:tc>
              <w:tc>
                <w:tcPr>
                  <w:tcW w:w="50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监测内容</w:t>
                  </w:r>
                </w:p>
              </w:tc>
              <w:tc>
                <w:tcPr>
                  <w:tcW w:w="345"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监测因子</w:t>
                  </w:r>
                </w:p>
              </w:tc>
              <w:tc>
                <w:tcPr>
                  <w:tcW w:w="29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监测设施</w:t>
                  </w:r>
                </w:p>
              </w:tc>
              <w:tc>
                <w:tcPr>
                  <w:tcW w:w="38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手工监测采样方法及个数</w:t>
                  </w:r>
                </w:p>
              </w:tc>
              <w:tc>
                <w:tcPr>
                  <w:tcW w:w="356"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手工监测频次</w:t>
                  </w:r>
                </w:p>
              </w:tc>
              <w:tc>
                <w:tcPr>
                  <w:tcW w:w="2405" w:type="pct"/>
                  <w:gridSpan w:val="4"/>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369"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35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50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34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38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35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83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标准名称</w:t>
                  </w:r>
                </w:p>
              </w:tc>
              <w:tc>
                <w:tcPr>
                  <w:tcW w:w="48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排放限值</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mg/m</w:t>
                  </w:r>
                  <w:r>
                    <w:rPr>
                      <w:rFonts w:hint="default" w:ascii="Times New Roman" w:hAnsi="Times New Roman" w:eastAsia="宋体" w:cs="Times New Roman"/>
                      <w:b/>
                      <w:bCs/>
                      <w:color w:val="auto"/>
                      <w:vertAlign w:val="superscript"/>
                    </w:rPr>
                    <w:t>3</w:t>
                  </w:r>
                </w:p>
              </w:tc>
              <w:tc>
                <w:tcPr>
                  <w:tcW w:w="53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排放速率</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kg/h</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DA001</w:t>
                  </w:r>
                </w:p>
              </w:tc>
              <w:tc>
                <w:tcPr>
                  <w:tcW w:w="35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废气排放口1#</w:t>
                  </w:r>
                </w:p>
              </w:tc>
              <w:tc>
                <w:tcPr>
                  <w:tcW w:w="50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烟气流速、烟气温度、烟气压力、烟气含湿量、烟气量</w:t>
                  </w:r>
                </w:p>
              </w:tc>
              <w:tc>
                <w:tcPr>
                  <w:tcW w:w="34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29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手工</w:t>
                  </w:r>
                </w:p>
              </w:tc>
              <w:tc>
                <w:tcPr>
                  <w:tcW w:w="38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非连续采样 至少3个</w:t>
                  </w:r>
                </w:p>
              </w:tc>
              <w:tc>
                <w:tcPr>
                  <w:tcW w:w="35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1次/年</w:t>
                  </w:r>
                </w:p>
              </w:tc>
              <w:tc>
                <w:tcPr>
                  <w:tcW w:w="83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kern w:val="0"/>
                      <w:sz w:val="21"/>
                      <w:szCs w:val="20"/>
                      <w:lang w:val="en-US" w:eastAsia="zh-CN" w:bidi="ar-SA"/>
                    </w:rPr>
                    <w:t>《大气污染物排放限值》（DB44/27-2001)</w:t>
                  </w:r>
                </w:p>
              </w:tc>
              <w:tc>
                <w:tcPr>
                  <w:tcW w:w="48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w:t>
                  </w:r>
                </w:p>
              </w:tc>
              <w:tc>
                <w:tcPr>
                  <w:tcW w:w="53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1.45</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DA00</w:t>
                  </w:r>
                  <w:r>
                    <w:rPr>
                      <w:rFonts w:hint="default" w:ascii="Times New Roman" w:hAnsi="Times New Roman" w:eastAsia="宋体" w:cs="Times New Roman"/>
                      <w:color w:val="auto"/>
                      <w:lang w:val="en-US" w:eastAsia="zh-CN"/>
                    </w:rPr>
                    <w:t>2</w:t>
                  </w:r>
                </w:p>
              </w:tc>
              <w:tc>
                <w:tcPr>
                  <w:tcW w:w="35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废气排放口</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w:t>
                  </w:r>
                </w:p>
              </w:tc>
              <w:tc>
                <w:tcPr>
                  <w:tcW w:w="50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烟气流速、烟气温度、烟气压力、烟气含湿量、烟气量</w:t>
                  </w:r>
                </w:p>
              </w:tc>
              <w:tc>
                <w:tcPr>
                  <w:tcW w:w="34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颗粒物</w:t>
                  </w:r>
                </w:p>
              </w:tc>
              <w:tc>
                <w:tcPr>
                  <w:tcW w:w="290"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手工</w:t>
                  </w:r>
                </w:p>
              </w:tc>
              <w:tc>
                <w:tcPr>
                  <w:tcW w:w="38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非连续采样 至少3个</w:t>
                  </w:r>
                </w:p>
              </w:tc>
              <w:tc>
                <w:tcPr>
                  <w:tcW w:w="35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1次/年</w:t>
                  </w:r>
                </w:p>
              </w:tc>
              <w:tc>
                <w:tcPr>
                  <w:tcW w:w="83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0"/>
                      <w:lang w:val="en-US" w:eastAsia="zh-CN" w:bidi="ar-SA"/>
                    </w:rPr>
                    <w:t>《大气污染物排放限值》（DB44/27-2001)</w:t>
                  </w:r>
                </w:p>
              </w:tc>
              <w:tc>
                <w:tcPr>
                  <w:tcW w:w="48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120</w:t>
                  </w:r>
                </w:p>
              </w:tc>
              <w:tc>
                <w:tcPr>
                  <w:tcW w:w="533"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1.45</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369"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DA00</w:t>
                  </w:r>
                  <w:r>
                    <w:rPr>
                      <w:rFonts w:hint="default" w:ascii="Times New Roman" w:hAnsi="Times New Roman" w:eastAsia="宋体" w:cs="Times New Roman"/>
                      <w:color w:val="auto"/>
                      <w:lang w:val="en-US" w:eastAsia="zh-CN"/>
                    </w:rPr>
                    <w:t>3</w:t>
                  </w:r>
                </w:p>
              </w:tc>
              <w:tc>
                <w:tcPr>
                  <w:tcW w:w="35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废气排放口</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w:t>
                  </w:r>
                </w:p>
              </w:tc>
              <w:tc>
                <w:tcPr>
                  <w:tcW w:w="50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烟气流速、烟气温度、烟气压力、烟气含湿量、烟气量</w:t>
                  </w:r>
                </w:p>
              </w:tc>
              <w:tc>
                <w:tcPr>
                  <w:tcW w:w="34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w:t>
                  </w:r>
                </w:p>
              </w:tc>
              <w:tc>
                <w:tcPr>
                  <w:tcW w:w="29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手工</w:t>
                  </w:r>
                </w:p>
              </w:tc>
              <w:tc>
                <w:tcPr>
                  <w:tcW w:w="38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非连续采样 至少3个</w:t>
                  </w:r>
                </w:p>
              </w:tc>
              <w:tc>
                <w:tcPr>
                  <w:tcW w:w="356"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1次/年</w:t>
                  </w:r>
                </w:p>
              </w:tc>
              <w:tc>
                <w:tcPr>
                  <w:tcW w:w="837"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lang w:eastAsia="zh-CN"/>
                    </w:rPr>
                    <w:t>《固定污染源挥发性有机物综合排放标准》（DB44/2367—2022）</w:t>
                  </w:r>
                </w:p>
              </w:tc>
              <w:tc>
                <w:tcPr>
                  <w:tcW w:w="48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100</w:t>
                  </w:r>
                </w:p>
              </w:tc>
              <w:tc>
                <w:tcPr>
                  <w:tcW w:w="533"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369"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5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50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4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非甲烷总烃</w:t>
                  </w: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8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5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837"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eastAsia="zh-CN"/>
                    </w:rPr>
                  </w:pPr>
                </w:p>
              </w:tc>
              <w:tc>
                <w:tcPr>
                  <w:tcW w:w="48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w:t>
                  </w:r>
                </w:p>
              </w:tc>
              <w:tc>
                <w:tcPr>
                  <w:tcW w:w="533"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369"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DA00</w:t>
                  </w:r>
                  <w:r>
                    <w:rPr>
                      <w:rFonts w:hint="default" w:ascii="Times New Roman" w:hAnsi="Times New Roman" w:eastAsia="宋体" w:cs="Times New Roman"/>
                      <w:color w:val="auto"/>
                      <w:lang w:val="en-US" w:eastAsia="zh-CN"/>
                    </w:rPr>
                    <w:t>4</w:t>
                  </w:r>
                </w:p>
              </w:tc>
              <w:tc>
                <w:tcPr>
                  <w:tcW w:w="35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废气排放口</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rPr>
                    <w:t>#</w:t>
                  </w:r>
                </w:p>
              </w:tc>
              <w:tc>
                <w:tcPr>
                  <w:tcW w:w="50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烟气流速、烟气温度、烟气压力、烟气含湿量、烟气量</w:t>
                  </w:r>
                </w:p>
              </w:tc>
              <w:tc>
                <w:tcPr>
                  <w:tcW w:w="34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29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手工</w:t>
                  </w:r>
                </w:p>
              </w:tc>
              <w:tc>
                <w:tcPr>
                  <w:tcW w:w="38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非连续采样 至少3个</w:t>
                  </w:r>
                </w:p>
              </w:tc>
              <w:tc>
                <w:tcPr>
                  <w:tcW w:w="356"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1次/年</w:t>
                  </w:r>
                </w:p>
              </w:tc>
              <w:tc>
                <w:tcPr>
                  <w:tcW w:w="83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《大气污染物排放限值》（DB44/27-2001)</w:t>
                  </w:r>
                </w:p>
              </w:tc>
              <w:tc>
                <w:tcPr>
                  <w:tcW w:w="48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w:t>
                  </w:r>
                </w:p>
              </w:tc>
              <w:tc>
                <w:tcPr>
                  <w:tcW w:w="533"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1.45</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369"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5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50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4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w:t>
                  </w: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8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5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837"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lang w:eastAsia="zh-CN"/>
                    </w:rPr>
                    <w:t>《固定污染源挥发性有机物综合排放标准》（DB44/2367—2022）</w:t>
                  </w:r>
                </w:p>
              </w:tc>
              <w:tc>
                <w:tcPr>
                  <w:tcW w:w="48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100</w:t>
                  </w:r>
                </w:p>
              </w:tc>
              <w:tc>
                <w:tcPr>
                  <w:tcW w:w="533"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369"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5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50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45"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非甲烷总烃</w:t>
                  </w: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8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35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rPr>
                  </w:pPr>
                </w:p>
              </w:tc>
              <w:tc>
                <w:tcPr>
                  <w:tcW w:w="837"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eastAsia="zh-CN"/>
                    </w:rPr>
                  </w:pPr>
                </w:p>
              </w:tc>
              <w:tc>
                <w:tcPr>
                  <w:tcW w:w="48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w:t>
                  </w:r>
                </w:p>
              </w:tc>
              <w:tc>
                <w:tcPr>
                  <w:tcW w:w="533"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369"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厂区内</w:t>
                  </w:r>
                </w:p>
              </w:tc>
              <w:tc>
                <w:tcPr>
                  <w:tcW w:w="35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50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风速</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风向</w:t>
                  </w:r>
                </w:p>
              </w:tc>
              <w:tc>
                <w:tcPr>
                  <w:tcW w:w="345"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非甲烷总烃</w:t>
                  </w:r>
                </w:p>
              </w:tc>
              <w:tc>
                <w:tcPr>
                  <w:tcW w:w="29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手工</w:t>
                  </w:r>
                </w:p>
              </w:tc>
              <w:tc>
                <w:tcPr>
                  <w:tcW w:w="38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非连续采样 至少4个</w:t>
                  </w:r>
                </w:p>
              </w:tc>
              <w:tc>
                <w:tcPr>
                  <w:tcW w:w="356"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1次/年</w:t>
                  </w:r>
                </w:p>
              </w:tc>
              <w:tc>
                <w:tcPr>
                  <w:tcW w:w="837"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《固定污染源挥发性有机物综合排放标准》（DB44/2367-2022）</w:t>
                  </w:r>
                </w:p>
              </w:tc>
              <w:tc>
                <w:tcPr>
                  <w:tcW w:w="48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6</w:t>
                  </w:r>
                </w:p>
              </w:tc>
              <w:tc>
                <w:tcPr>
                  <w:tcW w:w="53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监控点处1h平均浓度值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369"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5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50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4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8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5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37"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48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20</w:t>
                  </w:r>
                </w:p>
              </w:tc>
              <w:tc>
                <w:tcPr>
                  <w:tcW w:w="53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监控点处任意一次浓度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9"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厂界</w:t>
                  </w:r>
                </w:p>
              </w:tc>
              <w:tc>
                <w:tcPr>
                  <w:tcW w:w="35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50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风速</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风向</w:t>
                  </w:r>
                </w:p>
              </w:tc>
              <w:tc>
                <w:tcPr>
                  <w:tcW w:w="34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29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手工</w:t>
                  </w:r>
                </w:p>
              </w:tc>
              <w:tc>
                <w:tcPr>
                  <w:tcW w:w="381"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非连续采样 至少4个</w:t>
                  </w:r>
                </w:p>
              </w:tc>
              <w:tc>
                <w:tcPr>
                  <w:tcW w:w="356"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1次/年</w:t>
                  </w:r>
                </w:p>
              </w:tc>
              <w:tc>
                <w:tcPr>
                  <w:tcW w:w="83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kern w:val="0"/>
                      <w:sz w:val="21"/>
                      <w:szCs w:val="20"/>
                      <w:lang w:val="en-US" w:eastAsia="zh-CN" w:bidi="ar-SA"/>
                    </w:rPr>
                    <w:t>《大气污染物排放限值》（DB44/27-2001)</w:t>
                  </w:r>
                </w:p>
              </w:tc>
              <w:tc>
                <w:tcPr>
                  <w:tcW w:w="48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53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9"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5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50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4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非甲烷总烃</w:t>
                  </w: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8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5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3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0"/>
                      <w:lang w:val="en-US" w:eastAsia="zh-CN" w:bidi="ar-SA"/>
                    </w:rPr>
                    <w:t>《大气污染物排放限值》（DB44/27-2001)</w:t>
                  </w:r>
                </w:p>
              </w:tc>
              <w:tc>
                <w:tcPr>
                  <w:tcW w:w="488"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4.0</w:t>
                  </w:r>
                </w:p>
              </w:tc>
              <w:tc>
                <w:tcPr>
                  <w:tcW w:w="533"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546"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9"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5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p>
              </w:tc>
              <w:tc>
                <w:tcPr>
                  <w:tcW w:w="50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4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w:t>
                  </w:r>
                </w:p>
              </w:tc>
              <w:tc>
                <w:tcPr>
                  <w:tcW w:w="29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81"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5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3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《家具制造行业挥发性有机化合物排放标准》（DB 44/814-2010</w:t>
                  </w:r>
                </w:p>
              </w:tc>
              <w:tc>
                <w:tcPr>
                  <w:tcW w:w="48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p>
              </w:tc>
              <w:tc>
                <w:tcPr>
                  <w:tcW w:w="53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54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bl>
          <w:p>
            <w:pPr>
              <w:pStyle w:val="57"/>
              <w:keepNext w:val="0"/>
              <w:keepLines w:val="0"/>
              <w:suppressLineNumbers w:val="0"/>
              <w:spacing w:before="0" w:beforeAutospacing="0" w:after="0" w:afterAutospacing="0" w:line="360" w:lineRule="auto"/>
              <w:ind w:left="0" w:right="0" w:firstLineChars="200"/>
              <w:rPr>
                <w:rFonts w:hint="default" w:ascii="Times New Roman" w:hAnsi="Times New Roman" w:eastAsia="宋体" w:cs="Times New Roman"/>
                <w:color w:val="auto"/>
              </w:rPr>
            </w:pPr>
          </w:p>
        </w:tc>
      </w:tr>
    </w:tbl>
    <w:p>
      <w:pPr>
        <w:rPr>
          <w:rFonts w:hint="default" w:ascii="Times New Roman" w:hAnsi="Times New Roman" w:eastAsia="宋体" w:cs="Times New Roman"/>
          <w:color w:val="auto"/>
        </w:rPr>
        <w:sectPr>
          <w:pgSz w:w="16840" w:h="11907"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85"/>
        <w:gridCol w:w="93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11" w:hRule="atLeast"/>
          <w:jc w:val="center"/>
        </w:trPr>
        <w:tc>
          <w:tcPr>
            <w:tcW w:w="197" w:type="pct"/>
            <w:noWrap w:val="0"/>
            <w:tcMar>
              <w:left w:w="28" w:type="dxa"/>
              <w:right w:w="28" w:type="dxa"/>
            </w:tcMar>
            <w:vAlign w:val="center"/>
          </w:tcPr>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营运</w:t>
            </w:r>
          </w:p>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期环</w:t>
            </w:r>
          </w:p>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境影</w:t>
            </w:r>
          </w:p>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响和</w:t>
            </w:r>
          </w:p>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保护</w:t>
            </w:r>
          </w:p>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bCs/>
                <w:color w:val="auto"/>
              </w:rPr>
            </w:pPr>
            <w:r>
              <w:rPr>
                <w:rFonts w:hint="default" w:ascii="Times New Roman" w:hAnsi="Times New Roman" w:eastAsia="宋体" w:cs="Times New Roman"/>
                <w:color w:val="auto"/>
              </w:rPr>
              <w:t>措施</w:t>
            </w:r>
          </w:p>
        </w:tc>
        <w:tc>
          <w:tcPr>
            <w:tcW w:w="4802" w:type="pct"/>
            <w:noWrap w:val="0"/>
            <w:vAlign w:val="center"/>
          </w:tcPr>
          <w:p>
            <w:pPr>
              <w:pStyle w:val="7"/>
              <w:keepNext w:val="0"/>
              <w:keepLines w:val="0"/>
              <w:numPr>
                <w:ilvl w:val="0"/>
                <w:numId w:val="17"/>
              </w:numPr>
              <w:suppressLineNumbers w:val="0"/>
              <w:spacing w:before="0" w:beforeAutospacing="0" w:after="0" w:afterAutospacing="0"/>
              <w:ind w:right="0" w:firstLine="397" w:firstLineChars="0"/>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非正常工况</w:t>
            </w:r>
          </w:p>
          <w:p>
            <w:pPr>
              <w:pStyle w:val="82"/>
              <w:keepNext w:val="0"/>
              <w:keepLines w:val="0"/>
              <w:suppressLineNumbers w:val="0"/>
              <w:spacing w:before="0" w:beforeAutospacing="0" w:after="0" w:afterAutospacing="0" w:line="360" w:lineRule="auto"/>
              <w:ind w:left="0" w:right="0" w:firstLine="480"/>
              <w:jc w:val="left"/>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rPr>
              <w:t>根据上述分析本项目生产过程中的废气污染物排放源，主要考虑污染物排放控制措施达不到应有效率等情况下的排放。当废气治理设施失效，处理效率为</w:t>
            </w:r>
            <w:r>
              <w:rPr>
                <w:rFonts w:hint="default" w:ascii="Times New Roman" w:hAnsi="Times New Roman" w:eastAsia="宋体" w:cs="Times New Roman"/>
                <w:color w:val="auto"/>
                <w:sz w:val="24"/>
                <w:lang w:eastAsia="zh-CN"/>
              </w:rPr>
              <w:t>0，</w:t>
            </w:r>
            <w:r>
              <w:rPr>
                <w:rFonts w:hint="default" w:ascii="Times New Roman" w:hAnsi="Times New Roman" w:eastAsia="宋体" w:cs="Times New Roman"/>
                <w:color w:val="auto"/>
                <w:sz w:val="24"/>
              </w:rPr>
              <w:t>造成排气筒废气中废气污染物未经净化直接排放。发生故障时应立即停止生产，并安排专业人员进行抢修。本项目大气的非正常排放源强如</w:t>
            </w:r>
            <w:r>
              <w:rPr>
                <w:rFonts w:hint="default" w:ascii="Times New Roman" w:hAnsi="Times New Roman" w:eastAsia="宋体" w:cs="Times New Roman"/>
                <w:color w:val="auto"/>
                <w:sz w:val="24"/>
                <w:lang w:val="en-US"/>
              </w:rPr>
              <w:fldChar w:fldCharType="begin"/>
            </w:r>
            <w:r>
              <w:rPr>
                <w:rFonts w:hint="default" w:ascii="Times New Roman" w:hAnsi="Times New Roman" w:eastAsia="宋体" w:cs="Times New Roman"/>
                <w:color w:val="auto"/>
                <w:sz w:val="24"/>
                <w:lang w:val="en-US"/>
              </w:rPr>
              <w:instrText xml:space="preserve"> REF _Ref26867 \h </w:instrText>
            </w:r>
            <w:r>
              <w:rPr>
                <w:rFonts w:hint="default" w:ascii="Times New Roman" w:hAnsi="Times New Roman" w:eastAsia="宋体" w:cs="Times New Roman"/>
                <w:color w:val="auto"/>
                <w:sz w:val="24"/>
                <w:lang w:val="en-US"/>
              </w:rPr>
              <w:fldChar w:fldCharType="separate"/>
            </w:r>
            <w:r>
              <w:rPr>
                <w:rFonts w:hint="default" w:ascii="Times New Roman" w:hAnsi="Times New Roman" w:eastAsia="宋体" w:cs="Times New Roman"/>
                <w:color w:val="auto"/>
              </w:rPr>
              <w:t>表4- 12</w:t>
            </w:r>
            <w:r>
              <w:rPr>
                <w:rFonts w:hint="default" w:ascii="Times New Roman" w:hAnsi="Times New Roman" w:eastAsia="宋体" w:cs="Times New Roman"/>
                <w:color w:val="auto"/>
                <w:sz w:val="24"/>
                <w:lang w:val="en-US"/>
              </w:rPr>
              <w:fldChar w:fldCharType="end"/>
            </w:r>
            <w:r>
              <w:rPr>
                <w:rFonts w:hint="default" w:ascii="Times New Roman" w:hAnsi="Times New Roman" w:eastAsia="宋体" w:cs="Times New Roman"/>
                <w:color w:val="auto"/>
                <w:sz w:val="24"/>
                <w:lang w:eastAsia="zh-CN"/>
              </w:rPr>
              <w:t>所示。</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b/>
                <w:bCs/>
                <w:color w:val="auto"/>
                <w:sz w:val="24"/>
                <w:lang w:eastAsia="zh-CN"/>
              </w:rPr>
            </w:pPr>
            <w:bookmarkStart w:id="55" w:name="_Ref26867"/>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w:t>
            </w:r>
            <w:r>
              <w:rPr>
                <w:rFonts w:hint="default" w:ascii="Times New Roman" w:hAnsi="Times New Roman" w:eastAsia="宋体" w:cs="Times New Roman"/>
                <w:color w:val="auto"/>
              </w:rPr>
              <w:fldChar w:fldCharType="end"/>
            </w:r>
            <w:bookmarkEnd w:id="55"/>
            <w:r>
              <w:rPr>
                <w:rFonts w:hint="default" w:ascii="Times New Roman" w:hAnsi="Times New Roman" w:eastAsia="宋体" w:cs="Times New Roman"/>
                <w:b/>
                <w:bCs/>
                <w:color w:val="auto"/>
                <w:sz w:val="24"/>
                <w:lang w:eastAsia="zh-CN"/>
              </w:rPr>
              <w:t>本项目废气非正常排放参数表</w:t>
            </w:r>
          </w:p>
          <w:tbl>
            <w:tblPr>
              <w:tblStyle w:val="26"/>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54"/>
              <w:gridCol w:w="1088"/>
              <w:gridCol w:w="1157"/>
              <w:gridCol w:w="1231"/>
              <w:gridCol w:w="1220"/>
              <w:gridCol w:w="1045"/>
              <w:gridCol w:w="893"/>
              <w:gridCol w:w="97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47"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非正常排放源</w:t>
                  </w:r>
                </w:p>
              </w:tc>
              <w:tc>
                <w:tcPr>
                  <w:tcW w:w="593"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非正常排放方式</w:t>
                  </w:r>
                </w:p>
              </w:tc>
              <w:tc>
                <w:tcPr>
                  <w:tcW w:w="631"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污染物</w:t>
                  </w:r>
                </w:p>
              </w:tc>
              <w:tc>
                <w:tcPr>
                  <w:tcW w:w="671"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处理设施最低处理效率（%）</w:t>
                  </w:r>
                </w:p>
              </w:tc>
              <w:tc>
                <w:tcPr>
                  <w:tcW w:w="665"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非正常排放浓度（mg/m</w:t>
                  </w:r>
                  <w:r>
                    <w:rPr>
                      <w:rFonts w:hint="default" w:ascii="Times New Roman" w:hAnsi="Times New Roman" w:eastAsia="宋体" w:cs="Times New Roman"/>
                      <w:b/>
                      <w:bCs/>
                      <w:color w:val="auto"/>
                      <w:vertAlign w:val="superscript"/>
                      <w:lang w:eastAsia="zh-CN"/>
                    </w:rPr>
                    <w:t>3</w:t>
                  </w:r>
                  <w:r>
                    <w:rPr>
                      <w:rFonts w:hint="default" w:ascii="Times New Roman" w:hAnsi="Times New Roman" w:eastAsia="宋体" w:cs="Times New Roman"/>
                      <w:b/>
                      <w:bCs/>
                      <w:color w:val="auto"/>
                      <w:lang w:eastAsia="zh-CN"/>
                    </w:rPr>
                    <w:t>）</w:t>
                  </w:r>
                </w:p>
              </w:tc>
              <w:tc>
                <w:tcPr>
                  <w:tcW w:w="570"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非正常排放量（kg/a）</w:t>
                  </w:r>
                </w:p>
              </w:tc>
              <w:tc>
                <w:tcPr>
                  <w:tcW w:w="487"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单次持续时间（h）</w:t>
                  </w:r>
                </w:p>
              </w:tc>
              <w:tc>
                <w:tcPr>
                  <w:tcW w:w="532"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年发生频次（次）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47" w:type="pct"/>
                  <w:tcBorders>
                    <w:tl2br w:val="nil"/>
                    <w:tr2bl w:val="nil"/>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DA001</w:t>
                  </w:r>
                </w:p>
              </w:tc>
              <w:tc>
                <w:tcPr>
                  <w:tcW w:w="593" w:type="pct"/>
                  <w:vMerge w:val="restar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废气治理设施失效</w:t>
                  </w:r>
                </w:p>
              </w:tc>
              <w:tc>
                <w:tcPr>
                  <w:tcW w:w="631"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颗粒物</w:t>
                  </w:r>
                </w:p>
              </w:tc>
              <w:tc>
                <w:tcPr>
                  <w:tcW w:w="671"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0</w:t>
                  </w:r>
                </w:p>
              </w:tc>
              <w:tc>
                <w:tcPr>
                  <w:tcW w:w="6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lang w:val="en-US" w:eastAsia="zh-CN"/>
                    </w:rPr>
                    <w:t xml:space="preserve">472.69 </w:t>
                  </w:r>
                </w:p>
              </w:tc>
              <w:tc>
                <w:tcPr>
                  <w:tcW w:w="5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lang w:val="en-US" w:eastAsia="zh-CN"/>
                    </w:rPr>
                    <w:t xml:space="preserve">0.851 </w:t>
                  </w:r>
                </w:p>
              </w:tc>
              <w:tc>
                <w:tcPr>
                  <w:tcW w:w="487"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1</w:t>
                  </w:r>
                </w:p>
              </w:tc>
              <w:tc>
                <w:tcPr>
                  <w:tcW w:w="532"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47" w:type="pct"/>
                  <w:tcBorders>
                    <w:tl2br w:val="nil"/>
                    <w:tr2bl w:val="nil"/>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DA002</w:t>
                  </w:r>
                </w:p>
              </w:tc>
              <w:tc>
                <w:tcPr>
                  <w:tcW w:w="593" w:type="pct"/>
                  <w:vMerge w:val="continue"/>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eastAsia="zh-CN"/>
                    </w:rPr>
                  </w:pPr>
                </w:p>
              </w:tc>
              <w:tc>
                <w:tcPr>
                  <w:tcW w:w="631"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6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0</w:t>
                  </w:r>
                </w:p>
              </w:tc>
              <w:tc>
                <w:tcPr>
                  <w:tcW w:w="6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lang w:val="en-US" w:eastAsia="zh-CN"/>
                    </w:rPr>
                    <w:t xml:space="preserve">917.80 </w:t>
                  </w:r>
                </w:p>
              </w:tc>
              <w:tc>
                <w:tcPr>
                  <w:tcW w:w="5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lang w:val="en-US" w:eastAsia="zh-CN"/>
                    </w:rPr>
                    <w:t xml:space="preserve">6.425 </w:t>
                  </w:r>
                </w:p>
              </w:tc>
              <w:tc>
                <w:tcPr>
                  <w:tcW w:w="487"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532"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47" w:type="pct"/>
                  <w:tcBorders>
                    <w:tl2br w:val="nil"/>
                    <w:tr2bl w:val="nil"/>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DA003</w:t>
                  </w:r>
                </w:p>
              </w:tc>
              <w:tc>
                <w:tcPr>
                  <w:tcW w:w="593" w:type="pct"/>
                  <w:vMerge w:val="continue"/>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eastAsia="zh-CN"/>
                    </w:rPr>
                  </w:pPr>
                </w:p>
              </w:tc>
              <w:tc>
                <w:tcPr>
                  <w:tcW w:w="631"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w:t>
                  </w:r>
                </w:p>
              </w:tc>
              <w:tc>
                <w:tcPr>
                  <w:tcW w:w="6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0</w:t>
                  </w:r>
                </w:p>
              </w:tc>
              <w:tc>
                <w:tcPr>
                  <w:tcW w:w="6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lang w:val="en-US" w:eastAsia="zh-CN"/>
                    </w:rPr>
                    <w:t xml:space="preserve">1.53 </w:t>
                  </w:r>
                </w:p>
              </w:tc>
              <w:tc>
                <w:tcPr>
                  <w:tcW w:w="5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lang w:val="en-US" w:eastAsia="zh-CN"/>
                    </w:rPr>
                    <w:t xml:space="preserve">0.024 </w:t>
                  </w:r>
                </w:p>
              </w:tc>
              <w:tc>
                <w:tcPr>
                  <w:tcW w:w="487"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532"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847"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DA004</w:t>
                  </w:r>
                </w:p>
              </w:tc>
              <w:tc>
                <w:tcPr>
                  <w:tcW w:w="593" w:type="pct"/>
                  <w:vMerge w:val="continue"/>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eastAsia="zh-CN"/>
                    </w:rPr>
                  </w:pPr>
                </w:p>
              </w:tc>
              <w:tc>
                <w:tcPr>
                  <w:tcW w:w="631"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颗粒物</w:t>
                  </w:r>
                </w:p>
              </w:tc>
              <w:tc>
                <w:tcPr>
                  <w:tcW w:w="6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0</w:t>
                  </w:r>
                </w:p>
              </w:tc>
              <w:tc>
                <w:tcPr>
                  <w:tcW w:w="6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lang w:val="en-US" w:eastAsia="zh-CN"/>
                    </w:rPr>
                    <w:t>15.45</w:t>
                  </w:r>
                </w:p>
              </w:tc>
              <w:tc>
                <w:tcPr>
                  <w:tcW w:w="5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lang w:val="en-US" w:eastAsia="zh-CN"/>
                    </w:rPr>
                    <w:t>0.633</w:t>
                  </w:r>
                </w:p>
              </w:tc>
              <w:tc>
                <w:tcPr>
                  <w:tcW w:w="487"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532"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47"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p>
              </w:tc>
              <w:tc>
                <w:tcPr>
                  <w:tcW w:w="593" w:type="pct"/>
                  <w:vMerge w:val="continue"/>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eastAsia="zh-CN"/>
                    </w:rPr>
                  </w:pPr>
                </w:p>
              </w:tc>
              <w:tc>
                <w:tcPr>
                  <w:tcW w:w="631"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总VOCs</w:t>
                  </w:r>
                </w:p>
              </w:tc>
              <w:tc>
                <w:tcPr>
                  <w:tcW w:w="67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0</w:t>
                  </w:r>
                </w:p>
              </w:tc>
              <w:tc>
                <w:tcPr>
                  <w:tcW w:w="66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lang w:val="en-US" w:eastAsia="zh-CN"/>
                    </w:rPr>
                    <w:t xml:space="preserve">15.02 </w:t>
                  </w:r>
                </w:p>
              </w:tc>
              <w:tc>
                <w:tcPr>
                  <w:tcW w:w="57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lang w:val="en-US" w:eastAsia="zh-CN"/>
                    </w:rPr>
                    <w:t xml:space="preserve">0.616 </w:t>
                  </w:r>
                </w:p>
              </w:tc>
              <w:tc>
                <w:tcPr>
                  <w:tcW w:w="487"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532" w:type="pct"/>
                  <w:tcBorders>
                    <w:tl2br w:val="nil"/>
                    <w:tr2bl w:val="nil"/>
                  </w:tcBorders>
                  <w:noWrap w:val="0"/>
                  <w:vAlign w:val="center"/>
                </w:tcPr>
                <w:p>
                  <w:pPr>
                    <w:pStyle w:val="52"/>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bl>
          <w:p>
            <w:pPr>
              <w:pStyle w:val="82"/>
              <w:keepNext w:val="0"/>
              <w:keepLines w:val="0"/>
              <w:suppressLineNumbers w:val="0"/>
              <w:spacing w:before="0" w:beforeAutospacing="0" w:after="0" w:afterAutospacing="0" w:line="360" w:lineRule="auto"/>
              <w:ind w:left="0" w:right="0" w:firstLine="480"/>
              <w:jc w:val="both"/>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①安排专人负责环保设备的日常维护和管理，每个固定时间检查、汇报情况，及时发现废气处理设备的隐患，确保废气处理系统正常运行；②定期更换活性炭</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定期清捞水帘柜和水喷淋塔水池的沉渣</w:t>
            </w:r>
            <w:r>
              <w:rPr>
                <w:rFonts w:hint="default" w:ascii="Times New Roman" w:hAnsi="Times New Roman" w:eastAsia="宋体" w:cs="Times New Roman"/>
                <w:color w:val="auto"/>
                <w:sz w:val="24"/>
              </w:rPr>
              <w:t>；③建立健全的环保管理机构，对环保管理人员和技术人员进行岗位培训，委托具有专业资质的环境检测单位对项目排放的各类污染物进行定期检测；④应定期维护、检修废气净化装置，以保持废气处理装置的净化能力和净化容量。⑤生产加工前，净化设备开启，设备关机一段时间后再关闭净化设备。</w:t>
            </w:r>
          </w:p>
          <w:p>
            <w:pPr>
              <w:pStyle w:val="7"/>
              <w:keepNext w:val="0"/>
              <w:keepLines w:val="0"/>
              <w:numPr>
                <w:ilvl w:val="0"/>
                <w:numId w:val="17"/>
              </w:numPr>
              <w:suppressLineNumbers w:val="0"/>
              <w:spacing w:before="0" w:beforeAutospacing="0" w:after="0" w:afterAutospacing="0" w:line="360" w:lineRule="auto"/>
              <w:ind w:right="0" w:firstLine="397" w:firstLineChars="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污染治理设施的可行性：</w:t>
            </w:r>
          </w:p>
          <w:p>
            <w:pPr>
              <w:pStyle w:val="7"/>
              <w:keepNext w:val="0"/>
              <w:keepLines w:val="0"/>
              <w:numPr>
                <w:ilvl w:val="0"/>
                <w:numId w:val="21"/>
              </w:numPr>
              <w:suppressLineNumbers w:val="0"/>
              <w:spacing w:before="0" w:beforeAutospacing="0" w:after="0" w:afterAutospacing="0" w:line="360" w:lineRule="auto"/>
              <w:ind w:left="0" w:leftChars="0" w:right="0" w:firstLine="397" w:firstLineChars="0"/>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val="en-US" w:eastAsia="zh-CN"/>
              </w:rPr>
              <w:t>颗粒物（DA001、DA002）</w:t>
            </w:r>
          </w:p>
          <w:p>
            <w:pPr>
              <w:keepNext w:val="0"/>
              <w:keepLines w:val="0"/>
              <w:suppressLineNumbers w:val="0"/>
              <w:bidi w:val="0"/>
              <w:adjustRightInd/>
              <w:snapToGrid/>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项目喷砂产生的颗粒物采用“滤筒除尘器”进行处理、喷粉产生的颗粒物采用“滤筒粉尘回收机”进行处理</w:t>
            </w:r>
            <w:r>
              <w:rPr>
                <w:rFonts w:hint="eastAsia" w:cs="Times New Roman"/>
                <w:color w:val="auto"/>
                <w:lang w:val="en-US" w:eastAsia="zh-CN"/>
              </w:rPr>
              <w:t>，均属于滤筒除尘，</w:t>
            </w:r>
            <w:r>
              <w:rPr>
                <w:rFonts w:hint="default" w:ascii="Times New Roman" w:hAnsi="Times New Roman" w:eastAsia="宋体" w:cs="Times New Roman"/>
                <w:color w:val="auto"/>
                <w:lang w:val="en-US" w:eastAsia="zh-CN"/>
              </w:rPr>
              <w:t>滤筒除尘的处理原理如下：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szCs w:val="20"/>
                <w:lang w:val="en-US" w:eastAsia="zh-CN"/>
              </w:rPr>
              <w:t>含尘气体进入除尘器灰斗后，由于气流断面突然扩大及气流分布板作用，气流中一部分粗大颗粒在动和惯性力作用下沉降在灰斗;粒度细、密度小的尘粒进入滤尘室后，通过布朗扩散和筛滤等组合效应，使粉尘沉积在滤料表面上，净化后的气体进入净气室由排气管经风机排出。颗粒物经滤筒除尘器处理后尾气浓度大幅度降低，</w:t>
            </w:r>
            <w:r>
              <w:rPr>
                <w:rFonts w:hint="default" w:ascii="Times New Roman" w:hAnsi="Times New Roman" w:eastAsia="宋体" w:cs="Times New Roman"/>
                <w:b w:val="0"/>
                <w:bCs w:val="0"/>
                <w:color w:val="auto"/>
              </w:rPr>
              <w:t>可以满足《大气污染物排放限值》（DB44/27-2001）</w:t>
            </w:r>
            <w:r>
              <w:rPr>
                <w:rFonts w:hint="default" w:ascii="Times New Roman" w:hAnsi="Times New Roman" w:eastAsia="宋体" w:cs="Times New Roman"/>
                <w:b w:val="0"/>
                <w:bCs w:val="0"/>
                <w:color w:val="auto"/>
                <w:lang w:val="en-US" w:eastAsia="zh-CN"/>
              </w:rPr>
              <w:t>排放限值要求，</w:t>
            </w:r>
            <w:r>
              <w:rPr>
                <w:rFonts w:hint="default" w:ascii="Times New Roman" w:hAnsi="Times New Roman" w:eastAsia="宋体" w:cs="Times New Roman"/>
                <w:b w:val="0"/>
                <w:bCs w:val="0"/>
                <w:color w:val="auto"/>
              </w:rPr>
              <w:t>具有技术上可行性。</w:t>
            </w:r>
          </w:p>
          <w:p>
            <w:pPr>
              <w:pStyle w:val="7"/>
              <w:keepNext w:val="0"/>
              <w:keepLines w:val="0"/>
              <w:numPr>
                <w:ilvl w:val="0"/>
                <w:numId w:val="21"/>
              </w:numPr>
              <w:suppressLineNumbers w:val="0"/>
              <w:spacing w:before="0" w:beforeAutospacing="0" w:after="0" w:afterAutospacing="0" w:line="360" w:lineRule="auto"/>
              <w:ind w:left="0" w:leftChars="0" w:right="0" w:firstLine="397" w:firstLineChars="0"/>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val="en-US" w:eastAsia="zh-CN"/>
              </w:rPr>
              <w:t>颗粒物（DA004）</w:t>
            </w:r>
          </w:p>
          <w:p>
            <w:pPr>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项目使用水帘柜+水喷淋处理喷漆产生的颗粒物（漆雾），根据《排污许可证申请与核发技术规范 铁路、船舶、航空航天和其他运输设备制造业》（HJ 1124—2020）中表A.6 表面处理（涂装）排污单位废气污染防治推荐可行技术，水帘为处理喷漆漆雾的可行技术，因此项目使用水帘柜+水喷淋处理喷漆产生的颗粒物（漆雾）属于可行技术。</w:t>
            </w:r>
          </w:p>
          <w:p>
            <w:pPr>
              <w:pStyle w:val="7"/>
              <w:keepNext w:val="0"/>
              <w:keepLines w:val="0"/>
              <w:numPr>
                <w:ilvl w:val="0"/>
                <w:numId w:val="21"/>
              </w:numPr>
              <w:suppressLineNumbers w:val="0"/>
              <w:spacing w:before="0" w:beforeAutospacing="0" w:after="0" w:afterAutospacing="0" w:line="360" w:lineRule="auto"/>
              <w:ind w:left="0" w:leftChars="0" w:right="0" w:firstLine="397" w:firstLineChars="0"/>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val="en-US" w:eastAsia="zh-CN"/>
              </w:rPr>
              <w:t>有机废气（DA003、DA004）</w:t>
            </w:r>
          </w:p>
          <w:p>
            <w:pPr>
              <w:pStyle w:val="7"/>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项目有机废气处理采用活性炭吸附装置进行处理。</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auto"/>
              </w:rPr>
            </w:pPr>
            <w:r>
              <w:rPr>
                <w:rFonts w:hint="default" w:ascii="Times New Roman" w:hAnsi="Times New Roman" w:eastAsia="宋体" w:cs="Times New Roman"/>
                <w:color w:val="auto"/>
                <w:kern w:val="2"/>
                <w:sz w:val="24"/>
                <w:szCs w:val="20"/>
                <w:lang w:val="en-US" w:eastAsia="zh-CN" w:bidi="ar-SA"/>
              </w:rPr>
              <w:t>活性炭净化器是一种干式废气处理设备，选择不同填料可以处理多种不同废气，如苯类、酚类、醇类、醚类、酊类等有机废气和臭味。废气在风机的动力作用下，经过收集装置及管道进入主体治理设备——吸附器。吸附器内填充高效活性炭。活性炭的吸附能力在于它具有巨大的比表面积（高达600～1500m</w:t>
            </w:r>
            <w:r>
              <w:rPr>
                <w:rFonts w:hint="default" w:ascii="Times New Roman" w:hAnsi="Times New Roman" w:eastAsia="宋体" w:cs="Times New Roman"/>
                <w:color w:val="auto"/>
                <w:kern w:val="2"/>
                <w:sz w:val="24"/>
                <w:szCs w:val="20"/>
                <w:vertAlign w:val="superscript"/>
                <w:lang w:val="en-US" w:eastAsia="zh-CN" w:bidi="ar-SA"/>
              </w:rPr>
              <w:t>2</w:t>
            </w:r>
            <w:r>
              <w:rPr>
                <w:rFonts w:hint="default" w:ascii="Times New Roman" w:hAnsi="Times New Roman" w:eastAsia="宋体" w:cs="Times New Roman"/>
                <w:color w:val="auto"/>
                <w:kern w:val="2"/>
                <w:sz w:val="24"/>
                <w:szCs w:val="20"/>
                <w:lang w:val="en-US" w:eastAsia="zh-CN" w:bidi="ar-SA"/>
              </w:rPr>
              <w:t>/g），以及其精细的多孔表面构造。废气经过活性炭时，其中的一种或几种组分浓集在固体表面，从而与其他组分分开，气体得到净化处理。该方法几乎适用于所有的气相污染物，一般是中低浓度的气相污染物，具有去除效率高等优点。但由于活性炭本身对吸附气体有一定的饱和度，当活性炭达到饱和后需进行更换或再生。更换频次视其运行工况而定，废活性炭为危险废物需交有危险废物处置资质单位收集处理，则对周围环境的影响较少。</w:t>
            </w:r>
            <w:r>
              <w:rPr>
                <w:rFonts w:hint="default" w:ascii="Times New Roman" w:hAnsi="Times New Roman" w:eastAsia="宋体" w:cs="Times New Roman"/>
                <w:color w:val="auto"/>
                <w:sz w:val="24"/>
                <w:szCs w:val="20"/>
              </w:rPr>
              <w:t>目前市场上大部分使用活性炭吸附法来处理</w:t>
            </w:r>
            <w:r>
              <w:rPr>
                <w:rFonts w:hint="default" w:ascii="Times New Roman" w:hAnsi="Times New Roman" w:eastAsia="宋体" w:cs="Times New Roman"/>
                <w:color w:val="auto"/>
                <w:sz w:val="24"/>
                <w:szCs w:val="20"/>
                <w:lang w:val="en-US" w:eastAsia="zh-CN"/>
              </w:rPr>
              <w:t>有机</w:t>
            </w:r>
            <w:r>
              <w:rPr>
                <w:rFonts w:hint="default" w:ascii="Times New Roman" w:hAnsi="Times New Roman" w:eastAsia="宋体" w:cs="Times New Roman"/>
                <w:color w:val="auto"/>
                <w:sz w:val="24"/>
                <w:szCs w:val="20"/>
              </w:rPr>
              <w:t>废气，对于低浓度有机废气的吸附有很好的效果。因此项目的有机气体经该套处理装置处理后尾气浓度大幅度降低，</w:t>
            </w:r>
            <w:r>
              <w:rPr>
                <w:rFonts w:hint="default" w:ascii="Times New Roman" w:hAnsi="Times New Roman" w:eastAsia="宋体" w:cs="Times New Roman"/>
                <w:color w:val="auto"/>
                <w:sz w:val="24"/>
                <w:szCs w:val="20"/>
                <w:lang w:val="en-US" w:eastAsia="zh-CN"/>
              </w:rPr>
              <w:t>DA003、DA004废气</w:t>
            </w:r>
            <w:r>
              <w:rPr>
                <w:rFonts w:hint="default" w:ascii="Times New Roman" w:hAnsi="Times New Roman" w:eastAsia="宋体" w:cs="Times New Roman"/>
                <w:color w:val="auto"/>
                <w:sz w:val="24"/>
                <w:szCs w:val="20"/>
              </w:rPr>
              <w:t>可以满足《固定污染源挥发性有机物综合排放标准》（DB44/2367—2022）</w:t>
            </w:r>
            <w:r>
              <w:rPr>
                <w:rFonts w:hint="default" w:ascii="Times New Roman" w:hAnsi="Times New Roman" w:eastAsia="宋体" w:cs="Times New Roman"/>
                <w:color w:val="auto"/>
                <w:sz w:val="24"/>
                <w:szCs w:val="20"/>
                <w:lang w:val="en-US" w:eastAsia="zh-CN"/>
              </w:rPr>
              <w:t>的</w:t>
            </w:r>
            <w:r>
              <w:rPr>
                <w:rFonts w:hint="default" w:ascii="Times New Roman" w:hAnsi="Times New Roman" w:eastAsia="宋体" w:cs="Times New Roman"/>
                <w:color w:val="auto"/>
                <w:sz w:val="24"/>
                <w:szCs w:val="21"/>
              </w:rPr>
              <w:t>排放限值</w:t>
            </w:r>
            <w:r>
              <w:rPr>
                <w:rFonts w:hint="default" w:ascii="Times New Roman" w:hAnsi="Times New Roman" w:eastAsia="宋体" w:cs="Times New Roman"/>
                <w:color w:val="auto"/>
                <w:sz w:val="24"/>
                <w:szCs w:val="20"/>
                <w:lang w:val="en-US" w:eastAsia="zh-CN"/>
              </w:rPr>
              <w:t>，</w:t>
            </w:r>
            <w:r>
              <w:rPr>
                <w:rFonts w:hint="default" w:ascii="Times New Roman" w:hAnsi="Times New Roman" w:eastAsia="宋体" w:cs="Times New Roman"/>
                <w:color w:val="auto"/>
                <w:sz w:val="24"/>
                <w:szCs w:val="20"/>
              </w:rPr>
              <w:t>具有技术上可行性。</w:t>
            </w:r>
          </w:p>
          <w:p>
            <w:pPr>
              <w:pStyle w:val="7"/>
              <w:keepNext w:val="0"/>
              <w:keepLines w:val="0"/>
              <w:numPr>
                <w:ilvl w:val="0"/>
                <w:numId w:val="17"/>
              </w:numPr>
              <w:suppressLineNumbers w:val="0"/>
              <w:spacing w:before="0" w:beforeAutospacing="0" w:after="0" w:afterAutospacing="0" w:line="360" w:lineRule="auto"/>
              <w:ind w:right="0" w:firstLine="397"/>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废气排放环境影响</w:t>
            </w:r>
          </w:p>
          <w:p>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根据前文可知，项目所在区域大气环境质量现状良好，各因子可达到《环境空气质量标准》（GB3095-2012）及其修改单中的二级标准浓度限值，项目所在区域属于空气环境达标区。</w:t>
            </w:r>
            <w:r>
              <w:rPr>
                <w:rStyle w:val="72"/>
                <w:rFonts w:hint="default" w:ascii="Times New Roman" w:hAnsi="Times New Roman" w:eastAsia="宋体" w:cs="Times New Roman"/>
                <w:color w:val="auto"/>
                <w:kern w:val="2"/>
              </w:rPr>
              <w:t>本项目有组织、无组织排放的各污染物浓度均能达到相应排放标准，对区域大气环境的环境影响较小，不会改变当地环境空气质量级别。</w:t>
            </w:r>
          </w:p>
          <w:p>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根据现场勘察，</w:t>
            </w:r>
            <w:r>
              <w:rPr>
                <w:rFonts w:hint="default" w:ascii="Times New Roman" w:hAnsi="Times New Roman" w:eastAsia="宋体" w:cs="Times New Roman"/>
                <w:color w:val="auto"/>
                <w:spacing w:val="-4"/>
                <w:sz w:val="24"/>
              </w:rPr>
              <w:t>项目大气环境保护目标为</w:t>
            </w:r>
            <w:r>
              <w:rPr>
                <w:rFonts w:hint="eastAsia" w:cs="Times New Roman"/>
                <w:color w:val="auto"/>
                <w:spacing w:val="-4"/>
                <w:sz w:val="24"/>
                <w:lang w:val="en-US" w:eastAsia="zh-CN"/>
              </w:rPr>
              <w:t>东</w:t>
            </w:r>
            <w:r>
              <w:rPr>
                <w:rFonts w:hint="default" w:ascii="Times New Roman" w:hAnsi="Times New Roman" w:eastAsia="宋体" w:cs="Times New Roman"/>
                <w:color w:val="auto"/>
                <w:spacing w:val="-4"/>
                <w:sz w:val="24"/>
                <w:lang w:val="en-US" w:eastAsia="zh-CN"/>
              </w:rPr>
              <w:t>侧居民区、</w:t>
            </w:r>
            <w:r>
              <w:rPr>
                <w:rFonts w:hint="eastAsia" w:cs="Times New Roman"/>
                <w:color w:val="auto"/>
                <w:spacing w:val="-4"/>
                <w:sz w:val="24"/>
                <w:lang w:val="en-US" w:eastAsia="zh-CN"/>
              </w:rPr>
              <w:t>南侧零散居民区</w:t>
            </w:r>
            <w:r>
              <w:rPr>
                <w:rFonts w:hint="default" w:ascii="Times New Roman" w:hAnsi="Times New Roman" w:eastAsia="宋体" w:cs="Times New Roman"/>
                <w:color w:val="auto"/>
                <w:spacing w:val="-4"/>
                <w:sz w:val="24"/>
                <w:lang w:val="en-US" w:eastAsia="zh-CN"/>
              </w:rPr>
              <w:t>、</w:t>
            </w:r>
            <w:r>
              <w:rPr>
                <w:rFonts w:hint="eastAsia" w:cs="Times New Roman"/>
                <w:color w:val="auto"/>
                <w:spacing w:val="-4"/>
                <w:sz w:val="24"/>
                <w:lang w:val="en-US" w:eastAsia="zh-CN"/>
              </w:rPr>
              <w:t>东侧园区三路沿路居民区和西侧居民区</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其</w:t>
            </w:r>
            <w:r>
              <w:rPr>
                <w:rFonts w:hint="default" w:ascii="Times New Roman" w:hAnsi="Times New Roman" w:eastAsia="宋体" w:cs="Times New Roman"/>
                <w:color w:val="auto"/>
                <w:sz w:val="24"/>
              </w:rPr>
              <w:t>受项目环境影响较小。由此可见，项目废气经处理后排放对周边敏感点的环境影响不大。</w:t>
            </w:r>
          </w:p>
          <w:p>
            <w:pPr>
              <w:pStyle w:val="7"/>
              <w:keepNext w:val="0"/>
              <w:keepLines w:val="0"/>
              <w:numPr>
                <w:ilvl w:val="0"/>
                <w:numId w:val="17"/>
              </w:numPr>
              <w:suppressLineNumbers w:val="0"/>
              <w:spacing w:before="0" w:beforeAutospacing="0" w:after="0" w:afterAutospacing="0" w:line="360" w:lineRule="auto"/>
              <w:ind w:right="0" w:firstLine="397"/>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卫生防护距离</w:t>
            </w:r>
          </w:p>
          <w:p>
            <w:pPr>
              <w:keepNext w:val="0"/>
              <w:keepLines w:val="0"/>
              <w:suppressLineNumbers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指产生有害因素的部门（车间或工段）的边界至居住区边界的最小距离。大气有害物质无组织排放卫生防护距离按照《大气有害物质无组织排放卫生防护距离推导技术导则》（GB/T39499—2020）中卫生防护距离推导的方法确定。</w:t>
            </w:r>
          </w:p>
          <w:p>
            <w:pPr>
              <w:keepNext w:val="0"/>
              <w:keepLines w:val="0"/>
              <w:suppressLineNumbers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根据项目废气排放情况可知，项目废气无组织排放主要污染物为总VOCs、颗粒物，其无组织排放量和等标排放量如下。</w:t>
            </w:r>
          </w:p>
          <w:p>
            <w:pPr>
              <w:pStyle w:val="8"/>
              <w:keepNext w:val="0"/>
              <w:keepLines w:val="0"/>
              <w:suppressLineNumbers w:val="0"/>
              <w:adjustRightInd/>
              <w:snapToGrid w:val="0"/>
              <w:spacing w:before="0" w:beforeAutospacing="0" w:after="0" w:afterAutospacing="0" w:line="240" w:lineRule="auto"/>
              <w:ind w:left="0" w:right="0" w:firstLine="482" w:firstLineChars="0"/>
              <w:jc w:val="center"/>
              <w:rPr>
                <w:rFonts w:hint="default" w:ascii="Times New Roman" w:hAnsi="Times New Roman" w:eastAsia="宋体" w:cs="Times New Roman"/>
                <w:b/>
                <w:bCs/>
                <w:color w:val="auto"/>
                <w:sz w:val="21"/>
                <w:szCs w:val="21"/>
              </w:rPr>
            </w:pPr>
            <w:r>
              <w:rPr>
                <w:rFonts w:hint="default"/>
              </w:rPr>
              <w:t xml:space="preserve">表4- </w:t>
            </w:r>
            <w:r>
              <w:rPr>
                <w:rFonts w:hint="default"/>
              </w:rPr>
              <w:fldChar w:fldCharType="begin"/>
            </w:r>
            <w:r>
              <w:rPr>
                <w:rFonts w:hint="default"/>
              </w:rPr>
              <w:instrText xml:space="preserve"> SEQ 表4- \* ARABIC </w:instrText>
            </w:r>
            <w:r>
              <w:rPr>
                <w:rFonts w:hint="default"/>
              </w:rPr>
              <w:fldChar w:fldCharType="separate"/>
            </w:r>
            <w:r>
              <w:rPr>
                <w:rFonts w:hint="default"/>
              </w:rPr>
              <w:t>13</w:t>
            </w:r>
            <w:r>
              <w:rPr>
                <w:rFonts w:hint="default"/>
              </w:rPr>
              <w:fldChar w:fldCharType="end"/>
            </w:r>
            <w:r>
              <w:rPr>
                <w:rFonts w:hint="default" w:ascii="Times New Roman" w:hAnsi="Times New Roman" w:eastAsia="宋体" w:cs="Times New Roman"/>
                <w:b/>
                <w:bCs/>
                <w:color w:val="auto"/>
                <w:sz w:val="21"/>
                <w:szCs w:val="21"/>
              </w:rPr>
              <w:t>项目无组织排放量和等标排放量情况表</w:t>
            </w:r>
          </w:p>
          <w:tbl>
            <w:tblPr>
              <w:tblStyle w:val="26"/>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84"/>
              <w:gridCol w:w="2360"/>
              <w:gridCol w:w="19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4"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污染物</w:t>
                  </w:r>
                </w:p>
              </w:tc>
              <w:tc>
                <w:tcPr>
                  <w:tcW w:w="233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sz w:val="21"/>
                      <w:szCs w:val="21"/>
                      <w:lang w:val="en-US" w:eastAsia="zh-CN"/>
                    </w:rPr>
                  </w:pPr>
                  <w:r>
                    <w:rPr>
                      <w:rFonts w:hint="eastAsia" w:cs="Times New Roman"/>
                      <w:b/>
                      <w:bCs w:val="0"/>
                      <w:color w:val="auto"/>
                      <w:sz w:val="21"/>
                      <w:szCs w:val="21"/>
                      <w:lang w:val="en-US" w:eastAsia="zh-CN"/>
                    </w:rPr>
                    <w:t>生产车间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4"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sz w:val="21"/>
                      <w:szCs w:val="21"/>
                    </w:rPr>
                  </w:pPr>
                </w:p>
              </w:tc>
              <w:tc>
                <w:tcPr>
                  <w:tcW w:w="128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总VOCs</w:t>
                  </w:r>
                </w:p>
              </w:tc>
              <w:tc>
                <w:tcPr>
                  <w:tcW w:w="1048"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664" w:type="pc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无组织排放速率kg/h</w:t>
                  </w:r>
                </w:p>
              </w:tc>
              <w:tc>
                <w:tcPr>
                  <w:tcW w:w="128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0.123</w:t>
                  </w:r>
                </w:p>
              </w:tc>
              <w:tc>
                <w:tcPr>
                  <w:tcW w:w="1048"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0.207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664" w:type="pc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质量标准mg/m</w:t>
                  </w:r>
                  <w:r>
                    <w:rPr>
                      <w:rFonts w:hint="default" w:ascii="Times New Roman" w:hAnsi="Times New Roman" w:eastAsia="宋体" w:cs="Times New Roman"/>
                      <w:bCs/>
                      <w:color w:val="auto"/>
                      <w:sz w:val="21"/>
                      <w:szCs w:val="21"/>
                      <w:vertAlign w:val="superscript"/>
                    </w:rPr>
                    <w:t>3</w:t>
                  </w:r>
                </w:p>
              </w:tc>
              <w:tc>
                <w:tcPr>
                  <w:tcW w:w="128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1048"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664" w:type="pc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等标排放量m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/h</w:t>
                  </w:r>
                </w:p>
              </w:tc>
              <w:tc>
                <w:tcPr>
                  <w:tcW w:w="1287" w:type="pc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102500</w:t>
                  </w:r>
                </w:p>
              </w:tc>
              <w:tc>
                <w:tcPr>
                  <w:tcW w:w="1048" w:type="pc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230000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664" w:type="pc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等标排放量是否相差10%以内</w:t>
                  </w:r>
                </w:p>
              </w:tc>
              <w:tc>
                <w:tcPr>
                  <w:tcW w:w="233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664" w:type="pct"/>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最大等标排放量污染物</w:t>
                  </w:r>
                </w:p>
              </w:tc>
              <w:tc>
                <w:tcPr>
                  <w:tcW w:w="233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颗粒物</w:t>
                  </w:r>
                </w:p>
              </w:tc>
            </w:tr>
          </w:tbl>
          <w:p>
            <w:pPr>
              <w:keepNext w:val="0"/>
              <w:keepLines w:val="0"/>
              <w:suppressLineNumbers w:val="0"/>
              <w:adjustRightInd/>
              <w:snapToGrid/>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本评价利用《大气有害物质无组织排放卫生防护距离推导技术导则》（GB/T39499-2020）中关于有害气体无组织排放环境防护距离的计算公式（公式如下）：</w:t>
            </w:r>
          </w:p>
          <w:p>
            <w:pPr>
              <w:keepNext w:val="0"/>
              <w:keepLines w:val="0"/>
              <w:suppressLineNumbers w:val="0"/>
              <w:adjustRightInd/>
              <w:snapToGrid/>
              <w:spacing w:before="0" w:beforeAutospacing="0" w:after="0" w:afterAutospacing="0" w:line="360" w:lineRule="auto"/>
              <w:ind w:left="0" w:right="0" w:firstLine="0" w:firstLineChars="0"/>
              <w:jc w:val="center"/>
              <w:rPr>
                <w:rFonts w:hint="default" w:ascii="Times New Roman" w:hAnsi="Times New Roman" w:eastAsia="宋体" w:cs="Times New Roman"/>
                <w:b/>
                <w:color w:val="auto"/>
                <w:sz w:val="24"/>
                <w:szCs w:val="21"/>
              </w:rPr>
            </w:pPr>
            <w:r>
              <w:rPr>
                <w:rFonts w:hint="default" w:ascii="Times New Roman" w:hAnsi="Times New Roman" w:eastAsia="宋体" w:cs="Times New Roman"/>
                <w:color w:val="auto"/>
                <w:sz w:val="24"/>
              </w:rPr>
              <w:drawing>
                <wp:inline distT="0" distB="0" distL="114300" distR="114300">
                  <wp:extent cx="2818765" cy="655955"/>
                  <wp:effectExtent l="0" t="0" r="635" b="10795"/>
                  <wp:docPr id="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8"/>
                          <pic:cNvPicPr>
                            <a:picLocks noChangeAspect="1"/>
                          </pic:cNvPicPr>
                        </pic:nvPicPr>
                        <pic:blipFill>
                          <a:blip r:embed="rId24"/>
                          <a:stretch>
                            <a:fillRect/>
                          </a:stretch>
                        </pic:blipFill>
                        <pic:spPr>
                          <a:xfrm>
                            <a:off x="0" y="0"/>
                            <a:ext cx="2818765" cy="655955"/>
                          </a:xfrm>
                          <a:prstGeom prst="rect">
                            <a:avLst/>
                          </a:prstGeom>
                          <a:noFill/>
                          <a:ln>
                            <a:noFill/>
                          </a:ln>
                        </pic:spPr>
                      </pic:pic>
                    </a:graphicData>
                  </a:graphic>
                </wp:inline>
              </w:drawing>
            </w:r>
          </w:p>
          <w:p>
            <w:pPr>
              <w:keepNext w:val="0"/>
              <w:keepLines w:val="0"/>
              <w:suppressLineNumbers w:val="0"/>
              <w:adjustRightInd/>
              <w:snapToGrid/>
              <w:spacing w:before="0" w:beforeAutospacing="0" w:after="0" w:afterAutospacing="0" w:line="360" w:lineRule="auto"/>
              <w:ind w:left="0" w:right="0" w:firstLine="480" w:firstLineChars="200"/>
              <w:jc w:val="left"/>
              <w:rPr>
                <w:rFonts w:hint="default" w:ascii="Times New Roman" w:hAnsi="Times New Roman" w:eastAsia="宋体" w:cs="Times New Roman"/>
                <w:bCs/>
                <w:color w:val="auto"/>
                <w:sz w:val="24"/>
                <w:szCs w:val="21"/>
              </w:rPr>
            </w:pPr>
            <w:r>
              <w:rPr>
                <w:rFonts w:hint="default" w:ascii="Times New Roman" w:hAnsi="Times New Roman" w:eastAsia="宋体" w:cs="Times New Roman"/>
                <w:bCs/>
                <w:color w:val="auto"/>
                <w:sz w:val="24"/>
                <w:szCs w:val="21"/>
              </w:rPr>
              <w:t>式中：</w:t>
            </w:r>
          </w:p>
          <w:p>
            <w:pPr>
              <w:keepNext w:val="0"/>
              <w:keepLines w:val="0"/>
              <w:suppressLineNumbers w:val="0"/>
              <w:adjustRightInd/>
              <w:snapToGrid/>
              <w:spacing w:before="0" w:beforeAutospacing="0" w:after="0" w:afterAutospacing="0" w:line="360" w:lineRule="auto"/>
              <w:ind w:left="0" w:right="0" w:firstLine="452"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7"/>
                <w:sz w:val="24"/>
              </w:rPr>
              <w:t>式中：</w:t>
            </w:r>
            <w:r>
              <w:rPr>
                <w:rFonts w:hint="default" w:ascii="Times New Roman" w:hAnsi="Times New Roman" w:eastAsia="宋体" w:cs="Times New Roman"/>
                <w:color w:val="auto"/>
                <w:spacing w:val="73"/>
                <w:sz w:val="24"/>
              </w:rPr>
              <w:t xml:space="preserve"> </w:t>
            </w:r>
            <w:r>
              <w:rPr>
                <w:rFonts w:hint="default" w:ascii="Times New Roman" w:hAnsi="Times New Roman" w:eastAsia="宋体" w:cs="Times New Roman"/>
                <w:color w:val="auto"/>
                <w:spacing w:val="-7"/>
                <w:sz w:val="24"/>
              </w:rPr>
              <w:t>Cm——大气有害物质环境空气质量的标准限值，单位为毫克每立方米</w:t>
            </w:r>
            <w:r>
              <w:rPr>
                <w:rFonts w:hint="default" w:ascii="Times New Roman" w:hAnsi="Times New Roman" w:eastAsia="宋体" w:cs="Times New Roman"/>
                <w:color w:val="auto"/>
                <w:sz w:val="24"/>
              </w:rPr>
              <w:t xml:space="preserve"> </w:t>
            </w:r>
            <w:r>
              <w:rPr>
                <w:rFonts w:hint="default" w:ascii="Times New Roman" w:hAnsi="Times New Roman" w:eastAsia="宋体" w:cs="Times New Roman"/>
                <w:color w:val="auto"/>
                <w:spacing w:val="-4"/>
                <w:sz w:val="24"/>
              </w:rPr>
              <w:t>（mg/m</w:t>
            </w:r>
            <w:r>
              <w:rPr>
                <w:rFonts w:hint="default" w:ascii="Times New Roman" w:hAnsi="Times New Roman" w:eastAsia="宋体" w:cs="Times New Roman"/>
                <w:color w:val="auto"/>
                <w:spacing w:val="-4"/>
                <w:position w:val="7"/>
                <w:sz w:val="24"/>
              </w:rPr>
              <w:t>3</w:t>
            </w:r>
            <w:r>
              <w:rPr>
                <w:rFonts w:hint="default" w:ascii="Times New Roman" w:hAnsi="Times New Roman" w:eastAsia="宋体" w:cs="Times New Roman"/>
                <w:color w:val="auto"/>
                <w:spacing w:val="-6"/>
                <w:position w:val="7"/>
                <w:sz w:val="24"/>
              </w:rPr>
              <w:t xml:space="preserve"> </w:t>
            </w:r>
            <w:r>
              <w:rPr>
                <w:rFonts w:hint="default" w:ascii="Times New Roman" w:hAnsi="Times New Roman" w:eastAsia="宋体" w:cs="Times New Roman"/>
                <w:color w:val="auto"/>
                <w:spacing w:val="-15"/>
                <w:sz w:val="24"/>
              </w:rPr>
              <w:t>）；</w:t>
            </w:r>
          </w:p>
          <w:p>
            <w:pPr>
              <w:keepNext w:val="0"/>
              <w:keepLines w:val="0"/>
              <w:suppressLineNumbers w:val="0"/>
              <w:adjustRightInd/>
              <w:snapToGrid/>
              <w:spacing w:before="0" w:beforeAutospacing="0" w:after="0" w:afterAutospacing="0" w:line="360" w:lineRule="auto"/>
              <w:ind w:left="0" w:right="0" w:firstLine="476"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1"/>
                <w:sz w:val="24"/>
              </w:rPr>
              <w:t>L——大气有害物质卫生防护距离初值，单位为米（m</w:t>
            </w:r>
            <w:r>
              <w:rPr>
                <w:rFonts w:hint="default" w:ascii="Times New Roman" w:hAnsi="Times New Roman" w:eastAsia="宋体" w:cs="Times New Roman"/>
                <w:color w:val="auto"/>
                <w:spacing w:val="-25"/>
                <w:sz w:val="24"/>
              </w:rPr>
              <w:t xml:space="preserve"> </w:t>
            </w:r>
            <w:r>
              <w:rPr>
                <w:rFonts w:hint="default" w:ascii="Times New Roman" w:hAnsi="Times New Roman" w:eastAsia="宋体" w:cs="Times New Roman"/>
                <w:color w:val="auto"/>
                <w:spacing w:val="-8"/>
                <w:sz w:val="24"/>
              </w:rPr>
              <w:t>）；</w:t>
            </w:r>
          </w:p>
          <w:p>
            <w:pPr>
              <w:keepNext w:val="0"/>
              <w:keepLines w:val="0"/>
              <w:suppressLineNumbers w:val="0"/>
              <w:adjustRightInd/>
              <w:snapToGrid/>
              <w:spacing w:before="0" w:beforeAutospacing="0" w:after="0" w:afterAutospacing="0" w:line="360" w:lineRule="auto"/>
              <w:ind w:left="0" w:right="0" w:firstLine="464"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4"/>
                <w:sz w:val="24"/>
              </w:rPr>
              <w:t>r——大气有害气体无组织排放源所在生产单元的等效半径，单位为米（m）。</w:t>
            </w:r>
            <w:r>
              <w:rPr>
                <w:rFonts w:hint="default" w:ascii="Times New Roman" w:hAnsi="Times New Roman" w:eastAsia="宋体" w:cs="Times New Roman"/>
                <w:color w:val="auto"/>
                <w:spacing w:val="33"/>
                <w:sz w:val="24"/>
              </w:rPr>
              <w:t xml:space="preserve"> </w:t>
            </w:r>
            <w:r>
              <w:rPr>
                <w:rFonts w:hint="default" w:ascii="Times New Roman" w:hAnsi="Times New Roman" w:eastAsia="宋体" w:cs="Times New Roman"/>
                <w:color w:val="auto"/>
                <w:spacing w:val="-1"/>
                <w:sz w:val="24"/>
              </w:rPr>
              <w:t>根据企业生产单元占地面积S(m</w:t>
            </w:r>
            <w:r>
              <w:rPr>
                <w:rFonts w:hint="default" w:ascii="Times New Roman" w:hAnsi="Times New Roman" w:eastAsia="宋体" w:cs="Times New Roman"/>
                <w:color w:val="auto"/>
                <w:spacing w:val="-1"/>
                <w:position w:val="7"/>
                <w:sz w:val="24"/>
              </w:rPr>
              <w:t>2</w:t>
            </w:r>
            <w:r>
              <w:rPr>
                <w:rFonts w:hint="default" w:ascii="Times New Roman" w:hAnsi="Times New Roman" w:eastAsia="宋体" w:cs="Times New Roman"/>
                <w:color w:val="auto"/>
                <w:spacing w:val="-1"/>
                <w:sz w:val="24"/>
              </w:rPr>
              <w:t>)计算，r=(S/π)</w:t>
            </w:r>
            <w:r>
              <w:rPr>
                <w:rFonts w:hint="default" w:ascii="Times New Roman" w:hAnsi="Times New Roman" w:eastAsia="宋体" w:cs="Times New Roman"/>
                <w:color w:val="auto"/>
                <w:spacing w:val="-1"/>
                <w:position w:val="7"/>
                <w:sz w:val="24"/>
              </w:rPr>
              <w:t>0.5</w:t>
            </w:r>
            <w:r>
              <w:rPr>
                <w:rFonts w:hint="default" w:ascii="Times New Roman" w:hAnsi="Times New Roman" w:eastAsia="宋体" w:cs="Times New Roman"/>
                <w:color w:val="auto"/>
                <w:spacing w:val="-1"/>
                <w:sz w:val="24"/>
              </w:rPr>
              <w:t>。</w:t>
            </w:r>
          </w:p>
          <w:p>
            <w:pPr>
              <w:keepNext w:val="0"/>
              <w:keepLines w:val="0"/>
              <w:suppressLineNumbers w:val="0"/>
              <w:adjustRightInd/>
              <w:snapToGrid/>
              <w:spacing w:before="0" w:beforeAutospacing="0" w:after="0" w:afterAutospacing="0" w:line="360" w:lineRule="auto"/>
              <w:ind w:left="0" w:right="0" w:firstLine="476"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1"/>
                <w:position w:val="1"/>
                <w:sz w:val="24"/>
              </w:rPr>
              <w:t>Qc——大气有害物质的无组织排放量，单位为千克每小时（kg/h）。</w:t>
            </w:r>
          </w:p>
          <w:p>
            <w:pPr>
              <w:keepNext w:val="0"/>
              <w:keepLines w:val="0"/>
              <w:suppressLineNumbers w:val="0"/>
              <w:adjustRightInd/>
              <w:snapToGrid/>
              <w:spacing w:before="0" w:beforeAutospacing="0" w:after="0" w:afterAutospacing="0" w:line="360" w:lineRule="auto"/>
              <w:ind w:left="0" w:right="0" w:firstLine="464"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4"/>
                <w:sz w:val="24"/>
              </w:rPr>
              <w:t>A、B、C、D——卫生防护距离初值计算系数，无因次，根据工业企业所在地</w:t>
            </w:r>
            <w:r>
              <w:rPr>
                <w:rFonts w:hint="default" w:ascii="Times New Roman" w:hAnsi="Times New Roman" w:eastAsia="宋体" w:cs="Times New Roman"/>
                <w:color w:val="auto"/>
                <w:spacing w:val="30"/>
                <w:sz w:val="24"/>
              </w:rPr>
              <w:t xml:space="preserve"> </w:t>
            </w:r>
            <w:r>
              <w:rPr>
                <w:rFonts w:hint="default" w:ascii="Times New Roman" w:hAnsi="Times New Roman" w:eastAsia="宋体" w:cs="Times New Roman"/>
                <w:color w:val="auto"/>
                <w:spacing w:val="-2"/>
                <w:sz w:val="24"/>
              </w:rPr>
              <w:t>区近5年平均风速及大气污染源构成类别从(GB/T39499-2020)表1中查取，见下表。</w:t>
            </w:r>
          </w:p>
          <w:p>
            <w:pPr>
              <w:pStyle w:val="8"/>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4"/>
                <w:szCs w:val="21"/>
              </w:rPr>
            </w:pPr>
            <w:r>
              <w:rPr>
                <w:rFonts w:hint="default"/>
              </w:rPr>
              <w:t xml:space="preserve">表4- </w:t>
            </w:r>
            <w:r>
              <w:rPr>
                <w:rFonts w:hint="default"/>
              </w:rPr>
              <w:fldChar w:fldCharType="begin"/>
            </w:r>
            <w:r>
              <w:rPr>
                <w:rFonts w:hint="default"/>
              </w:rPr>
              <w:instrText xml:space="preserve"> SEQ 表4- \* ARABIC </w:instrText>
            </w:r>
            <w:r>
              <w:rPr>
                <w:rFonts w:hint="default"/>
              </w:rPr>
              <w:fldChar w:fldCharType="separate"/>
            </w:r>
            <w:r>
              <w:rPr>
                <w:rFonts w:hint="default"/>
              </w:rPr>
              <w:t>14</w:t>
            </w:r>
            <w:r>
              <w:rPr>
                <w:rFonts w:hint="default"/>
              </w:rPr>
              <w:fldChar w:fldCharType="end"/>
            </w:r>
            <w:r>
              <w:rPr>
                <w:rFonts w:hint="default" w:ascii="Times New Roman" w:hAnsi="Times New Roman" w:eastAsia="宋体" w:cs="Times New Roman"/>
                <w:b/>
                <w:color w:val="auto"/>
                <w:sz w:val="24"/>
                <w:szCs w:val="21"/>
              </w:rPr>
              <w:t>卫生防护距离计算系数</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27"/>
              <w:gridCol w:w="1827"/>
              <w:gridCol w:w="608"/>
              <w:gridCol w:w="608"/>
              <w:gridCol w:w="614"/>
              <w:gridCol w:w="609"/>
              <w:gridCol w:w="609"/>
              <w:gridCol w:w="616"/>
              <w:gridCol w:w="609"/>
              <w:gridCol w:w="609"/>
              <w:gridCol w:w="6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计算系数</w:t>
                  </w:r>
                </w:p>
              </w:tc>
              <w:tc>
                <w:tcPr>
                  <w:tcW w:w="997" w:type="pct"/>
                  <w:vMerge w:val="restar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工业企业所在地区近5年平均风速 m/s</w:t>
                  </w:r>
                </w:p>
              </w:tc>
              <w:tc>
                <w:tcPr>
                  <w:tcW w:w="3004" w:type="pct"/>
                  <w:gridSpan w:val="9"/>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卫生防护距离L，m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997" w:type="pct"/>
                  <w:vMerge w:val="continue"/>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999"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L≤1000</w:t>
                  </w:r>
                </w:p>
              </w:tc>
              <w:tc>
                <w:tcPr>
                  <w:tcW w:w="1000"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1000≤L2000</w:t>
                  </w:r>
                </w:p>
              </w:tc>
              <w:tc>
                <w:tcPr>
                  <w:tcW w:w="1005"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L≥2000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997" w:type="pct"/>
                  <w:vMerge w:val="continue"/>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3004" w:type="pct"/>
                  <w:gridSpan w:val="9"/>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工业大气污染源构成类型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997" w:type="pct"/>
                  <w:vMerge w:val="continue"/>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334"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335"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340"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w:t>
                  </w:r>
                </w:p>
              </w:tc>
              <w:tc>
                <w:tcPr>
                  <w:tcW w:w="99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334"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335"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340"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99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334"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335"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380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340"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99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&gt;4</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334"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335"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290</w:t>
                  </w:r>
                </w:p>
              </w:tc>
              <w:tc>
                <w:tcPr>
                  <w:tcW w:w="332"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c>
                <w:tcPr>
                  <w:tcW w:w="340"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w:t>
                  </w:r>
                </w:p>
              </w:tc>
              <w:tc>
                <w:tcPr>
                  <w:tcW w:w="99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999"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1000"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c>
                <w:tcPr>
                  <w:tcW w:w="1005"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99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999"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1000"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c>
                <w:tcPr>
                  <w:tcW w:w="1005"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p>
              </w:tc>
              <w:tc>
                <w:tcPr>
                  <w:tcW w:w="99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999"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000"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c>
                <w:tcPr>
                  <w:tcW w:w="1005"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99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999"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000"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c>
                <w:tcPr>
                  <w:tcW w:w="1005"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997" w:type="pct"/>
                  <w:vMerge w:val="restar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w:t>
                  </w:r>
                </w:p>
              </w:tc>
              <w:tc>
                <w:tcPr>
                  <w:tcW w:w="99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999"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000"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005"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997" w:type="pct"/>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999"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000"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005" w:type="pct"/>
                  <w:gridSpan w:val="3"/>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tcBorders>
                    <w:tl2br w:val="nil"/>
                    <w:tr2bl w:val="nil"/>
                  </w:tcBorders>
                  <w:noWrap w:val="0"/>
                  <w:vAlign w:val="center"/>
                </w:tcPr>
                <w:p>
                  <w:pPr>
                    <w:keepNext w:val="0"/>
                    <w:keepLines w:val="0"/>
                    <w:suppressLineNumbers w:val="0"/>
                    <w:adjustRightInd/>
                    <w:snapToGrid/>
                    <w:spacing w:before="0" w:beforeAutospacing="0" w:after="0" w:afterAutospacing="0" w:line="240" w:lineRule="auto"/>
                    <w:ind w:left="0" w:right="0" w:firstLine="0" w:firstLineChars="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Ⅰ类:与无组织排放源共存的排放同种有害气体的排气筒的排放量,大于或等于标准规定的允许排放量的1/3者。</w:t>
                  </w:r>
                </w:p>
                <w:p>
                  <w:pPr>
                    <w:keepNext w:val="0"/>
                    <w:keepLines w:val="0"/>
                    <w:suppressLineNumbers w:val="0"/>
                    <w:adjustRightInd/>
                    <w:snapToGrid/>
                    <w:spacing w:before="0" w:beforeAutospacing="0" w:after="0" w:afterAutospacing="0" w:line="360" w:lineRule="auto"/>
                    <w:ind w:left="0" w:right="0"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pPr>
                    <w:keepNext w:val="0"/>
                    <w:keepLines w:val="0"/>
                    <w:suppressLineNumbers w:val="0"/>
                    <w:adjustRightInd/>
                    <w:snapToGrid/>
                    <w:spacing w:before="0" w:beforeAutospacing="0" w:after="0" w:afterAutospacing="0" w:line="240" w:lineRule="auto"/>
                    <w:ind w:left="0" w:right="0"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Ⅲ类:无排放同种有害物质的排气筒与无组织排放源共存,但无组织排放的有害物质的容许浓度是按慢性反应指标确定者。</w:t>
                  </w:r>
                </w:p>
              </w:tc>
            </w:tr>
          </w:tbl>
          <w:p>
            <w:pPr>
              <w:keepNext w:val="0"/>
              <w:keepLines w:val="0"/>
              <w:suppressLineNumbers w:val="0"/>
              <w:adjustRightInd/>
              <w:snapToGrid w:val="0"/>
              <w:spacing w:before="0" w:beforeAutospacing="0" w:after="0" w:afterAutospacing="0" w:line="300" w:lineRule="auto"/>
              <w:ind w:left="0" w:right="0" w:firstLine="480" w:firstLineChars="0"/>
              <w:rPr>
                <w:rFonts w:hint="default" w:ascii="Times New Roman" w:hAnsi="Times New Roman" w:eastAsia="宋体" w:cs="Times New Roman"/>
                <w:iCs/>
                <w:color w:val="auto"/>
                <w:sz w:val="21"/>
                <w:szCs w:val="21"/>
              </w:rPr>
            </w:pPr>
            <w:r>
              <w:rPr>
                <w:rFonts w:hint="default" w:ascii="Times New Roman" w:hAnsi="Times New Roman" w:eastAsia="宋体" w:cs="Times New Roman"/>
                <w:iCs/>
                <w:color w:val="auto"/>
                <w:sz w:val="21"/>
                <w:szCs w:val="21"/>
              </w:rPr>
              <w:t>当地近5年平均风速为2.2m/s，因此本项目大气污染源为Ⅱ类。</w:t>
            </w:r>
          </w:p>
          <w:p>
            <w:pPr>
              <w:keepNext w:val="0"/>
              <w:keepLines w:val="0"/>
              <w:suppressLineNumbers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项目卫生防护距离计算参数表和无组织废气卫生防护距离表见下表。</w:t>
            </w:r>
          </w:p>
          <w:p>
            <w:pPr>
              <w:pStyle w:val="8"/>
              <w:keepNext w:val="0"/>
              <w:keepLines w:val="0"/>
              <w:suppressLineNumbers w:val="0"/>
              <w:autoSpaceDE w:val="0"/>
              <w:autoSpaceDN w:val="0"/>
              <w:adjustRightInd w:val="0"/>
              <w:snapToGrid/>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4"/>
              </w:rPr>
            </w:pPr>
            <w:r>
              <w:rPr>
                <w:rFonts w:hint="default"/>
              </w:rPr>
              <w:t xml:space="preserve">表4- </w:t>
            </w:r>
            <w:r>
              <w:rPr>
                <w:rFonts w:hint="default"/>
              </w:rPr>
              <w:fldChar w:fldCharType="begin"/>
            </w:r>
            <w:r>
              <w:rPr>
                <w:rFonts w:hint="default"/>
              </w:rPr>
              <w:instrText xml:space="preserve"> SEQ 表4- \* ARABIC </w:instrText>
            </w:r>
            <w:r>
              <w:rPr>
                <w:rFonts w:hint="default"/>
              </w:rPr>
              <w:fldChar w:fldCharType="separate"/>
            </w:r>
            <w:r>
              <w:rPr>
                <w:rFonts w:hint="default"/>
              </w:rPr>
              <w:t>15</w:t>
            </w:r>
            <w:r>
              <w:rPr>
                <w:rFonts w:hint="default"/>
              </w:rPr>
              <w:fldChar w:fldCharType="end"/>
            </w:r>
            <w:r>
              <w:rPr>
                <w:rFonts w:hint="default" w:ascii="Times New Roman" w:hAnsi="Times New Roman" w:eastAsia="宋体" w:cs="Times New Roman"/>
                <w:b/>
                <w:bCs/>
                <w:color w:val="auto"/>
                <w:sz w:val="24"/>
                <w:szCs w:val="20"/>
              </w:rPr>
              <w:t>卫生防护距离计算参数表</w:t>
            </w:r>
          </w:p>
          <w:tbl>
            <w:tblPr>
              <w:tblStyle w:val="26"/>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64"/>
              <w:gridCol w:w="2157"/>
              <w:gridCol w:w="2554"/>
              <w:gridCol w:w="1209"/>
              <w:gridCol w:w="763"/>
              <w:gridCol w:w="616"/>
              <w:gridCol w:w="8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8" w:type="dxa"/>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计算参数</w:t>
                  </w:r>
                </w:p>
              </w:tc>
              <w:tc>
                <w:tcPr>
                  <w:tcW w:w="2217"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工业企业所在地近五年平均风速m/s</w:t>
                  </w:r>
                </w:p>
              </w:tc>
              <w:tc>
                <w:tcPr>
                  <w:tcW w:w="2633"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工业企业大气污染源构成类别</w:t>
                  </w:r>
                </w:p>
              </w:tc>
              <w:tc>
                <w:tcPr>
                  <w:tcW w:w="123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A</w:t>
                  </w:r>
                </w:p>
              </w:tc>
              <w:tc>
                <w:tcPr>
                  <w:tcW w:w="766"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B</w:t>
                  </w:r>
                </w:p>
              </w:tc>
              <w:tc>
                <w:tcPr>
                  <w:tcW w:w="617"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C</w:t>
                  </w:r>
                </w:p>
              </w:tc>
              <w:tc>
                <w:tcPr>
                  <w:tcW w:w="811"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8" w:type="dxa"/>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p>
              </w:tc>
              <w:tc>
                <w:tcPr>
                  <w:tcW w:w="2217"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2.2</w:t>
                  </w:r>
                </w:p>
              </w:tc>
              <w:tc>
                <w:tcPr>
                  <w:tcW w:w="2633"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Ⅱ</w:t>
                  </w:r>
                </w:p>
              </w:tc>
              <w:tc>
                <w:tcPr>
                  <w:tcW w:w="1234"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470</w:t>
                  </w:r>
                </w:p>
              </w:tc>
              <w:tc>
                <w:tcPr>
                  <w:tcW w:w="766"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0.021</w:t>
                  </w:r>
                </w:p>
              </w:tc>
              <w:tc>
                <w:tcPr>
                  <w:tcW w:w="617"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1.85</w:t>
                  </w:r>
                </w:p>
              </w:tc>
              <w:tc>
                <w:tcPr>
                  <w:tcW w:w="811" w:type="dxa"/>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0.84</w:t>
                  </w:r>
                </w:p>
              </w:tc>
            </w:tr>
          </w:tbl>
          <w:p>
            <w:pPr>
              <w:pStyle w:val="8"/>
              <w:keepNext w:val="0"/>
              <w:keepLines w:val="0"/>
              <w:suppressLineNumbers w:val="0"/>
              <w:autoSpaceDE w:val="0"/>
              <w:autoSpaceDN w:val="0"/>
              <w:adjustRightInd w:val="0"/>
              <w:snapToGrid/>
              <w:spacing w:before="0" w:beforeAutospacing="0" w:after="0" w:afterAutospacing="0" w:line="360" w:lineRule="auto"/>
              <w:ind w:left="0" w:right="0" w:firstLine="0" w:firstLineChars="0"/>
              <w:jc w:val="center"/>
              <w:rPr>
                <w:rFonts w:hint="default" w:ascii="Times New Roman" w:hAnsi="Times New Roman" w:eastAsia="宋体" w:cs="Times New Roman"/>
                <w:color w:val="auto"/>
                <w:sz w:val="24"/>
              </w:rPr>
            </w:pPr>
            <w:r>
              <w:rPr>
                <w:rFonts w:hint="default"/>
              </w:rPr>
              <w:t xml:space="preserve">表4- </w:t>
            </w:r>
            <w:r>
              <w:rPr>
                <w:rFonts w:hint="default"/>
              </w:rPr>
              <w:fldChar w:fldCharType="begin"/>
            </w:r>
            <w:r>
              <w:rPr>
                <w:rFonts w:hint="default"/>
              </w:rPr>
              <w:instrText xml:space="preserve"> SEQ 表4- \* ARABIC </w:instrText>
            </w:r>
            <w:r>
              <w:rPr>
                <w:rFonts w:hint="default"/>
              </w:rPr>
              <w:fldChar w:fldCharType="separate"/>
            </w:r>
            <w:r>
              <w:rPr>
                <w:rFonts w:hint="default"/>
              </w:rPr>
              <w:t>16</w:t>
            </w:r>
            <w:r>
              <w:rPr>
                <w:rFonts w:hint="default"/>
              </w:rPr>
              <w:fldChar w:fldCharType="end"/>
            </w:r>
            <w:r>
              <w:rPr>
                <w:rFonts w:hint="default" w:ascii="Times New Roman" w:hAnsi="Times New Roman" w:eastAsia="宋体" w:cs="Times New Roman"/>
                <w:b/>
                <w:bCs/>
                <w:color w:val="auto"/>
                <w:sz w:val="24"/>
                <w:szCs w:val="20"/>
              </w:rPr>
              <w:t>无组织废气卫生防护距离表</w:t>
            </w:r>
          </w:p>
          <w:tbl>
            <w:tblPr>
              <w:tblStyle w:val="26"/>
              <w:tblW w:w="4996"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992"/>
              <w:gridCol w:w="950"/>
              <w:gridCol w:w="1216"/>
              <w:gridCol w:w="1080"/>
              <w:gridCol w:w="1112"/>
              <w:gridCol w:w="1095"/>
              <w:gridCol w:w="886"/>
              <w:gridCol w:w="10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77" w:type="pct"/>
                  <w:gridSpan w:val="2"/>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污染源</w:t>
                  </w:r>
                </w:p>
              </w:tc>
              <w:tc>
                <w:tcPr>
                  <w:tcW w:w="51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污染物</w:t>
                  </w:r>
                </w:p>
              </w:tc>
              <w:tc>
                <w:tcPr>
                  <w:tcW w:w="66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Qc 污染物源强</w:t>
                  </w:r>
                </w:p>
                <w:p>
                  <w:pPr>
                    <w:pStyle w:val="52"/>
                    <w:keepNext w:val="0"/>
                    <w:keepLines w:val="0"/>
                    <w:suppressLineNumbers w:val="0"/>
                    <w:bidi w:val="0"/>
                    <w:spacing w:before="0" w:beforeAutospacing="0" w:after="0" w:afterAutospacing="0"/>
                    <w:ind w:left="0" w:right="0"/>
                    <w:rPr>
                      <w:rFonts w:hint="default"/>
                      <w:b/>
                      <w:bCs/>
                    </w:rPr>
                  </w:pPr>
                  <w:r>
                    <w:rPr>
                      <w:rFonts w:hint="default"/>
                      <w:b/>
                      <w:bCs/>
                    </w:rPr>
                    <w:t>(kg/h)</w:t>
                  </w:r>
                </w:p>
              </w:tc>
              <w:tc>
                <w:tcPr>
                  <w:tcW w:w="58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占地面积（㎡）</w:t>
                  </w:r>
                </w:p>
              </w:tc>
              <w:tc>
                <w:tcPr>
                  <w:tcW w:w="60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Cm 评价</w:t>
                  </w:r>
                </w:p>
                <w:p>
                  <w:pPr>
                    <w:pStyle w:val="52"/>
                    <w:keepNext w:val="0"/>
                    <w:keepLines w:val="0"/>
                    <w:suppressLineNumbers w:val="0"/>
                    <w:bidi w:val="0"/>
                    <w:spacing w:before="0" w:beforeAutospacing="0" w:after="0" w:afterAutospacing="0"/>
                    <w:ind w:left="0" w:right="0"/>
                    <w:rPr>
                      <w:rFonts w:hint="default"/>
                      <w:b/>
                      <w:bCs/>
                    </w:rPr>
                  </w:pPr>
                  <w:r>
                    <w:rPr>
                      <w:rFonts w:hint="default"/>
                      <w:b/>
                      <w:bCs/>
                    </w:rPr>
                    <w:t>标准</w:t>
                  </w:r>
                </w:p>
                <w:p>
                  <w:pPr>
                    <w:pStyle w:val="52"/>
                    <w:keepNext w:val="0"/>
                    <w:keepLines w:val="0"/>
                    <w:suppressLineNumbers w:val="0"/>
                    <w:bidi w:val="0"/>
                    <w:spacing w:before="0" w:beforeAutospacing="0" w:after="0" w:afterAutospacing="0"/>
                    <w:ind w:left="0" w:right="0"/>
                    <w:rPr>
                      <w:rFonts w:hint="default"/>
                      <w:b/>
                      <w:bCs/>
                    </w:rPr>
                  </w:pPr>
                  <w:r>
                    <w:rPr>
                      <w:rFonts w:hint="default"/>
                      <w:b/>
                      <w:bCs/>
                    </w:rPr>
                    <w:t>(mg/m3)</w:t>
                  </w:r>
                </w:p>
              </w:tc>
              <w:tc>
                <w:tcPr>
                  <w:tcW w:w="59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等效半径 r （m）</w:t>
                  </w:r>
                </w:p>
              </w:tc>
              <w:tc>
                <w:tcPr>
                  <w:tcW w:w="48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面源</w:t>
                  </w:r>
                </w:p>
                <w:p>
                  <w:pPr>
                    <w:pStyle w:val="52"/>
                    <w:keepNext w:val="0"/>
                    <w:keepLines w:val="0"/>
                    <w:suppressLineNumbers w:val="0"/>
                    <w:bidi w:val="0"/>
                    <w:spacing w:before="0" w:beforeAutospacing="0" w:after="0" w:afterAutospacing="0"/>
                    <w:ind w:left="0" w:right="0"/>
                    <w:rPr>
                      <w:rFonts w:hint="default"/>
                      <w:b/>
                      <w:bCs/>
                    </w:rPr>
                  </w:pPr>
                  <w:r>
                    <w:rPr>
                      <w:rFonts w:hint="default"/>
                      <w:b/>
                      <w:bCs/>
                    </w:rPr>
                    <w:t>高度</w:t>
                  </w:r>
                </w:p>
                <w:p>
                  <w:pPr>
                    <w:pStyle w:val="52"/>
                    <w:keepNext w:val="0"/>
                    <w:keepLines w:val="0"/>
                    <w:suppressLineNumbers w:val="0"/>
                    <w:bidi w:val="0"/>
                    <w:spacing w:before="0" w:beforeAutospacing="0" w:after="0" w:afterAutospacing="0"/>
                    <w:ind w:left="0" w:right="0"/>
                    <w:rPr>
                      <w:rFonts w:hint="default"/>
                      <w:b/>
                      <w:bCs/>
                    </w:rPr>
                  </w:pPr>
                  <w:r>
                    <w:rPr>
                      <w:rFonts w:hint="default"/>
                      <w:b/>
                      <w:bCs/>
                    </w:rPr>
                    <w:t>/m</w:t>
                  </w:r>
                </w:p>
              </w:tc>
              <w:tc>
                <w:tcPr>
                  <w:tcW w:w="56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b/>
                      <w:bCs/>
                    </w:rPr>
                  </w:pPr>
                  <w:r>
                    <w:rPr>
                      <w:rFonts w:hint="default"/>
                      <w:b/>
                      <w:bCs/>
                    </w:rPr>
                    <w:t>卫生防护</w:t>
                  </w:r>
                </w:p>
                <w:p>
                  <w:pPr>
                    <w:pStyle w:val="52"/>
                    <w:keepNext w:val="0"/>
                    <w:keepLines w:val="0"/>
                    <w:suppressLineNumbers w:val="0"/>
                    <w:bidi w:val="0"/>
                    <w:spacing w:before="0" w:beforeAutospacing="0" w:after="0" w:afterAutospacing="0"/>
                    <w:ind w:left="0" w:right="0"/>
                    <w:rPr>
                      <w:rFonts w:hint="default"/>
                      <w:b/>
                      <w:bCs/>
                    </w:rPr>
                  </w:pPr>
                  <w:r>
                    <w:rPr>
                      <w:rFonts w:hint="default"/>
                      <w:b/>
                      <w:bCs/>
                    </w:rPr>
                    <w:t>距离</w:t>
                  </w:r>
                </w:p>
                <w:p>
                  <w:pPr>
                    <w:pStyle w:val="52"/>
                    <w:keepNext w:val="0"/>
                    <w:keepLines w:val="0"/>
                    <w:suppressLineNumbers w:val="0"/>
                    <w:bidi w:val="0"/>
                    <w:spacing w:before="0" w:beforeAutospacing="0" w:after="0" w:afterAutospacing="0"/>
                    <w:ind w:left="0" w:right="0"/>
                    <w:rPr>
                      <w:rFonts w:hint="default"/>
                      <w:b/>
                      <w:bCs/>
                    </w:rPr>
                  </w:pPr>
                  <w:r>
                    <w:rPr>
                      <w:rFonts w:hint="default"/>
                      <w:b/>
                      <w:bCs/>
                    </w:rPr>
                    <w:t>初值计算</w:t>
                  </w:r>
                </w:p>
                <w:p>
                  <w:pPr>
                    <w:pStyle w:val="52"/>
                    <w:keepNext w:val="0"/>
                    <w:keepLines w:val="0"/>
                    <w:suppressLineNumbers w:val="0"/>
                    <w:bidi w:val="0"/>
                    <w:spacing w:before="0" w:beforeAutospacing="0" w:after="0" w:afterAutospacing="0"/>
                    <w:ind w:left="0" w:right="0"/>
                    <w:rPr>
                      <w:rFonts w:hint="default"/>
                      <w:b/>
                      <w:bCs/>
                    </w:rPr>
                  </w:pPr>
                  <w:r>
                    <w:rPr>
                      <w:rFonts w:hint="default"/>
                      <w:b/>
                      <w:bCs/>
                    </w:rPr>
                    <w:t>值(m)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厂房废气车间</w:t>
                  </w:r>
                </w:p>
              </w:tc>
              <w:tc>
                <w:tcPr>
                  <w:tcW w:w="54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喷砂、喷粉、喷漆</w:t>
                  </w:r>
                </w:p>
              </w:tc>
              <w:tc>
                <w:tcPr>
                  <w:tcW w:w="51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颗粒物</w:t>
                  </w:r>
                </w:p>
              </w:tc>
              <w:tc>
                <w:tcPr>
                  <w:tcW w:w="66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0.207</w:t>
                  </w:r>
                </w:p>
              </w:tc>
              <w:tc>
                <w:tcPr>
                  <w:tcW w:w="58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1000</w:t>
                  </w:r>
                </w:p>
              </w:tc>
              <w:tc>
                <w:tcPr>
                  <w:tcW w:w="60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0.9</w:t>
                  </w:r>
                </w:p>
              </w:tc>
              <w:tc>
                <w:tcPr>
                  <w:tcW w:w="597"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35.68</w:t>
                  </w:r>
                </w:p>
              </w:tc>
              <w:tc>
                <w:tcPr>
                  <w:tcW w:w="48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eastAsia" w:eastAsia="宋体"/>
                      <w:lang w:eastAsia="zh-CN"/>
                    </w:rPr>
                  </w:pPr>
                  <w:r>
                    <w:rPr>
                      <w:rFonts w:hint="eastAsia"/>
                      <w:lang w:val="en-US" w:eastAsia="zh-CN"/>
                    </w:rPr>
                    <w:t>7</w:t>
                  </w:r>
                </w:p>
              </w:tc>
              <w:tc>
                <w:tcPr>
                  <w:tcW w:w="56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38.68</w:t>
                  </w:r>
                </w:p>
              </w:tc>
            </w:tr>
          </w:tbl>
          <w:p>
            <w:pPr>
              <w:keepNext w:val="0"/>
              <w:keepLines w:val="0"/>
              <w:widowControl/>
              <w:suppressLineNumbers w:val="0"/>
              <w:adjustRightInd/>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根据《大气有害物质无组织排放卫生防护距离推导技术导则》（GB/T39499-2020）规定和上表计算结果，本项目生产车间卫生防护距离初值小于50m，则本项目卫生防护距离取50m，项目卫生防护距离包络图详见附图4。</w:t>
            </w:r>
          </w:p>
          <w:p>
            <w:pPr>
              <w:keepNext w:val="0"/>
              <w:keepLines w:val="0"/>
              <w:widowControl/>
              <w:suppressLineNumbers w:val="0"/>
              <w:adjustRightInd/>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现场踏勘时，距离项目</w:t>
            </w:r>
            <w:r>
              <w:rPr>
                <w:rFonts w:hint="eastAsia" w:cs="Times New Roman"/>
                <w:color w:val="auto"/>
                <w:sz w:val="24"/>
                <w:lang w:val="en-US" w:eastAsia="zh-CN"/>
              </w:rPr>
              <w:t>厂房废气产生车间</w:t>
            </w:r>
            <w:r>
              <w:rPr>
                <w:rFonts w:hint="default" w:ascii="Times New Roman" w:hAnsi="Times New Roman" w:eastAsia="宋体" w:cs="Times New Roman"/>
                <w:color w:val="auto"/>
                <w:sz w:val="24"/>
              </w:rPr>
              <w:t>最近的环境敏感点是</w:t>
            </w:r>
            <w:r>
              <w:rPr>
                <w:rFonts w:hint="eastAsia" w:cs="Times New Roman"/>
                <w:color w:val="auto"/>
                <w:sz w:val="24"/>
                <w:lang w:val="en-US" w:eastAsia="zh-CN"/>
              </w:rPr>
              <w:t>东</w:t>
            </w:r>
            <w:r>
              <w:rPr>
                <w:rFonts w:hint="default" w:ascii="Times New Roman" w:hAnsi="Times New Roman" w:eastAsia="宋体" w:cs="Times New Roman"/>
                <w:color w:val="auto"/>
                <w:sz w:val="24"/>
              </w:rPr>
              <w:t>面</w:t>
            </w:r>
            <w:r>
              <w:rPr>
                <w:rFonts w:hint="eastAsia" w:cs="Times New Roman"/>
                <w:color w:val="auto"/>
                <w:sz w:val="24"/>
                <w:lang w:val="en-US" w:eastAsia="zh-CN"/>
              </w:rPr>
              <w:t>61</w:t>
            </w:r>
            <w:r>
              <w:rPr>
                <w:rFonts w:hint="default" w:ascii="Times New Roman" w:hAnsi="Times New Roman" w:eastAsia="宋体" w:cs="Times New Roman"/>
                <w:color w:val="auto"/>
                <w:sz w:val="24"/>
              </w:rPr>
              <w:t>m处</w:t>
            </w:r>
            <w:r>
              <w:rPr>
                <w:rFonts w:hint="eastAsia" w:cs="Times New Roman"/>
                <w:color w:val="auto"/>
                <w:sz w:val="24"/>
                <w:lang w:val="en-US" w:eastAsia="zh-CN"/>
              </w:rPr>
              <w:t>东</w:t>
            </w:r>
            <w:r>
              <w:rPr>
                <w:rFonts w:hint="default" w:ascii="Times New Roman" w:hAnsi="Times New Roman" w:eastAsia="宋体" w:cs="Times New Roman"/>
                <w:color w:val="auto"/>
                <w:sz w:val="24"/>
              </w:rPr>
              <w:t>侧居民</w:t>
            </w:r>
            <w:r>
              <w:rPr>
                <w:rFonts w:hint="eastAsia" w:cs="Times New Roman"/>
                <w:color w:val="auto"/>
                <w:sz w:val="24"/>
                <w:lang w:val="en-US" w:eastAsia="zh-CN"/>
              </w:rPr>
              <w:t>区</w:t>
            </w:r>
            <w:r>
              <w:rPr>
                <w:rFonts w:hint="default" w:ascii="Times New Roman" w:hAnsi="Times New Roman" w:eastAsia="宋体" w:cs="Times New Roman"/>
                <w:color w:val="auto"/>
                <w:sz w:val="24"/>
              </w:rPr>
              <w:t>，不在本项目的卫生防护距离范围内。项目环境防护距离范围内无居民、学校等环境敏感目标，满足环境防护距离的要求。同时，本报告表建议业主主动与当地政府主管部门联系，今后在环境防护距离内不得新建学校、民居等敏感目标。</w:t>
            </w:r>
          </w:p>
          <w:p>
            <w:pPr>
              <w:keepNext w:val="0"/>
              <w:keepLines w:val="0"/>
              <w:numPr>
                <w:ilvl w:val="0"/>
                <w:numId w:val="16"/>
              </w:numPr>
              <w:suppressLineNumbers w:val="0"/>
              <w:adjustRightInd w:val="0"/>
              <w:snapToGrid w:val="0"/>
              <w:spacing w:before="0" w:beforeAutospacing="0" w:after="0" w:afterAutospacing="0" w:line="360" w:lineRule="auto"/>
              <w:ind w:right="0" w:firstLine="400"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废水</w:t>
            </w:r>
          </w:p>
          <w:p>
            <w:pPr>
              <w:keepNext w:val="0"/>
              <w:keepLines w:val="0"/>
              <w:numPr>
                <w:ilvl w:val="0"/>
                <w:numId w:val="22"/>
              </w:numPr>
              <w:suppressLineNumbers w:val="0"/>
              <w:adjustRightInd w:val="0"/>
              <w:snapToGrid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废水污染物</w:t>
            </w:r>
          </w:p>
          <w:p>
            <w:pPr>
              <w:pStyle w:val="13"/>
              <w:keepNext w:val="0"/>
              <w:keepLines w:val="0"/>
              <w:numPr>
                <w:ilvl w:val="0"/>
                <w:numId w:val="23"/>
              </w:numPr>
              <w:suppressLineNumbers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生活污水</w:t>
            </w:r>
          </w:p>
          <w:p>
            <w:pPr>
              <w:pStyle w:val="5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项目生活污水</w:t>
            </w:r>
            <w:r>
              <w:rPr>
                <w:rFonts w:hint="default" w:ascii="Times New Roman" w:hAnsi="Times New Roman" w:eastAsia="宋体" w:cs="Times New Roman"/>
                <w:color w:val="auto"/>
                <w:lang w:val="en-US" w:eastAsia="zh-CN"/>
              </w:rPr>
              <w:t>产生量1.</w:t>
            </w:r>
            <w:r>
              <w:rPr>
                <w:rFonts w:hint="eastAsia" w:cs="Times New Roman"/>
                <w:color w:val="auto"/>
                <w:lang w:val="en-US" w:eastAsia="zh-CN"/>
              </w:rPr>
              <w:t>09</w:t>
            </w:r>
            <w:r>
              <w:rPr>
                <w:rFonts w:hint="default" w:ascii="Times New Roman" w:hAnsi="Times New Roman" w:eastAsia="宋体" w:cs="Times New Roman"/>
                <w:color w:val="auto"/>
                <w:lang w:val="en-US" w:eastAsia="zh-CN"/>
              </w:rPr>
              <w:t>t/d（</w:t>
            </w:r>
            <w:r>
              <w:rPr>
                <w:rFonts w:hint="eastAsia" w:cs="Times New Roman"/>
                <w:color w:val="auto"/>
                <w:lang w:val="en-US" w:eastAsia="zh-CN"/>
              </w:rPr>
              <w:t>328</w:t>
            </w:r>
            <w:r>
              <w:rPr>
                <w:rFonts w:hint="default" w:ascii="Times New Roman" w:hAnsi="Times New Roman" w:eastAsia="宋体" w:cs="Times New Roman"/>
                <w:color w:val="auto"/>
                <w:lang w:val="en-US" w:eastAsia="zh-CN"/>
              </w:rPr>
              <w:t>t/a）</w:t>
            </w:r>
            <w:r>
              <w:rPr>
                <w:rFonts w:hint="default" w:ascii="Times New Roman" w:hAnsi="Times New Roman" w:eastAsia="宋体" w:cs="Times New Roman"/>
                <w:color w:val="auto"/>
              </w:rPr>
              <w:t>，污水中主要污染物为COD</w:t>
            </w:r>
            <w:r>
              <w:rPr>
                <w:rFonts w:hint="default" w:ascii="Times New Roman" w:hAnsi="Times New Roman" w:eastAsia="宋体" w:cs="Times New Roman"/>
                <w:color w:val="auto"/>
                <w:vertAlign w:val="subscript"/>
                <w:lang w:val="en-US" w:eastAsia="zh-CN"/>
              </w:rPr>
              <w:t>C</w:t>
            </w:r>
            <w:r>
              <w:rPr>
                <w:rFonts w:hint="default" w:ascii="Times New Roman" w:hAnsi="Times New Roman" w:eastAsia="宋体" w:cs="Times New Roman"/>
                <w:color w:val="auto"/>
                <w:vertAlign w:val="subscript"/>
              </w:rPr>
              <w:t>r</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氨氮</w:t>
            </w:r>
            <w:r>
              <w:rPr>
                <w:rFonts w:hint="default" w:ascii="Times New Roman" w:hAnsi="Times New Roman" w:eastAsia="宋体" w:cs="Times New Roman"/>
                <w:color w:val="auto"/>
              </w:rPr>
              <w:t>、BOD</w:t>
            </w:r>
            <w:r>
              <w:rPr>
                <w:rFonts w:hint="default" w:ascii="Times New Roman" w:hAnsi="Times New Roman" w:eastAsia="宋体" w:cs="Times New Roman"/>
                <w:color w:val="auto"/>
                <w:vertAlign w:val="subscript"/>
              </w:rPr>
              <w:t>5</w:t>
            </w:r>
            <w:r>
              <w:rPr>
                <w:rFonts w:hint="default" w:ascii="Times New Roman" w:hAnsi="Times New Roman" w:eastAsia="宋体" w:cs="Times New Roman"/>
                <w:color w:val="auto"/>
              </w:rPr>
              <w:t>、SS等。</w:t>
            </w:r>
            <w:r>
              <w:rPr>
                <w:rFonts w:hint="default" w:ascii="Times New Roman" w:hAnsi="Times New Roman" w:eastAsia="宋体" w:cs="Times New Roman"/>
                <w:color w:val="auto"/>
                <w:lang w:val="en-US" w:eastAsia="zh-CN"/>
              </w:rPr>
              <w:t>生活污水水质情况参照中华人民共和国住房和城乡建设部发布的《分地区农村生活污水处理技术指南》中东南地区农村生活污水水质参考值：COD</w:t>
            </w:r>
            <w:r>
              <w:rPr>
                <w:rFonts w:hint="default" w:ascii="Times New Roman" w:hAnsi="Times New Roman" w:eastAsia="宋体" w:cs="Times New Roman"/>
                <w:color w:val="auto"/>
                <w:vertAlign w:val="subscript"/>
                <w:lang w:val="en-US" w:eastAsia="zh-CN"/>
              </w:rPr>
              <w:t>Cr</w:t>
            </w:r>
            <w:r>
              <w:rPr>
                <w:rFonts w:hint="default" w:ascii="Times New Roman" w:hAnsi="Times New Roman" w:eastAsia="宋体" w:cs="Times New Roman"/>
                <w:color w:val="auto"/>
                <w:lang w:val="en-US" w:eastAsia="zh-CN"/>
              </w:rPr>
              <w:t>：300mg/L，BOD</w:t>
            </w:r>
            <w:r>
              <w:rPr>
                <w:rFonts w:hint="default" w:ascii="Times New Roman" w:hAnsi="Times New Roman" w:eastAsia="宋体" w:cs="Times New Roman"/>
                <w:color w:val="auto"/>
                <w:vertAlign w:val="subscript"/>
                <w:lang w:val="en-US" w:eastAsia="zh-CN"/>
              </w:rPr>
              <w:t>5</w:t>
            </w:r>
            <w:r>
              <w:rPr>
                <w:rFonts w:hint="default" w:ascii="Times New Roman" w:hAnsi="Times New Roman" w:eastAsia="宋体" w:cs="Times New Roman"/>
                <w:color w:val="auto"/>
                <w:lang w:val="en-US" w:eastAsia="zh-CN"/>
              </w:rPr>
              <w:t>：160mg/L，SS：150mg/L，氨氮：25mg/L。</w:t>
            </w:r>
            <w:r>
              <w:rPr>
                <w:rFonts w:hint="default" w:ascii="Times New Roman" w:hAnsi="Times New Roman" w:eastAsia="宋体" w:cs="Times New Roman"/>
                <w:color w:val="auto"/>
              </w:rPr>
              <w:t>经三级化粪池预处理后纳入</w:t>
            </w:r>
            <w:r>
              <w:rPr>
                <w:rFonts w:hint="default" w:ascii="Times New Roman" w:hAnsi="Times New Roman" w:eastAsia="宋体" w:cs="Times New Roman"/>
                <w:color w:val="auto"/>
                <w:lang w:eastAsia="zh-CN"/>
              </w:rPr>
              <w:t>石湾镇大牛垒污水处理厂</w:t>
            </w:r>
            <w:r>
              <w:rPr>
                <w:rFonts w:hint="default" w:ascii="Times New Roman" w:hAnsi="Times New Roman" w:eastAsia="宋体" w:cs="Times New Roman"/>
                <w:color w:val="auto"/>
              </w:rPr>
              <w:t>进行处理</w:t>
            </w:r>
            <w:r>
              <w:rPr>
                <w:rFonts w:hint="default" w:ascii="Times New Roman" w:hAnsi="Times New Roman" w:eastAsia="宋体" w:cs="Times New Roman"/>
                <w:color w:val="auto"/>
                <w:lang w:val="en-US" w:eastAsia="zh-CN"/>
              </w:rPr>
              <w:t>。</w:t>
            </w:r>
          </w:p>
          <w:p>
            <w:pPr>
              <w:pStyle w:val="13"/>
              <w:keepNext w:val="0"/>
              <w:keepLines w:val="0"/>
              <w:numPr>
                <w:ilvl w:val="0"/>
                <w:numId w:val="23"/>
              </w:numPr>
              <w:suppressLineNumbers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pacing w:val="-6"/>
                <w:kern w:val="2"/>
                <w:sz w:val="24"/>
                <w:szCs w:val="24"/>
                <w:lang w:val="en-US" w:eastAsia="zh-CN" w:bidi="ar-SA"/>
              </w:rPr>
              <w:t>水帘柜废水：</w:t>
            </w:r>
          </w:p>
          <w:p>
            <w:pPr>
              <w:pStyle w:val="57"/>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项目定期更换水帘柜用水会产生水帘柜废水，产生量为18m³/a(0.06m³/d),水帘柜废水交由有危险废物处理资</w:t>
            </w:r>
            <w:r>
              <w:rPr>
                <w:rFonts w:hint="default" w:ascii="Times New Roman" w:hAnsi="Times New Roman" w:eastAsia="宋体" w:cs="Times New Roman"/>
                <w:b w:val="0"/>
                <w:bCs w:val="0"/>
                <w:color w:val="auto"/>
                <w:sz w:val="24"/>
                <w:lang w:val="en-US" w:eastAsia="zh-CN"/>
              </w:rPr>
              <w:t>质的单位进行处置处理。</w:t>
            </w:r>
          </w:p>
          <w:p>
            <w:pPr>
              <w:pStyle w:val="13"/>
              <w:keepNext w:val="0"/>
              <w:keepLines w:val="0"/>
              <w:numPr>
                <w:ilvl w:val="0"/>
                <w:numId w:val="23"/>
              </w:numPr>
              <w:suppressLineNumbers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pacing w:val="-6"/>
                <w:kern w:val="2"/>
                <w:sz w:val="24"/>
                <w:szCs w:val="24"/>
                <w:lang w:val="en-US" w:eastAsia="zh-CN" w:bidi="ar-SA"/>
              </w:rPr>
              <w:t>喷枪清洗废水：</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项目定期更清洗喷枪会产生喷枪清洗废水，产生量为0.6m³/a(0.002m³/d),</w:t>
            </w:r>
            <w:r>
              <w:rPr>
                <w:rFonts w:hint="default" w:ascii="Times New Roman" w:hAnsi="Times New Roman" w:eastAsia="宋体" w:cs="Times New Roman"/>
                <w:b w:val="0"/>
                <w:bCs w:val="0"/>
                <w:color w:val="auto"/>
                <w:sz w:val="24"/>
                <w:lang w:val="en-US" w:eastAsia="zh-CN"/>
              </w:rPr>
              <w:t>喷枪清洗废水交由有危险废物处理资质的单位进行处置处理。</w:t>
            </w:r>
          </w:p>
          <w:p>
            <w:pPr>
              <w:pStyle w:val="13"/>
              <w:keepNext w:val="0"/>
              <w:keepLines w:val="0"/>
              <w:numPr>
                <w:ilvl w:val="0"/>
                <w:numId w:val="23"/>
              </w:numPr>
              <w:suppressLineNumbers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pacing w:val="-6"/>
                <w:kern w:val="2"/>
                <w:sz w:val="24"/>
                <w:szCs w:val="24"/>
                <w:lang w:val="en-US" w:eastAsia="zh-CN" w:bidi="ar-SA"/>
              </w:rPr>
              <w:t>喷淋塔废水：</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项目定期更换喷淋塔用水会产生喷淋塔废水，一年更换4次，</w:t>
            </w:r>
            <w:r>
              <w:rPr>
                <w:rFonts w:hint="default" w:ascii="Times New Roman" w:hAnsi="Times New Roman" w:eastAsia="宋体" w:cs="Times New Roman"/>
                <w:b w:val="0"/>
                <w:bCs w:val="0"/>
                <w:color w:val="auto"/>
                <w:lang w:val="en-US" w:eastAsia="zh-CN"/>
              </w:rPr>
              <w:t>更换废水量为</w:t>
            </w:r>
            <w:r>
              <w:rPr>
                <w:rFonts w:hint="eastAsia" w:cs="Times New Roman"/>
                <w:b w:val="0"/>
                <w:bCs w:val="0"/>
                <w:color w:val="auto"/>
                <w:lang w:val="en-US" w:eastAsia="zh-CN"/>
              </w:rPr>
              <w:t>17.327</w:t>
            </w:r>
            <w:r>
              <w:rPr>
                <w:rFonts w:hint="default" w:ascii="Times New Roman" w:hAnsi="Times New Roman" w:eastAsia="宋体" w:cs="Times New Roman"/>
                <w:b w:val="0"/>
                <w:bCs w:val="0"/>
                <w:color w:val="auto"/>
                <w:lang w:val="en-US" w:eastAsia="zh-CN"/>
              </w:rPr>
              <w:t>t/a（</w:t>
            </w:r>
            <w:r>
              <w:rPr>
                <w:rFonts w:hint="default" w:ascii="Times New Roman" w:hAnsi="Times New Roman" w:eastAsia="宋体" w:cs="Times New Roman"/>
                <w:color w:val="auto"/>
                <w:kern w:val="2"/>
                <w:sz w:val="24"/>
                <w:szCs w:val="21"/>
                <w:lang w:val="en-US" w:eastAsia="zh-CN" w:bidi="ar-SA"/>
              </w:rPr>
              <w:t>0.0</w:t>
            </w:r>
            <w:r>
              <w:rPr>
                <w:rFonts w:hint="eastAsia" w:cs="Times New Roman"/>
                <w:color w:val="auto"/>
                <w:kern w:val="2"/>
                <w:sz w:val="24"/>
                <w:szCs w:val="21"/>
                <w:lang w:val="en-US" w:eastAsia="zh-CN" w:bidi="ar-SA"/>
              </w:rPr>
              <w:t>58</w:t>
            </w:r>
            <w:r>
              <w:rPr>
                <w:rFonts w:hint="default" w:ascii="Times New Roman" w:hAnsi="Times New Roman" w:eastAsia="宋体" w:cs="Times New Roman"/>
                <w:color w:val="auto"/>
                <w:kern w:val="2"/>
                <w:sz w:val="24"/>
                <w:szCs w:val="21"/>
                <w:lang w:val="en-US" w:eastAsia="zh-CN" w:bidi="ar-SA"/>
              </w:rPr>
              <w:t>m</w:t>
            </w:r>
            <w:r>
              <w:rPr>
                <w:rFonts w:hint="default" w:ascii="Times New Roman" w:hAnsi="Times New Roman" w:eastAsia="宋体" w:cs="Times New Roman"/>
                <w:color w:val="auto"/>
                <w:kern w:val="2"/>
                <w:sz w:val="24"/>
                <w:szCs w:val="21"/>
                <w:vertAlign w:val="superscript"/>
                <w:lang w:val="en-US" w:eastAsia="zh-CN" w:bidi="ar-SA"/>
              </w:rPr>
              <w:t>3</w:t>
            </w:r>
            <w:r>
              <w:rPr>
                <w:rFonts w:hint="default" w:ascii="Times New Roman" w:hAnsi="Times New Roman" w:eastAsia="宋体" w:cs="Times New Roman"/>
                <w:color w:val="auto"/>
                <w:kern w:val="2"/>
                <w:sz w:val="24"/>
                <w:szCs w:val="21"/>
                <w:lang w:val="en-US" w:eastAsia="zh-CN" w:bidi="ar-SA"/>
              </w:rPr>
              <w:t>/d）</w:t>
            </w:r>
            <w:r>
              <w:rPr>
                <w:rFonts w:hint="default" w:ascii="Times New Roman" w:hAnsi="Times New Roman" w:eastAsia="宋体" w:cs="Times New Roman"/>
                <w:b w:val="0"/>
                <w:bCs w:val="0"/>
                <w:color w:val="auto"/>
                <w:lang w:val="en-US" w:eastAsia="zh-CN"/>
              </w:rPr>
              <w:t>，</w:t>
            </w:r>
            <w:r>
              <w:rPr>
                <w:rFonts w:hint="default" w:ascii="Times New Roman" w:hAnsi="Times New Roman" w:eastAsia="宋体" w:cs="Times New Roman"/>
                <w:color w:val="auto"/>
                <w:lang w:val="en-US" w:eastAsia="zh-CN"/>
              </w:rPr>
              <w:t>更换出的废水交由有危险废物处理资质的单位处理，不外排</w:t>
            </w:r>
            <w:r>
              <w:rPr>
                <w:rFonts w:hint="default" w:ascii="Times New Roman" w:hAnsi="Times New Roman" w:eastAsia="宋体" w:cs="Times New Roman"/>
                <w:b w:val="0"/>
                <w:bCs w:val="0"/>
                <w:color w:val="auto"/>
                <w:spacing w:val="-6"/>
                <w:kern w:val="2"/>
                <w:sz w:val="24"/>
                <w:szCs w:val="24"/>
                <w:lang w:val="en-US" w:eastAsia="zh-CN" w:bidi="ar-SA"/>
              </w:rPr>
              <w:t>。</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项目废水产排情况见</w:t>
            </w: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REF _Ref1462 \h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表4- 17</w:t>
            </w:r>
            <w:r>
              <w:rPr>
                <w:rFonts w:hint="default" w:ascii="Times New Roman" w:hAnsi="Times New Roman" w:eastAsia="宋体" w:cs="Times New Roman"/>
                <w:color w:val="auto"/>
                <w:lang w:val="en-US" w:eastAsia="zh-CN"/>
              </w:rPr>
              <w:fldChar w:fldCharType="end"/>
            </w:r>
            <w:r>
              <w:rPr>
                <w:rFonts w:hint="default" w:ascii="Times New Roman" w:hAnsi="Times New Roman" w:eastAsia="宋体" w:cs="Times New Roman"/>
                <w:color w:val="auto"/>
                <w:lang w:val="en-US" w:eastAsia="zh-CN"/>
              </w:rPr>
              <w:t>。</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r>
    </w:tbl>
    <w:p>
      <w:pPr>
        <w:rPr>
          <w:rFonts w:hint="default" w:ascii="Times New Roman" w:hAnsi="Times New Roman" w:eastAsia="宋体" w:cs="Times New Roman"/>
          <w:color w:val="auto"/>
        </w:rPr>
        <w:sectPr>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00"/>
        <w:gridCol w:w="1420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7" w:hRule="atLeast"/>
          <w:jc w:val="center"/>
        </w:trPr>
        <w:tc>
          <w:tcPr>
            <w:tcW w:w="170" w:type="pct"/>
            <w:noWrap w:val="0"/>
            <w:tcMar>
              <w:left w:w="28" w:type="dxa"/>
              <w:right w:w="28" w:type="dxa"/>
            </w:tcMar>
            <w:vAlign w:val="center"/>
          </w:tcPr>
          <w:p>
            <w:pPr>
              <w:pStyle w:val="54"/>
              <w:keepNext w:val="0"/>
              <w:keepLines w:val="0"/>
              <w:suppressLineNumbers w:val="0"/>
              <w:adjustRightInd/>
              <w:snapToGrid/>
              <w:spacing w:before="0" w:beforeAutospacing="0" w:line="240" w:lineRule="auto"/>
              <w:ind w:left="0" w:right="0"/>
              <w:jc w:val="center"/>
              <w:rPr>
                <w:rFonts w:hint="default" w:ascii="Times New Roman" w:hAnsi="Times New Roman" w:eastAsia="宋体" w:cs="Times New Roman"/>
                <w:bCs/>
                <w:color w:val="auto"/>
              </w:rPr>
            </w:pPr>
            <w:r>
              <w:rPr>
                <w:rFonts w:hint="default" w:ascii="Times New Roman" w:hAnsi="Times New Roman" w:eastAsia="宋体" w:cs="Times New Roman"/>
                <w:color w:val="auto"/>
              </w:rPr>
              <w:t>运营期环境影响和保护措施</w:t>
            </w:r>
          </w:p>
        </w:tc>
        <w:tc>
          <w:tcPr>
            <w:tcW w:w="4829" w:type="pct"/>
            <w:noWrap w:val="0"/>
            <w:vAlign w:val="center"/>
          </w:tcPr>
          <w:p>
            <w:pPr>
              <w:pStyle w:val="8"/>
              <w:keepNext w:val="0"/>
              <w:keepLines w:val="0"/>
              <w:suppressLineNumbers w:val="0"/>
              <w:spacing w:beforeAutospacing="0" w:afterAutospacing="0"/>
              <w:ind w:left="0" w:right="0"/>
              <w:jc w:val="center"/>
              <w:rPr>
                <w:rFonts w:hint="default" w:ascii="Times New Roman" w:hAnsi="Times New Roman" w:eastAsia="宋体" w:cs="Times New Roman"/>
                <w:b/>
                <w:color w:val="auto"/>
                <w:kern w:val="0"/>
                <w:sz w:val="24"/>
              </w:rPr>
            </w:pPr>
            <w:bookmarkStart w:id="56" w:name="_Ref1462"/>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17</w:t>
            </w:r>
            <w:r>
              <w:rPr>
                <w:rFonts w:hint="default" w:ascii="Times New Roman" w:hAnsi="Times New Roman" w:eastAsia="宋体" w:cs="Times New Roman"/>
                <w:color w:val="auto"/>
              </w:rPr>
              <w:fldChar w:fldCharType="end"/>
            </w:r>
            <w:bookmarkEnd w:id="56"/>
            <w:r>
              <w:rPr>
                <w:rFonts w:hint="default" w:ascii="Times New Roman" w:hAnsi="Times New Roman" w:eastAsia="宋体" w:cs="Times New Roman"/>
                <w:b/>
                <w:color w:val="auto"/>
                <w:kern w:val="0"/>
                <w:sz w:val="24"/>
              </w:rPr>
              <w:t>项目废水产排情况一览表</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0"/>
              <w:gridCol w:w="650"/>
              <w:gridCol w:w="795"/>
              <w:gridCol w:w="1002"/>
              <w:gridCol w:w="1263"/>
              <w:gridCol w:w="1277"/>
              <w:gridCol w:w="798"/>
              <w:gridCol w:w="926"/>
              <w:gridCol w:w="862"/>
              <w:gridCol w:w="896"/>
              <w:gridCol w:w="952"/>
              <w:gridCol w:w="826"/>
              <w:gridCol w:w="1117"/>
              <w:gridCol w:w="1278"/>
              <w:gridCol w:w="6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产污环节</w:t>
                  </w:r>
                </w:p>
              </w:tc>
              <w:tc>
                <w:tcPr>
                  <w:tcW w:w="232"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类别</w:t>
                  </w:r>
                </w:p>
              </w:tc>
              <w:tc>
                <w:tcPr>
                  <w:tcW w:w="284"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污染物种类</w:t>
                  </w:r>
                </w:p>
              </w:tc>
              <w:tc>
                <w:tcPr>
                  <w:tcW w:w="358"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废水产生量（t/a）</w:t>
                  </w:r>
                </w:p>
              </w:tc>
              <w:tc>
                <w:tcPr>
                  <w:tcW w:w="907" w:type="pct"/>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产生情况</w:t>
                  </w:r>
                </w:p>
              </w:tc>
              <w:tc>
                <w:tcPr>
                  <w:tcW w:w="1244" w:type="pct"/>
                  <w:gridSpan w:val="4"/>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治理设施</w:t>
                  </w:r>
                </w:p>
              </w:tc>
              <w:tc>
                <w:tcPr>
                  <w:tcW w:w="340"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废水排放量（t/a）</w:t>
                  </w:r>
                </w:p>
              </w:tc>
              <w:tc>
                <w:tcPr>
                  <w:tcW w:w="295"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排放方式</w:t>
                  </w:r>
                </w:p>
              </w:tc>
              <w:tc>
                <w:tcPr>
                  <w:tcW w:w="856" w:type="pct"/>
                  <w:gridSpan w:val="2"/>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处理后</w:t>
                  </w:r>
                  <w:r>
                    <w:rPr>
                      <w:rFonts w:hint="default" w:ascii="Times New Roman" w:hAnsi="Times New Roman" w:eastAsia="宋体" w:cs="Times New Roman"/>
                      <w:b/>
                      <w:bCs/>
                      <w:color w:val="auto"/>
                    </w:rPr>
                    <w:t>情况</w:t>
                  </w:r>
                </w:p>
              </w:tc>
              <w:tc>
                <w:tcPr>
                  <w:tcW w:w="248"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232"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358"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45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产生浓度（mg/L）</w:t>
                  </w:r>
                </w:p>
              </w:tc>
              <w:tc>
                <w:tcPr>
                  <w:tcW w:w="45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产生量</w:t>
                  </w:r>
                </w:p>
              </w:tc>
              <w:tc>
                <w:tcPr>
                  <w:tcW w:w="28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处理</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能力（t/a）</w:t>
                  </w:r>
                </w:p>
              </w:tc>
              <w:tc>
                <w:tcPr>
                  <w:tcW w:w="33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治理工艺</w:t>
                  </w:r>
                </w:p>
              </w:tc>
              <w:tc>
                <w:tcPr>
                  <w:tcW w:w="30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治理</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效率</w:t>
                  </w:r>
                </w:p>
              </w:tc>
              <w:tc>
                <w:tcPr>
                  <w:tcW w:w="32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是否为可行技术</w:t>
                  </w:r>
                </w:p>
              </w:tc>
              <w:tc>
                <w:tcPr>
                  <w:tcW w:w="340"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29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c>
                <w:tcPr>
                  <w:tcW w:w="39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排放浓度（mg/L）</w:t>
                  </w:r>
                </w:p>
              </w:tc>
              <w:tc>
                <w:tcPr>
                  <w:tcW w:w="45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排放量（t/a）</w:t>
                  </w:r>
                </w:p>
              </w:tc>
              <w:tc>
                <w:tcPr>
                  <w:tcW w:w="248"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232"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员工办公生活</w:t>
                  </w:r>
                </w:p>
              </w:tc>
              <w:tc>
                <w:tcPr>
                  <w:tcW w:w="232"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生活</w:t>
                  </w:r>
                  <w:r>
                    <w:rPr>
                      <w:rFonts w:hint="default" w:ascii="Times New Roman" w:hAnsi="Times New Roman" w:eastAsia="宋体" w:cs="Times New Roman"/>
                      <w:color w:val="auto"/>
                      <w:lang w:val="en-US" w:eastAsia="zh-CN"/>
                    </w:rPr>
                    <w:t>污</w:t>
                  </w:r>
                  <w:r>
                    <w:rPr>
                      <w:rFonts w:hint="default" w:ascii="Times New Roman" w:hAnsi="Times New Roman" w:eastAsia="宋体" w:cs="Times New Roman"/>
                      <w:color w:val="auto"/>
                    </w:rPr>
                    <w:t>水</w:t>
                  </w:r>
                </w:p>
              </w:tc>
              <w:tc>
                <w:tcPr>
                  <w:tcW w:w="28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COD</w:t>
                  </w:r>
                  <w:r>
                    <w:rPr>
                      <w:rFonts w:hint="default" w:ascii="Times New Roman" w:hAnsi="Times New Roman" w:eastAsia="宋体" w:cs="Times New Roman"/>
                      <w:color w:val="auto"/>
                      <w:vertAlign w:val="subscript"/>
                    </w:rPr>
                    <w:t>Cr</w:t>
                  </w:r>
                </w:p>
              </w:tc>
              <w:tc>
                <w:tcPr>
                  <w:tcW w:w="358"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328</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300</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0.0984</w:t>
                  </w:r>
                </w:p>
              </w:tc>
              <w:tc>
                <w:tcPr>
                  <w:tcW w:w="285"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350</w:t>
                  </w:r>
                </w:p>
              </w:tc>
              <w:tc>
                <w:tcPr>
                  <w:tcW w:w="331"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三级化粪池</w:t>
                  </w:r>
                </w:p>
              </w:tc>
              <w:tc>
                <w:tcPr>
                  <w:tcW w:w="308"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20"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是</w:t>
                  </w:r>
                </w:p>
              </w:tc>
              <w:tc>
                <w:tcPr>
                  <w:tcW w:w="340"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328</w:t>
                  </w:r>
                </w:p>
              </w:tc>
              <w:tc>
                <w:tcPr>
                  <w:tcW w:w="295"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间接排放</w:t>
                  </w:r>
                </w:p>
              </w:tc>
              <w:tc>
                <w:tcPr>
                  <w:tcW w:w="39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40</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0.0131</w:t>
                  </w:r>
                </w:p>
              </w:tc>
              <w:tc>
                <w:tcPr>
                  <w:tcW w:w="248"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经石湾镇大牛垒污水处理厂处理达标后排入石湾镇中心排渠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3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8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BOD</w:t>
                  </w:r>
                  <w:r>
                    <w:rPr>
                      <w:rFonts w:hint="default" w:ascii="Times New Roman" w:hAnsi="Times New Roman" w:eastAsia="宋体" w:cs="Times New Roman"/>
                      <w:color w:val="auto"/>
                      <w:vertAlign w:val="subscript"/>
                    </w:rPr>
                    <w:t>5</w:t>
                  </w:r>
                </w:p>
              </w:tc>
              <w:tc>
                <w:tcPr>
                  <w:tcW w:w="35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160</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r>
                    <w:rPr>
                      <w:rFonts w:hint="eastAsia" w:cs="Times New Roman"/>
                      <w:color w:val="auto"/>
                      <w:lang w:val="en-US" w:eastAsia="zh-CN"/>
                    </w:rPr>
                    <w:t>525</w:t>
                  </w:r>
                </w:p>
              </w:tc>
              <w:tc>
                <w:tcPr>
                  <w:tcW w:w="285"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31"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0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2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4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95"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9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r>
                    <w:rPr>
                      <w:rFonts w:hint="eastAsia" w:cs="Times New Roman"/>
                      <w:color w:val="auto"/>
                      <w:lang w:val="en-US" w:eastAsia="zh-CN"/>
                    </w:rPr>
                    <w:t>066</w:t>
                  </w:r>
                </w:p>
              </w:tc>
              <w:tc>
                <w:tcPr>
                  <w:tcW w:w="24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3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8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SS</w:t>
                  </w:r>
                </w:p>
              </w:tc>
              <w:tc>
                <w:tcPr>
                  <w:tcW w:w="35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150</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r>
                    <w:rPr>
                      <w:rFonts w:hint="eastAsia" w:cs="Times New Roman"/>
                      <w:color w:val="auto"/>
                      <w:lang w:val="en-US" w:eastAsia="zh-CN"/>
                    </w:rPr>
                    <w:t>492</w:t>
                  </w:r>
                </w:p>
              </w:tc>
              <w:tc>
                <w:tcPr>
                  <w:tcW w:w="285"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31"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0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2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4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95"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9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w:t>
                  </w:r>
                  <w:r>
                    <w:rPr>
                      <w:rFonts w:hint="eastAsia" w:cs="Times New Roman"/>
                      <w:color w:val="auto"/>
                      <w:lang w:val="en-US" w:eastAsia="zh-CN"/>
                    </w:rPr>
                    <w:t>66</w:t>
                  </w:r>
                </w:p>
              </w:tc>
              <w:tc>
                <w:tcPr>
                  <w:tcW w:w="24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32"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8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氨氮</w:t>
                  </w:r>
                </w:p>
              </w:tc>
              <w:tc>
                <w:tcPr>
                  <w:tcW w:w="35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25</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r>
                    <w:rPr>
                      <w:rFonts w:hint="eastAsia" w:cs="Times New Roman"/>
                      <w:color w:val="auto"/>
                      <w:lang w:val="en-US" w:eastAsia="zh-CN"/>
                    </w:rPr>
                    <w:t>082</w:t>
                  </w:r>
                </w:p>
              </w:tc>
              <w:tc>
                <w:tcPr>
                  <w:tcW w:w="285"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31"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0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2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40"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295"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p>
              </w:tc>
              <w:tc>
                <w:tcPr>
                  <w:tcW w:w="39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w:t>
                  </w:r>
                  <w:r>
                    <w:rPr>
                      <w:rFonts w:hint="eastAsia" w:cs="Times New Roman"/>
                      <w:color w:val="auto"/>
                      <w:lang w:val="en-US" w:eastAsia="zh-CN"/>
                    </w:rPr>
                    <w:t>26</w:t>
                  </w:r>
                </w:p>
              </w:tc>
              <w:tc>
                <w:tcPr>
                  <w:tcW w:w="24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喷漆</w:t>
                  </w:r>
                </w:p>
              </w:tc>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水帘柜废水</w:t>
                  </w:r>
                </w:p>
              </w:tc>
              <w:tc>
                <w:tcPr>
                  <w:tcW w:w="284"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5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18</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28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3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08"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2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40"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295"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不外排</w:t>
                  </w:r>
                </w:p>
              </w:tc>
              <w:tc>
                <w:tcPr>
                  <w:tcW w:w="39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248" w:type="pct"/>
                  <w:vMerge w:val="restar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交由有资质单位处理处置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喷漆</w:t>
                  </w:r>
                </w:p>
              </w:tc>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喷枪清洗废水</w:t>
                  </w:r>
                </w:p>
              </w:tc>
              <w:tc>
                <w:tcPr>
                  <w:tcW w:w="284"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35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0.6</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28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331"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30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320"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340"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w:t>
                  </w:r>
                </w:p>
              </w:tc>
              <w:tc>
                <w:tcPr>
                  <w:tcW w:w="29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不外排</w:t>
                  </w:r>
                </w:p>
              </w:tc>
              <w:tc>
                <w:tcPr>
                  <w:tcW w:w="39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24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废气处理</w:t>
                  </w:r>
                </w:p>
              </w:tc>
              <w:tc>
                <w:tcPr>
                  <w:tcW w:w="232"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喷淋塔废水</w:t>
                  </w:r>
                </w:p>
              </w:tc>
              <w:tc>
                <w:tcPr>
                  <w:tcW w:w="284"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35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17.327</w:t>
                  </w:r>
                </w:p>
              </w:tc>
              <w:tc>
                <w:tcPr>
                  <w:tcW w:w="451"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28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331"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308"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320"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340"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295"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不外排</w:t>
                  </w:r>
                </w:p>
              </w:tc>
              <w:tc>
                <w:tcPr>
                  <w:tcW w:w="399"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456" w:type="pct"/>
                  <w:tcBorders>
                    <w:tl2br w:val="nil"/>
                    <w:tr2bl w:val="nil"/>
                  </w:tcBorders>
                  <w:noWrap w:val="0"/>
                  <w:vAlign w:val="center"/>
                </w:tcPr>
                <w:p>
                  <w:pPr>
                    <w:pStyle w:val="5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w:t>
                  </w:r>
                </w:p>
              </w:tc>
              <w:tc>
                <w:tcPr>
                  <w:tcW w:w="248" w:type="pct"/>
                  <w:vMerge w:val="continue"/>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bl>
          <w:p>
            <w:pPr>
              <w:keepNext w:val="0"/>
              <w:keepLines w:val="0"/>
              <w:numPr>
                <w:ilvl w:val="0"/>
                <w:numId w:val="22"/>
              </w:numPr>
              <w:suppressLineNumbers w:val="0"/>
              <w:adjustRightInd w:val="0"/>
              <w:spacing w:before="0" w:beforeAutospacing="0" w:after="0" w:afterAutospacing="0" w:line="360" w:lineRule="auto"/>
              <w:ind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排放口设置</w:t>
            </w:r>
          </w:p>
          <w:p>
            <w:pPr>
              <w:keepNext w:val="0"/>
              <w:keepLines w:val="0"/>
              <w:suppressLineNumbers w:val="0"/>
              <w:adjustRightInd w:val="0"/>
              <w:snapToGrid/>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项目废水间接排放口基本情况详见下表：</w:t>
            </w:r>
          </w:p>
          <w:p>
            <w:pPr>
              <w:pStyle w:val="8"/>
              <w:keepNext w:val="0"/>
              <w:keepLines w:val="0"/>
              <w:suppressLineNumbers w:val="0"/>
              <w:autoSpaceDE w:val="0"/>
              <w:autoSpaceDN w:val="0"/>
              <w:adjustRightInd w:val="0"/>
              <w:snapToGrid/>
              <w:spacing w:beforeAutospacing="0" w:afterAutospacing="0" w:line="240" w:lineRule="auto"/>
              <w:ind w:left="0" w:right="0" w:firstLine="0" w:firstLineChars="0"/>
              <w:jc w:val="center"/>
              <w:rPr>
                <w:rFonts w:hint="default" w:ascii="Times New Roman" w:hAnsi="Times New Roman" w:eastAsia="宋体" w:cs="Times New Roman"/>
                <w:color w:val="auto"/>
              </w:rPr>
            </w:pPr>
          </w:p>
          <w:p>
            <w:pPr>
              <w:pStyle w:val="8"/>
              <w:keepNext w:val="0"/>
              <w:keepLines w:val="0"/>
              <w:suppressLineNumbers w:val="0"/>
              <w:autoSpaceDE w:val="0"/>
              <w:autoSpaceDN w:val="0"/>
              <w:adjustRightInd w:val="0"/>
              <w:snapToGrid/>
              <w:spacing w:beforeAutospacing="0" w:afterAutospacing="0" w:line="240" w:lineRule="auto"/>
              <w:ind w:left="0" w:right="0" w:firstLine="0" w:firstLineChars="0"/>
              <w:jc w:val="center"/>
              <w:rPr>
                <w:rFonts w:hint="default" w:ascii="Times New Roman" w:hAnsi="Times New Roman" w:eastAsia="宋体" w:cs="Times New Roman"/>
                <w:color w:val="auto"/>
              </w:rPr>
            </w:pPr>
          </w:p>
          <w:p>
            <w:pPr>
              <w:pStyle w:val="8"/>
              <w:keepNext w:val="0"/>
              <w:keepLines w:val="0"/>
              <w:suppressLineNumbers w:val="0"/>
              <w:autoSpaceDE w:val="0"/>
              <w:autoSpaceDN w:val="0"/>
              <w:adjustRightInd w:val="0"/>
              <w:snapToGrid/>
              <w:spacing w:beforeAutospacing="0" w:afterAutospacing="0" w:line="240" w:lineRule="auto"/>
              <w:ind w:left="0" w:right="0" w:firstLine="0" w:firstLineChars="0"/>
              <w:jc w:val="center"/>
              <w:rPr>
                <w:rFonts w:hint="default" w:ascii="Times New Roman" w:hAnsi="Times New Roman" w:eastAsia="宋体" w:cs="Times New Roman"/>
                <w:color w:val="auto"/>
              </w:rPr>
            </w:pPr>
          </w:p>
          <w:p>
            <w:pPr>
              <w:pStyle w:val="8"/>
              <w:keepNext w:val="0"/>
              <w:keepLines w:val="0"/>
              <w:suppressLineNumbers w:val="0"/>
              <w:autoSpaceDE w:val="0"/>
              <w:autoSpaceDN w:val="0"/>
              <w:adjustRightInd w:val="0"/>
              <w:snapToGrid/>
              <w:spacing w:beforeAutospacing="0" w:afterAutospacing="0" w:line="240" w:lineRule="auto"/>
              <w:ind w:left="0" w:right="0" w:firstLine="0" w:firstLineChars="0"/>
              <w:jc w:val="center"/>
              <w:rPr>
                <w:rFonts w:hint="default" w:ascii="Times New Roman" w:hAnsi="Times New Roman" w:eastAsia="宋体" w:cs="Times New Roman"/>
                <w:b/>
                <w:color w:val="auto"/>
                <w:kern w:val="0"/>
                <w:sz w:val="24"/>
              </w:rPr>
            </w:pPr>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18</w:t>
            </w:r>
            <w:r>
              <w:rPr>
                <w:rFonts w:hint="default" w:ascii="Times New Roman" w:hAnsi="Times New Roman" w:eastAsia="宋体" w:cs="Times New Roman"/>
                <w:color w:val="auto"/>
              </w:rPr>
              <w:fldChar w:fldCharType="end"/>
            </w:r>
            <w:r>
              <w:rPr>
                <w:rFonts w:hint="default" w:ascii="Times New Roman" w:hAnsi="Times New Roman" w:eastAsia="宋体" w:cs="Times New Roman"/>
                <w:b/>
                <w:color w:val="auto"/>
                <w:kern w:val="0"/>
                <w:sz w:val="24"/>
              </w:rPr>
              <w:t>项目废水间接排放口基本情况表</w:t>
            </w:r>
          </w:p>
          <w:tbl>
            <w:tblPr>
              <w:tblStyle w:val="26"/>
              <w:tblW w:w="4998"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3"/>
              <w:gridCol w:w="733"/>
              <w:gridCol w:w="610"/>
              <w:gridCol w:w="1380"/>
              <w:gridCol w:w="1271"/>
              <w:gridCol w:w="815"/>
              <w:gridCol w:w="610"/>
              <w:gridCol w:w="1789"/>
              <w:gridCol w:w="733"/>
              <w:gridCol w:w="764"/>
              <w:gridCol w:w="1246"/>
              <w:gridCol w:w="1002"/>
              <w:gridCol w:w="194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7"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排放口编号</w:t>
                  </w:r>
                </w:p>
              </w:tc>
              <w:tc>
                <w:tcPr>
                  <w:tcW w:w="262"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排放口名称</w:t>
                  </w:r>
                </w:p>
              </w:tc>
              <w:tc>
                <w:tcPr>
                  <w:tcW w:w="218"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废水类别</w:t>
                  </w:r>
                </w:p>
              </w:tc>
              <w:tc>
                <w:tcPr>
                  <w:tcW w:w="947" w:type="pct"/>
                  <w:gridSpan w:val="2"/>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排放口地理坐标</w:t>
                  </w:r>
                </w:p>
              </w:tc>
              <w:tc>
                <w:tcPr>
                  <w:tcW w:w="291"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w:t>
                  </w:r>
                </w:p>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去向</w:t>
                  </w:r>
                </w:p>
              </w:tc>
              <w:tc>
                <w:tcPr>
                  <w:tcW w:w="218"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排放方式</w:t>
                  </w:r>
                </w:p>
              </w:tc>
              <w:tc>
                <w:tcPr>
                  <w:tcW w:w="639"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排放规律</w:t>
                  </w:r>
                </w:p>
              </w:tc>
              <w:tc>
                <w:tcPr>
                  <w:tcW w:w="262"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间歇式排放时段</w:t>
                  </w:r>
                </w:p>
              </w:tc>
              <w:tc>
                <w:tcPr>
                  <w:tcW w:w="273"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排放口设置是否符合要求</w:t>
                  </w:r>
                </w:p>
              </w:tc>
              <w:tc>
                <w:tcPr>
                  <w:tcW w:w="1498" w:type="pct"/>
                  <w:gridSpan w:val="3"/>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受纳污水处理厂信息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7"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p>
              </w:tc>
              <w:tc>
                <w:tcPr>
                  <w:tcW w:w="262"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p>
              </w:tc>
              <w:tc>
                <w:tcPr>
                  <w:tcW w:w="218"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p>
              </w:tc>
              <w:tc>
                <w:tcPr>
                  <w:tcW w:w="493"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经度</w:t>
                  </w:r>
                </w:p>
              </w:tc>
              <w:tc>
                <w:tcPr>
                  <w:tcW w:w="454"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纬度</w:t>
                  </w:r>
                </w:p>
              </w:tc>
              <w:tc>
                <w:tcPr>
                  <w:tcW w:w="291"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p>
              </w:tc>
              <w:tc>
                <w:tcPr>
                  <w:tcW w:w="218"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p>
              </w:tc>
              <w:tc>
                <w:tcPr>
                  <w:tcW w:w="639"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p>
              </w:tc>
              <w:tc>
                <w:tcPr>
                  <w:tcW w:w="262"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p>
              </w:tc>
              <w:tc>
                <w:tcPr>
                  <w:tcW w:w="273"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p>
              </w:tc>
              <w:tc>
                <w:tcPr>
                  <w:tcW w:w="445"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名称</w:t>
                  </w:r>
                </w:p>
              </w:tc>
              <w:tc>
                <w:tcPr>
                  <w:tcW w:w="358"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污染物种类</w:t>
                  </w:r>
                </w:p>
              </w:tc>
              <w:tc>
                <w:tcPr>
                  <w:tcW w:w="694"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国家或地方污染物排放标准浓度限值（mg/L）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7"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DW001</w:t>
                  </w:r>
                </w:p>
              </w:tc>
              <w:tc>
                <w:tcPr>
                  <w:tcW w:w="262"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生活污水排放口</w:t>
                  </w:r>
                </w:p>
              </w:tc>
              <w:tc>
                <w:tcPr>
                  <w:tcW w:w="218"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生活污水</w:t>
                  </w:r>
                </w:p>
              </w:tc>
              <w:tc>
                <w:tcPr>
                  <w:tcW w:w="493"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113.90828</w:t>
                  </w:r>
                </w:p>
              </w:tc>
              <w:tc>
                <w:tcPr>
                  <w:tcW w:w="454"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23.168971</w:t>
                  </w:r>
                </w:p>
              </w:tc>
              <w:tc>
                <w:tcPr>
                  <w:tcW w:w="291"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进入城市污水处理厂</w:t>
                  </w:r>
                </w:p>
              </w:tc>
              <w:tc>
                <w:tcPr>
                  <w:tcW w:w="218"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间接排放</w:t>
                  </w:r>
                </w:p>
              </w:tc>
              <w:tc>
                <w:tcPr>
                  <w:tcW w:w="639"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间断排放，排放期间流量不稳定且无规律，但不属于冲击型排放</w:t>
                  </w:r>
                </w:p>
              </w:tc>
              <w:tc>
                <w:tcPr>
                  <w:tcW w:w="262"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无固定时段</w:t>
                  </w:r>
                </w:p>
              </w:tc>
              <w:tc>
                <w:tcPr>
                  <w:tcW w:w="273"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√是</w:t>
                  </w:r>
                </w:p>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sym w:font="Wingdings 2" w:char="00A3"/>
                  </w:r>
                  <w:r>
                    <w:rPr>
                      <w:rFonts w:hint="default" w:ascii="Times New Roman" w:hAnsi="Times New Roman" w:eastAsia="宋体" w:cs="Times New Roman"/>
                      <w:color w:val="auto"/>
                      <w:sz w:val="21"/>
                      <w:szCs w:val="21"/>
                    </w:rPr>
                    <w:t>否</w:t>
                  </w:r>
                </w:p>
              </w:tc>
              <w:tc>
                <w:tcPr>
                  <w:tcW w:w="445" w:type="pct"/>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石湾镇大牛垒污水处理厂</w:t>
                  </w:r>
                </w:p>
              </w:tc>
              <w:tc>
                <w:tcPr>
                  <w:tcW w:w="358"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COD</w:t>
                  </w:r>
                  <w:r>
                    <w:rPr>
                      <w:rFonts w:hint="default" w:ascii="Times New Roman" w:hAnsi="Times New Roman" w:eastAsia="宋体" w:cs="Times New Roman"/>
                      <w:color w:val="auto"/>
                      <w:sz w:val="21"/>
                      <w:szCs w:val="21"/>
                      <w:vertAlign w:val="subscript"/>
                    </w:rPr>
                    <w:t>Cr</w:t>
                  </w:r>
                </w:p>
              </w:tc>
              <w:tc>
                <w:tcPr>
                  <w:tcW w:w="694"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7"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62"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18"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493"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454"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91"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18"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639"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62"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73"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445"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358"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BOD</w:t>
                  </w:r>
                  <w:r>
                    <w:rPr>
                      <w:rFonts w:hint="default" w:ascii="Times New Roman" w:hAnsi="Times New Roman" w:eastAsia="宋体" w:cs="Times New Roman"/>
                      <w:color w:val="auto"/>
                      <w:sz w:val="21"/>
                      <w:szCs w:val="21"/>
                      <w:vertAlign w:val="subscript"/>
                    </w:rPr>
                    <w:t>5</w:t>
                  </w:r>
                </w:p>
              </w:tc>
              <w:tc>
                <w:tcPr>
                  <w:tcW w:w="694"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7"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62"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18"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493"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454"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91"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18"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639"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62"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73"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445"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358"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SS</w:t>
                  </w:r>
                </w:p>
              </w:tc>
              <w:tc>
                <w:tcPr>
                  <w:tcW w:w="694"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7"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62"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18"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493"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454"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91"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18"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639"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62"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73"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445" w:type="pct"/>
                  <w:vMerge w:val="continue"/>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358"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氨氮</w:t>
                  </w:r>
                </w:p>
              </w:tc>
              <w:tc>
                <w:tcPr>
                  <w:tcW w:w="694" w:type="pc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2</w:t>
                  </w:r>
                </w:p>
              </w:tc>
            </w:tr>
          </w:tbl>
          <w:p>
            <w:pPr>
              <w:keepNext w:val="0"/>
              <w:keepLines w:val="0"/>
              <w:suppressLineNumbers w:val="0"/>
              <w:adjustRightInd/>
              <w:snapToGrid/>
              <w:spacing w:before="0" w:beforeAutospacing="0" w:after="0" w:afterAutospacing="0" w:line="240" w:lineRule="auto"/>
              <w:ind w:left="0" w:right="0" w:firstLine="0" w:firstLineChars="0"/>
              <w:rPr>
                <w:rFonts w:hint="default" w:ascii="Times New Roman" w:hAnsi="Times New Roman" w:eastAsia="宋体" w:cs="Times New Roman"/>
                <w:color w:val="auto"/>
                <w:sz w:val="21"/>
              </w:rPr>
            </w:pPr>
          </w:p>
          <w:p>
            <w:pPr>
              <w:keepNext w:val="0"/>
              <w:keepLines w:val="0"/>
              <w:numPr>
                <w:ilvl w:val="0"/>
                <w:numId w:val="22"/>
              </w:numPr>
              <w:suppressLineNumbers w:val="0"/>
              <w:adjustRightInd w:val="0"/>
              <w:spacing w:before="0" w:beforeAutospacing="0" w:after="0" w:afterAutospacing="0" w:line="360" w:lineRule="auto"/>
              <w:ind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监测计划</w:t>
            </w:r>
          </w:p>
          <w:p>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rPr>
              <w:t>项目生活污水经三级化粪池预处理达到</w:t>
            </w:r>
            <w:r>
              <w:rPr>
                <w:rFonts w:hint="default" w:ascii="Times New Roman" w:hAnsi="Times New Roman" w:eastAsia="宋体" w:cs="Times New Roman"/>
                <w:color w:val="auto"/>
                <w:sz w:val="24"/>
                <w:szCs w:val="24"/>
                <w:lang w:eastAsia="zh-CN"/>
              </w:rPr>
              <w:t>石湾镇大牛垒污水处理厂</w:t>
            </w:r>
            <w:r>
              <w:rPr>
                <w:rFonts w:hint="default" w:ascii="Times New Roman" w:hAnsi="Times New Roman" w:eastAsia="宋体" w:cs="Times New Roman"/>
                <w:color w:val="auto"/>
                <w:sz w:val="24"/>
                <w:szCs w:val="24"/>
              </w:rPr>
              <w:t>接管标准</w:t>
            </w:r>
            <w:r>
              <w:rPr>
                <w:rFonts w:hint="default" w:ascii="Times New Roman" w:hAnsi="Times New Roman" w:eastAsia="宋体" w:cs="Times New Roman"/>
                <w:color w:val="auto"/>
                <w:sz w:val="24"/>
                <w:szCs w:val="24"/>
                <w:lang w:val="en-US" w:eastAsia="zh-CN"/>
              </w:rPr>
              <w:t>和</w:t>
            </w:r>
            <w:r>
              <w:rPr>
                <w:rFonts w:hint="default" w:ascii="Times New Roman" w:hAnsi="Times New Roman" w:eastAsia="宋体" w:cs="Times New Roman"/>
                <w:color w:val="auto"/>
                <w:sz w:val="24"/>
              </w:rPr>
              <w:t>广东省地方标准《水污染物排放限值》(DB44/26-2001)第二时段三级标准</w:t>
            </w:r>
            <w:r>
              <w:rPr>
                <w:rFonts w:hint="default" w:ascii="Times New Roman" w:hAnsi="Times New Roman" w:eastAsia="宋体" w:cs="Times New Roman"/>
                <w:color w:val="auto"/>
                <w:sz w:val="24"/>
                <w:szCs w:val="24"/>
              </w:rPr>
              <w:t>较严值</w:t>
            </w:r>
            <w:r>
              <w:rPr>
                <w:rFonts w:hint="default" w:ascii="Times New Roman" w:hAnsi="Times New Roman" w:eastAsia="宋体" w:cs="Times New Roman"/>
                <w:color w:val="auto"/>
                <w:sz w:val="24"/>
              </w:rPr>
              <w:t>后，纳入</w:t>
            </w:r>
            <w:r>
              <w:rPr>
                <w:rFonts w:hint="default" w:ascii="Times New Roman" w:hAnsi="Times New Roman" w:eastAsia="宋体" w:cs="Times New Roman"/>
                <w:color w:val="auto"/>
                <w:sz w:val="24"/>
                <w:szCs w:val="24"/>
                <w:lang w:eastAsia="zh-CN"/>
              </w:rPr>
              <w:t>石湾镇大牛垒污水处理厂</w:t>
            </w:r>
            <w:r>
              <w:rPr>
                <w:rFonts w:hint="default" w:ascii="Times New Roman" w:hAnsi="Times New Roman" w:eastAsia="宋体" w:cs="Times New Roman"/>
                <w:color w:val="auto"/>
                <w:sz w:val="24"/>
              </w:rPr>
              <w:t>进行处理，</w:t>
            </w:r>
            <w:r>
              <w:rPr>
                <w:rFonts w:hint="default" w:ascii="Times New Roman" w:hAnsi="Times New Roman" w:eastAsia="宋体" w:cs="Times New Roman"/>
                <w:color w:val="auto"/>
                <w:sz w:val="24"/>
                <w:szCs w:val="24"/>
              </w:rPr>
              <w:t>尾水</w:t>
            </w:r>
            <w:r>
              <w:rPr>
                <w:rFonts w:hint="default" w:ascii="Times New Roman" w:hAnsi="Times New Roman" w:eastAsia="宋体" w:cs="Times New Roman"/>
                <w:color w:val="auto"/>
                <w:lang w:val="en-US" w:eastAsia="zh-CN"/>
              </w:rPr>
              <w:t>氨氮和总磷排放执行《地表水环境质量标准》（GB3838-2002）V类标准，其余指标排放执行《城镇污水处理厂污染物排放标准》（GB18918-2002）一级A标准、广东省地方标准《水污染物排放限值》（DB44/26-2001）第二时段一级标准的较严值者标准，处理达标后排入石湾镇中心排渠</w:t>
            </w:r>
            <w:r>
              <w:rPr>
                <w:rFonts w:hint="default" w:ascii="Times New Roman" w:hAnsi="Times New Roman" w:eastAsia="宋体" w:cs="Times New Roman"/>
                <w:color w:val="auto"/>
                <w:sz w:val="24"/>
              </w:rPr>
              <w:t>。本项目不需要开展污水监测。</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24"/>
                <w:szCs w:val="24"/>
                <w:highlight w:val="none"/>
                <w:shd w:val="clear" w:color="auto" w:fill="FFFF00"/>
                <w:lang w:val="en-US" w:eastAsia="zh-CN" w:bidi="ar"/>
              </w:rPr>
            </w:pPr>
          </w:p>
          <w:p>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rPr>
            </w:pPr>
          </w:p>
        </w:tc>
      </w:tr>
    </w:tbl>
    <w:p>
      <w:pPr>
        <w:pStyle w:val="22"/>
        <w:jc w:val="center"/>
        <w:outlineLvl w:val="0"/>
        <w:rPr>
          <w:rFonts w:hint="default" w:ascii="Times New Roman" w:hAnsi="Times New Roman" w:eastAsia="宋体" w:cs="Times New Roman"/>
          <w:snapToGrid w:val="0"/>
          <w:color w:val="auto"/>
          <w:sz w:val="30"/>
          <w:szCs w:val="30"/>
        </w:rPr>
        <w:sectPr>
          <w:type w:val="continuous"/>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04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93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9" w:type="pct"/>
            <w:noWrap w:val="0"/>
            <w:tcMar>
              <w:left w:w="28" w:type="dxa"/>
              <w:right w:w="28" w:type="dxa"/>
            </w:tcMar>
            <w:vAlign w:val="center"/>
          </w:tcPr>
          <w:p>
            <w:pPr>
              <w:pStyle w:val="54"/>
              <w:keepNext w:val="0"/>
              <w:keepLines w:val="0"/>
              <w:suppressLineNumbers w:val="0"/>
              <w:adjustRightInd w:val="0"/>
              <w:snapToGrid w:val="0"/>
              <w:spacing w:before="0" w:beforeAutospacing="0" w:line="36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运营</w:t>
            </w:r>
          </w:p>
          <w:p>
            <w:pPr>
              <w:pStyle w:val="54"/>
              <w:keepNext w:val="0"/>
              <w:keepLines w:val="0"/>
              <w:suppressLineNumbers w:val="0"/>
              <w:adjustRightInd w:val="0"/>
              <w:snapToGrid w:val="0"/>
              <w:spacing w:before="0" w:beforeAutospacing="0" w:line="36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期环</w:t>
            </w:r>
          </w:p>
          <w:p>
            <w:pPr>
              <w:pStyle w:val="54"/>
              <w:keepNext w:val="0"/>
              <w:keepLines w:val="0"/>
              <w:suppressLineNumbers w:val="0"/>
              <w:adjustRightInd w:val="0"/>
              <w:snapToGrid w:val="0"/>
              <w:spacing w:before="0" w:beforeAutospacing="0" w:line="36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境影</w:t>
            </w:r>
          </w:p>
          <w:p>
            <w:pPr>
              <w:pStyle w:val="54"/>
              <w:keepNext w:val="0"/>
              <w:keepLines w:val="0"/>
              <w:suppressLineNumbers w:val="0"/>
              <w:adjustRightInd w:val="0"/>
              <w:snapToGrid w:val="0"/>
              <w:spacing w:before="0" w:beforeAutospacing="0" w:line="36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响和</w:t>
            </w:r>
          </w:p>
          <w:p>
            <w:pPr>
              <w:pStyle w:val="54"/>
              <w:keepNext w:val="0"/>
              <w:keepLines w:val="0"/>
              <w:suppressLineNumbers w:val="0"/>
              <w:adjustRightInd w:val="0"/>
              <w:snapToGrid w:val="0"/>
              <w:spacing w:before="0" w:beforeAutospacing="0" w:line="36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保护</w:t>
            </w:r>
          </w:p>
          <w:p>
            <w:pPr>
              <w:pStyle w:val="54"/>
              <w:keepNext w:val="0"/>
              <w:keepLines w:val="0"/>
              <w:suppressLineNumbers w:val="0"/>
              <w:adjustRightInd w:val="0"/>
              <w:snapToGrid w:val="0"/>
              <w:spacing w:before="0" w:beforeAutospacing="0" w:line="36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措施</w:t>
            </w:r>
          </w:p>
        </w:tc>
        <w:tc>
          <w:tcPr>
            <w:tcW w:w="4740" w:type="pct"/>
            <w:noWrap w:val="0"/>
            <w:vAlign w:val="center"/>
          </w:tcPr>
          <w:p>
            <w:pPr>
              <w:keepNext w:val="0"/>
              <w:keepLines w:val="0"/>
              <w:numPr>
                <w:ilvl w:val="0"/>
                <w:numId w:val="22"/>
              </w:numPr>
              <w:suppressLineNumbers w:val="0"/>
              <w:spacing w:before="0" w:beforeAutospacing="0" w:after="0" w:afterAutospacing="0"/>
              <w:ind w:right="0" w:firstLine="397" w:firstLineChars="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污染防治措施可行性分析</w:t>
            </w:r>
          </w:p>
          <w:p>
            <w:pPr>
              <w:keepNext w:val="0"/>
              <w:keepLines w:val="0"/>
              <w:pageBreakBefore w:val="0"/>
              <w:widowControl/>
              <w:numPr>
                <w:ilvl w:val="0"/>
                <w:numId w:val="24"/>
              </w:numPr>
              <w:suppressLineNumbers w:val="0"/>
              <w:kinsoku/>
              <w:wordWrap/>
              <w:overflowPunct/>
              <w:topLinePunct w:val="0"/>
              <w:autoSpaceDE/>
              <w:autoSpaceDN/>
              <w:bidi w:val="0"/>
              <w:adjustRightInd/>
              <w:snapToGrid w:val="0"/>
              <w:spacing w:before="0" w:beforeAutospacing="0" w:after="0" w:afterAutospacing="0" w:line="360" w:lineRule="auto"/>
              <w:ind w:left="0" w:leftChars="0" w:right="0" w:firstLine="397" w:firstLineChars="0"/>
              <w:jc w:val="left"/>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生活污水</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b/>
                <w:bCs/>
                <w:color w:val="auto"/>
                <w:sz w:val="24"/>
                <w:szCs w:val="24"/>
                <w:lang w:val="en-US" w:eastAsia="zh-CN"/>
              </w:rPr>
              <w:t>废水依托可行性分析：</w:t>
            </w:r>
            <w:r>
              <w:rPr>
                <w:rFonts w:hint="default" w:ascii="Times New Roman" w:hAnsi="Times New Roman" w:eastAsia="宋体" w:cs="Times New Roman"/>
                <w:color w:val="auto"/>
                <w:kern w:val="2"/>
                <w:sz w:val="24"/>
                <w:szCs w:val="24"/>
                <w:highlight w:val="none"/>
                <w:lang w:val="en-US" w:eastAsia="zh-CN" w:bidi="ar"/>
              </w:rPr>
              <w:t>项目所在区域属于石湾镇大牛垒污水处理厂纳污范围，管网现已铺设到项目所在区域（石湾镇大牛垒污水处理厂污水管网分布图见附图</w:t>
            </w:r>
            <w:r>
              <w:rPr>
                <w:rFonts w:hint="eastAsia" w:cs="Times New Roman"/>
                <w:color w:val="auto"/>
                <w:kern w:val="2"/>
                <w:sz w:val="24"/>
                <w:szCs w:val="24"/>
                <w:highlight w:val="none"/>
                <w:lang w:val="en-US" w:eastAsia="zh-CN" w:bidi="ar"/>
              </w:rPr>
              <w:t>8</w:t>
            </w:r>
            <w:r>
              <w:rPr>
                <w:rFonts w:hint="default" w:ascii="Times New Roman" w:hAnsi="Times New Roman" w:eastAsia="宋体" w:cs="Times New Roman"/>
                <w:color w:val="auto"/>
                <w:kern w:val="2"/>
                <w:sz w:val="24"/>
                <w:szCs w:val="24"/>
                <w:highlight w:val="none"/>
                <w:lang w:val="en-US" w:eastAsia="zh-CN" w:bidi="ar"/>
              </w:rPr>
              <w:t>），项目生活污水经化粪池预处理达标后可纳入石湾镇大牛垒污水处理厂进行处理。</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lang w:val="en-US" w:eastAsia="zh-CN" w:bidi="ar"/>
              </w:rPr>
              <w:t>博罗县石湾镇大牛垒生活污水处理厂位于博罗县石湾镇滘吓马屋地块，总占地面积约20200平方米，总设计污水处理能力达到5万吨/日，其中一期已建成污水处理能力为1.5万吨/日纳污范围为铁场村、源头村、渔村、汽车产业园等。</w:t>
            </w:r>
          </w:p>
          <w:p>
            <w:pPr>
              <w:pStyle w:val="22"/>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2"/>
                <w:sz w:val="24"/>
                <w:szCs w:val="24"/>
                <w:lang w:val="en-US" w:eastAsia="zh-CN" w:bidi="ar"/>
              </w:rPr>
              <w:t>根据调查，本项目位于</w:t>
            </w:r>
            <w:r>
              <w:rPr>
                <w:rFonts w:hint="default" w:ascii="Times New Roman" w:hAnsi="Times New Roman" w:eastAsia="宋体" w:cs="Times New Roman"/>
                <w:color w:val="auto"/>
                <w:kern w:val="0"/>
                <w:sz w:val="24"/>
                <w:szCs w:val="24"/>
                <w:lang w:val="en-US" w:eastAsia="zh-CN" w:bidi="ar"/>
              </w:rPr>
              <w:t>博罗县石湾镇大牛垒生活污水处理厂</w:t>
            </w:r>
            <w:r>
              <w:rPr>
                <w:rFonts w:hint="default" w:ascii="Times New Roman" w:hAnsi="Times New Roman" w:eastAsia="宋体" w:cs="Times New Roman"/>
                <w:color w:val="auto"/>
                <w:kern w:val="2"/>
                <w:sz w:val="24"/>
                <w:szCs w:val="24"/>
                <w:lang w:val="en-US" w:eastAsia="zh-CN" w:bidi="ar"/>
              </w:rPr>
              <w:t>服务范围，目前博罗县石湾镇大牛垒生活污水处理厂的实际处理规模为1.2</w:t>
            </w:r>
            <w:r>
              <w:rPr>
                <w:rFonts w:hint="default" w:ascii="Times New Roman" w:hAnsi="Times New Roman" w:eastAsia="宋体" w:cs="Times New Roman"/>
                <w:color w:val="auto"/>
                <w:kern w:val="0"/>
                <w:sz w:val="24"/>
                <w:szCs w:val="24"/>
                <w:lang w:val="en-US" w:eastAsia="zh-CN" w:bidi="ar"/>
              </w:rPr>
              <w:t>万吨/日，</w:t>
            </w:r>
            <w:r>
              <w:rPr>
                <w:rFonts w:hint="default" w:ascii="Times New Roman" w:hAnsi="Times New Roman" w:eastAsia="宋体" w:cs="Times New Roman"/>
                <w:color w:val="auto"/>
                <w:kern w:val="2"/>
                <w:sz w:val="24"/>
                <w:szCs w:val="24"/>
                <w:lang w:val="en-US" w:eastAsia="zh-CN" w:bidi="ar"/>
              </w:rPr>
              <w:t>剩余处理余量为0.3万吨/日，本项目生活污水产生量仅为</w:t>
            </w:r>
            <w:r>
              <w:rPr>
                <w:rFonts w:hint="eastAsia" w:ascii="Times New Roman" w:hAnsi="Times New Roman" w:cs="Times New Roman"/>
                <w:color w:val="auto"/>
                <w:kern w:val="2"/>
                <w:sz w:val="24"/>
                <w:szCs w:val="24"/>
                <w:lang w:val="en-US" w:eastAsia="zh-CN" w:bidi="ar"/>
              </w:rPr>
              <w:t>1.09</w:t>
            </w:r>
            <w:r>
              <w:rPr>
                <w:rFonts w:hint="default" w:ascii="Times New Roman" w:hAnsi="Times New Roman" w:eastAsia="宋体" w:cs="Times New Roman"/>
                <w:color w:val="auto"/>
                <w:kern w:val="2"/>
                <w:sz w:val="24"/>
                <w:szCs w:val="24"/>
                <w:lang w:val="en-US" w:eastAsia="zh-CN" w:bidi="ar"/>
              </w:rPr>
              <w:t>t/d，占剩余处理余量比例仅为0.0</w:t>
            </w:r>
            <w:r>
              <w:rPr>
                <w:rFonts w:hint="eastAsia" w:ascii="Times New Roman" w:hAnsi="Times New Roman" w:cs="Times New Roman"/>
                <w:color w:val="auto"/>
                <w:kern w:val="2"/>
                <w:sz w:val="24"/>
                <w:szCs w:val="24"/>
                <w:lang w:val="en-US" w:eastAsia="zh-CN" w:bidi="ar"/>
              </w:rPr>
              <w:t>36</w:t>
            </w:r>
            <w:r>
              <w:rPr>
                <w:rFonts w:hint="default" w:ascii="Times New Roman" w:hAnsi="Times New Roman" w:eastAsia="宋体" w:cs="Times New Roman"/>
                <w:color w:val="auto"/>
                <w:kern w:val="2"/>
                <w:sz w:val="24"/>
                <w:szCs w:val="24"/>
                <w:lang w:val="en-US" w:eastAsia="zh-CN" w:bidi="ar"/>
              </w:rPr>
              <w:t>%，因此该污水厂是有容量接收处理本项目生活污水的。本项目建成后产生的生活污水可通过市政污水管网进入</w:t>
            </w:r>
            <w:r>
              <w:rPr>
                <w:rFonts w:hint="default" w:ascii="Times New Roman" w:hAnsi="Times New Roman" w:eastAsia="宋体" w:cs="Times New Roman"/>
                <w:color w:val="auto"/>
                <w:kern w:val="0"/>
                <w:sz w:val="24"/>
                <w:szCs w:val="24"/>
                <w:lang w:val="en-US" w:eastAsia="zh-CN" w:bidi="ar"/>
              </w:rPr>
              <w:t>石湾镇大牛垒生活污水处理厂</w:t>
            </w:r>
            <w:r>
              <w:rPr>
                <w:rFonts w:hint="default" w:ascii="Times New Roman" w:hAnsi="Times New Roman" w:eastAsia="宋体" w:cs="Times New Roman"/>
                <w:color w:val="auto"/>
                <w:kern w:val="2"/>
                <w:sz w:val="24"/>
                <w:szCs w:val="24"/>
                <w:lang w:val="en-US" w:eastAsia="zh-CN" w:bidi="ar"/>
              </w:rPr>
              <w:t>处理。</w:t>
            </w:r>
            <w:r>
              <w:rPr>
                <w:rFonts w:hint="default" w:ascii="Times New Roman" w:hAnsi="Times New Roman" w:eastAsia="宋体" w:cs="Times New Roman"/>
                <w:color w:val="auto"/>
                <w:kern w:val="0"/>
                <w:sz w:val="24"/>
                <w:szCs w:val="24"/>
                <w:lang w:val="en-US" w:eastAsia="zh-CN" w:bidi="ar"/>
              </w:rPr>
              <w:t>博罗县石湾镇大牛垒生活污水处理厂采用A/A/O微曝氧化沟及D型滤池深度处理工艺，尾水排放氨氮和总磷执行《地表水环境质量标准》（GB 3838－2002）</w:t>
            </w:r>
            <w:r>
              <w:rPr>
                <w:rFonts w:hint="default" w:ascii="Times New Roman" w:hAnsi="Times New Roman" w:eastAsia="宋体" w:cs="Times New Roman"/>
                <w:color w:val="auto"/>
                <w:kern w:val="2"/>
                <w:sz w:val="24"/>
                <w:szCs w:val="24"/>
                <w:lang w:val="en-US" w:eastAsia="zh-CN" w:bidi="ar"/>
              </w:rPr>
              <w:t>V类</w:t>
            </w:r>
            <w:r>
              <w:rPr>
                <w:rFonts w:hint="default" w:ascii="Times New Roman" w:hAnsi="Times New Roman" w:eastAsia="宋体" w:cs="Times New Roman"/>
                <w:color w:val="auto"/>
                <w:kern w:val="0"/>
                <w:sz w:val="24"/>
                <w:szCs w:val="24"/>
                <w:lang w:val="en-US" w:eastAsia="zh-CN" w:bidi="ar"/>
              </w:rPr>
              <w:t>标准，其他指标执行</w:t>
            </w:r>
            <w:r>
              <w:rPr>
                <w:rFonts w:hint="default" w:ascii="Times New Roman" w:hAnsi="Times New Roman" w:eastAsia="宋体" w:cs="Times New Roman"/>
                <w:color w:val="auto"/>
                <w:kern w:val="2"/>
                <w:sz w:val="24"/>
                <w:szCs w:val="24"/>
                <w:lang w:val="en-US" w:eastAsia="zh-CN" w:bidi="ar"/>
              </w:rPr>
              <w:t>《城镇污水处理厂污染物排放标准》(GB18918-2002)一级标准的A 类和广东省《水污染物排放限值》 (DB44/26-2001) 第二时段一级标准两者较严者要求，其中BOD</w:t>
            </w:r>
            <w:r>
              <w:rPr>
                <w:rFonts w:hint="default" w:ascii="Times New Roman" w:hAnsi="Times New Roman" w:eastAsia="宋体" w:cs="Times New Roman"/>
                <w:color w:val="auto"/>
                <w:kern w:val="2"/>
                <w:sz w:val="24"/>
                <w:szCs w:val="24"/>
                <w:vertAlign w:val="subscript"/>
                <w:lang w:val="en-US" w:eastAsia="zh-CN" w:bidi="ar"/>
              </w:rPr>
              <w:t>5</w:t>
            </w:r>
            <w:r>
              <w:rPr>
                <w:rFonts w:hint="default" w:ascii="Times New Roman" w:hAnsi="Times New Roman" w:eastAsia="宋体" w:cs="Times New Roman"/>
                <w:color w:val="auto"/>
                <w:kern w:val="2"/>
                <w:sz w:val="24"/>
                <w:szCs w:val="24"/>
                <w:lang w:val="en-US" w:eastAsia="zh-CN" w:bidi="ar"/>
              </w:rPr>
              <w:t>≤10mg/L、COD≤40mg/L、SS≤10mg/L、NH</w:t>
            </w:r>
            <w:r>
              <w:rPr>
                <w:rFonts w:hint="default" w:ascii="Times New Roman" w:hAnsi="Times New Roman" w:eastAsia="宋体" w:cs="Times New Roman"/>
                <w:color w:val="auto"/>
                <w:kern w:val="2"/>
                <w:sz w:val="24"/>
                <w:szCs w:val="24"/>
                <w:vertAlign w:val="subscript"/>
                <w:lang w:val="en-US" w:eastAsia="zh-CN" w:bidi="ar"/>
              </w:rPr>
              <w:t>3</w:t>
            </w:r>
            <w:r>
              <w:rPr>
                <w:rFonts w:hint="default" w:ascii="Times New Roman" w:hAnsi="Times New Roman" w:eastAsia="宋体" w:cs="Times New Roman"/>
                <w:color w:val="auto"/>
                <w:kern w:val="2"/>
                <w:sz w:val="24"/>
                <w:szCs w:val="24"/>
                <w:lang w:val="en-US" w:eastAsia="zh-CN" w:bidi="ar"/>
              </w:rPr>
              <w:t>-N≤2mg/L。</w:t>
            </w:r>
            <w:r>
              <w:rPr>
                <w:rFonts w:hint="default" w:ascii="Times New Roman" w:hAnsi="Times New Roman" w:eastAsia="宋体" w:cs="Times New Roman"/>
                <w:color w:val="auto"/>
                <w:kern w:val="0"/>
                <w:sz w:val="24"/>
                <w:szCs w:val="24"/>
                <w:lang w:val="en-US" w:eastAsia="zh-CN" w:bidi="ar"/>
              </w:rPr>
              <w:t>项目建成后拟将生活污水预处理达到博罗县石湾镇大牛垒生活污水处理厂的接管标准，通过市政污水管网排入博罗县石湾镇大牛垒生活污水处理厂进行深度处理，其尾水排到石湾镇中心排渠，接着进入紧水河，最后流入东江。</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outlineLvl w:val="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综上所述，本项目生活污水经化粪池预处理达标后经市政污水管网纳入</w:t>
            </w:r>
            <w:r>
              <w:rPr>
                <w:rFonts w:hint="default" w:ascii="Times New Roman" w:hAnsi="Times New Roman" w:eastAsia="宋体" w:cs="Times New Roman"/>
                <w:color w:val="auto"/>
                <w:kern w:val="2"/>
                <w:sz w:val="24"/>
                <w:szCs w:val="24"/>
                <w:highlight w:val="none"/>
                <w:lang w:val="en-US" w:eastAsia="zh-CN" w:bidi="ar"/>
              </w:rPr>
              <w:t>石湾镇大牛垒污水处理厂</w:t>
            </w:r>
            <w:r>
              <w:rPr>
                <w:rFonts w:hint="default" w:ascii="Times New Roman" w:hAnsi="Times New Roman" w:eastAsia="宋体" w:cs="Times New Roman"/>
                <w:color w:val="auto"/>
                <w:sz w:val="24"/>
                <w:szCs w:val="24"/>
                <w:lang w:val="en-US" w:eastAsia="zh-CN"/>
              </w:rPr>
              <w:t>进行处理的方案可行。</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lang w:val="en-US" w:eastAsia="zh-CN" w:bidi="ar-SA"/>
              </w:rPr>
            </w:pPr>
            <w:r>
              <w:rPr>
                <w:rFonts w:hint="default" w:ascii="Times New Roman" w:hAnsi="Times New Roman" w:eastAsia="宋体" w:cs="Times New Roman"/>
                <w:snapToGrid w:val="0"/>
                <w:color w:val="auto"/>
                <w:kern w:val="0"/>
                <w:sz w:val="24"/>
                <w:lang w:val="en-US" w:eastAsia="zh-CN"/>
              </w:rPr>
              <w:t>项目无生产废水产生外排，</w:t>
            </w:r>
            <w:r>
              <w:rPr>
                <w:rFonts w:hint="default" w:ascii="Times New Roman" w:hAnsi="Times New Roman" w:eastAsia="宋体" w:cs="Times New Roman"/>
                <w:color w:val="auto"/>
                <w:sz w:val="24"/>
              </w:rPr>
              <w:t>项目生活污水由三级化粪池预处理达标后经市政管网纳入</w:t>
            </w:r>
            <w:r>
              <w:rPr>
                <w:rFonts w:hint="default" w:ascii="Times New Roman" w:hAnsi="Times New Roman" w:eastAsia="宋体" w:cs="Times New Roman"/>
                <w:color w:val="auto"/>
                <w:sz w:val="24"/>
                <w:lang w:eastAsia="zh-CN"/>
              </w:rPr>
              <w:t>石湾镇大牛垒污水处理厂</w:t>
            </w:r>
            <w:r>
              <w:rPr>
                <w:rFonts w:hint="default" w:ascii="Times New Roman" w:hAnsi="Times New Roman" w:eastAsia="宋体" w:cs="Times New Roman"/>
                <w:color w:val="auto"/>
                <w:sz w:val="24"/>
              </w:rPr>
              <w:t>进行处理</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对附近水体影响不大，因此地表水环境影响可以接受。</w:t>
            </w:r>
          </w:p>
          <w:p>
            <w:pPr>
              <w:keepNext w:val="0"/>
              <w:keepLines w:val="0"/>
              <w:numPr>
                <w:ilvl w:val="0"/>
                <w:numId w:val="16"/>
              </w:numPr>
              <w:suppressLineNumbers w:val="0"/>
              <w:adjustRightInd w:val="0"/>
              <w:snapToGrid w:val="0"/>
              <w:spacing w:before="0" w:beforeAutospacing="0" w:after="0" w:afterAutospacing="0" w:line="360" w:lineRule="auto"/>
              <w:ind w:left="0" w:leftChars="0" w:right="0" w:firstLine="400"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噪声</w:t>
            </w:r>
          </w:p>
          <w:p>
            <w:pPr>
              <w:keepNext w:val="0"/>
              <w:keepLines w:val="0"/>
              <w:numPr>
                <w:ilvl w:val="0"/>
                <w:numId w:val="25"/>
              </w:numPr>
              <w:suppressLineNumbers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噪声源强</w:t>
            </w:r>
          </w:p>
          <w:p>
            <w:pPr>
              <w:pStyle w:val="5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bookmarkStart w:id="57" w:name="_Ref29316"/>
            <w:r>
              <w:rPr>
                <w:rFonts w:hint="default" w:ascii="Times New Roman" w:hAnsi="Times New Roman" w:eastAsia="宋体" w:cs="Times New Roman"/>
                <w:color w:val="auto"/>
              </w:rPr>
              <w:t>项目在生产过程中产生的噪声主要源自</w:t>
            </w:r>
            <w:r>
              <w:rPr>
                <w:rFonts w:hint="default" w:ascii="Times New Roman" w:hAnsi="Times New Roman" w:eastAsia="宋体" w:cs="Times New Roman"/>
                <w:color w:val="auto"/>
                <w:lang w:val="en-US" w:eastAsia="zh-CN"/>
              </w:rPr>
              <w:t>精密冲压机、钻床机、喷粉线等</w:t>
            </w:r>
            <w:r>
              <w:rPr>
                <w:rFonts w:hint="default" w:ascii="Times New Roman" w:hAnsi="Times New Roman" w:eastAsia="宋体" w:cs="Times New Roman"/>
                <w:color w:val="auto"/>
              </w:rPr>
              <w:t>,这些设备产生的噪声声级一般在</w:t>
            </w:r>
            <w:r>
              <w:rPr>
                <w:rFonts w:hint="default" w:ascii="Times New Roman" w:hAnsi="Times New Roman" w:eastAsia="宋体" w:cs="Times New Roman"/>
                <w:color w:val="auto"/>
                <w:lang w:val="en-US" w:eastAsia="zh-CN"/>
              </w:rPr>
              <w:t>60</w:t>
            </w:r>
            <w:r>
              <w:rPr>
                <w:rFonts w:hint="default" w:ascii="Times New Roman" w:hAnsi="Times New Roman" w:eastAsia="宋体" w:cs="Times New Roman"/>
                <w:color w:val="auto"/>
              </w:rPr>
              <w:t>dB</w:t>
            </w:r>
            <w:r>
              <w:rPr>
                <w:rFonts w:hint="default" w:ascii="Times New Roman" w:hAnsi="Times New Roman" w:eastAsia="宋体" w:cs="Times New Roman"/>
                <w:color w:val="auto"/>
                <w:lang w:val="en-US" w:eastAsia="zh-CN"/>
              </w:rPr>
              <w:t>~85dB</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噪声源调查清单见</w:t>
            </w: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REF _Ref6240 \h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表4- 19</w:t>
            </w:r>
            <w:r>
              <w:rPr>
                <w:rFonts w:hint="default" w:ascii="Times New Roman" w:hAnsi="Times New Roman" w:eastAsia="宋体" w:cs="Times New Roman"/>
                <w:color w:val="auto"/>
                <w:lang w:val="en-US" w:eastAsia="zh-CN"/>
              </w:rPr>
              <w:fldChar w:fldCharType="end"/>
            </w:r>
            <w:r>
              <w:rPr>
                <w:rFonts w:hint="default" w:ascii="Times New Roman" w:hAnsi="Times New Roman" w:eastAsia="宋体" w:cs="Times New Roman"/>
                <w:color w:val="auto"/>
                <w:lang w:val="en-US" w:eastAsia="zh-CN"/>
              </w:rPr>
              <w:t>和</w:t>
            </w: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REF _Ref6243 \h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表4- 20</w:t>
            </w:r>
            <w:r>
              <w:rPr>
                <w:rFonts w:hint="default" w:ascii="Times New Roman" w:hAnsi="Times New Roman" w:eastAsia="宋体" w:cs="Times New Roman"/>
                <w:color w:val="auto"/>
                <w:lang w:val="en-US" w:eastAsia="zh-CN"/>
              </w:rPr>
              <w:fldChar w:fldCharType="end"/>
            </w:r>
            <w:r>
              <w:rPr>
                <w:rFonts w:hint="default" w:ascii="Times New Roman" w:hAnsi="Times New Roman" w:eastAsia="宋体" w:cs="Times New Roman"/>
                <w:color w:val="auto"/>
                <w:lang w:val="en-US" w:eastAsia="zh-CN"/>
              </w:rPr>
              <w:t>。</w:t>
            </w:r>
          </w:p>
          <w:bookmarkEnd w:id="57"/>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rPr>
            </w:pPr>
          </w:p>
        </w:tc>
      </w:tr>
    </w:tbl>
    <w:p>
      <w:pPr>
        <w:rPr>
          <w:rFonts w:hint="default" w:ascii="Times New Roman" w:hAnsi="Times New Roman" w:eastAsia="宋体" w:cs="Times New Roman"/>
          <w:color w:val="auto"/>
        </w:rPr>
        <w:sectPr>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05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2"/>
        <w:gridCol w:w="153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 w:type="pct"/>
            <w:noWrap w:val="0"/>
            <w:tcMar>
              <w:left w:w="28" w:type="dxa"/>
              <w:right w:w="28" w:type="dxa"/>
            </w:tcMar>
            <w:vAlign w:val="center"/>
          </w:tcPr>
          <w:p>
            <w:pPr>
              <w:pStyle w:val="54"/>
              <w:keepNext w:val="0"/>
              <w:keepLines w:val="0"/>
              <w:suppressLineNumbers w:val="0"/>
              <w:adjustRightInd w:val="0"/>
              <w:snapToGrid w:val="0"/>
              <w:spacing w:before="0" w:beforeAutospacing="0" w:line="360" w:lineRule="auto"/>
              <w:ind w:left="0" w:right="0"/>
              <w:jc w:val="center"/>
              <w:rPr>
                <w:rFonts w:hint="default" w:ascii="Times New Roman" w:hAnsi="Times New Roman" w:eastAsia="宋体" w:cs="Times New Roman"/>
                <w:color w:val="auto"/>
              </w:rPr>
            </w:pPr>
          </w:p>
        </w:tc>
        <w:tc>
          <w:tcPr>
            <w:tcW w:w="4918" w:type="pct"/>
            <w:noWrap w:val="0"/>
            <w:vAlign w:val="center"/>
          </w:tcPr>
          <w:p>
            <w:pPr>
              <w:pStyle w:val="8"/>
              <w:keepNext w:val="0"/>
              <w:keepLines w:val="0"/>
              <w:suppressLineNumbers w:val="0"/>
              <w:bidi w:val="0"/>
              <w:spacing w:beforeAutospacing="0" w:afterAutospacing="0"/>
              <w:ind w:left="0" w:right="0"/>
              <w:rPr>
                <w:rFonts w:hint="default" w:ascii="Times New Roman" w:hAnsi="Times New Roman" w:eastAsia="宋体" w:cs="Times New Roman"/>
                <w:color w:val="auto"/>
                <w:lang w:val="en-US" w:eastAsia="zh-CN"/>
              </w:rPr>
            </w:pPr>
            <w:bookmarkStart w:id="58" w:name="_Ref6240"/>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19</w:t>
            </w:r>
            <w:r>
              <w:rPr>
                <w:rFonts w:hint="default" w:ascii="Times New Roman" w:hAnsi="Times New Roman" w:eastAsia="宋体" w:cs="Times New Roman"/>
                <w:color w:val="auto"/>
              </w:rPr>
              <w:fldChar w:fldCharType="end"/>
            </w:r>
            <w:bookmarkEnd w:id="58"/>
            <w:r>
              <w:rPr>
                <w:rFonts w:hint="default" w:ascii="Times New Roman" w:hAnsi="Times New Roman" w:eastAsia="宋体" w:cs="Times New Roman"/>
                <w:color w:val="auto"/>
                <w:lang w:val="en-US" w:eastAsia="zh-CN"/>
              </w:rPr>
              <w:t>工业企业噪声源强调查清单（室外声源）</w:t>
            </w:r>
          </w:p>
          <w:tbl>
            <w:tblPr>
              <w:tblStyle w:val="26"/>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2249"/>
              <w:gridCol w:w="1198"/>
              <w:gridCol w:w="1150"/>
              <w:gridCol w:w="1023"/>
              <w:gridCol w:w="5195"/>
              <w:gridCol w:w="2034"/>
              <w:gridCol w:w="14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exact"/>
              </w:trPr>
              <w:tc>
                <w:tcPr>
                  <w:tcW w:w="256"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bookmarkStart w:id="59" w:name="PT_5"/>
                  <w:r>
                    <w:rPr>
                      <w:rFonts w:hint="default" w:ascii="Times New Roman" w:hAnsi="Times New Roman" w:eastAsia="宋体" w:cs="Times New Roman"/>
                      <w:b/>
                      <w:bCs/>
                      <w:color w:val="auto"/>
                      <w:lang w:eastAsia="en-US"/>
                    </w:rPr>
                    <w:t>序号</w:t>
                  </w:r>
                </w:p>
              </w:tc>
              <w:tc>
                <w:tcPr>
                  <w:tcW w:w="745"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r>
                    <w:rPr>
                      <w:rFonts w:hint="default" w:ascii="Times New Roman" w:hAnsi="Times New Roman" w:eastAsia="宋体" w:cs="Times New Roman"/>
                      <w:b/>
                      <w:bCs/>
                      <w:color w:val="auto"/>
                      <w:lang w:eastAsia="en-US"/>
                    </w:rPr>
                    <w:t>声源名称</w:t>
                  </w:r>
                </w:p>
              </w:tc>
              <w:tc>
                <w:tcPr>
                  <w:tcW w:w="1117" w:type="pct"/>
                  <w:gridSpan w:val="3"/>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r>
                    <w:rPr>
                      <w:rFonts w:hint="default" w:ascii="Times New Roman" w:hAnsi="Times New Roman" w:eastAsia="宋体" w:cs="Times New Roman"/>
                      <w:b/>
                      <w:bCs/>
                      <w:color w:val="auto"/>
                      <w:lang w:eastAsia="en-US"/>
                    </w:rPr>
                    <w:t>空间相对位置/m</w:t>
                  </w:r>
                </w:p>
              </w:tc>
              <w:tc>
                <w:tcPr>
                  <w:tcW w:w="1721"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声源源强</w:t>
                  </w:r>
                </w:p>
              </w:tc>
              <w:tc>
                <w:tcPr>
                  <w:tcW w:w="674"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r>
                    <w:rPr>
                      <w:rFonts w:hint="default" w:ascii="Times New Roman" w:hAnsi="Times New Roman" w:eastAsia="宋体" w:cs="Times New Roman"/>
                      <w:b/>
                      <w:bCs/>
                      <w:color w:val="auto"/>
                      <w:lang w:eastAsia="en-US"/>
                    </w:rPr>
                    <w:t>声源控制措施</w:t>
                  </w:r>
                </w:p>
              </w:tc>
              <w:tc>
                <w:tcPr>
                  <w:tcW w:w="485"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r>
                    <w:rPr>
                      <w:rFonts w:hint="default" w:ascii="Times New Roman" w:hAnsi="Times New Roman" w:eastAsia="宋体" w:cs="Times New Roman"/>
                      <w:b/>
                      <w:bCs/>
                      <w:color w:val="auto"/>
                      <w:lang w:eastAsia="en-US"/>
                    </w:rPr>
                    <w:t>运行时段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56"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p>
              </w:tc>
              <w:tc>
                <w:tcPr>
                  <w:tcW w:w="745"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p>
              </w:tc>
              <w:tc>
                <w:tcPr>
                  <w:tcW w:w="397"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r>
                    <w:rPr>
                      <w:rFonts w:hint="default" w:ascii="Times New Roman" w:hAnsi="Times New Roman" w:eastAsia="宋体" w:cs="Times New Roman"/>
                      <w:b/>
                      <w:bCs/>
                      <w:color w:val="auto"/>
                      <w:lang w:eastAsia="en-US"/>
                    </w:rPr>
                    <w:t>X</w:t>
                  </w:r>
                </w:p>
              </w:tc>
              <w:tc>
                <w:tcPr>
                  <w:tcW w:w="381"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r>
                    <w:rPr>
                      <w:rFonts w:hint="default" w:ascii="Times New Roman" w:hAnsi="Times New Roman" w:eastAsia="宋体" w:cs="Times New Roman"/>
                      <w:b/>
                      <w:bCs/>
                      <w:color w:val="auto"/>
                      <w:lang w:eastAsia="en-US"/>
                    </w:rPr>
                    <w:t>Y</w:t>
                  </w:r>
                </w:p>
              </w:tc>
              <w:tc>
                <w:tcPr>
                  <w:tcW w:w="337"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r>
                    <w:rPr>
                      <w:rFonts w:hint="default" w:ascii="Times New Roman" w:hAnsi="Times New Roman" w:eastAsia="宋体" w:cs="Times New Roman"/>
                      <w:b/>
                      <w:bCs/>
                      <w:color w:val="auto"/>
                      <w:lang w:eastAsia="en-US"/>
                    </w:rPr>
                    <w:t>Z</w:t>
                  </w:r>
                </w:p>
              </w:tc>
              <w:tc>
                <w:tcPr>
                  <w:tcW w:w="1721"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r>
                    <w:rPr>
                      <w:rFonts w:hint="default" w:ascii="Times New Roman" w:hAnsi="Times New Roman" w:eastAsia="宋体" w:cs="Times New Roman"/>
                      <w:b/>
                      <w:bCs/>
                      <w:color w:val="auto"/>
                      <w:lang w:eastAsia="en-US"/>
                    </w:rPr>
                    <w:t>（声压级/距声源距离）/（dB(A)/m）</w:t>
                  </w:r>
                </w:p>
              </w:tc>
              <w:tc>
                <w:tcPr>
                  <w:tcW w:w="674"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p>
                <w:bookmarkEnd w:id="59"/>
              </w:tc>
              <w:tc>
                <w:tcPr>
                  <w:tcW w:w="485"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lang w:eastAsia="en-US"/>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84" w:hRule="exact"/>
              </w:trPr>
              <w:tc>
                <w:tcPr>
                  <w:tcW w:w="256"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en-US"/>
                    </w:rPr>
                  </w:pPr>
                  <w:r>
                    <w:rPr>
                      <w:rFonts w:hint="default" w:ascii="Times New Roman" w:hAnsi="Times New Roman" w:eastAsia="宋体" w:cs="Times New Roman"/>
                      <w:color w:val="auto"/>
                      <w:lang w:eastAsia="en-US"/>
                    </w:rPr>
                    <w:t>1</w:t>
                  </w:r>
                </w:p>
              </w:tc>
              <w:tc>
                <w:tcPr>
                  <w:tcW w:w="745"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en-US"/>
                    </w:rPr>
                  </w:pPr>
                  <w:r>
                    <w:rPr>
                      <w:rFonts w:hint="default" w:ascii="Times New Roman" w:hAnsi="Times New Roman" w:eastAsia="宋体" w:cs="Times New Roman"/>
                      <w:color w:val="auto"/>
                      <w:lang w:eastAsia="en-US"/>
                    </w:rPr>
                    <w:t>DA001废气设备</w:t>
                  </w:r>
                </w:p>
              </w:tc>
              <w:tc>
                <w:tcPr>
                  <w:tcW w:w="397"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lang w:eastAsia="en-US"/>
                    </w:rPr>
                  </w:pPr>
                  <w:r>
                    <w:rPr>
                      <w:rFonts w:hint="default" w:ascii="Arial" w:hAnsi="Arial" w:eastAsia="Arial" w:cs="Arial"/>
                      <w:sz w:val="20"/>
                    </w:rPr>
                    <w:t>15.1</w:t>
                  </w:r>
                </w:p>
              </w:tc>
              <w:tc>
                <w:tcPr>
                  <w:tcW w:w="381"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lang w:eastAsia="en-US"/>
                    </w:rPr>
                  </w:pPr>
                  <w:r>
                    <w:rPr>
                      <w:rFonts w:hint="default" w:ascii="Arial" w:hAnsi="Arial" w:eastAsia="Arial" w:cs="Arial"/>
                      <w:sz w:val="20"/>
                    </w:rPr>
                    <w:t>-8.2</w:t>
                  </w:r>
                </w:p>
              </w:tc>
              <w:tc>
                <w:tcPr>
                  <w:tcW w:w="337"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lang w:eastAsia="en-US"/>
                    </w:rPr>
                  </w:pPr>
                  <w:r>
                    <w:rPr>
                      <w:rFonts w:hint="default" w:ascii="Arial" w:hAnsi="Arial" w:eastAsia="Arial" w:cs="Arial"/>
                      <w:sz w:val="20"/>
                    </w:rPr>
                    <w:t>15</w:t>
                  </w:r>
                </w:p>
              </w:tc>
              <w:tc>
                <w:tcPr>
                  <w:tcW w:w="1721"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78/1</w:t>
                  </w:r>
                </w:p>
              </w:tc>
              <w:tc>
                <w:tcPr>
                  <w:tcW w:w="674" w:type="pct"/>
                  <w:vMerge w:val="restar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采用低噪声设备、合理布局、基础减振</w:t>
                  </w:r>
                </w:p>
              </w:tc>
              <w:tc>
                <w:tcPr>
                  <w:tcW w:w="485" w:type="pct"/>
                  <w:vMerge w:val="restar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8:00~12:00</w:t>
                  </w:r>
                </w:p>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14:00~</w:t>
                  </w:r>
                  <w:r>
                    <w:rPr>
                      <w:rFonts w:hint="default" w:ascii="Times New Roman" w:hAnsi="Times New Roman" w:eastAsia="宋体" w:cs="Times New Roman"/>
                      <w:color w:val="auto"/>
                      <w:lang w:val="en-US" w:eastAsia="zh-CN"/>
                    </w:rPr>
                    <w:t>18:00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84" w:hRule="exact"/>
              </w:trPr>
              <w:tc>
                <w:tcPr>
                  <w:tcW w:w="256"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745"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en-US"/>
                    </w:rPr>
                  </w:pPr>
                  <w:r>
                    <w:rPr>
                      <w:rFonts w:hint="default" w:ascii="Times New Roman" w:hAnsi="Times New Roman" w:eastAsia="宋体" w:cs="Times New Roman"/>
                      <w:color w:val="auto"/>
                    </w:rPr>
                    <w:t>DA002</w:t>
                  </w:r>
                  <w:r>
                    <w:rPr>
                      <w:rFonts w:hint="default" w:ascii="Times New Roman" w:hAnsi="Times New Roman" w:eastAsia="宋体" w:cs="Times New Roman"/>
                      <w:color w:val="auto"/>
                      <w:lang w:eastAsia="en-US"/>
                    </w:rPr>
                    <w:t>废气设备</w:t>
                  </w:r>
                </w:p>
              </w:tc>
              <w:tc>
                <w:tcPr>
                  <w:tcW w:w="397"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kern w:val="2"/>
                      <w:sz w:val="24"/>
                      <w:szCs w:val="24"/>
                      <w:lang w:val="en-US" w:eastAsia="en-US" w:bidi="ar-SA"/>
                    </w:rPr>
                  </w:pPr>
                  <w:r>
                    <w:rPr>
                      <w:rFonts w:hint="default" w:ascii="Arial" w:hAnsi="Arial" w:eastAsia="Arial" w:cs="Arial"/>
                      <w:sz w:val="20"/>
                    </w:rPr>
                    <w:t>8.8</w:t>
                  </w:r>
                </w:p>
              </w:tc>
              <w:tc>
                <w:tcPr>
                  <w:tcW w:w="381"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kern w:val="2"/>
                      <w:sz w:val="24"/>
                      <w:szCs w:val="24"/>
                      <w:lang w:val="en-US" w:eastAsia="en-US" w:bidi="ar-SA"/>
                    </w:rPr>
                  </w:pPr>
                  <w:r>
                    <w:rPr>
                      <w:rFonts w:hint="default" w:ascii="Arial" w:hAnsi="Arial" w:eastAsia="Arial" w:cs="Arial"/>
                      <w:sz w:val="20"/>
                    </w:rPr>
                    <w:t>-6.3</w:t>
                  </w:r>
                </w:p>
              </w:tc>
              <w:tc>
                <w:tcPr>
                  <w:tcW w:w="337"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kern w:val="2"/>
                      <w:sz w:val="24"/>
                      <w:szCs w:val="24"/>
                      <w:lang w:val="en-US" w:eastAsia="en-US" w:bidi="ar-SA"/>
                    </w:rPr>
                  </w:pPr>
                  <w:r>
                    <w:rPr>
                      <w:rFonts w:hint="default" w:ascii="Arial" w:hAnsi="Arial" w:eastAsia="Arial" w:cs="Arial"/>
                      <w:sz w:val="20"/>
                    </w:rPr>
                    <w:t>15</w:t>
                  </w:r>
                </w:p>
              </w:tc>
              <w:tc>
                <w:tcPr>
                  <w:tcW w:w="1721"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80/1</w:t>
                  </w:r>
                </w:p>
              </w:tc>
              <w:tc>
                <w:tcPr>
                  <w:tcW w:w="674"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485"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84" w:hRule="exact"/>
              </w:trPr>
              <w:tc>
                <w:tcPr>
                  <w:tcW w:w="256"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c>
                <w:tcPr>
                  <w:tcW w:w="745"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en-US"/>
                    </w:rPr>
                  </w:pPr>
                  <w:r>
                    <w:rPr>
                      <w:rFonts w:hint="default" w:ascii="Times New Roman" w:hAnsi="Times New Roman" w:eastAsia="宋体" w:cs="Times New Roman"/>
                      <w:color w:val="auto"/>
                    </w:rPr>
                    <w:t>DA003</w:t>
                  </w:r>
                  <w:r>
                    <w:rPr>
                      <w:rFonts w:hint="default" w:ascii="Times New Roman" w:hAnsi="Times New Roman" w:eastAsia="宋体" w:cs="Times New Roman"/>
                      <w:color w:val="auto"/>
                      <w:lang w:eastAsia="en-US"/>
                    </w:rPr>
                    <w:t>废气设备</w:t>
                  </w:r>
                </w:p>
              </w:tc>
              <w:tc>
                <w:tcPr>
                  <w:tcW w:w="397"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kern w:val="2"/>
                      <w:sz w:val="24"/>
                      <w:szCs w:val="24"/>
                      <w:lang w:val="en-US" w:eastAsia="en-US" w:bidi="ar-SA"/>
                    </w:rPr>
                  </w:pPr>
                  <w:r>
                    <w:rPr>
                      <w:rFonts w:hint="default" w:ascii="Arial" w:hAnsi="Arial" w:eastAsia="Arial" w:cs="Arial"/>
                      <w:sz w:val="20"/>
                    </w:rPr>
                    <w:t>2.5</w:t>
                  </w:r>
                </w:p>
              </w:tc>
              <w:tc>
                <w:tcPr>
                  <w:tcW w:w="381"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kern w:val="2"/>
                      <w:sz w:val="24"/>
                      <w:szCs w:val="24"/>
                      <w:lang w:val="en-US" w:eastAsia="en-US" w:bidi="ar-SA"/>
                    </w:rPr>
                  </w:pPr>
                  <w:r>
                    <w:rPr>
                      <w:rFonts w:hint="default" w:ascii="Arial" w:hAnsi="Arial" w:eastAsia="Arial" w:cs="Arial"/>
                      <w:sz w:val="20"/>
                    </w:rPr>
                    <w:t>-4.9</w:t>
                  </w:r>
                </w:p>
              </w:tc>
              <w:tc>
                <w:tcPr>
                  <w:tcW w:w="337"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kern w:val="2"/>
                      <w:sz w:val="24"/>
                      <w:szCs w:val="24"/>
                      <w:lang w:val="en-US" w:eastAsia="en-US" w:bidi="ar-SA"/>
                    </w:rPr>
                  </w:pPr>
                  <w:r>
                    <w:rPr>
                      <w:rFonts w:hint="default" w:ascii="Arial" w:hAnsi="Arial" w:eastAsia="Arial" w:cs="Arial"/>
                      <w:sz w:val="20"/>
                    </w:rPr>
                    <w:t>15</w:t>
                  </w:r>
                </w:p>
              </w:tc>
              <w:tc>
                <w:tcPr>
                  <w:tcW w:w="1721"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80/1</w:t>
                  </w:r>
                </w:p>
              </w:tc>
              <w:tc>
                <w:tcPr>
                  <w:tcW w:w="674"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485"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84" w:hRule="exact"/>
              </w:trPr>
              <w:tc>
                <w:tcPr>
                  <w:tcW w:w="256"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745"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en-US"/>
                    </w:rPr>
                  </w:pPr>
                  <w:r>
                    <w:rPr>
                      <w:rFonts w:hint="default" w:ascii="Times New Roman" w:hAnsi="Times New Roman" w:eastAsia="宋体" w:cs="Times New Roman"/>
                      <w:color w:val="auto"/>
                    </w:rPr>
                    <w:t>DA004</w:t>
                  </w:r>
                  <w:r>
                    <w:rPr>
                      <w:rFonts w:hint="default" w:ascii="Times New Roman" w:hAnsi="Times New Roman" w:eastAsia="宋体" w:cs="Times New Roman"/>
                      <w:color w:val="auto"/>
                      <w:lang w:eastAsia="en-US"/>
                    </w:rPr>
                    <w:t>废气设备</w:t>
                  </w:r>
                </w:p>
              </w:tc>
              <w:tc>
                <w:tcPr>
                  <w:tcW w:w="397"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kern w:val="2"/>
                      <w:sz w:val="24"/>
                      <w:szCs w:val="24"/>
                      <w:lang w:val="en-US" w:eastAsia="en-US" w:bidi="ar-SA"/>
                    </w:rPr>
                  </w:pPr>
                  <w:r>
                    <w:rPr>
                      <w:rFonts w:hint="default" w:ascii="Arial" w:hAnsi="Arial" w:eastAsia="Arial" w:cs="Arial"/>
                      <w:sz w:val="20"/>
                    </w:rPr>
                    <w:t>-4.7</w:t>
                  </w:r>
                </w:p>
              </w:tc>
              <w:tc>
                <w:tcPr>
                  <w:tcW w:w="381"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kern w:val="2"/>
                      <w:sz w:val="24"/>
                      <w:szCs w:val="24"/>
                      <w:lang w:val="en-US" w:eastAsia="en-US" w:bidi="ar-SA"/>
                    </w:rPr>
                  </w:pPr>
                  <w:r>
                    <w:rPr>
                      <w:rFonts w:hint="default" w:ascii="Arial" w:hAnsi="Arial" w:eastAsia="Arial" w:cs="Arial"/>
                      <w:sz w:val="20"/>
                    </w:rPr>
                    <w:t>-3</w:t>
                  </w:r>
                </w:p>
              </w:tc>
              <w:tc>
                <w:tcPr>
                  <w:tcW w:w="337" w:type="pct"/>
                  <w:tcBorders>
                    <w:tl2br w:val="nil"/>
                    <w:tr2bl w:val="nil"/>
                  </w:tcBorders>
                  <w:shd w:val="clear" w:color="auto" w:fill="FFFFFF"/>
                  <w:vAlign w:val="center"/>
                </w:tcPr>
                <w:p>
                  <w:pPr>
                    <w:keepNext w:val="0"/>
                    <w:keepLines w:val="0"/>
                    <w:suppressLineNumbers w:val="0"/>
                    <w:spacing w:before="0" w:beforeAutospacing="0" w:after="0" w:afterAutospacing="0"/>
                    <w:ind w:left="0" w:right="0" w:firstLine="400" w:firstLineChars="200"/>
                    <w:rPr>
                      <w:rFonts w:hint="default" w:ascii="Times New Roman" w:hAnsi="Times New Roman" w:eastAsia="宋体" w:cs="Times New Roman"/>
                      <w:color w:val="auto"/>
                      <w:kern w:val="2"/>
                      <w:sz w:val="24"/>
                      <w:szCs w:val="24"/>
                      <w:lang w:val="en-US" w:eastAsia="en-US" w:bidi="ar-SA"/>
                    </w:rPr>
                  </w:pPr>
                  <w:r>
                    <w:rPr>
                      <w:rFonts w:hint="default" w:ascii="Arial" w:hAnsi="Arial" w:eastAsia="Arial" w:cs="Arial"/>
                      <w:sz w:val="20"/>
                    </w:rPr>
                    <w:t>15</w:t>
                  </w:r>
                </w:p>
              </w:tc>
              <w:tc>
                <w:tcPr>
                  <w:tcW w:w="1721"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83/1</w:t>
                  </w:r>
                </w:p>
              </w:tc>
              <w:tc>
                <w:tcPr>
                  <w:tcW w:w="674"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485"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r>
          </w:tbl>
          <w:p>
            <w:pPr>
              <w:pStyle w:val="8"/>
              <w:keepNext w:val="0"/>
              <w:keepLines w:val="0"/>
              <w:pageBreakBefore w:val="0"/>
              <w:widowControl w:val="0"/>
              <w:suppressLineNumbers w:val="0"/>
              <w:kinsoku/>
              <w:wordWrap/>
              <w:overflowPunct/>
              <w:topLinePunct w:val="0"/>
              <w:autoSpaceDE/>
              <w:autoSpaceDN/>
              <w:bidi w:val="0"/>
              <w:adjustRightInd/>
              <w:snapToGrid/>
              <w:spacing w:beforeAutospacing="0" w:afterAutospacing="0"/>
              <w:ind w:left="0" w:right="0"/>
              <w:textAlignment w:val="auto"/>
              <w:rPr>
                <w:rFonts w:hint="default" w:ascii="Times New Roman" w:hAnsi="Times New Roman" w:eastAsia="宋体" w:cs="Times New Roman"/>
                <w:color w:val="auto"/>
                <w:lang w:eastAsia="zh-CN"/>
              </w:rPr>
            </w:pPr>
            <w:bookmarkStart w:id="60" w:name="_Ref6243"/>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20</w:t>
            </w:r>
            <w:r>
              <w:rPr>
                <w:rFonts w:hint="default" w:ascii="Times New Roman" w:hAnsi="Times New Roman" w:eastAsia="宋体" w:cs="Times New Roman"/>
                <w:color w:val="auto"/>
              </w:rPr>
              <w:fldChar w:fldCharType="end"/>
            </w:r>
            <w:bookmarkEnd w:id="60"/>
            <w:r>
              <w:rPr>
                <w:rFonts w:hint="default" w:ascii="Times New Roman" w:hAnsi="Times New Roman" w:eastAsia="宋体" w:cs="Times New Roman"/>
                <w:color w:val="auto"/>
                <w:lang w:eastAsia="zh-CN"/>
              </w:rPr>
              <w:t>工业企业噪声源强调查清单（室内声源）</w:t>
            </w:r>
          </w:p>
          <w:tbl>
            <w:tblPr>
              <w:tblStyle w:val="26"/>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8"/>
              <w:gridCol w:w="438"/>
              <w:gridCol w:w="513"/>
              <w:gridCol w:w="641"/>
              <w:gridCol w:w="454"/>
              <w:gridCol w:w="478"/>
              <w:gridCol w:w="367"/>
              <w:gridCol w:w="291"/>
              <w:gridCol w:w="402"/>
              <w:gridCol w:w="402"/>
              <w:gridCol w:w="402"/>
              <w:gridCol w:w="402"/>
              <w:gridCol w:w="402"/>
              <w:gridCol w:w="402"/>
              <w:gridCol w:w="402"/>
              <w:gridCol w:w="402"/>
              <w:gridCol w:w="1147"/>
              <w:gridCol w:w="858"/>
              <w:gridCol w:w="858"/>
              <w:gridCol w:w="858"/>
              <w:gridCol w:w="858"/>
              <w:gridCol w:w="858"/>
              <w:gridCol w:w="858"/>
              <w:gridCol w:w="858"/>
              <w:gridCol w:w="858"/>
              <w:gridCol w:w="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exact"/>
                <w:jc w:val="center"/>
              </w:trPr>
              <w:tc>
                <w:tcPr>
                  <w:tcW w:w="152" w:type="pct"/>
                  <w:vMerge w:val="restart"/>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序号</w:t>
                  </w:r>
                </w:p>
              </w:tc>
              <w:tc>
                <w:tcPr>
                  <w:tcW w:w="184" w:type="pct"/>
                  <w:vMerge w:val="restart"/>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建筑物名称</w:t>
                  </w:r>
                </w:p>
              </w:tc>
              <w:tc>
                <w:tcPr>
                  <w:tcW w:w="183" w:type="pct"/>
                  <w:vMerge w:val="restart"/>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声源名称</w:t>
                  </w:r>
                </w:p>
              </w:tc>
              <w:tc>
                <w:tcPr>
                  <w:tcW w:w="225" w:type="pct"/>
                  <w:vAlign w:val="center"/>
                </w:tcPr>
                <w:p>
                  <w:pPr>
                    <w:pStyle w:val="102"/>
                    <w:keepNext w:val="0"/>
                    <w:keepLines w:val="0"/>
                    <w:suppressLineNumbers w:val="0"/>
                    <w:bidi w:val="0"/>
                    <w:spacing w:before="0" w:beforeAutospacing="0" w:after="0" w:afterAutospacing="0"/>
                    <w:ind w:left="0" w:right="0"/>
                    <w:rPr>
                      <w:rFonts w:hint="default"/>
                      <w:lang w:eastAsia="zh-CN"/>
                    </w:rPr>
                  </w:pPr>
                  <w:r>
                    <w:rPr>
                      <w:rFonts w:hint="default"/>
                      <w:lang w:eastAsia="zh-CN"/>
                    </w:rPr>
                    <w:t>声源源强</w:t>
                  </w:r>
                </w:p>
              </w:tc>
              <w:tc>
                <w:tcPr>
                  <w:tcW w:w="189" w:type="pct"/>
                  <w:vMerge w:val="restart"/>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声源控制措施</w:t>
                  </w:r>
                </w:p>
              </w:tc>
              <w:tc>
                <w:tcPr>
                  <w:tcW w:w="638" w:type="pct"/>
                  <w:gridSpan w:val="3"/>
                  <w:vAlign w:val="center"/>
                </w:tcPr>
                <w:p>
                  <w:pPr>
                    <w:pStyle w:val="102"/>
                    <w:keepNext w:val="0"/>
                    <w:keepLines w:val="0"/>
                    <w:suppressLineNumbers w:val="0"/>
                    <w:bidi w:val="0"/>
                    <w:spacing w:before="0" w:beforeAutospacing="0" w:after="0" w:afterAutospacing="0"/>
                    <w:ind w:left="0" w:right="0"/>
                    <w:rPr>
                      <w:rFonts w:hint="default"/>
                    </w:rPr>
                  </w:pPr>
                  <w:r>
                    <w:rPr>
                      <w:rFonts w:hint="default"/>
                    </w:rPr>
                    <w:t>空间相对位置/m</w:t>
                  </w:r>
                </w:p>
              </w:tc>
              <w:tc>
                <w:tcPr>
                  <w:tcW w:w="700" w:type="pct"/>
                  <w:gridSpan w:val="4"/>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距室内边界距离/m</w:t>
                  </w:r>
                </w:p>
              </w:tc>
              <w:tc>
                <w:tcPr>
                  <w:tcW w:w="691" w:type="pct"/>
                  <w:gridSpan w:val="4"/>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室内边界声级/dB(A)</w:t>
                  </w:r>
                </w:p>
              </w:tc>
              <w:tc>
                <w:tcPr>
                  <w:tcW w:w="398" w:type="pct"/>
                  <w:vMerge w:val="restart"/>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运行时段</w:t>
                  </w:r>
                </w:p>
              </w:tc>
              <w:tc>
                <w:tcPr>
                  <w:tcW w:w="663" w:type="pct"/>
                  <w:gridSpan w:val="4"/>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建筑物插入损失 / dB(A)</w:t>
                  </w:r>
                </w:p>
              </w:tc>
              <w:tc>
                <w:tcPr>
                  <w:tcW w:w="971" w:type="pct"/>
                  <w:gridSpan w:val="5"/>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建筑物外噪声声压级/dB(A)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lang w:val="en-US" w:eastAsia="zh-CN"/>
                    </w:rPr>
                  </w:pPr>
                </w:p>
              </w:tc>
              <w:tc>
                <w:tcPr>
                  <w:tcW w:w="184"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183"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声功率级/dB(A)</w:t>
                  </w:r>
                </w:p>
              </w:tc>
              <w:tc>
                <w:tcPr>
                  <w:tcW w:w="189"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X</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Y</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Z</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东</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南</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西</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北</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东</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南</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西</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北</w:t>
                  </w:r>
                </w:p>
              </w:tc>
              <w:tc>
                <w:tcPr>
                  <w:tcW w:w="398"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16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东</w:t>
                  </w:r>
                </w:p>
              </w:tc>
              <w:tc>
                <w:tcPr>
                  <w:tcW w:w="16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南</w:t>
                  </w:r>
                </w:p>
              </w:tc>
              <w:tc>
                <w:tcPr>
                  <w:tcW w:w="16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西</w:t>
                  </w:r>
                </w:p>
              </w:tc>
              <w:tc>
                <w:tcPr>
                  <w:tcW w:w="167"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北</w:t>
                  </w:r>
                </w:p>
              </w:tc>
              <w:tc>
                <w:tcPr>
                  <w:tcW w:w="17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东</w:t>
                  </w:r>
                </w:p>
              </w:tc>
              <w:tc>
                <w:tcPr>
                  <w:tcW w:w="17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南</w:t>
                  </w:r>
                </w:p>
              </w:tc>
              <w:tc>
                <w:tcPr>
                  <w:tcW w:w="17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西</w:t>
                  </w:r>
                </w:p>
              </w:tc>
              <w:tc>
                <w:tcPr>
                  <w:tcW w:w="17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eastAsia"/>
                      <w:lang w:val="en-US" w:eastAsia="zh-CN"/>
                    </w:rPr>
                    <w:t>北</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建筑物外距离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c>
                <w:tcPr>
                  <w:tcW w:w="184"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车间A</w:t>
                  </w:r>
                </w:p>
              </w:tc>
              <w:tc>
                <w:tcPr>
                  <w:tcW w:w="18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精密冲压机,3台（点声源）</w:t>
                  </w: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75（等效后：79.8)</w:t>
                  </w:r>
                </w:p>
              </w:tc>
              <w:tc>
                <w:tcPr>
                  <w:tcW w:w="189" w:type="pct"/>
                  <w:vMerge w:val="restar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lang w:val="en-US"/>
                    </w:rPr>
                  </w:pPr>
                  <w:r>
                    <w:rPr>
                      <w:rFonts w:hint="default" w:ascii="Times New Roman" w:hAnsi="Times New Roman" w:eastAsia="宋体" w:cs="Times New Roman"/>
                      <w:color w:val="auto"/>
                      <w:lang w:val="en-US" w:eastAsia="zh-CN"/>
                    </w:rPr>
                    <w:t>采用低噪声设备、合理布局、基础减振</w:t>
                  </w:r>
                  <w:r>
                    <w:rPr>
                      <w:rFonts w:hint="eastAsia" w:cs="Times New Roman"/>
                      <w:color w:val="auto"/>
                      <w:lang w:val="en-US" w:eastAsia="zh-CN"/>
                    </w:rPr>
                    <w:t>，厂房隔声</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9.8</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5.4</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20.1</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19.5</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36.8</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4.3</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68.7</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68.7</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68.7</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68.9</w:t>
                  </w:r>
                </w:p>
              </w:tc>
              <w:tc>
                <w:tcPr>
                  <w:tcW w:w="398" w:type="pct"/>
                  <w:vMerge w:val="restart"/>
                  <w:shd w:val="clear" w:color="auto" w:fill="FFFFFF"/>
                  <w:tcMar>
                    <w:top w:w="0" w:type="dxa"/>
                    <w:left w:w="0" w:type="dxa"/>
                    <w:bottom w:w="0" w:type="dxa"/>
                    <w:right w:w="0" w:type="dxa"/>
                  </w:tcMar>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8:00~12:00</w:t>
                  </w:r>
                </w:p>
                <w:p>
                  <w:pPr>
                    <w:pStyle w:val="102"/>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14:00~</w:t>
                  </w:r>
                  <w:r>
                    <w:rPr>
                      <w:rFonts w:hint="default" w:ascii="Times New Roman" w:hAnsi="Times New Roman" w:eastAsia="宋体" w:cs="Times New Roman"/>
                      <w:color w:val="auto"/>
                      <w:lang w:val="en-US" w:eastAsia="zh-CN"/>
                    </w:rPr>
                    <w:t>18:00</w:t>
                  </w:r>
                </w:p>
                <w:p>
                  <w:pPr>
                    <w:pStyle w:val="102"/>
                    <w:keepNext w:val="0"/>
                    <w:keepLines w:val="0"/>
                    <w:suppressLineNumbers w:val="0"/>
                    <w:bidi w:val="0"/>
                    <w:spacing w:before="0" w:beforeAutospacing="0" w:after="0" w:afterAutospacing="0"/>
                    <w:ind w:left="0" w:right="0"/>
                    <w:rPr>
                      <w:rFonts w:hint="default"/>
                    </w:rPr>
                  </w:pP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8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43.7</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43.7</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43.7</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43.9</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2</w:t>
                  </w:r>
                </w:p>
              </w:tc>
              <w:tc>
                <w:tcPr>
                  <w:tcW w:w="184"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车间A</w:t>
                  </w:r>
                </w:p>
              </w:tc>
              <w:tc>
                <w:tcPr>
                  <w:tcW w:w="18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钻床机,6台（按点声源组预测）</w:t>
                  </w: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75（等效后：82.8)</w:t>
                  </w:r>
                </w:p>
              </w:tc>
              <w:tc>
                <w:tcPr>
                  <w:tcW w:w="189"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2.9</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6.5</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27.1</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18.7</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29.8</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4.8</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71.7</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71.7</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71.7</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71.9</w:t>
                  </w:r>
                </w:p>
              </w:tc>
              <w:tc>
                <w:tcPr>
                  <w:tcW w:w="398"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8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46.7</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46.7</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46.7</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46.9</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3</w:t>
                  </w:r>
                </w:p>
              </w:tc>
              <w:tc>
                <w:tcPr>
                  <w:tcW w:w="184"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车间A</w:t>
                  </w:r>
                </w:p>
              </w:tc>
              <w:tc>
                <w:tcPr>
                  <w:tcW w:w="18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自动攻牙机,10台（按点声源组预测）</w:t>
                  </w: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75（等效后：85.0)</w:t>
                  </w:r>
                </w:p>
              </w:tc>
              <w:tc>
                <w:tcPr>
                  <w:tcW w:w="189"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-6.2</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7.3</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36.1</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17.1</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20.8</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6.2</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73.9</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73.9</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73.9</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74.0</w:t>
                  </w:r>
                </w:p>
              </w:tc>
              <w:tc>
                <w:tcPr>
                  <w:tcW w:w="398"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8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48.9</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48.9</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48.9</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49.0</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4</w:t>
                  </w:r>
                </w:p>
              </w:tc>
              <w:tc>
                <w:tcPr>
                  <w:tcW w:w="184"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车间A</w:t>
                  </w:r>
                </w:p>
              </w:tc>
              <w:tc>
                <w:tcPr>
                  <w:tcW w:w="18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喷砂机</w:t>
                  </w: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80</w:t>
                  </w:r>
                </w:p>
              </w:tc>
              <w:tc>
                <w:tcPr>
                  <w:tcW w:w="189"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-14.8</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-1.5</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1.2</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42.4</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6.3</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15.0</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16.7</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68.9</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69.0</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68.9</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68.9</w:t>
                  </w:r>
                </w:p>
              </w:tc>
              <w:tc>
                <w:tcPr>
                  <w:tcW w:w="398"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8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44.1</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44.2</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44.1</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44.1</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5</w:t>
                  </w:r>
                </w:p>
              </w:tc>
              <w:tc>
                <w:tcPr>
                  <w:tcW w:w="184"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车间A</w:t>
                  </w:r>
                </w:p>
              </w:tc>
              <w:tc>
                <w:tcPr>
                  <w:tcW w:w="18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数控折弯机,4台（按点声源组预测）</w:t>
                  </w: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75（等效后：81.0)</w:t>
                  </w:r>
                </w:p>
              </w:tc>
              <w:tc>
                <w:tcPr>
                  <w:tcW w:w="189"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-4.9</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-3</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1.2</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32.4</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7.5</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24.9</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15.9</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69.9</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70.0</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69.9</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69.9</w:t>
                  </w:r>
                </w:p>
              </w:tc>
              <w:tc>
                <w:tcPr>
                  <w:tcW w:w="398"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8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44.9</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44.9</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44.9</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w:t>
                  </w:r>
                </w:p>
              </w:tc>
              <w:tc>
                <w:tcPr>
                  <w:tcW w:w="184"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车间A</w:t>
                  </w:r>
                </w:p>
              </w:tc>
              <w:tc>
                <w:tcPr>
                  <w:tcW w:w="18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喷砂机</w:t>
                  </w: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80</w:t>
                  </w:r>
                </w:p>
              </w:tc>
              <w:tc>
                <w:tcPr>
                  <w:tcW w:w="189"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-10.7</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-1.2</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38.5</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7.7</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18.8</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15.5</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68.9</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69.0</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68.9</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68.9</w:t>
                  </w:r>
                </w:p>
              </w:tc>
              <w:tc>
                <w:tcPr>
                  <w:tcW w:w="398"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8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43.9</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44.0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43.9</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43.9</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w:t>
                  </w:r>
                </w:p>
              </w:tc>
              <w:tc>
                <w:tcPr>
                  <w:tcW w:w="184"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车间A</w:t>
                  </w:r>
                </w:p>
              </w:tc>
              <w:tc>
                <w:tcPr>
                  <w:tcW w:w="18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喷漆柜,4台（按点声源组预测）</w:t>
                  </w: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80（等效后：86.0)</w:t>
                  </w:r>
                </w:p>
              </w:tc>
              <w:tc>
                <w:tcPr>
                  <w:tcW w:w="189"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-19.2</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8.8</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49.1</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15.1</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7.9</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7.7</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74.9</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74.9</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75.0</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75.0</w:t>
                  </w:r>
                </w:p>
              </w:tc>
              <w:tc>
                <w:tcPr>
                  <w:tcW w:w="398"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8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49.9</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49.9</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50.0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50.0</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8</w:t>
                  </w:r>
                </w:p>
              </w:tc>
              <w:tc>
                <w:tcPr>
                  <w:tcW w:w="184"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-车间A</w:t>
                  </w:r>
                </w:p>
              </w:tc>
              <w:tc>
                <w:tcPr>
                  <w:tcW w:w="18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喷漆烘干炉,2台（按点声源组预测）</w:t>
                  </w: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75（等效后：78.0)</w:t>
                  </w:r>
                </w:p>
              </w:tc>
              <w:tc>
                <w:tcPr>
                  <w:tcW w:w="189"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-23.7</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-0.8</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51.2</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4.6</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6.2</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18.1</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66.9</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67.1</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67.0</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66.9</w:t>
                  </w:r>
                </w:p>
              </w:tc>
              <w:tc>
                <w:tcPr>
                  <w:tcW w:w="398"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8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41.9</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42.1</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42.0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41.9</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9</w:t>
                  </w:r>
                </w:p>
              </w:tc>
              <w:tc>
                <w:tcPr>
                  <w:tcW w:w="184"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车间B</w:t>
                  </w:r>
                </w:p>
              </w:tc>
              <w:tc>
                <w:tcPr>
                  <w:tcW w:w="18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粉末喷粉室,7台（按点声源组预测）</w:t>
                  </w: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80（等效后：88.5)</w:t>
                  </w:r>
                </w:p>
              </w:tc>
              <w:tc>
                <w:tcPr>
                  <w:tcW w:w="189"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-3.2</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4.3</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11</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31.7</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14.2</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23.7</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7.8</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77.6</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77.6</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77.6</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77.6</w:t>
                  </w:r>
                </w:p>
              </w:tc>
              <w:tc>
                <w:tcPr>
                  <w:tcW w:w="398"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8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52.6</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52.6</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52.6</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52.6</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10</w:t>
                  </w:r>
                </w:p>
              </w:tc>
              <w:tc>
                <w:tcPr>
                  <w:tcW w:w="184"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车间B</w:t>
                  </w:r>
                </w:p>
              </w:tc>
              <w:tc>
                <w:tcPr>
                  <w:tcW w:w="18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喷粉烘干炉,7台（按点声源组预测）</w:t>
                  </w: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75（等效后：83.5)</w:t>
                  </w:r>
                </w:p>
              </w:tc>
              <w:tc>
                <w:tcPr>
                  <w:tcW w:w="189"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-19.8</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4.4</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11</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47.9</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9.9</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7.7</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11.5</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72.6</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72.6</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72.6</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72.6</w:t>
                  </w:r>
                </w:p>
              </w:tc>
              <w:tc>
                <w:tcPr>
                  <w:tcW w:w="398"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8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47.6</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47.6</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47.6</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47.6</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152"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11</w:t>
                  </w:r>
                </w:p>
              </w:tc>
              <w:tc>
                <w:tcPr>
                  <w:tcW w:w="184"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车间B</w:t>
                  </w:r>
                </w:p>
              </w:tc>
              <w:tc>
                <w:tcPr>
                  <w:tcW w:w="18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烤箱</w:t>
                  </w:r>
                </w:p>
              </w:tc>
              <w:tc>
                <w:tcPr>
                  <w:tcW w:w="22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70</w:t>
                  </w:r>
                </w:p>
              </w:tc>
              <w:tc>
                <w:tcPr>
                  <w:tcW w:w="189"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-12.1</w:t>
                  </w:r>
                </w:p>
              </w:tc>
              <w:tc>
                <w:tcPr>
                  <w:tcW w:w="20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-4.3</w:t>
                  </w:r>
                </w:p>
              </w:tc>
              <w:tc>
                <w:tcPr>
                  <w:tcW w:w="219"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11</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38.2</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3.6</w:t>
                  </w:r>
                </w:p>
              </w:tc>
              <w:tc>
                <w:tcPr>
                  <w:tcW w:w="173"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17.4</w:t>
                  </w:r>
                </w:p>
              </w:tc>
              <w:tc>
                <w:tcPr>
                  <w:tcW w:w="180"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18.2</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59.1</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59.4</w:t>
                  </w:r>
                </w:p>
              </w:tc>
              <w:tc>
                <w:tcPr>
                  <w:tcW w:w="1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59.1</w:t>
                  </w:r>
                </w:p>
              </w:tc>
              <w:tc>
                <w:tcPr>
                  <w:tcW w:w="185"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59.1</w:t>
                  </w:r>
                </w:p>
              </w:tc>
              <w:tc>
                <w:tcPr>
                  <w:tcW w:w="398" w:type="pct"/>
                  <w:vMerge w:val="continue"/>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75"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48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25.0</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34.1</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34.4</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34.1</w:t>
                  </w:r>
                </w:p>
              </w:tc>
              <w:tc>
                <w:tcPr>
                  <w:tcW w:w="504" w:type="dxa"/>
                  <w:shd w:val="clear" w:color="auto" w:fill="FFFFFF"/>
                  <w:tcMar>
                    <w:top w:w="0" w:type="dxa"/>
                    <w:left w:w="0" w:type="dxa"/>
                    <w:bottom w:w="0" w:type="dxa"/>
                    <w:right w:w="0" w:type="dxa"/>
                  </w:tcMar>
                  <w:vAlign w:val="center"/>
                </w:tcPr>
                <w:p>
                  <w:pPr>
                    <w:pStyle w:val="49"/>
                    <w:keepNext w:val="0"/>
                    <w:keepLines w:val="0"/>
                    <w:suppressLineNumbers w:val="0"/>
                    <w:spacing w:before="0" w:beforeAutospacing="0" w:after="0" w:afterAutospacing="0"/>
                    <w:ind w:left="0" w:right="0" w:firstLineChars="200"/>
                    <w:rPr>
                      <w:rFonts w:hint="default"/>
                    </w:rPr>
                  </w:pPr>
                  <w:r>
                    <w:rPr>
                      <w:rFonts w:hint="default"/>
                    </w:rPr>
                    <w:t>34.1</w:t>
                  </w:r>
                </w:p>
              </w:tc>
              <w:tc>
                <w:tcPr>
                  <w:tcW w:w="268" w:type="pct"/>
                  <w:shd w:val="clear" w:color="auto" w:fill="FFFFFF"/>
                  <w:tcMar>
                    <w:top w:w="0" w:type="dxa"/>
                    <w:left w:w="0" w:type="dxa"/>
                    <w:bottom w:w="0" w:type="dxa"/>
                    <w:right w:w="0" w:type="dxa"/>
                  </w:tcMar>
                  <w:vAlign w:val="center"/>
                </w:tcPr>
                <w:p>
                  <w:pPr>
                    <w:pStyle w:val="102"/>
                    <w:keepNext w:val="0"/>
                    <w:keepLines w:val="0"/>
                    <w:suppressLineNumbers w:val="0"/>
                    <w:bidi w:val="0"/>
                    <w:spacing w:before="0" w:beforeAutospacing="0" w:after="0" w:afterAutospacing="0"/>
                    <w:ind w:left="0" w:right="0"/>
                    <w:rPr>
                      <w:rFonts w:hint="default"/>
                    </w:rPr>
                  </w:pPr>
                  <w:r>
                    <w:rPr>
                      <w:rFonts w:hint="default"/>
                    </w:rPr>
                    <w:t>1</w:t>
                  </w:r>
                </w:p>
              </w:tc>
            </w:tr>
          </w:tbl>
          <w:p>
            <w:pPr>
              <w:keepNext w:val="0"/>
              <w:keepLines w:val="0"/>
              <w:numPr>
                <w:ilvl w:val="0"/>
                <w:numId w:val="0"/>
              </w:numPr>
              <w:suppressLineNumbers w:val="0"/>
              <w:spacing w:before="0" w:beforeAutospacing="0" w:after="0" w:afterAutospacing="0" w:line="360" w:lineRule="auto"/>
              <w:ind w:left="0" w:right="0"/>
              <w:rPr>
                <w:rFonts w:hint="default" w:ascii="Times New Roman" w:hAnsi="Times New Roman" w:eastAsia="宋体" w:cs="Times New Roman"/>
                <w:color w:val="auto"/>
                <w:sz w:val="24"/>
                <w:szCs w:val="28"/>
              </w:rPr>
            </w:pPr>
          </w:p>
        </w:tc>
      </w:tr>
    </w:tbl>
    <w:p>
      <w:pPr>
        <w:pStyle w:val="36"/>
        <w:rPr>
          <w:rFonts w:hint="default" w:ascii="Times New Roman" w:hAnsi="Times New Roman" w:eastAsia="宋体" w:cs="Times New Roman"/>
          <w:color w:val="auto"/>
        </w:rPr>
        <w:sectPr>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04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0"/>
        <w:gridCol w:w="93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9" w:type="pct"/>
            <w:noWrap w:val="0"/>
            <w:tcMar>
              <w:left w:w="28" w:type="dxa"/>
              <w:right w:w="28" w:type="dxa"/>
            </w:tcMar>
            <w:vAlign w:val="center"/>
          </w:tcPr>
          <w:p>
            <w:pPr>
              <w:pStyle w:val="54"/>
              <w:keepNext w:val="0"/>
              <w:keepLines w:val="0"/>
              <w:suppressLineNumbers w:val="0"/>
              <w:adjustRightInd w:val="0"/>
              <w:snapToGrid w:val="0"/>
              <w:spacing w:before="0" w:beforeAutospacing="0" w:line="360" w:lineRule="auto"/>
              <w:ind w:left="0" w:right="0"/>
              <w:jc w:val="center"/>
              <w:rPr>
                <w:rFonts w:hint="default" w:ascii="Times New Roman" w:hAnsi="Times New Roman" w:eastAsia="宋体" w:cs="Times New Roman"/>
                <w:color w:val="auto"/>
              </w:rPr>
            </w:pPr>
          </w:p>
        </w:tc>
        <w:tc>
          <w:tcPr>
            <w:tcW w:w="4740" w:type="pct"/>
            <w:noWrap w:val="0"/>
            <w:vAlign w:val="center"/>
          </w:tcPr>
          <w:p>
            <w:pPr>
              <w:keepNext w:val="0"/>
              <w:keepLines w:val="0"/>
              <w:numPr>
                <w:ilvl w:val="0"/>
                <w:numId w:val="26"/>
              </w:numPr>
              <w:suppressLineNumbers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szCs w:val="20"/>
              </w:rPr>
            </w:pPr>
            <w:r>
              <w:rPr>
                <w:rFonts w:hint="default" w:ascii="Times New Roman" w:hAnsi="Times New Roman" w:eastAsia="宋体" w:cs="Times New Roman"/>
                <w:b/>
                <w:bCs/>
                <w:color w:val="auto"/>
                <w:sz w:val="24"/>
                <w:szCs w:val="20"/>
              </w:rPr>
              <w:t>噪声污染防治措施</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0"/>
              </w:rPr>
              <w:t>项目噪声采取如下措施：①建设单位选用低噪设备，并对设备采取合理的安装和布局，</w:t>
            </w:r>
            <w:r>
              <w:rPr>
                <w:rFonts w:hint="default" w:ascii="Times New Roman" w:hAnsi="Times New Roman" w:eastAsia="宋体" w:cs="Times New Roman"/>
                <w:color w:val="auto"/>
                <w:sz w:val="24"/>
              </w:rPr>
              <w:t>尽量将高噪声设备远离厂界</w:t>
            </w:r>
            <w:r>
              <w:rPr>
                <w:rFonts w:hint="default" w:ascii="Times New Roman" w:hAnsi="Times New Roman" w:eastAsia="宋体" w:cs="Times New Roman"/>
                <w:color w:val="auto"/>
                <w:sz w:val="24"/>
                <w:szCs w:val="20"/>
              </w:rPr>
              <w:t>；</w:t>
            </w:r>
            <w:r>
              <w:rPr>
                <w:rFonts w:hint="default" w:ascii="Times New Roman" w:hAnsi="Times New Roman" w:eastAsia="宋体" w:cs="Times New Roman"/>
                <w:color w:val="auto"/>
                <w:sz w:val="24"/>
              </w:rPr>
              <w:t>对有强噪声的车间，考虑利用建筑物、构筑物来阻隔声波的传播，减少对周围环境的影响。</w:t>
            </w:r>
            <w:r>
              <w:rPr>
                <w:rFonts w:hint="default" w:ascii="Times New Roman" w:hAnsi="Times New Roman" w:eastAsia="宋体" w:cs="Times New Roman"/>
                <w:color w:val="auto"/>
                <w:sz w:val="24"/>
                <w:szCs w:val="20"/>
              </w:rPr>
              <w:t>②项目运行期应加强员工管理，文明作业，轻拿轻放，减少不必要的噪声产生；③对车间内高噪音设备采取相应的减振、消声、隔声等措施。④</w:t>
            </w:r>
            <w:r>
              <w:rPr>
                <w:rFonts w:hint="default" w:ascii="Times New Roman" w:hAnsi="Times New Roman" w:eastAsia="宋体" w:cs="Times New Roman"/>
                <w:color w:val="auto"/>
                <w:sz w:val="24"/>
              </w:rPr>
              <w:t>加强管理建立设备定期维护、保养的管理制度，以防止设备故障形成的非生产噪声，同时确保环保措施发挥最有效的功能；加强职工环保意识教育，提倡文明生产，防止人为噪声；对于厂区内流动声源（汽车），应强化行车管理制度，严禁鸣号，进入厂区低速行使，最大限度减少流动噪声源。⑤合理安排生产时间，尽可能地安排在昼间进行生产。</w:t>
            </w:r>
          </w:p>
          <w:p>
            <w:pPr>
              <w:keepNext w:val="0"/>
              <w:keepLines w:val="0"/>
              <w:numPr>
                <w:ilvl w:val="0"/>
                <w:numId w:val="25"/>
              </w:numPr>
              <w:suppressLineNumbers w:val="0"/>
              <w:spacing w:before="0" w:beforeAutospacing="0" w:after="0" w:afterAutospacing="0" w:line="360" w:lineRule="auto"/>
              <w:ind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噪声达标情况分析</w:t>
            </w:r>
          </w:p>
          <w:p>
            <w:pPr>
              <w:keepNext w:val="0"/>
              <w:keepLines w:val="0"/>
              <w:suppressLineNumbers w:val="0"/>
              <w:spacing w:before="0" w:beforeAutospacing="0" w:after="0" w:afterAutospacing="0" w:line="360" w:lineRule="auto"/>
              <w:ind w:left="0" w:right="0" w:firstLine="470" w:firstLineChars="196"/>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rPr>
              <w:t>据《环境影响评价技术导则</w:t>
            </w:r>
            <w:r>
              <w:rPr>
                <w:rFonts w:hint="default" w:ascii="Times New Roman" w:hAns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声环境》（HJ2.4-</w:t>
            </w:r>
            <w:r>
              <w:rPr>
                <w:rFonts w:hint="default" w:ascii="Times New Roman" w:hAnsi="Times New Roman" w:eastAsia="宋体" w:cs="Times New Roman"/>
                <w:color w:val="auto"/>
                <w:sz w:val="24"/>
                <w:lang w:val="en-US" w:eastAsia="zh-CN"/>
              </w:rPr>
              <w:t>2021</w:t>
            </w:r>
            <w:r>
              <w:rPr>
                <w:rFonts w:hint="default" w:ascii="Times New Roman" w:hAnsi="Times New Roman" w:eastAsia="宋体" w:cs="Times New Roman"/>
                <w:color w:val="auto"/>
                <w:sz w:val="24"/>
              </w:rPr>
              <w:t>）推荐的方法对设备噪声的影响范围进行预测和分析，并提出防治措施。具体分析如下：</w:t>
            </w:r>
          </w:p>
          <w:p>
            <w:pPr>
              <w:keepNext w:val="0"/>
              <w:keepLines w:val="0"/>
              <w:numPr>
                <w:ilvl w:val="0"/>
                <w:numId w:val="27"/>
              </w:numPr>
              <w:suppressLineNumbers w:val="0"/>
              <w:autoSpaceDE w:val="0"/>
              <w:autoSpaceDN w:val="0"/>
              <w:adjustRightInd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噪声预测方法</w:t>
            </w:r>
          </w:p>
          <w:p>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color w:val="auto"/>
                <w:kern w:val="24"/>
                <w:sz w:val="24"/>
                <w:szCs w:val="28"/>
              </w:rPr>
            </w:pPr>
            <w:r>
              <w:rPr>
                <w:rFonts w:hint="default" w:ascii="Times New Roman" w:hAnsi="Times New Roman" w:eastAsia="宋体" w:cs="Times New Roman"/>
                <w:color w:val="auto"/>
                <w:kern w:val="24"/>
                <w:sz w:val="24"/>
                <w:szCs w:val="28"/>
              </w:rPr>
              <w:t>根据项目建设内容及《环境影响评价技术导则—声环境》（HJ2.4-2021）的要求，项目环评采用的模型为《环境影响评价技术导则 声环境》(HJ2.4.2021)附录A（规范性附录）户外声传播的衰减和附录B（规范性附录）中“B.1工业噪声预测计算模型”。</w:t>
            </w:r>
          </w:p>
          <w:p>
            <w:pPr>
              <w:keepNext w:val="0"/>
              <w:keepLines w:val="0"/>
              <w:numPr>
                <w:ilvl w:val="0"/>
                <w:numId w:val="27"/>
              </w:numPr>
              <w:suppressLineNumbers w:val="0"/>
              <w:autoSpaceDE w:val="0"/>
              <w:autoSpaceDN w:val="0"/>
              <w:adjustRightInd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lang w:val="en-US" w:eastAsia="zh-CN"/>
              </w:rPr>
              <w:t>噪声源强</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项目在生产过程中产生的噪声主要源自</w:t>
            </w:r>
            <w:r>
              <w:rPr>
                <w:rFonts w:hint="default" w:ascii="Times New Roman" w:hAnsi="Times New Roman" w:eastAsia="宋体" w:cs="Times New Roman"/>
                <w:bCs/>
                <w:color w:val="auto"/>
                <w:sz w:val="24"/>
                <w:lang w:val="en-US" w:eastAsia="zh-CN"/>
              </w:rPr>
              <w:t>精密冲床机</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钻床机</w:t>
            </w:r>
            <w:r>
              <w:rPr>
                <w:rFonts w:hint="default" w:ascii="Times New Roman" w:hAnsi="Times New Roman" w:eastAsia="宋体" w:cs="Times New Roman"/>
                <w:bCs/>
                <w:color w:val="auto"/>
                <w:sz w:val="24"/>
              </w:rPr>
              <w:t>等,这些设备产生的噪声声级一般在</w:t>
            </w:r>
            <w:r>
              <w:rPr>
                <w:rFonts w:hint="default" w:ascii="Times New Roman" w:hAnsi="Times New Roman" w:eastAsia="宋体" w:cs="Times New Roman"/>
                <w:bCs/>
                <w:color w:val="auto"/>
                <w:sz w:val="24"/>
                <w:lang w:val="en-US" w:eastAsia="zh-CN"/>
              </w:rPr>
              <w:t>60</w:t>
            </w:r>
            <w:r>
              <w:rPr>
                <w:rFonts w:hint="default" w:ascii="Times New Roman" w:hAnsi="Times New Roman" w:eastAsia="宋体" w:cs="Times New Roman"/>
                <w:bCs/>
                <w:color w:val="auto"/>
                <w:sz w:val="24"/>
              </w:rPr>
              <w:t>dB</w:t>
            </w:r>
            <w:r>
              <w:rPr>
                <w:rFonts w:hint="default" w:ascii="Times New Roman" w:hAnsi="Times New Roman" w:eastAsia="宋体" w:cs="Times New Roman"/>
                <w:bCs/>
                <w:color w:val="auto"/>
                <w:sz w:val="24"/>
                <w:lang w:val="en-US" w:eastAsia="zh-CN"/>
              </w:rPr>
              <w:t>~83dB</w:t>
            </w:r>
            <w:r>
              <w:rPr>
                <w:rFonts w:hint="default" w:ascii="Times New Roman" w:hAnsi="Times New Roman" w:eastAsia="宋体" w:cs="Times New Roman"/>
                <w:bCs/>
                <w:color w:val="auto"/>
                <w:sz w:val="24"/>
              </w:rPr>
              <w:t>。项目产生噪声的噪声源强调查清单见</w:t>
            </w:r>
            <w:r>
              <w:rPr>
                <w:rFonts w:hint="default" w:ascii="Times New Roman" w:hAnsi="Times New Roman" w:eastAsia="宋体" w:cs="Times New Roman"/>
                <w:bCs/>
                <w:color w:val="auto"/>
                <w:sz w:val="24"/>
                <w:lang w:eastAsia="zh-CN"/>
              </w:rPr>
              <w:fldChar w:fldCharType="begin"/>
            </w:r>
            <w:r>
              <w:rPr>
                <w:rFonts w:hint="default" w:ascii="Times New Roman" w:hAnsi="Times New Roman" w:eastAsia="宋体" w:cs="Times New Roman"/>
                <w:bCs/>
                <w:color w:val="auto"/>
                <w:sz w:val="24"/>
                <w:lang w:eastAsia="zh-CN"/>
              </w:rPr>
              <w:instrText xml:space="preserve"> REF _Ref6240 \h </w:instrText>
            </w:r>
            <w:r>
              <w:rPr>
                <w:rFonts w:hint="default" w:ascii="Times New Roman" w:hAnsi="Times New Roman" w:eastAsia="宋体" w:cs="Times New Roman"/>
                <w:bCs/>
                <w:color w:val="auto"/>
                <w:sz w:val="24"/>
                <w:lang w:eastAsia="zh-CN"/>
              </w:rPr>
              <w:fldChar w:fldCharType="separate"/>
            </w:r>
            <w:r>
              <w:rPr>
                <w:rFonts w:hint="default" w:ascii="Times New Roman" w:hAnsi="Times New Roman" w:eastAsia="宋体" w:cs="Times New Roman"/>
                <w:color w:val="auto"/>
              </w:rPr>
              <w:t>表4- 15</w:t>
            </w:r>
            <w:r>
              <w:rPr>
                <w:rFonts w:hint="default" w:ascii="Times New Roman" w:hAnsi="Times New Roman" w:eastAsia="宋体" w:cs="Times New Roman"/>
                <w:bCs/>
                <w:color w:val="auto"/>
                <w:sz w:val="24"/>
                <w:lang w:eastAsia="zh-CN"/>
              </w:rPr>
              <w:fldChar w:fldCharType="end"/>
            </w:r>
            <w:r>
              <w:rPr>
                <w:rFonts w:hint="default" w:ascii="Times New Roman" w:hAnsi="Times New Roman" w:eastAsia="宋体" w:cs="Times New Roman"/>
                <w:bCs/>
                <w:color w:val="auto"/>
                <w:sz w:val="24"/>
                <w:lang w:val="en-US" w:eastAsia="zh-CN"/>
              </w:rPr>
              <w:t>和</w:t>
            </w:r>
            <w:r>
              <w:rPr>
                <w:rFonts w:hint="default" w:ascii="Times New Roman" w:hAnsi="Times New Roman" w:eastAsia="宋体" w:cs="Times New Roman"/>
                <w:bCs/>
                <w:color w:val="auto"/>
                <w:sz w:val="24"/>
                <w:lang w:eastAsia="zh-CN"/>
              </w:rPr>
              <w:fldChar w:fldCharType="begin"/>
            </w:r>
            <w:r>
              <w:rPr>
                <w:rFonts w:hint="default" w:ascii="Times New Roman" w:hAnsi="Times New Roman" w:eastAsia="宋体" w:cs="Times New Roman"/>
                <w:bCs/>
                <w:color w:val="auto"/>
                <w:sz w:val="24"/>
                <w:lang w:eastAsia="zh-CN"/>
              </w:rPr>
              <w:instrText xml:space="preserve"> REF _Ref6243 \h </w:instrText>
            </w:r>
            <w:r>
              <w:rPr>
                <w:rFonts w:hint="default" w:ascii="Times New Roman" w:hAnsi="Times New Roman" w:eastAsia="宋体" w:cs="Times New Roman"/>
                <w:bCs/>
                <w:color w:val="auto"/>
                <w:sz w:val="24"/>
                <w:lang w:eastAsia="zh-CN"/>
              </w:rPr>
              <w:fldChar w:fldCharType="separate"/>
            </w:r>
            <w:r>
              <w:rPr>
                <w:rFonts w:hint="default" w:ascii="Times New Roman" w:hAnsi="Times New Roman" w:eastAsia="宋体" w:cs="Times New Roman"/>
                <w:color w:val="auto"/>
              </w:rPr>
              <w:t>表4- 16</w:t>
            </w:r>
            <w:r>
              <w:rPr>
                <w:rFonts w:hint="default" w:ascii="Times New Roman" w:hAnsi="Times New Roman" w:eastAsia="宋体" w:cs="Times New Roman"/>
                <w:bCs/>
                <w:color w:val="auto"/>
                <w:sz w:val="24"/>
                <w:lang w:eastAsia="zh-CN"/>
              </w:rPr>
              <w:fldChar w:fldCharType="end"/>
            </w:r>
            <w:r>
              <w:rPr>
                <w:rFonts w:hint="default" w:ascii="Times New Roman" w:hAnsi="Times New Roman" w:eastAsia="宋体" w:cs="Times New Roman"/>
                <w:bCs/>
                <w:color w:val="auto"/>
                <w:sz w:val="24"/>
              </w:rPr>
              <w:t>。</w:t>
            </w:r>
          </w:p>
          <w:p>
            <w:pPr>
              <w:keepNext w:val="0"/>
              <w:keepLines w:val="0"/>
              <w:numPr>
                <w:ilvl w:val="0"/>
                <w:numId w:val="27"/>
              </w:numPr>
              <w:suppressLineNumbers w:val="0"/>
              <w:autoSpaceDE w:val="0"/>
              <w:autoSpaceDN w:val="0"/>
              <w:adjustRightInd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lang w:val="en-US" w:eastAsia="zh-CN"/>
              </w:rPr>
              <w:t>预测结果</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val="0"/>
                <w:bCs/>
                <w:color w:val="auto"/>
                <w:sz w:val="24"/>
                <w:lang w:val="en-US" w:eastAsia="zh-CN"/>
              </w:rPr>
            </w:pPr>
            <w:r>
              <w:rPr>
                <w:rFonts w:hint="default" w:ascii="Times New Roman" w:hAnsi="Times New Roman" w:eastAsia="宋体" w:cs="Times New Roman"/>
                <w:bCs/>
                <w:color w:val="auto"/>
                <w:sz w:val="24"/>
              </w:rPr>
              <w:t>结合项目车间平面布置图</w:t>
            </w:r>
            <w:r>
              <w:rPr>
                <w:rFonts w:hint="default" w:ascii="Times New Roman" w:hAnsi="Times New Roman" w:eastAsia="宋体" w:cs="Times New Roman"/>
                <w:b w:val="0"/>
                <w:bCs/>
                <w:color w:val="auto"/>
                <w:sz w:val="24"/>
              </w:rPr>
              <w:t>及项目所在区域的环境特征，采用上述公式进行预测，考虑采取减噪措施及距离衰减因素，</w:t>
            </w:r>
            <w:r>
              <w:rPr>
                <w:rFonts w:hint="default" w:ascii="Times New Roman" w:hAnsi="Times New Roman" w:eastAsia="宋体" w:cs="Times New Roman"/>
                <w:b w:val="0"/>
                <w:bCs/>
                <w:color w:val="auto"/>
                <w:sz w:val="24"/>
                <w:lang w:val="en-US" w:eastAsia="zh-CN"/>
              </w:rPr>
              <w:t>项目厂界噪声贡献值</w:t>
            </w:r>
            <w:r>
              <w:rPr>
                <w:rFonts w:hint="default" w:ascii="Times New Roman" w:hAnsi="Times New Roman" w:eastAsia="宋体" w:cs="Times New Roman"/>
                <w:b w:val="0"/>
                <w:bCs/>
                <w:color w:val="auto"/>
                <w:sz w:val="24"/>
              </w:rPr>
              <w:t>预测结果见</w:t>
            </w:r>
            <w:r>
              <w:rPr>
                <w:rFonts w:hint="default" w:ascii="Times New Roman" w:hAnsi="Times New Roman" w:eastAsia="宋体" w:cs="Times New Roman"/>
                <w:b w:val="0"/>
                <w:bCs/>
                <w:color w:val="auto"/>
                <w:sz w:val="24"/>
                <w:lang w:val="en-US"/>
              </w:rPr>
              <w:fldChar w:fldCharType="begin"/>
            </w:r>
            <w:r>
              <w:rPr>
                <w:rFonts w:hint="default" w:ascii="Times New Roman" w:hAnsi="Times New Roman" w:eastAsia="宋体" w:cs="Times New Roman"/>
                <w:b w:val="0"/>
                <w:bCs/>
                <w:color w:val="auto"/>
                <w:sz w:val="24"/>
                <w:lang w:val="en-US"/>
              </w:rPr>
              <w:instrText xml:space="preserve"> REF _Ref29998 \h </w:instrText>
            </w:r>
            <w:r>
              <w:rPr>
                <w:rFonts w:hint="default" w:ascii="Times New Roman" w:hAnsi="Times New Roman" w:eastAsia="宋体" w:cs="Times New Roman"/>
                <w:b w:val="0"/>
                <w:bCs/>
                <w:color w:val="auto"/>
                <w:sz w:val="24"/>
                <w:lang w:val="en-US"/>
              </w:rPr>
              <w:fldChar w:fldCharType="separate"/>
            </w:r>
            <w:r>
              <w:rPr>
                <w:rFonts w:hint="default" w:ascii="Times New Roman" w:hAnsi="Times New Roman" w:eastAsia="宋体" w:cs="Times New Roman"/>
                <w:color w:val="auto"/>
              </w:rPr>
              <w:t>表4- 21</w:t>
            </w:r>
            <w:r>
              <w:rPr>
                <w:rFonts w:hint="default" w:ascii="Times New Roman" w:hAnsi="Times New Roman" w:eastAsia="宋体" w:cs="Times New Roman"/>
                <w:b w:val="0"/>
                <w:bCs/>
                <w:color w:val="auto"/>
                <w:sz w:val="24"/>
                <w:lang w:val="en-US"/>
              </w:rPr>
              <w:fldChar w:fldCharType="end"/>
            </w:r>
            <w:r>
              <w:rPr>
                <w:rFonts w:hint="default" w:ascii="Times New Roman" w:hAnsi="Times New Roman" w:eastAsia="宋体" w:cs="Times New Roman"/>
                <w:b w:val="0"/>
                <w:bCs/>
                <w:color w:val="auto"/>
                <w:sz w:val="24"/>
                <w:lang w:eastAsia="zh-CN"/>
              </w:rPr>
              <w:t>，</w:t>
            </w:r>
            <w:r>
              <w:rPr>
                <w:rFonts w:hint="default" w:ascii="Times New Roman" w:hAnsi="Times New Roman" w:eastAsia="宋体" w:cs="Times New Roman"/>
                <w:b w:val="0"/>
                <w:bCs/>
                <w:color w:val="auto"/>
                <w:sz w:val="24"/>
                <w:lang w:val="en-US" w:eastAsia="zh-CN"/>
              </w:rPr>
              <w:t>声环境保护目标预测结果见</w:t>
            </w:r>
            <w:r>
              <w:rPr>
                <w:rFonts w:hint="default" w:ascii="Times New Roman" w:hAnsi="Times New Roman" w:eastAsia="宋体" w:cs="Times New Roman"/>
                <w:b w:val="0"/>
                <w:bCs/>
                <w:color w:val="auto"/>
                <w:sz w:val="24"/>
                <w:lang w:val="en-US" w:eastAsia="zh-CN"/>
              </w:rPr>
              <w:fldChar w:fldCharType="begin"/>
            </w:r>
            <w:r>
              <w:rPr>
                <w:rFonts w:hint="default" w:ascii="Times New Roman" w:hAnsi="Times New Roman" w:eastAsia="宋体" w:cs="Times New Roman"/>
                <w:b w:val="0"/>
                <w:bCs/>
                <w:color w:val="auto"/>
                <w:sz w:val="24"/>
                <w:lang w:val="en-US" w:eastAsia="zh-CN"/>
              </w:rPr>
              <w:instrText xml:space="preserve"> REF _Ref3231 \h </w:instrText>
            </w:r>
            <w:r>
              <w:rPr>
                <w:rFonts w:hint="default" w:ascii="Times New Roman" w:hAnsi="Times New Roman" w:eastAsia="宋体" w:cs="Times New Roman"/>
                <w:b w:val="0"/>
                <w:bCs/>
                <w:color w:val="auto"/>
                <w:sz w:val="24"/>
                <w:lang w:val="en-US" w:eastAsia="zh-CN"/>
              </w:rPr>
              <w:fldChar w:fldCharType="separate"/>
            </w:r>
            <w:r>
              <w:rPr>
                <w:rFonts w:hint="default"/>
              </w:rPr>
              <w:t>表4- 22</w:t>
            </w:r>
            <w:r>
              <w:rPr>
                <w:rFonts w:hint="default" w:ascii="Times New Roman" w:hAnsi="Times New Roman" w:eastAsia="宋体" w:cs="Times New Roman"/>
                <w:b w:val="0"/>
                <w:bCs/>
                <w:color w:val="auto"/>
                <w:sz w:val="24"/>
                <w:lang w:val="en-US" w:eastAsia="zh-CN"/>
              </w:rPr>
              <w:fldChar w:fldCharType="end"/>
            </w:r>
          </w:p>
          <w:p>
            <w:pPr>
              <w:pStyle w:val="8"/>
              <w:keepNext w:val="0"/>
              <w:keepLines w:val="0"/>
              <w:suppressLineNumbers w:val="0"/>
              <w:adjustRightInd w:val="0"/>
              <w:snapToGrid w:val="0"/>
              <w:spacing w:beforeAutospacing="0" w:afterAutospacing="0"/>
              <w:ind w:left="0" w:right="0"/>
              <w:jc w:val="center"/>
              <w:rPr>
                <w:rFonts w:hint="default" w:ascii="Times New Roman" w:hAnsi="Times New Roman" w:eastAsia="宋体" w:cs="Times New Roman"/>
                <w:b/>
                <w:color w:val="auto"/>
                <w:sz w:val="24"/>
                <w:szCs w:val="24"/>
                <w:lang w:eastAsia="zh-CN"/>
              </w:rPr>
            </w:pPr>
            <w:bookmarkStart w:id="61" w:name="_Ref29998"/>
            <w:bookmarkStart w:id="62" w:name="_Ref5672"/>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21</w:t>
            </w:r>
            <w:r>
              <w:rPr>
                <w:rFonts w:hint="default" w:ascii="Times New Roman" w:hAnsi="Times New Roman" w:eastAsia="宋体" w:cs="Times New Roman"/>
                <w:color w:val="auto"/>
              </w:rPr>
              <w:fldChar w:fldCharType="end"/>
            </w:r>
            <w:bookmarkEnd w:id="61"/>
            <w:r>
              <w:rPr>
                <w:rFonts w:hint="default" w:ascii="Times New Roman" w:hAnsi="Times New Roman" w:eastAsia="宋体" w:cs="Times New Roman"/>
                <w:b/>
                <w:color w:val="auto"/>
                <w:sz w:val="24"/>
                <w:szCs w:val="24"/>
                <w:lang w:eastAsia="zh-CN"/>
              </w:rPr>
              <w:t>厂界噪声预测结果与达标分析表</w:t>
            </w:r>
          </w:p>
          <w:tbl>
            <w:tblPr>
              <w:tblStyle w:val="26"/>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8"/>
              <w:gridCol w:w="1039"/>
              <w:gridCol w:w="948"/>
              <w:gridCol w:w="1176"/>
              <w:gridCol w:w="1040"/>
              <w:gridCol w:w="1116"/>
              <w:gridCol w:w="1740"/>
              <w:gridCol w:w="8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78" w:type="dxa"/>
                  <w:vMerge w:val="restart"/>
                  <w:tcBorders>
                    <w:tl2br w:val="nil"/>
                    <w:tr2bl w:val="nil"/>
                  </w:tcBorders>
                  <w:vAlign w:val="center"/>
                </w:tcPr>
                <w:p>
                  <w:pPr>
                    <w:pStyle w:val="49"/>
                    <w:keepNext w:val="0"/>
                    <w:keepLines w:val="0"/>
                    <w:suppressLineNumbers w:val="0"/>
                    <w:spacing w:before="0" w:beforeAutospacing="0" w:after="0" w:afterAutospacing="0"/>
                    <w:ind w:left="0" w:right="0"/>
                    <w:jc w:val="center"/>
                    <w:rPr>
                      <w:rFonts w:hint="default"/>
                    </w:rPr>
                  </w:pPr>
                  <w:r>
                    <w:rPr>
                      <w:rFonts w:hint="default"/>
                    </w:rPr>
                    <w:t>预测方位</w:t>
                  </w:r>
                </w:p>
              </w:tc>
              <w:tc>
                <w:tcPr>
                  <w:tcW w:w="3163" w:type="dxa"/>
                  <w:gridSpan w:val="3"/>
                  <w:tcBorders>
                    <w:tl2br w:val="nil"/>
                    <w:tr2bl w:val="nil"/>
                  </w:tcBorders>
                  <w:vAlign w:val="center"/>
                </w:tcPr>
                <w:p>
                  <w:pPr>
                    <w:pStyle w:val="49"/>
                    <w:keepNext w:val="0"/>
                    <w:keepLines w:val="0"/>
                    <w:suppressLineNumbers w:val="0"/>
                    <w:spacing w:before="0" w:beforeAutospacing="0" w:after="0" w:afterAutospacing="0"/>
                    <w:ind w:left="0" w:right="0"/>
                    <w:jc w:val="center"/>
                    <w:rPr>
                      <w:rFonts w:hint="default"/>
                    </w:rPr>
                  </w:pPr>
                  <w:r>
                    <w:rPr>
                      <w:rFonts w:hint="eastAsia"/>
                      <w:lang w:val="en-US" w:eastAsia="zh-CN"/>
                    </w:rPr>
                    <w:t>最大值点</w:t>
                  </w:r>
                  <w:r>
                    <w:rPr>
                      <w:rFonts w:hint="default"/>
                    </w:rPr>
                    <w:t>空间相对位置/m</w:t>
                  </w:r>
                </w:p>
              </w:tc>
              <w:tc>
                <w:tcPr>
                  <w:tcW w:w="1040" w:type="dxa"/>
                  <w:vMerge w:val="restart"/>
                  <w:tcBorders>
                    <w:tl2br w:val="nil"/>
                    <w:tr2bl w:val="nil"/>
                  </w:tcBorders>
                  <w:vAlign w:val="center"/>
                </w:tcPr>
                <w:p>
                  <w:pPr>
                    <w:pStyle w:val="49"/>
                    <w:keepNext w:val="0"/>
                    <w:keepLines w:val="0"/>
                    <w:suppressLineNumbers w:val="0"/>
                    <w:spacing w:before="0" w:beforeAutospacing="0" w:after="0" w:afterAutospacing="0"/>
                    <w:ind w:left="0" w:right="0"/>
                    <w:jc w:val="center"/>
                    <w:rPr>
                      <w:rFonts w:hint="default"/>
                    </w:rPr>
                  </w:pPr>
                  <w:r>
                    <w:rPr>
                      <w:rFonts w:hint="default"/>
                    </w:rPr>
                    <w:t>时段</w:t>
                  </w:r>
                </w:p>
              </w:tc>
              <w:tc>
                <w:tcPr>
                  <w:tcW w:w="1116" w:type="dxa"/>
                  <w:vMerge w:val="restart"/>
                  <w:tcBorders>
                    <w:tl2br w:val="nil"/>
                    <w:tr2bl w:val="nil"/>
                  </w:tcBorders>
                  <w:vAlign w:val="center"/>
                </w:tcPr>
                <w:p>
                  <w:pPr>
                    <w:pStyle w:val="49"/>
                    <w:keepNext w:val="0"/>
                    <w:keepLines w:val="0"/>
                    <w:suppressLineNumbers w:val="0"/>
                    <w:spacing w:before="0" w:beforeAutospacing="0" w:after="0" w:afterAutospacing="0"/>
                    <w:ind w:left="0" w:right="0"/>
                    <w:jc w:val="center"/>
                    <w:rPr>
                      <w:rFonts w:hint="default"/>
                    </w:rPr>
                  </w:pPr>
                  <w:r>
                    <w:rPr>
                      <w:rFonts w:hint="eastAsia"/>
                    </w:rPr>
                    <w:t>贡献值</w:t>
                  </w:r>
                  <w:r>
                    <w:rPr>
                      <w:rFonts w:hint="default"/>
                    </w:rPr>
                    <w:t>（dB(A)）</w:t>
                  </w:r>
                </w:p>
              </w:tc>
              <w:tc>
                <w:tcPr>
                  <w:tcW w:w="1740" w:type="dxa"/>
                  <w:vMerge w:val="restart"/>
                  <w:tcBorders>
                    <w:tl2br w:val="nil"/>
                    <w:tr2bl w:val="nil"/>
                  </w:tcBorders>
                  <w:vAlign w:val="center"/>
                </w:tcPr>
                <w:p>
                  <w:pPr>
                    <w:pStyle w:val="49"/>
                    <w:keepNext w:val="0"/>
                    <w:keepLines w:val="0"/>
                    <w:suppressLineNumbers w:val="0"/>
                    <w:spacing w:before="0" w:beforeAutospacing="0" w:after="0" w:afterAutospacing="0"/>
                    <w:ind w:left="0" w:right="0"/>
                    <w:jc w:val="center"/>
                    <w:rPr>
                      <w:rFonts w:hint="default"/>
                    </w:rPr>
                  </w:pPr>
                  <w:r>
                    <w:rPr>
                      <w:rFonts w:hint="default"/>
                    </w:rPr>
                    <w:t>标准限值（dB(A)）</w:t>
                  </w:r>
                </w:p>
              </w:tc>
              <w:tc>
                <w:tcPr>
                  <w:tcW w:w="811" w:type="dxa"/>
                  <w:vMerge w:val="restart"/>
                  <w:tcBorders>
                    <w:tl2br w:val="nil"/>
                    <w:tr2bl w:val="nil"/>
                  </w:tcBorders>
                  <w:vAlign w:val="center"/>
                </w:tcPr>
                <w:p>
                  <w:pPr>
                    <w:pStyle w:val="49"/>
                    <w:keepNext w:val="0"/>
                    <w:keepLines w:val="0"/>
                    <w:suppressLineNumbers w:val="0"/>
                    <w:spacing w:before="0" w:beforeAutospacing="0" w:after="0" w:afterAutospacing="0"/>
                    <w:ind w:left="0" w:right="0"/>
                    <w:jc w:val="center"/>
                    <w:rPr>
                      <w:rFonts w:hint="default"/>
                    </w:rPr>
                  </w:pPr>
                  <w:r>
                    <w:rPr>
                      <w:rFonts w:hint="default"/>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8" w:type="dxa"/>
                  <w:vMerge w:val="continue"/>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jc w:val="center"/>
                    <w:rPr>
                      <w:rFonts w:hint="default"/>
                    </w:rPr>
                  </w:pPr>
                </w:p>
              </w:tc>
              <w:tc>
                <w:tcPr>
                  <w:tcW w:w="1039"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jc w:val="center"/>
                    <w:rPr>
                      <w:rFonts w:hint="default"/>
                    </w:rPr>
                  </w:pPr>
                  <w:r>
                    <w:rPr>
                      <w:rFonts w:hint="default"/>
                    </w:rPr>
                    <w:t>X</w:t>
                  </w:r>
                </w:p>
              </w:tc>
              <w:tc>
                <w:tcPr>
                  <w:tcW w:w="948"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jc w:val="center"/>
                    <w:rPr>
                      <w:rFonts w:hint="default"/>
                    </w:rPr>
                  </w:pPr>
                  <w:r>
                    <w:rPr>
                      <w:rFonts w:hint="default"/>
                    </w:rPr>
                    <w:t>Y</w:t>
                  </w:r>
                </w:p>
              </w:tc>
              <w:tc>
                <w:tcPr>
                  <w:tcW w:w="1176"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jc w:val="center"/>
                    <w:rPr>
                      <w:rFonts w:hint="default"/>
                    </w:rPr>
                  </w:pPr>
                  <w:r>
                    <w:rPr>
                      <w:rFonts w:hint="default"/>
                    </w:rPr>
                    <w:t>Z</w:t>
                  </w:r>
                </w:p>
              </w:tc>
              <w:tc>
                <w:tcPr>
                  <w:tcW w:w="1040" w:type="dxa"/>
                  <w:vMerge w:val="continue"/>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jc w:val="center"/>
                    <w:rPr>
                      <w:rFonts w:hint="default"/>
                    </w:rPr>
                  </w:pPr>
                </w:p>
              </w:tc>
              <w:tc>
                <w:tcPr>
                  <w:tcW w:w="1116" w:type="dxa"/>
                  <w:vMerge w:val="continue"/>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jc w:val="center"/>
                    <w:rPr>
                      <w:rFonts w:hint="default"/>
                    </w:rPr>
                  </w:pPr>
                </w:p>
              </w:tc>
              <w:tc>
                <w:tcPr>
                  <w:tcW w:w="1740" w:type="dxa"/>
                  <w:vMerge w:val="continue"/>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jc w:val="center"/>
                    <w:rPr>
                      <w:rFonts w:hint="default"/>
                    </w:rPr>
                  </w:pPr>
                </w:p>
              </w:tc>
              <w:tc>
                <w:tcPr>
                  <w:tcW w:w="811" w:type="dxa"/>
                  <w:vMerge w:val="continue"/>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jc w:val="center"/>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978"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东侧</w:t>
                  </w:r>
                </w:p>
              </w:tc>
              <w:tc>
                <w:tcPr>
                  <w:tcW w:w="1039"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11.6</w:t>
                  </w:r>
                </w:p>
              </w:tc>
              <w:tc>
                <w:tcPr>
                  <w:tcW w:w="948"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11.1</w:t>
                  </w:r>
                </w:p>
              </w:tc>
              <w:tc>
                <w:tcPr>
                  <w:tcW w:w="1176"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1.2</w:t>
                  </w:r>
                </w:p>
              </w:tc>
              <w:tc>
                <w:tcPr>
                  <w:tcW w:w="1040"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昼间</w:t>
                  </w:r>
                </w:p>
              </w:tc>
              <w:tc>
                <w:tcPr>
                  <w:tcW w:w="1116"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55.2</w:t>
                  </w:r>
                </w:p>
              </w:tc>
              <w:tc>
                <w:tcPr>
                  <w:tcW w:w="1740"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60</w:t>
                  </w:r>
                </w:p>
              </w:tc>
              <w:tc>
                <w:tcPr>
                  <w:tcW w:w="811"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978"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南侧</w:t>
                  </w:r>
                </w:p>
              </w:tc>
              <w:tc>
                <w:tcPr>
                  <w:tcW w:w="1039"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-8.7</w:t>
                  </w:r>
                </w:p>
              </w:tc>
              <w:tc>
                <w:tcPr>
                  <w:tcW w:w="948"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-11.6</w:t>
                  </w:r>
                </w:p>
              </w:tc>
              <w:tc>
                <w:tcPr>
                  <w:tcW w:w="1176"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1.2</w:t>
                  </w:r>
                </w:p>
              </w:tc>
              <w:tc>
                <w:tcPr>
                  <w:tcW w:w="1040"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昼间</w:t>
                  </w:r>
                </w:p>
              </w:tc>
              <w:tc>
                <w:tcPr>
                  <w:tcW w:w="1116"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54.5</w:t>
                  </w:r>
                </w:p>
              </w:tc>
              <w:tc>
                <w:tcPr>
                  <w:tcW w:w="1740"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60</w:t>
                  </w:r>
                </w:p>
              </w:tc>
              <w:tc>
                <w:tcPr>
                  <w:tcW w:w="811"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978"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西侧</w:t>
                  </w:r>
                </w:p>
              </w:tc>
              <w:tc>
                <w:tcPr>
                  <w:tcW w:w="1039"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-11.6</w:t>
                  </w:r>
                </w:p>
              </w:tc>
              <w:tc>
                <w:tcPr>
                  <w:tcW w:w="948"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-10.8</w:t>
                  </w:r>
                </w:p>
              </w:tc>
              <w:tc>
                <w:tcPr>
                  <w:tcW w:w="1176"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1.2</w:t>
                  </w:r>
                </w:p>
              </w:tc>
              <w:tc>
                <w:tcPr>
                  <w:tcW w:w="1040"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昼间</w:t>
                  </w:r>
                </w:p>
              </w:tc>
              <w:tc>
                <w:tcPr>
                  <w:tcW w:w="1116"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54.4</w:t>
                  </w:r>
                </w:p>
              </w:tc>
              <w:tc>
                <w:tcPr>
                  <w:tcW w:w="1740"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60</w:t>
                  </w:r>
                </w:p>
              </w:tc>
              <w:tc>
                <w:tcPr>
                  <w:tcW w:w="811"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978"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北侧</w:t>
                  </w:r>
                </w:p>
              </w:tc>
              <w:tc>
                <w:tcPr>
                  <w:tcW w:w="1039"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-0.1</w:t>
                  </w:r>
                </w:p>
              </w:tc>
              <w:tc>
                <w:tcPr>
                  <w:tcW w:w="948"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14</w:t>
                  </w:r>
                </w:p>
              </w:tc>
              <w:tc>
                <w:tcPr>
                  <w:tcW w:w="1176"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1.2</w:t>
                  </w:r>
                </w:p>
              </w:tc>
              <w:tc>
                <w:tcPr>
                  <w:tcW w:w="1040"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昼间</w:t>
                  </w:r>
                </w:p>
              </w:tc>
              <w:tc>
                <w:tcPr>
                  <w:tcW w:w="1116"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55.9</w:t>
                  </w:r>
                </w:p>
              </w:tc>
              <w:tc>
                <w:tcPr>
                  <w:tcW w:w="1740"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60</w:t>
                  </w:r>
                </w:p>
              </w:tc>
              <w:tc>
                <w:tcPr>
                  <w:tcW w:w="811" w:type="dxa"/>
                  <w:tcBorders>
                    <w:tl2br w:val="nil"/>
                    <w:tr2bl w:val="nil"/>
                  </w:tcBorders>
                  <w:shd w:val="clear" w:color="auto" w:fill="FFFFFF"/>
                  <w:vAlign w:val="center"/>
                </w:tcPr>
                <w:p>
                  <w:pPr>
                    <w:pStyle w:val="49"/>
                    <w:keepNext w:val="0"/>
                    <w:keepLines w:val="0"/>
                    <w:suppressLineNumbers w:val="0"/>
                    <w:spacing w:before="0" w:beforeAutospacing="0" w:after="0" w:afterAutospacing="0"/>
                    <w:ind w:left="0" w:right="0"/>
                    <w:rPr>
                      <w:rFonts w:hint="default"/>
                    </w:rPr>
                  </w:pPr>
                  <w:r>
                    <w:rPr>
                      <w:rFonts w:hint="default"/>
                    </w:rPr>
                    <w:t>达标</w:t>
                  </w:r>
                </w:p>
              </w:tc>
            </w:tr>
          </w:tbl>
          <w:p>
            <w:pPr>
              <w:pStyle w:val="57"/>
              <w:keepNext w:val="0"/>
              <w:keepLines w:val="0"/>
              <w:suppressLineNumbers w:val="0"/>
              <w:bidi w:val="0"/>
              <w:spacing w:before="0" w:beforeAutospacing="0" w:after="0" w:afterAutospacing="0"/>
              <w:ind w:left="0" w:leftChars="0" w:right="0" w:firstLine="0" w:firstLineChars="0"/>
              <w:rPr>
                <w:rFonts w:hint="default" w:ascii="Times New Roman" w:hAnsi="Times New Roman" w:eastAsia="宋体" w:cs="Times New Roman"/>
                <w:b w:val="0"/>
                <w:bCs w:val="0"/>
                <w:color w:val="auto"/>
                <w:sz w:val="21"/>
                <w:szCs w:val="21"/>
                <w:lang w:val="en-US" w:eastAsia="zh-CN"/>
              </w:rPr>
            </w:pPr>
          </w:p>
          <w:p>
            <w:pPr>
              <w:pStyle w:val="57"/>
              <w:keepNext w:val="0"/>
              <w:keepLines w:val="0"/>
              <w:suppressLineNumbers w:val="0"/>
              <w:bidi w:val="0"/>
              <w:spacing w:before="0" w:beforeAutospacing="0" w:after="0" w:afterAutospacing="0"/>
              <w:ind w:left="0" w:leftChars="0" w:right="0" w:firstLine="0" w:firstLineChars="0"/>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表中坐标以113.908783,23.169023为坐标原点，正东向为X轴正方向，正北向为Y轴正方向。</w:t>
            </w:r>
          </w:p>
          <w:bookmarkEnd w:id="62"/>
          <w:p>
            <w:pPr>
              <w:pStyle w:val="8"/>
              <w:keepNext w:val="0"/>
              <w:keepLines w:val="0"/>
              <w:suppressLineNumbers w:val="0"/>
              <w:bidi w:val="0"/>
              <w:spacing w:beforeAutospacing="0" w:afterAutospacing="0"/>
              <w:ind w:left="0" w:right="0"/>
              <w:rPr>
                <w:rFonts w:hint="default" w:ascii="Times New Roman" w:hAnsi="Times New Roman" w:eastAsia="宋体" w:cs="Times New Roman"/>
                <w:color w:val="auto"/>
                <w:lang w:eastAsia="zh-CN"/>
              </w:rPr>
            </w:pPr>
            <w:bookmarkStart w:id="63" w:name="_Ref3231"/>
            <w:r>
              <w:rPr>
                <w:rFonts w:hint="default"/>
              </w:rPr>
              <w:t xml:space="preserve">表4- </w:t>
            </w:r>
            <w:r>
              <w:rPr>
                <w:rFonts w:hint="default"/>
              </w:rPr>
              <w:fldChar w:fldCharType="begin"/>
            </w:r>
            <w:r>
              <w:rPr>
                <w:rFonts w:hint="default"/>
              </w:rPr>
              <w:instrText xml:space="preserve"> SEQ 表4- \* ARABIC </w:instrText>
            </w:r>
            <w:r>
              <w:rPr>
                <w:rFonts w:hint="default"/>
              </w:rPr>
              <w:fldChar w:fldCharType="separate"/>
            </w:r>
            <w:r>
              <w:rPr>
                <w:rFonts w:hint="default"/>
              </w:rPr>
              <w:t>22</w:t>
            </w:r>
            <w:r>
              <w:rPr>
                <w:rFonts w:hint="default"/>
              </w:rPr>
              <w:fldChar w:fldCharType="end"/>
            </w:r>
            <w:bookmarkEnd w:id="63"/>
            <w:r>
              <w:rPr>
                <w:rFonts w:hint="default" w:ascii="Times New Roman" w:hAnsi="Times New Roman" w:eastAsia="宋体" w:cs="Times New Roman"/>
                <w:color w:val="auto"/>
                <w:lang w:eastAsia="zh-CN"/>
              </w:rPr>
              <w:t>工业企业声环境保护目标噪声预测结果与达标分析表</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9"/>
              <w:gridCol w:w="2328"/>
              <w:gridCol w:w="896"/>
              <w:gridCol w:w="911"/>
              <w:gridCol w:w="893"/>
              <w:gridCol w:w="896"/>
              <w:gridCol w:w="898"/>
              <w:gridCol w:w="898"/>
              <w:gridCol w:w="7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00" w:hRule="exact"/>
                <w:jc w:val="center"/>
              </w:trPr>
              <w:tc>
                <w:tcPr>
                  <w:tcW w:w="383"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bookmarkStart w:id="64" w:name="PT_8"/>
                  <w:r>
                    <w:rPr>
                      <w:rFonts w:hint="default" w:ascii="Times New Roman" w:hAnsi="Times New Roman" w:eastAsia="宋体" w:cs="Times New Roman"/>
                      <w:b/>
                      <w:bCs/>
                      <w:color w:val="auto"/>
                    </w:rPr>
                    <w:t>序号</w:t>
                  </w:r>
                </w:p>
              </w:tc>
              <w:tc>
                <w:tcPr>
                  <w:tcW w:w="1275" w:type="pct"/>
                  <w:vMerge w:val="restar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声环境保护目标名称</w:t>
                  </w:r>
                </w:p>
              </w:tc>
              <w:tc>
                <w:tcPr>
                  <w:tcW w:w="491"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噪声背景值/dB(A)</w:t>
                  </w:r>
                </w:p>
              </w:tc>
              <w:tc>
                <w:tcPr>
                  <w:tcW w:w="49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噪声现状值/dB(A)</w:t>
                  </w:r>
                </w:p>
              </w:tc>
              <w:tc>
                <w:tcPr>
                  <w:tcW w:w="489"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噪声标准/dB(A)</w:t>
                  </w:r>
                </w:p>
              </w:tc>
              <w:tc>
                <w:tcPr>
                  <w:tcW w:w="491"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噪声贡献值/dB(A)</w:t>
                  </w:r>
                </w:p>
              </w:tc>
              <w:tc>
                <w:tcPr>
                  <w:tcW w:w="492"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噪声预测值/dB(A)</w:t>
                  </w:r>
                </w:p>
              </w:tc>
              <w:tc>
                <w:tcPr>
                  <w:tcW w:w="492"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较现状增量/dB(A)</w:t>
                  </w:r>
                </w:p>
              </w:tc>
              <w:tc>
                <w:tcPr>
                  <w:tcW w:w="385" w:type="pct"/>
                  <w:tcBorders>
                    <w:tl2br w:val="nil"/>
                    <w:tr2bl w:val="nil"/>
                  </w:tcBorders>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超标和达标情况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3"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p>
              </w:tc>
              <w:tc>
                <w:tcPr>
                  <w:tcW w:w="1275" w:type="pct"/>
                  <w:vMerge w:val="continue"/>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p>
              </w:tc>
              <w:tc>
                <w:tcPr>
                  <w:tcW w:w="491"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昼间</w:t>
                  </w:r>
                </w:p>
              </w:tc>
              <w:tc>
                <w:tcPr>
                  <w:tcW w:w="499"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昼间</w:t>
                  </w:r>
                </w:p>
              </w:tc>
              <w:tc>
                <w:tcPr>
                  <w:tcW w:w="489"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昼间</w:t>
                  </w:r>
                </w:p>
              </w:tc>
              <w:tc>
                <w:tcPr>
                  <w:tcW w:w="491"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昼间</w:t>
                  </w:r>
                </w:p>
              </w:tc>
              <w:tc>
                <w:tcPr>
                  <w:tcW w:w="492"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昼间</w:t>
                  </w:r>
                </w:p>
              </w:tc>
              <w:tc>
                <w:tcPr>
                  <w:tcW w:w="492"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昼间</w:t>
                  </w:r>
                </w:p>
              </w:tc>
              <w:tc>
                <w:tcPr>
                  <w:tcW w:w="385"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昼间</w:t>
                  </w:r>
                </w:p>
                <w:bookmarkEnd w:id="64"/>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jc w:val="center"/>
              </w:trPr>
              <w:tc>
                <w:tcPr>
                  <w:tcW w:w="383"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1</w:t>
                  </w:r>
                </w:p>
              </w:tc>
              <w:tc>
                <w:tcPr>
                  <w:tcW w:w="1275"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东侧居民区</w:t>
                  </w:r>
                </w:p>
              </w:tc>
              <w:tc>
                <w:tcPr>
                  <w:tcW w:w="491"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55</w:t>
                  </w:r>
                </w:p>
              </w:tc>
              <w:tc>
                <w:tcPr>
                  <w:tcW w:w="499"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55</w:t>
                  </w:r>
                </w:p>
              </w:tc>
              <w:tc>
                <w:tcPr>
                  <w:tcW w:w="489"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60</w:t>
                  </w:r>
                </w:p>
              </w:tc>
              <w:tc>
                <w:tcPr>
                  <w:tcW w:w="491"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35.6</w:t>
                  </w:r>
                </w:p>
              </w:tc>
              <w:tc>
                <w:tcPr>
                  <w:tcW w:w="492"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55.0</w:t>
                  </w:r>
                </w:p>
              </w:tc>
              <w:tc>
                <w:tcPr>
                  <w:tcW w:w="492"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0.0</w:t>
                  </w:r>
                </w:p>
              </w:tc>
              <w:tc>
                <w:tcPr>
                  <w:tcW w:w="385" w:type="pct"/>
                  <w:tcBorders>
                    <w:tl2br w:val="nil"/>
                    <w:tr2bl w:val="nil"/>
                  </w:tcBorders>
                  <w:shd w:val="clear" w:color="auto" w:fill="FFFFFF"/>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达标</w:t>
                  </w:r>
                </w:p>
              </w:tc>
            </w:tr>
          </w:tbl>
          <w:p>
            <w:pPr>
              <w:pStyle w:val="83"/>
              <w:keepNext w:val="0"/>
              <w:keepLines w:val="0"/>
              <w:suppressLineNumbers w:val="0"/>
              <w:adjustRightInd w:val="0"/>
              <w:snapToGrid w:val="0"/>
              <w:spacing w:before="0" w:beforeAutospacing="0" w:after="0" w:afterAutospacing="0"/>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根据预测结果可知，经上述措施治理后，可以大大减轻生产噪声对周围环境的影响，项目</w:t>
            </w:r>
            <w:r>
              <w:rPr>
                <w:rFonts w:hint="default" w:ascii="Times New Roman" w:hAnsi="Times New Roman" w:eastAsia="宋体" w:cs="Times New Roman"/>
                <w:color w:val="auto"/>
                <w:sz w:val="24"/>
                <w:lang w:val="en-US" w:eastAsia="zh-CN"/>
              </w:rPr>
              <w:t>各</w:t>
            </w:r>
            <w:r>
              <w:rPr>
                <w:rFonts w:hint="default" w:ascii="Times New Roman" w:hAnsi="Times New Roman" w:eastAsia="宋体" w:cs="Times New Roman"/>
                <w:color w:val="auto"/>
                <w:sz w:val="24"/>
              </w:rPr>
              <w:t>厂界噪声能符合《工业企业厂界环境噪声排放标准》（GB12348-2008）2类标准。项目声环境保护目标噪声满足《声环境质量标准》(GB3096-2008)</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类标准</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项目正常运营时对周围声环境质量不会造成明显不利影响。</w:t>
            </w:r>
          </w:p>
          <w:p>
            <w:pPr>
              <w:keepNext w:val="0"/>
              <w:keepLines w:val="0"/>
              <w:numPr>
                <w:ilvl w:val="0"/>
                <w:numId w:val="25"/>
              </w:numPr>
              <w:suppressLineNumbers w:val="0"/>
              <w:spacing w:before="0" w:beforeAutospacing="0" w:after="0" w:afterAutospacing="0"/>
              <w:ind w:right="0" w:firstLine="397" w:firstLineChars="0"/>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sz w:val="24"/>
                <w:lang w:eastAsia="zh-CN"/>
              </w:rPr>
              <w:t>监测计划</w:t>
            </w:r>
          </w:p>
          <w:p>
            <w:pPr>
              <w:keepNext w:val="0"/>
              <w:keepLines w:val="0"/>
              <w:widowControl/>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根据《排污单位自行监测技术指南 总则》（HJ819-2017）</w:t>
            </w:r>
            <w:r>
              <w:rPr>
                <w:rFonts w:hint="default" w:ascii="Times New Roman" w:hAnsi="Times New Roman" w:eastAsia="宋体" w:cs="Times New Roman"/>
                <w:color w:val="auto"/>
                <w:sz w:val="24"/>
                <w:lang w:val="en-US" w:eastAsia="zh-CN"/>
              </w:rPr>
              <w:t>和《排污许可证申请与核发技术规范 铁路、船舶、航空航天和其他运输设备制造业》（HJ 1124—2020）附录A</w:t>
            </w:r>
            <w:r>
              <w:rPr>
                <w:rFonts w:hint="default" w:ascii="Times New Roman" w:hAnsi="Times New Roman" w:eastAsia="宋体" w:cs="Times New Roman"/>
                <w:color w:val="auto"/>
                <w:sz w:val="24"/>
              </w:rPr>
              <w:t>，制定本项目噪声监测计划如</w:t>
            </w: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REF _Ref19874 \h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rPr>
              <w:t>表4- 23</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b/>
                <w:color w:val="auto"/>
                <w:kern w:val="0"/>
              </w:rPr>
            </w:pPr>
            <w:bookmarkStart w:id="65" w:name="_Ref19874"/>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23</w:t>
            </w:r>
            <w:r>
              <w:rPr>
                <w:rFonts w:hint="default" w:ascii="Times New Roman" w:hAnsi="Times New Roman" w:eastAsia="宋体" w:cs="Times New Roman"/>
                <w:color w:val="auto"/>
              </w:rPr>
              <w:fldChar w:fldCharType="end"/>
            </w:r>
            <w:bookmarkEnd w:id="65"/>
            <w:r>
              <w:rPr>
                <w:rFonts w:hint="default" w:ascii="Times New Roman" w:hAnsi="Times New Roman" w:eastAsia="宋体" w:cs="Times New Roman"/>
                <w:b/>
                <w:color w:val="auto"/>
                <w:kern w:val="0"/>
              </w:rPr>
              <w:t>项目噪声监测计划</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1466"/>
              <w:gridCol w:w="2399"/>
              <w:gridCol w:w="37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0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类别</w:t>
                  </w:r>
                </w:p>
              </w:tc>
              <w:tc>
                <w:tcPr>
                  <w:tcW w:w="80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监测点位</w:t>
                  </w:r>
                </w:p>
              </w:tc>
              <w:tc>
                <w:tcPr>
                  <w:tcW w:w="131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监测内容</w:t>
                  </w:r>
                </w:p>
              </w:tc>
              <w:tc>
                <w:tcPr>
                  <w:tcW w:w="208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0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厂界噪声</w:t>
                  </w:r>
                </w:p>
              </w:tc>
              <w:tc>
                <w:tcPr>
                  <w:tcW w:w="80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厂界</w:t>
                  </w:r>
                </w:p>
              </w:tc>
              <w:tc>
                <w:tcPr>
                  <w:tcW w:w="131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等效连续A声级</w:t>
                  </w:r>
                </w:p>
              </w:tc>
              <w:tc>
                <w:tcPr>
                  <w:tcW w:w="208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1次/季度，监测昼间</w:t>
                  </w:r>
                </w:p>
              </w:tc>
            </w:tr>
          </w:tbl>
          <w:p>
            <w:pPr>
              <w:keepNext w:val="0"/>
              <w:keepLines w:val="0"/>
              <w:numPr>
                <w:ilvl w:val="0"/>
                <w:numId w:val="16"/>
              </w:numPr>
              <w:suppressLineNumbers w:val="0"/>
              <w:adjustRightInd w:val="0"/>
              <w:snapToGrid w:val="0"/>
              <w:spacing w:before="0" w:beforeAutospacing="0" w:after="0" w:afterAutospacing="0" w:line="360" w:lineRule="auto"/>
              <w:ind w:left="0" w:leftChars="0" w:right="0" w:firstLine="400"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固体废物</w:t>
            </w:r>
          </w:p>
          <w:p>
            <w:pPr>
              <w:keepNext w:val="0"/>
              <w:keepLines w:val="0"/>
              <w:numPr>
                <w:ilvl w:val="0"/>
                <w:numId w:val="28"/>
              </w:numPr>
              <w:suppressLineNumbers w:val="0"/>
              <w:adjustRightInd w:val="0"/>
              <w:snapToGrid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固体废物源强</w:t>
            </w:r>
          </w:p>
          <w:p>
            <w:pPr>
              <w:keepNext w:val="0"/>
              <w:keepLines w:val="0"/>
              <w:numPr>
                <w:ilvl w:val="0"/>
                <w:numId w:val="29"/>
              </w:numPr>
              <w:suppressLineNumbers w:val="0"/>
              <w:adjustRightInd w:val="0"/>
              <w:snapToGrid w:val="0"/>
              <w:spacing w:before="0" w:beforeAutospacing="0" w:after="0" w:afterAutospacing="0" w:line="360" w:lineRule="auto"/>
              <w:ind w:left="0"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一般工业固体废物</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铁料边角料：</w:t>
            </w:r>
            <w:r>
              <w:rPr>
                <w:rFonts w:hint="default" w:ascii="Times New Roman" w:hAnsi="Times New Roman" w:eastAsia="宋体" w:cs="Times New Roman"/>
                <w:b w:val="0"/>
                <w:bCs/>
                <w:color w:val="auto"/>
                <w:sz w:val="24"/>
                <w:lang w:val="en-US" w:eastAsia="zh-CN"/>
              </w:rPr>
              <w:t>项目钣金件生产过程会产生铁料边角料，产生率约为铁料使用量的1%，则产生量约为8.5t/a。</w:t>
            </w:r>
            <w:r>
              <w:rPr>
                <w:rFonts w:hint="default" w:ascii="Times New Roman" w:hAnsi="Times New Roman" w:eastAsia="宋体" w:cs="Times New Roman"/>
                <w:b w:val="0"/>
                <w:bCs/>
                <w:color w:val="auto"/>
                <w:sz w:val="24"/>
              </w:rPr>
              <w:t>为一般固体废物，根据《一般固体废物分类与代码》（GB/T 39198-2020），其一般固体废物代码为</w:t>
            </w:r>
            <w:r>
              <w:rPr>
                <w:rFonts w:hint="default" w:ascii="Times New Roman" w:hAnsi="Times New Roman" w:eastAsia="宋体" w:cs="Times New Roman"/>
                <w:b w:val="0"/>
                <w:bCs/>
                <w:color w:val="auto"/>
                <w:sz w:val="24"/>
                <w:lang w:val="en-US" w:eastAsia="zh-CN"/>
              </w:rPr>
              <w:t>331</w:t>
            </w:r>
            <w:r>
              <w:rPr>
                <w:rFonts w:hint="default" w:ascii="Times New Roman" w:hAnsi="Times New Roman" w:eastAsia="宋体" w:cs="Times New Roman"/>
                <w:b w:val="0"/>
                <w:bCs/>
                <w:color w:val="auto"/>
                <w:sz w:val="24"/>
              </w:rPr>
              <w:t>-00</w:t>
            </w:r>
            <w:r>
              <w:rPr>
                <w:rFonts w:hint="default" w:ascii="Times New Roman" w:hAnsi="Times New Roman" w:eastAsia="宋体" w:cs="Times New Roman"/>
                <w:b w:val="0"/>
                <w:bCs/>
                <w:color w:val="auto"/>
                <w:sz w:val="24"/>
                <w:lang w:val="en-US" w:eastAsia="zh-CN"/>
              </w:rPr>
              <w:t>1</w:t>
            </w:r>
            <w:r>
              <w:rPr>
                <w:rFonts w:hint="default" w:ascii="Times New Roman" w:hAnsi="Times New Roman" w:eastAsia="宋体" w:cs="Times New Roman"/>
                <w:b w:val="0"/>
                <w:bCs/>
                <w:color w:val="auto"/>
                <w:sz w:val="24"/>
              </w:rPr>
              <w:t>-</w:t>
            </w:r>
            <w:r>
              <w:rPr>
                <w:rFonts w:hint="default" w:ascii="Times New Roman" w:hAnsi="Times New Roman" w:eastAsia="宋体" w:cs="Times New Roman"/>
                <w:b w:val="0"/>
                <w:bCs/>
                <w:color w:val="auto"/>
                <w:sz w:val="24"/>
                <w:lang w:val="en-US" w:eastAsia="zh-CN"/>
              </w:rPr>
              <w:t>09</w:t>
            </w:r>
            <w:r>
              <w:rPr>
                <w:rFonts w:hint="default" w:ascii="Times New Roman" w:hAnsi="Times New Roman" w:eastAsia="宋体" w:cs="Times New Roman"/>
                <w:b w:val="0"/>
                <w:bCs/>
                <w:color w:val="auto"/>
                <w:sz w:val="24"/>
              </w:rPr>
              <w:t>，交专业公司回收处理。</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铝料边角料：</w:t>
            </w:r>
            <w:r>
              <w:rPr>
                <w:rFonts w:hint="default" w:ascii="Times New Roman" w:hAnsi="Times New Roman" w:eastAsia="宋体" w:cs="Times New Roman"/>
                <w:b w:val="0"/>
                <w:bCs/>
                <w:color w:val="auto"/>
                <w:sz w:val="24"/>
                <w:lang w:val="en-US" w:eastAsia="zh-CN"/>
              </w:rPr>
              <w:t>项目灯饰配件生产过程会产生铝料边角料，产生率约为铝料使用量的1%，则产生量约为</w:t>
            </w:r>
            <w:r>
              <w:rPr>
                <w:rFonts w:hint="eastAsia" w:cs="Times New Roman"/>
                <w:b w:val="0"/>
                <w:bCs/>
                <w:color w:val="auto"/>
                <w:sz w:val="24"/>
                <w:lang w:val="en-US" w:eastAsia="zh-CN"/>
              </w:rPr>
              <w:t>1.2</w:t>
            </w:r>
            <w:r>
              <w:rPr>
                <w:rFonts w:hint="default" w:ascii="Times New Roman" w:hAnsi="Times New Roman" w:eastAsia="宋体" w:cs="Times New Roman"/>
                <w:b w:val="0"/>
                <w:bCs/>
                <w:color w:val="auto"/>
                <w:sz w:val="24"/>
                <w:lang w:val="en-US" w:eastAsia="zh-CN"/>
              </w:rPr>
              <w:t>5t/a。</w:t>
            </w:r>
            <w:r>
              <w:rPr>
                <w:rFonts w:hint="default" w:ascii="Times New Roman" w:hAnsi="Times New Roman" w:eastAsia="宋体" w:cs="Times New Roman"/>
                <w:b w:val="0"/>
                <w:bCs/>
                <w:color w:val="auto"/>
                <w:sz w:val="24"/>
              </w:rPr>
              <w:t>为一般固体废物，根据《一般固体废物分类与代码》（GB/T 39198-2020），其一般固体废物代码为</w:t>
            </w:r>
            <w:r>
              <w:rPr>
                <w:rFonts w:hint="default" w:ascii="Times New Roman" w:hAnsi="Times New Roman" w:eastAsia="宋体" w:cs="Times New Roman"/>
                <w:b w:val="0"/>
                <w:bCs/>
                <w:color w:val="auto"/>
                <w:sz w:val="24"/>
                <w:lang w:val="en-US" w:eastAsia="zh-CN"/>
              </w:rPr>
              <w:t>335</w:t>
            </w:r>
            <w:r>
              <w:rPr>
                <w:rFonts w:hint="default" w:ascii="Times New Roman" w:hAnsi="Times New Roman" w:eastAsia="宋体" w:cs="Times New Roman"/>
                <w:b w:val="0"/>
                <w:bCs/>
                <w:color w:val="auto"/>
                <w:sz w:val="24"/>
              </w:rPr>
              <w:t>-00</w:t>
            </w:r>
            <w:r>
              <w:rPr>
                <w:rFonts w:hint="default" w:ascii="Times New Roman" w:hAnsi="Times New Roman" w:eastAsia="宋体" w:cs="Times New Roman"/>
                <w:b w:val="0"/>
                <w:bCs/>
                <w:color w:val="auto"/>
                <w:sz w:val="24"/>
                <w:lang w:val="en-US" w:eastAsia="zh-CN"/>
              </w:rPr>
              <w:t>1</w:t>
            </w:r>
            <w:r>
              <w:rPr>
                <w:rFonts w:hint="default" w:ascii="Times New Roman" w:hAnsi="Times New Roman" w:eastAsia="宋体" w:cs="Times New Roman"/>
                <w:b w:val="0"/>
                <w:bCs/>
                <w:color w:val="auto"/>
                <w:sz w:val="24"/>
              </w:rPr>
              <w:t>-</w:t>
            </w:r>
            <w:r>
              <w:rPr>
                <w:rFonts w:hint="default" w:ascii="Times New Roman" w:hAnsi="Times New Roman" w:eastAsia="宋体" w:cs="Times New Roman"/>
                <w:b w:val="0"/>
                <w:bCs/>
                <w:color w:val="auto"/>
                <w:sz w:val="24"/>
                <w:lang w:val="en-US" w:eastAsia="zh-CN"/>
              </w:rPr>
              <w:t>10</w:t>
            </w:r>
            <w:r>
              <w:rPr>
                <w:rFonts w:hint="default" w:ascii="Times New Roman" w:hAnsi="Times New Roman" w:eastAsia="宋体" w:cs="Times New Roman"/>
                <w:b w:val="0"/>
                <w:bCs/>
                <w:color w:val="auto"/>
                <w:sz w:val="24"/>
              </w:rPr>
              <w:t>，交专业公司回收处理。</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滤筒除尘器收集的粉尘</w:t>
            </w:r>
            <w:r>
              <w:rPr>
                <w:rFonts w:hint="default" w:ascii="Times New Roman" w:hAnsi="Times New Roman" w:eastAsia="宋体" w:cs="Times New Roman"/>
                <w:b/>
                <w:color w:val="auto"/>
                <w:sz w:val="24"/>
              </w:rPr>
              <w:t>：</w:t>
            </w:r>
            <w:r>
              <w:rPr>
                <w:rFonts w:hint="default" w:ascii="Times New Roman" w:hAnsi="Times New Roman" w:eastAsia="宋体" w:cs="Times New Roman"/>
                <w:bCs/>
                <w:color w:val="auto"/>
                <w:sz w:val="24"/>
                <w:lang w:val="en-US" w:eastAsia="zh-CN"/>
              </w:rPr>
              <w:t>项目喷砂和喷粉过程中产生的颗粒物处理过程收集的粉尘，一段时间后需要清理，</w:t>
            </w:r>
            <w:r>
              <w:rPr>
                <w:rFonts w:hint="default" w:ascii="Times New Roman" w:hAnsi="Times New Roman" w:eastAsia="宋体" w:cs="Times New Roman"/>
                <w:color w:val="auto"/>
                <w:sz w:val="24"/>
              </w:rPr>
              <w:t>产生量约为</w:t>
            </w:r>
            <w:r>
              <w:rPr>
                <w:rFonts w:hint="default" w:ascii="Times New Roman" w:hAnsi="Times New Roman" w:eastAsia="宋体" w:cs="Times New Roman"/>
                <w:color w:val="auto"/>
                <w:sz w:val="24"/>
                <w:lang w:val="en-US" w:eastAsia="zh-CN"/>
              </w:rPr>
              <w:t>17.057</w:t>
            </w:r>
            <w:r>
              <w:rPr>
                <w:rFonts w:hint="default" w:ascii="Times New Roman" w:hAnsi="Times New Roman" w:eastAsia="宋体" w:cs="Times New Roman"/>
                <w:color w:val="auto"/>
                <w:sz w:val="24"/>
              </w:rPr>
              <w:t>t/a。为一般固体废物，根据《一般固体废物分类与代码》（GB/T 39198-2020），其一般固体废物代码为</w:t>
            </w:r>
            <w:r>
              <w:rPr>
                <w:rFonts w:hint="default" w:ascii="Times New Roman" w:hAnsi="Times New Roman" w:eastAsia="宋体" w:cs="Times New Roman"/>
                <w:color w:val="auto"/>
                <w:sz w:val="24"/>
                <w:lang w:val="en-US" w:eastAsia="zh-CN"/>
              </w:rPr>
              <w:t>331</w:t>
            </w:r>
            <w:r>
              <w:rPr>
                <w:rFonts w:hint="default" w:ascii="Times New Roman" w:hAnsi="Times New Roman" w:eastAsia="宋体" w:cs="Times New Roman"/>
                <w:color w:val="auto"/>
                <w:sz w:val="24"/>
              </w:rPr>
              <w:t>-00</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66</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收集后回用于喷砂或喷粉</w:t>
            </w:r>
            <w:r>
              <w:rPr>
                <w:rFonts w:hint="default" w:ascii="Times New Roman" w:hAnsi="Times New Roman" w:eastAsia="宋体" w:cs="Times New Roman"/>
                <w:color w:val="auto"/>
                <w:sz w:val="24"/>
              </w:rPr>
              <w:t>。</w:t>
            </w:r>
          </w:p>
          <w:p>
            <w:pPr>
              <w:keepNext w:val="0"/>
              <w:keepLines w:val="0"/>
              <w:suppressLineNumbers w:val="0"/>
              <w:spacing w:before="0" w:beforeAutospacing="0" w:after="0" w:afterAutospacing="0"/>
              <w:ind w:left="0" w:right="0" w:firstLine="482" w:firstLineChars="200"/>
              <w:rPr>
                <w:rFonts w:hint="default" w:ascii="Times New Roman" w:hAnsi="Times New Roman" w:eastAsia="宋体" w:cs="Times New Roman"/>
                <w:b w:val="0"/>
                <w:bCs/>
                <w:color w:val="auto"/>
                <w:sz w:val="24"/>
              </w:rPr>
            </w:pPr>
            <w:r>
              <w:rPr>
                <w:rFonts w:hint="default" w:ascii="Times New Roman" w:hAnsi="Times New Roman" w:eastAsia="宋体" w:cs="Times New Roman"/>
                <w:b/>
                <w:bCs w:val="0"/>
                <w:color w:val="auto"/>
                <w:sz w:val="24"/>
                <w:lang w:val="en-US" w:eastAsia="zh-CN"/>
              </w:rPr>
              <w:t>废包装材料：</w:t>
            </w:r>
            <w:r>
              <w:rPr>
                <w:rFonts w:hint="default" w:ascii="Times New Roman" w:hAnsi="Times New Roman" w:eastAsia="宋体" w:cs="Times New Roman"/>
                <w:b w:val="0"/>
                <w:bCs/>
                <w:color w:val="auto"/>
                <w:sz w:val="24"/>
                <w:lang w:val="en-US" w:eastAsia="zh-CN"/>
              </w:rPr>
              <w:t>项目使用原料和包装成品会产生废包装材料，根据建设单位提供的资料，产生量约为0.2t/a。</w:t>
            </w:r>
            <w:r>
              <w:rPr>
                <w:rFonts w:hint="default" w:ascii="Times New Roman" w:hAnsi="Times New Roman" w:eastAsia="宋体" w:cs="Times New Roman"/>
                <w:b w:val="0"/>
                <w:bCs/>
                <w:color w:val="auto"/>
                <w:sz w:val="24"/>
              </w:rPr>
              <w:t>为一般固体废物，根据《一般固体废物分类与代码》（GB/T 39198-2020），其一般固体废物代码为</w:t>
            </w:r>
            <w:r>
              <w:rPr>
                <w:rFonts w:hint="default" w:ascii="Times New Roman" w:hAnsi="Times New Roman" w:eastAsia="宋体" w:cs="Times New Roman"/>
                <w:b w:val="0"/>
                <w:bCs/>
                <w:color w:val="auto"/>
                <w:sz w:val="24"/>
                <w:lang w:val="en-US" w:eastAsia="zh-CN"/>
              </w:rPr>
              <w:t>331-001-07</w:t>
            </w:r>
            <w:r>
              <w:rPr>
                <w:rFonts w:hint="default" w:ascii="Times New Roman" w:hAnsi="Times New Roman" w:eastAsia="宋体" w:cs="Times New Roman"/>
                <w:b w:val="0"/>
                <w:bCs/>
                <w:color w:val="auto"/>
                <w:sz w:val="24"/>
              </w:rPr>
              <w:t>，交专业公司回收处理。</w:t>
            </w:r>
          </w:p>
          <w:p>
            <w:pPr>
              <w:keepNext w:val="0"/>
              <w:keepLines w:val="0"/>
              <w:suppressLineNumbers w:val="0"/>
              <w:spacing w:before="0" w:beforeAutospacing="0" w:after="0" w:afterAutospacing="0"/>
              <w:ind w:left="0" w:right="0" w:firstLine="482" w:firstLineChars="200"/>
              <w:rPr>
                <w:rFonts w:hint="default" w:ascii="Times New Roman" w:hAnsi="Times New Roman" w:eastAsia="宋体" w:cs="Times New Roman"/>
                <w:b w:val="0"/>
                <w:bCs/>
                <w:color w:val="auto"/>
                <w:sz w:val="24"/>
              </w:rPr>
            </w:pPr>
            <w:r>
              <w:rPr>
                <w:rFonts w:hint="default" w:ascii="Times New Roman" w:hAnsi="Times New Roman" w:eastAsia="宋体" w:cs="Times New Roman"/>
                <w:b/>
                <w:bCs w:val="0"/>
                <w:color w:val="auto"/>
                <w:sz w:val="24"/>
                <w:lang w:val="en-US" w:eastAsia="zh-CN"/>
              </w:rPr>
              <w:t>钣金件次品：</w:t>
            </w:r>
            <w:r>
              <w:rPr>
                <w:rFonts w:hint="default" w:ascii="Times New Roman" w:hAnsi="Times New Roman" w:eastAsia="宋体" w:cs="Times New Roman"/>
                <w:b w:val="0"/>
                <w:bCs/>
                <w:color w:val="auto"/>
                <w:sz w:val="24"/>
                <w:lang w:val="en-US" w:eastAsia="zh-CN"/>
              </w:rPr>
              <w:t>项目钣金件生产过程质检会产生钣金件次品，产生量约为0.8t/a。</w:t>
            </w:r>
            <w:r>
              <w:rPr>
                <w:rFonts w:hint="default" w:ascii="Times New Roman" w:hAnsi="Times New Roman" w:eastAsia="宋体" w:cs="Times New Roman"/>
                <w:b w:val="0"/>
                <w:bCs/>
                <w:color w:val="auto"/>
                <w:sz w:val="24"/>
              </w:rPr>
              <w:t>为一般固体废物，根据《一般固体废物分类与代码》（GB/T 39198-2020），其一般固体废物代码为</w:t>
            </w:r>
            <w:r>
              <w:rPr>
                <w:rFonts w:hint="default" w:ascii="Times New Roman" w:hAnsi="Times New Roman" w:eastAsia="宋体" w:cs="Times New Roman"/>
                <w:b w:val="0"/>
                <w:bCs/>
                <w:color w:val="auto"/>
                <w:sz w:val="24"/>
                <w:lang w:val="en-US" w:eastAsia="zh-CN"/>
              </w:rPr>
              <w:t>331</w:t>
            </w:r>
            <w:r>
              <w:rPr>
                <w:rFonts w:hint="default" w:ascii="Times New Roman" w:hAnsi="Times New Roman" w:eastAsia="宋体" w:cs="Times New Roman"/>
                <w:b w:val="0"/>
                <w:bCs/>
                <w:color w:val="auto"/>
                <w:sz w:val="24"/>
              </w:rPr>
              <w:t>-00</w:t>
            </w:r>
            <w:r>
              <w:rPr>
                <w:rFonts w:hint="default" w:ascii="Times New Roman" w:hAnsi="Times New Roman" w:eastAsia="宋体" w:cs="Times New Roman"/>
                <w:b w:val="0"/>
                <w:bCs/>
                <w:color w:val="auto"/>
                <w:sz w:val="24"/>
                <w:lang w:val="en-US" w:eastAsia="zh-CN"/>
              </w:rPr>
              <w:t>1</w:t>
            </w:r>
            <w:r>
              <w:rPr>
                <w:rFonts w:hint="default" w:ascii="Times New Roman" w:hAnsi="Times New Roman" w:eastAsia="宋体" w:cs="Times New Roman"/>
                <w:b w:val="0"/>
                <w:bCs/>
                <w:color w:val="auto"/>
                <w:sz w:val="24"/>
              </w:rPr>
              <w:t>-</w:t>
            </w:r>
            <w:r>
              <w:rPr>
                <w:rFonts w:hint="default" w:ascii="Times New Roman" w:hAnsi="Times New Roman" w:eastAsia="宋体" w:cs="Times New Roman"/>
                <w:b w:val="0"/>
                <w:bCs/>
                <w:color w:val="auto"/>
                <w:sz w:val="24"/>
                <w:lang w:val="en-US" w:eastAsia="zh-CN"/>
              </w:rPr>
              <w:t>09</w:t>
            </w:r>
            <w:r>
              <w:rPr>
                <w:rFonts w:hint="default" w:ascii="Times New Roman" w:hAnsi="Times New Roman" w:eastAsia="宋体" w:cs="Times New Roman"/>
                <w:b w:val="0"/>
                <w:bCs/>
                <w:color w:val="auto"/>
                <w:sz w:val="24"/>
              </w:rPr>
              <w:t>，交专业公司回收处理。</w:t>
            </w:r>
          </w:p>
          <w:p>
            <w:pPr>
              <w:keepNext w:val="0"/>
              <w:keepLines w:val="0"/>
              <w:suppressLineNumbers w:val="0"/>
              <w:spacing w:before="0" w:beforeAutospacing="0" w:after="0" w:afterAutospacing="0"/>
              <w:ind w:left="0" w:right="0" w:firstLine="482" w:firstLineChars="200"/>
              <w:rPr>
                <w:rFonts w:hint="default" w:ascii="Times New Roman" w:hAnsi="Times New Roman" w:eastAsia="宋体" w:cs="Times New Roman"/>
                <w:b w:val="0"/>
                <w:bCs/>
                <w:color w:val="auto"/>
                <w:sz w:val="24"/>
              </w:rPr>
            </w:pPr>
            <w:r>
              <w:rPr>
                <w:rFonts w:hint="default" w:ascii="Times New Roman" w:hAnsi="Times New Roman" w:eastAsia="宋体" w:cs="Times New Roman"/>
                <w:b/>
                <w:bCs w:val="0"/>
                <w:color w:val="auto"/>
                <w:sz w:val="24"/>
                <w:lang w:val="en-US" w:eastAsia="zh-CN"/>
              </w:rPr>
              <w:t>灯饰配件次品：</w:t>
            </w:r>
            <w:r>
              <w:rPr>
                <w:rFonts w:hint="default" w:ascii="Times New Roman" w:hAnsi="Times New Roman" w:eastAsia="宋体" w:cs="Times New Roman"/>
                <w:b w:val="0"/>
                <w:bCs/>
                <w:color w:val="auto"/>
                <w:sz w:val="24"/>
                <w:lang w:val="en-US" w:eastAsia="zh-CN"/>
              </w:rPr>
              <w:t>项目灯饰配件生产过程质检会产生灯饰配件次品，产生量约为0.3t/a。</w:t>
            </w:r>
            <w:r>
              <w:rPr>
                <w:rFonts w:hint="default" w:ascii="Times New Roman" w:hAnsi="Times New Roman" w:eastAsia="宋体" w:cs="Times New Roman"/>
                <w:b w:val="0"/>
                <w:bCs/>
                <w:color w:val="auto"/>
                <w:sz w:val="24"/>
              </w:rPr>
              <w:t>为一般固体废物，根据《一般固体废物分类与代码》（GB/T 39198-2020），其一般固体废物代码为</w:t>
            </w:r>
            <w:r>
              <w:rPr>
                <w:rFonts w:hint="default" w:ascii="Times New Roman" w:hAnsi="Times New Roman" w:eastAsia="宋体" w:cs="Times New Roman"/>
                <w:b w:val="0"/>
                <w:bCs/>
                <w:color w:val="auto"/>
                <w:sz w:val="24"/>
                <w:lang w:val="en-US" w:eastAsia="zh-CN"/>
              </w:rPr>
              <w:t>335</w:t>
            </w:r>
            <w:r>
              <w:rPr>
                <w:rFonts w:hint="default" w:ascii="Times New Roman" w:hAnsi="Times New Roman" w:eastAsia="宋体" w:cs="Times New Roman"/>
                <w:b w:val="0"/>
                <w:bCs/>
                <w:color w:val="auto"/>
                <w:sz w:val="24"/>
              </w:rPr>
              <w:t>-00</w:t>
            </w:r>
            <w:r>
              <w:rPr>
                <w:rFonts w:hint="default" w:ascii="Times New Roman" w:hAnsi="Times New Roman" w:eastAsia="宋体" w:cs="Times New Roman"/>
                <w:b w:val="0"/>
                <w:bCs/>
                <w:color w:val="auto"/>
                <w:sz w:val="24"/>
                <w:lang w:val="en-US" w:eastAsia="zh-CN"/>
              </w:rPr>
              <w:t>1</w:t>
            </w:r>
            <w:r>
              <w:rPr>
                <w:rFonts w:hint="default" w:ascii="Times New Roman" w:hAnsi="Times New Roman" w:eastAsia="宋体" w:cs="Times New Roman"/>
                <w:b w:val="0"/>
                <w:bCs/>
                <w:color w:val="auto"/>
                <w:sz w:val="24"/>
              </w:rPr>
              <w:t>-</w:t>
            </w:r>
            <w:r>
              <w:rPr>
                <w:rFonts w:hint="default" w:ascii="Times New Roman" w:hAnsi="Times New Roman" w:eastAsia="宋体" w:cs="Times New Roman"/>
                <w:b w:val="0"/>
                <w:bCs/>
                <w:color w:val="auto"/>
                <w:sz w:val="24"/>
                <w:lang w:val="en-US" w:eastAsia="zh-CN"/>
              </w:rPr>
              <w:t>10</w:t>
            </w:r>
            <w:r>
              <w:rPr>
                <w:rFonts w:hint="default" w:ascii="Times New Roman" w:hAnsi="Times New Roman" w:eastAsia="宋体" w:cs="Times New Roman"/>
                <w:b w:val="0"/>
                <w:bCs/>
                <w:color w:val="auto"/>
                <w:sz w:val="24"/>
              </w:rPr>
              <w:t>，交专业公司回收处理。</w:t>
            </w:r>
          </w:p>
          <w:p>
            <w:pPr>
              <w:pStyle w:val="36"/>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val="en-US" w:eastAsia="zh-CN"/>
              </w:rPr>
              <w:t>散热器次品：</w:t>
            </w:r>
            <w:r>
              <w:rPr>
                <w:rFonts w:hint="default" w:ascii="Times New Roman" w:hAnsi="Times New Roman" w:eastAsia="宋体" w:cs="Times New Roman"/>
                <w:color w:val="auto"/>
                <w:lang w:val="en-US" w:eastAsia="zh-CN"/>
              </w:rPr>
              <w:t>项目散热器生产过程质检会产生散热器次品，产生量约为0.2t/a。为一般固体废物，根据《一般固体废物分类与代码》（GB/T 39198-2020），其一般固体废物代码为335-001-10，交专业公司回收处理。</w:t>
            </w:r>
          </w:p>
          <w:p>
            <w:pPr>
              <w:keepNext w:val="0"/>
              <w:keepLines w:val="0"/>
              <w:numPr>
                <w:ilvl w:val="0"/>
                <w:numId w:val="29"/>
              </w:numPr>
              <w:suppressLineNumbers w:val="0"/>
              <w:adjustRightInd w:val="0"/>
              <w:snapToGrid w:val="0"/>
              <w:spacing w:before="0" w:beforeAutospacing="0" w:after="0" w:afterAutospacing="0" w:line="360" w:lineRule="auto"/>
              <w:ind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危险废物</w:t>
            </w:r>
          </w:p>
          <w:p>
            <w:pPr>
              <w:keepNext w:val="0"/>
              <w:keepLines w:val="0"/>
              <w:numPr>
                <w:ilvl w:val="0"/>
                <w:numId w:val="30"/>
              </w:numPr>
              <w:suppressLineNumbers w:val="0"/>
              <w:adjustRightInd w:val="0"/>
              <w:snapToGrid w:val="0"/>
              <w:spacing w:before="0" w:beforeAutospacing="0" w:after="0" w:afterAutospacing="0" w:line="360" w:lineRule="auto"/>
              <w:ind w:left="0" w:leftChars="0" w:right="0" w:rightChars="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废</w:t>
            </w:r>
            <w:r>
              <w:rPr>
                <w:rFonts w:hint="default" w:ascii="Times New Roman" w:hAnsi="Times New Roman" w:eastAsia="宋体" w:cs="Times New Roman"/>
                <w:b/>
                <w:color w:val="auto"/>
                <w:sz w:val="24"/>
                <w:lang w:val="en-US" w:eastAsia="zh-CN"/>
              </w:rPr>
              <w:t>涂料包装</w:t>
            </w:r>
            <w:r>
              <w:rPr>
                <w:rFonts w:hint="default" w:ascii="Times New Roman" w:hAnsi="Times New Roman" w:eastAsia="宋体" w:cs="Times New Roman"/>
                <w:b/>
                <w:color w:val="auto"/>
                <w:sz w:val="24"/>
              </w:rPr>
              <w:t>桶</w:t>
            </w:r>
          </w:p>
          <w:p>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szCs w:val="28"/>
              </w:rPr>
            </w:pPr>
            <w:r>
              <w:rPr>
                <w:rFonts w:hint="default" w:ascii="Times New Roman" w:hAnsi="Times New Roman" w:eastAsia="宋体" w:cs="Times New Roman"/>
                <w:color w:val="auto"/>
                <w:sz w:val="24"/>
              </w:rPr>
              <w:t>项目生产过程中使用</w:t>
            </w:r>
            <w:r>
              <w:rPr>
                <w:rFonts w:hint="default" w:ascii="Times New Roman" w:hAnsi="Times New Roman" w:eastAsia="宋体" w:cs="Times New Roman"/>
                <w:color w:val="auto"/>
                <w:sz w:val="24"/>
                <w:lang w:val="en-US" w:eastAsia="zh-CN"/>
              </w:rPr>
              <w:t>粉末涂料、水性油漆等</w:t>
            </w:r>
            <w:r>
              <w:rPr>
                <w:rFonts w:hint="default" w:ascii="Times New Roman" w:hAnsi="Times New Roman" w:eastAsia="宋体" w:cs="Times New Roman"/>
                <w:color w:val="auto"/>
                <w:sz w:val="24"/>
              </w:rPr>
              <w:t>产生的废</w:t>
            </w:r>
            <w:r>
              <w:rPr>
                <w:rFonts w:hint="default" w:ascii="Times New Roman" w:hAnsi="Times New Roman" w:eastAsia="宋体" w:cs="Times New Roman"/>
                <w:color w:val="auto"/>
                <w:sz w:val="24"/>
                <w:lang w:val="en-US" w:eastAsia="zh-CN"/>
              </w:rPr>
              <w:t>涂料包装</w:t>
            </w:r>
            <w:r>
              <w:rPr>
                <w:rFonts w:hint="default" w:ascii="Times New Roman" w:hAnsi="Times New Roman" w:eastAsia="宋体" w:cs="Times New Roman"/>
                <w:color w:val="auto"/>
                <w:sz w:val="24"/>
              </w:rPr>
              <w:t>桶，根据《国家危险废物名录》（2021年版），</w:t>
            </w:r>
            <w:r>
              <w:rPr>
                <w:rFonts w:hint="default" w:ascii="Times New Roman" w:hAnsi="Times New Roman" w:eastAsia="宋体" w:cs="Times New Roman"/>
                <w:color w:val="auto"/>
                <w:sz w:val="24"/>
                <w:szCs w:val="28"/>
              </w:rPr>
              <w:t>属于危险废物（危废类别HW49，废物代码900-041-49），根据业主提供的资料，产生量为</w:t>
            </w:r>
            <w:r>
              <w:rPr>
                <w:rFonts w:hint="default" w:ascii="Times New Roman" w:hAnsi="Times New Roman" w:eastAsia="宋体" w:cs="Times New Roman"/>
                <w:color w:val="auto"/>
                <w:sz w:val="24"/>
                <w:szCs w:val="28"/>
                <w:lang w:val="en-US" w:eastAsia="zh-CN"/>
              </w:rPr>
              <w:t>1</w:t>
            </w:r>
            <w:r>
              <w:rPr>
                <w:rFonts w:hint="default" w:ascii="Times New Roman" w:hAnsi="Times New Roman" w:eastAsia="宋体" w:cs="Times New Roman"/>
                <w:color w:val="auto"/>
                <w:sz w:val="24"/>
                <w:szCs w:val="28"/>
              </w:rPr>
              <w:t>t/a</w:t>
            </w:r>
            <w:r>
              <w:rPr>
                <w:rFonts w:hint="default" w:ascii="Times New Roman" w:hAnsi="Times New Roman" w:eastAsia="宋体" w:cs="Times New Roman"/>
                <w:color w:val="auto"/>
                <w:sz w:val="24"/>
                <w:szCs w:val="28"/>
                <w:lang w:eastAsia="zh-CN"/>
              </w:rPr>
              <w:t>，</w:t>
            </w:r>
            <w:r>
              <w:rPr>
                <w:rFonts w:hint="default" w:ascii="Times New Roman" w:hAnsi="Times New Roman" w:eastAsia="宋体" w:cs="Times New Roman"/>
                <w:color w:val="auto"/>
                <w:sz w:val="24"/>
                <w:szCs w:val="28"/>
              </w:rPr>
              <w:t>交由有危险废物处理资质的单位处理处置。</w:t>
            </w:r>
          </w:p>
          <w:p>
            <w:pPr>
              <w:keepNext w:val="0"/>
              <w:keepLines w:val="0"/>
              <w:numPr>
                <w:ilvl w:val="0"/>
                <w:numId w:val="30"/>
              </w:numPr>
              <w:suppressLineNumbers w:val="0"/>
              <w:adjustRightInd w:val="0"/>
              <w:snapToGrid w:val="0"/>
              <w:spacing w:before="0" w:beforeAutospacing="0" w:after="0" w:afterAutospacing="0" w:line="360" w:lineRule="auto"/>
              <w:ind w:left="0" w:leftChars="0" w:right="0" w:firstLine="400" w:firstLineChars="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废手套和抹布</w:t>
            </w:r>
          </w:p>
          <w:p>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w:t>
            </w:r>
            <w:r>
              <w:rPr>
                <w:rFonts w:hint="default" w:ascii="Times New Roman" w:hAnsi="Times New Roman" w:eastAsia="宋体" w:cs="Times New Roman"/>
                <w:color w:val="auto"/>
                <w:sz w:val="24"/>
                <w:lang w:val="en-US" w:eastAsia="zh-CN"/>
              </w:rPr>
              <w:t>设备维护</w:t>
            </w:r>
            <w:r>
              <w:rPr>
                <w:rFonts w:hint="default" w:ascii="Times New Roman" w:hAnsi="Times New Roman" w:eastAsia="宋体" w:cs="Times New Roman"/>
                <w:color w:val="auto"/>
                <w:sz w:val="24"/>
              </w:rPr>
              <w:t>过程中产生废手套和抹布，产生量约为0.05t/a，主要有害成分为</w:t>
            </w:r>
            <w:r>
              <w:rPr>
                <w:rFonts w:hint="default" w:ascii="Times New Roman" w:hAnsi="Times New Roman" w:eastAsia="宋体" w:cs="Times New Roman"/>
                <w:color w:val="auto"/>
                <w:sz w:val="24"/>
                <w:lang w:val="en-US" w:eastAsia="zh-CN"/>
              </w:rPr>
              <w:t>矿</w:t>
            </w:r>
            <w:r>
              <w:rPr>
                <w:rFonts w:hint="default" w:ascii="Times New Roman" w:hAnsi="Times New Roman" w:eastAsia="宋体" w:cs="Times New Roman"/>
                <w:color w:val="auto"/>
                <w:sz w:val="24"/>
              </w:rPr>
              <w:t>物油等，根据《国家危险废物名录》（2021年版），属于危险废物（危废类别HW49，废物代码900-041-49），交由有危险废物处理资质的单位处理处置。</w:t>
            </w:r>
          </w:p>
          <w:p>
            <w:pPr>
              <w:keepNext w:val="0"/>
              <w:keepLines w:val="0"/>
              <w:numPr>
                <w:ilvl w:val="0"/>
                <w:numId w:val="30"/>
              </w:numPr>
              <w:suppressLineNumbers w:val="0"/>
              <w:adjustRightInd w:val="0"/>
              <w:snapToGrid w:val="0"/>
              <w:spacing w:before="0" w:beforeAutospacing="0" w:after="0" w:afterAutospacing="0" w:line="360" w:lineRule="auto"/>
              <w:ind w:left="0" w:leftChars="0" w:right="0" w:firstLine="400" w:firstLineChars="0"/>
              <w:rPr>
                <w:rStyle w:val="96"/>
                <w:rFonts w:hint="default" w:ascii="Times New Roman" w:hAnsi="Times New Roman" w:eastAsia="宋体" w:cs="Times New Roman"/>
                <w:b/>
                <w:bCs/>
                <w:color w:val="auto"/>
                <w:lang w:val="en-US" w:eastAsia="zh-CN"/>
              </w:rPr>
            </w:pPr>
            <w:r>
              <w:rPr>
                <w:rStyle w:val="96"/>
                <w:rFonts w:hint="default" w:ascii="Times New Roman" w:hAnsi="Times New Roman" w:eastAsia="宋体" w:cs="Times New Roman"/>
                <w:b/>
                <w:bCs/>
                <w:color w:val="auto"/>
                <w:lang w:val="en-US" w:eastAsia="zh-CN"/>
              </w:rPr>
              <w:t>废矿物油及其包装桶</w:t>
            </w:r>
          </w:p>
          <w:p>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b w:val="0"/>
                <w:bCs w:val="0"/>
                <w:color w:val="auto"/>
                <w:sz w:val="24"/>
                <w:lang w:val="en-US" w:eastAsia="zh-CN"/>
              </w:rPr>
            </w:pPr>
            <w:r>
              <w:rPr>
                <w:rStyle w:val="96"/>
                <w:rFonts w:hint="default" w:ascii="Times New Roman" w:hAnsi="Times New Roman" w:eastAsia="宋体" w:cs="Times New Roman"/>
                <w:color w:val="auto"/>
                <w:lang w:val="en-US" w:eastAsia="zh-CN"/>
              </w:rPr>
              <w:t>项目机械维修时会产生废矿物油及其包装桶，</w:t>
            </w:r>
            <w:r>
              <w:rPr>
                <w:rFonts w:hint="default" w:ascii="Times New Roman" w:hAnsi="Times New Roman" w:eastAsia="宋体" w:cs="Times New Roman"/>
                <w:b w:val="0"/>
                <w:bCs w:val="0"/>
                <w:color w:val="auto"/>
                <w:sz w:val="24"/>
                <w:lang w:val="en-US" w:eastAsia="zh-CN"/>
              </w:rPr>
              <w:t>产生量为0.01t/a。根据《国家危险废物名录》（2021年版），属于危险废物（危废类别HW08，废物代码</w:t>
            </w:r>
            <w:r>
              <w:rPr>
                <w:rFonts w:hint="default" w:ascii="Times New Roman" w:hAnsi="Times New Roman" w:eastAsia="宋体" w:cs="Times New Roman"/>
                <w:color w:val="auto"/>
                <w:sz w:val="24"/>
                <w:szCs w:val="21"/>
              </w:rPr>
              <w:t>900-249-08</w:t>
            </w:r>
            <w:r>
              <w:rPr>
                <w:rFonts w:hint="default" w:ascii="Times New Roman" w:hAnsi="Times New Roman" w:eastAsia="宋体" w:cs="Times New Roman"/>
                <w:b w:val="0"/>
                <w:bCs w:val="0"/>
                <w:color w:val="auto"/>
                <w:sz w:val="24"/>
                <w:lang w:val="en-US" w:eastAsia="zh-CN"/>
              </w:rPr>
              <w:t>），交由有危险废物处理资质的单位处理处置。</w:t>
            </w:r>
          </w:p>
          <w:p>
            <w:pPr>
              <w:keepNext w:val="0"/>
              <w:keepLines w:val="0"/>
              <w:numPr>
                <w:ilvl w:val="0"/>
                <w:numId w:val="30"/>
              </w:numPr>
              <w:suppressLineNumbers w:val="0"/>
              <w:adjustRightInd w:val="0"/>
              <w:snapToGrid w:val="0"/>
              <w:spacing w:before="0" w:beforeAutospacing="0" w:after="0" w:afterAutospacing="0" w:line="360" w:lineRule="auto"/>
              <w:ind w:left="0" w:leftChars="0" w:right="0" w:firstLine="400" w:firstLineChars="0"/>
              <w:rPr>
                <w:rFonts w:hint="default" w:ascii="Times New Roman" w:hAnsi="Times New Roman" w:eastAsia="宋体" w:cs="Times New Roman"/>
                <w:b/>
                <w:color w:val="auto"/>
                <w:sz w:val="24"/>
                <w:szCs w:val="28"/>
              </w:rPr>
            </w:pPr>
            <w:r>
              <w:rPr>
                <w:rFonts w:hint="default" w:ascii="Times New Roman" w:hAnsi="Times New Roman" w:eastAsia="宋体" w:cs="Times New Roman"/>
                <w:b/>
                <w:color w:val="auto"/>
                <w:sz w:val="24"/>
                <w:szCs w:val="28"/>
              </w:rPr>
              <w:t>废活性炭</w:t>
            </w:r>
          </w:p>
          <w:p>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项目有机废气治理中的活性炭，吸附一段时间后饱和，需要更换，产生废活性炭。参照相关的工程实践经验，1吨的活性炭对挥发性有机废气的吸附量约为 250-300（按2</w:t>
            </w:r>
            <w:r>
              <w:rPr>
                <w:rFonts w:hint="default" w:ascii="Times New Roman" w:hAnsi="Times New Roman" w:eastAsia="宋体" w:cs="Times New Roman"/>
                <w:color w:val="auto"/>
                <w:sz w:val="24"/>
                <w:lang w:val="en-US" w:eastAsia="zh-CN"/>
              </w:rPr>
              <w:t>50</w:t>
            </w:r>
            <w:r>
              <w:rPr>
                <w:rFonts w:hint="default" w:ascii="Times New Roman" w:hAnsi="Times New Roman" w:eastAsia="宋体" w:cs="Times New Roman"/>
                <w:color w:val="auto"/>
                <w:sz w:val="24"/>
              </w:rPr>
              <w:t>计）kg，有机废气的处理工艺为“活性炭吸附”，“活性炭吸附”有机废气的处理量为</w:t>
            </w:r>
            <w:r>
              <w:rPr>
                <w:rFonts w:hint="default" w:ascii="Times New Roman" w:hAnsi="Times New Roman" w:eastAsia="宋体" w:cs="Times New Roman"/>
                <w:color w:val="auto"/>
                <w:sz w:val="24"/>
                <w:lang w:val="en-US" w:eastAsia="zh-CN"/>
              </w:rPr>
              <w:t>1.453</w:t>
            </w:r>
            <w:r>
              <w:rPr>
                <w:rFonts w:hint="default" w:ascii="Times New Roman" w:hAnsi="Times New Roman" w:eastAsia="宋体" w:cs="Times New Roman"/>
                <w:color w:val="auto"/>
                <w:sz w:val="24"/>
              </w:rPr>
              <w:t>t，得本项目所需活性炭量约为</w:t>
            </w:r>
            <w:r>
              <w:rPr>
                <w:rFonts w:hint="default" w:ascii="Times New Roman" w:hAnsi="Times New Roman" w:eastAsia="宋体" w:cs="Times New Roman"/>
                <w:color w:val="auto"/>
                <w:sz w:val="24"/>
                <w:lang w:val="en-US" w:eastAsia="zh-CN"/>
              </w:rPr>
              <w:t>5.812</w:t>
            </w:r>
            <w:r>
              <w:rPr>
                <w:rFonts w:hint="default" w:ascii="Times New Roman" w:hAnsi="Times New Roman" w:eastAsia="宋体" w:cs="Times New Roman"/>
                <w:color w:val="auto"/>
                <w:sz w:val="24"/>
              </w:rPr>
              <w:t>t</w:t>
            </w:r>
            <w:r>
              <w:rPr>
                <w:rFonts w:hint="default" w:ascii="Times New Roman" w:hAnsi="Times New Roman" w:eastAsia="宋体" w:cs="Times New Roman"/>
                <w:color w:val="auto"/>
                <w:sz w:val="24"/>
                <w:lang w:val="en-US" w:eastAsia="zh-CN"/>
              </w:rPr>
              <w:t>/a</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其中DA003需活性炭量为0.148t/a，DA004所需活性炭量为5.664t/a。</w:t>
            </w:r>
            <w:r>
              <w:rPr>
                <w:rFonts w:hint="default" w:ascii="Times New Roman" w:hAnsi="Times New Roman" w:eastAsia="宋体" w:cs="Times New Roman"/>
                <w:color w:val="auto"/>
                <w:sz w:val="24"/>
              </w:rPr>
              <w:t>由于活性炭填料量与设施风量、横截面面积等有关，单台活性炭吸附设备活性炭填料量计算公式为：M=LSρ（L-吸附层高度，约为0.3m；S-横截面面积，</w:t>
            </w:r>
            <w:r>
              <w:rPr>
                <w:rFonts w:hint="default" w:ascii="Times New Roman" w:hAnsi="Times New Roman" w:eastAsia="宋体" w:cs="Times New Roman"/>
                <w:color w:val="auto"/>
                <w:sz w:val="24"/>
                <w:lang w:val="en-US" w:eastAsia="zh-CN"/>
              </w:rPr>
              <w:t>S</w:t>
            </w:r>
            <w:r>
              <w:rPr>
                <w:rFonts w:hint="default" w:ascii="Times New Roman" w:hAnsi="Times New Roman" w:eastAsia="宋体" w:cs="Times New Roman"/>
                <w:color w:val="auto"/>
                <w:sz w:val="24"/>
                <w:vertAlign w:val="subscript"/>
                <w:lang w:val="en-US" w:eastAsia="zh-CN"/>
              </w:rPr>
              <w:t>DA003</w:t>
            </w:r>
            <w:r>
              <w:rPr>
                <w:rFonts w:hint="default" w:ascii="Times New Roman" w:hAnsi="Times New Roman" w:eastAsia="宋体" w:cs="Times New Roman"/>
                <w:color w:val="auto"/>
                <w:sz w:val="24"/>
                <w:lang w:val="en-US" w:eastAsia="zh-CN"/>
              </w:rPr>
              <w:t>155</w:t>
            </w:r>
            <w:r>
              <w:rPr>
                <w:rFonts w:hint="default" w:ascii="Times New Roman" w:hAnsi="Times New Roman" w:eastAsia="宋体" w:cs="Times New Roman"/>
                <w:color w:val="auto"/>
                <w:sz w:val="24"/>
              </w:rPr>
              <w:t>00m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/h÷3600s÷1.3m/s=</w:t>
            </w:r>
            <w:r>
              <w:rPr>
                <w:rFonts w:hint="default" w:ascii="Times New Roman" w:hAnsi="Times New Roman" w:eastAsia="宋体" w:cs="Times New Roman"/>
                <w:color w:val="auto"/>
                <w:sz w:val="24"/>
                <w:lang w:val="en-US" w:eastAsia="zh-CN"/>
              </w:rPr>
              <w:t>3.31</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vertAlign w:val="baseline"/>
                <w:lang w:eastAsia="zh-CN"/>
              </w:rPr>
              <w:t>，</w:t>
            </w:r>
            <w:r>
              <w:rPr>
                <w:rFonts w:hint="default" w:ascii="Times New Roman" w:hAnsi="Times New Roman" w:eastAsia="宋体" w:cs="Times New Roman"/>
                <w:color w:val="auto"/>
                <w:sz w:val="24"/>
                <w:lang w:val="en-US" w:eastAsia="zh-CN"/>
              </w:rPr>
              <w:t>S</w:t>
            </w:r>
            <w:r>
              <w:rPr>
                <w:rFonts w:hint="default" w:ascii="Times New Roman" w:hAnsi="Times New Roman" w:eastAsia="宋体" w:cs="Times New Roman"/>
                <w:color w:val="auto"/>
                <w:sz w:val="24"/>
                <w:vertAlign w:val="subscript"/>
                <w:lang w:val="en-US" w:eastAsia="zh-CN"/>
              </w:rPr>
              <w:t>DA004</w:t>
            </w:r>
            <w:r>
              <w:rPr>
                <w:rFonts w:hint="default" w:ascii="Times New Roman" w:hAnsi="Times New Roman" w:eastAsia="宋体" w:cs="Times New Roman"/>
                <w:color w:val="auto"/>
                <w:sz w:val="24"/>
                <w:lang w:val="en-US" w:eastAsia="zh-CN"/>
              </w:rPr>
              <w:t>410</w:t>
            </w:r>
            <w:r>
              <w:rPr>
                <w:rFonts w:hint="default" w:ascii="Times New Roman" w:hAnsi="Times New Roman" w:eastAsia="宋体" w:cs="Times New Roman"/>
                <w:color w:val="auto"/>
                <w:sz w:val="24"/>
              </w:rPr>
              <w:t>00m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/h÷3600s÷1.3m/s=</w:t>
            </w:r>
            <w:r>
              <w:rPr>
                <w:rFonts w:hint="default" w:ascii="Times New Roman" w:hAnsi="Times New Roman" w:eastAsia="宋体" w:cs="Times New Roman"/>
                <w:color w:val="auto"/>
                <w:sz w:val="24"/>
                <w:lang w:val="en-US" w:eastAsia="zh-CN"/>
              </w:rPr>
              <w:t>8.76</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；ρ-活性炭堆积密度，为450kg/m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），经计算</w:t>
            </w:r>
            <w:r>
              <w:rPr>
                <w:rFonts w:hint="default" w:ascii="Times New Roman" w:hAnsi="Times New Roman" w:eastAsia="宋体" w:cs="Times New Roman"/>
                <w:color w:val="auto"/>
                <w:sz w:val="24"/>
                <w:lang w:val="en-US" w:eastAsia="zh-CN"/>
              </w:rPr>
              <w:t>DA003</w:t>
            </w:r>
            <w:r>
              <w:rPr>
                <w:rFonts w:hint="default" w:ascii="Times New Roman" w:hAnsi="Times New Roman" w:eastAsia="宋体" w:cs="Times New Roman"/>
                <w:color w:val="auto"/>
                <w:sz w:val="24"/>
              </w:rPr>
              <w:t>活性炭单次填料量为</w:t>
            </w:r>
            <w:r>
              <w:rPr>
                <w:rFonts w:hint="default" w:ascii="Times New Roman" w:hAnsi="Times New Roman" w:eastAsia="宋体" w:cs="Times New Roman"/>
                <w:color w:val="auto"/>
                <w:sz w:val="24"/>
                <w:lang w:val="en-US" w:eastAsia="zh-CN"/>
              </w:rPr>
              <w:t>0.45</w:t>
            </w:r>
            <w:r>
              <w:rPr>
                <w:rFonts w:hint="default" w:ascii="Times New Roman" w:hAnsi="Times New Roman" w:eastAsia="宋体" w:cs="Times New Roman"/>
                <w:color w:val="auto"/>
                <w:sz w:val="24"/>
              </w:rPr>
              <w:t>t</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更换周期为</w:t>
            </w:r>
            <w:r>
              <w:rPr>
                <w:rFonts w:hint="default"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个月，</w:t>
            </w:r>
            <w:r>
              <w:rPr>
                <w:rFonts w:hint="default" w:ascii="Times New Roman" w:hAnsi="Times New Roman" w:eastAsia="宋体" w:cs="Times New Roman"/>
                <w:color w:val="auto"/>
                <w:sz w:val="24"/>
                <w:lang w:val="en-US" w:eastAsia="zh-CN"/>
              </w:rPr>
              <w:t>则DA003一年活性炭装填量为0.9t/a，</w:t>
            </w:r>
            <w:r>
              <w:rPr>
                <w:rFonts w:hint="default" w:ascii="Times New Roman" w:hAnsi="Times New Roman" w:eastAsia="宋体" w:cs="Times New Roman"/>
                <w:color w:val="auto"/>
                <w:sz w:val="24"/>
              </w:rPr>
              <w:t>满足废气处理需求（不少于</w:t>
            </w:r>
            <w:r>
              <w:rPr>
                <w:rFonts w:hint="default" w:ascii="Times New Roman" w:hAnsi="Times New Roman" w:eastAsia="宋体" w:cs="Times New Roman"/>
                <w:color w:val="auto"/>
                <w:sz w:val="24"/>
                <w:lang w:val="en-US" w:eastAsia="zh-CN"/>
              </w:rPr>
              <w:t>0.148</w:t>
            </w:r>
            <w:r>
              <w:rPr>
                <w:rFonts w:hint="default" w:ascii="Times New Roman" w:hAnsi="Times New Roman" w:eastAsia="宋体" w:cs="Times New Roman"/>
                <w:color w:val="auto"/>
                <w:sz w:val="24"/>
              </w:rPr>
              <w:t>t/a）</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DA004</w:t>
            </w:r>
            <w:r>
              <w:rPr>
                <w:rFonts w:hint="default" w:ascii="Times New Roman" w:hAnsi="Times New Roman" w:eastAsia="宋体" w:cs="Times New Roman"/>
                <w:color w:val="auto"/>
                <w:sz w:val="24"/>
              </w:rPr>
              <w:t>活性炭单次填料量为</w:t>
            </w:r>
            <w:r>
              <w:rPr>
                <w:rFonts w:hint="default" w:ascii="Times New Roman" w:hAnsi="Times New Roman" w:eastAsia="宋体" w:cs="Times New Roman"/>
                <w:color w:val="auto"/>
                <w:sz w:val="24"/>
                <w:lang w:val="en-US" w:eastAsia="zh-CN"/>
              </w:rPr>
              <w:t>1.18</w:t>
            </w:r>
            <w:r>
              <w:rPr>
                <w:rFonts w:hint="default" w:ascii="Times New Roman" w:hAnsi="Times New Roman" w:eastAsia="宋体" w:cs="Times New Roman"/>
                <w:color w:val="auto"/>
                <w:sz w:val="24"/>
              </w:rPr>
              <w:t>t</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更换周期为</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个月，</w:t>
            </w:r>
            <w:r>
              <w:rPr>
                <w:rFonts w:hint="default" w:ascii="Times New Roman" w:hAnsi="Times New Roman" w:eastAsia="宋体" w:cs="Times New Roman"/>
                <w:color w:val="auto"/>
                <w:sz w:val="24"/>
                <w:lang w:val="en-US" w:eastAsia="zh-CN"/>
              </w:rPr>
              <w:t>则DA004一年活性炭装填量为7.08t/a，</w:t>
            </w:r>
            <w:r>
              <w:rPr>
                <w:rFonts w:hint="default" w:ascii="Times New Roman" w:hAnsi="Times New Roman" w:eastAsia="宋体" w:cs="Times New Roman"/>
                <w:color w:val="auto"/>
                <w:sz w:val="24"/>
              </w:rPr>
              <w:t>满足废气处理需求（不少于</w:t>
            </w:r>
            <w:r>
              <w:rPr>
                <w:rFonts w:hint="default" w:ascii="Times New Roman" w:hAnsi="Times New Roman" w:eastAsia="宋体" w:cs="Times New Roman"/>
                <w:color w:val="auto"/>
                <w:sz w:val="24"/>
                <w:lang w:val="en-US" w:eastAsia="zh-CN"/>
              </w:rPr>
              <w:t>5.664</w:t>
            </w:r>
            <w:r>
              <w:rPr>
                <w:rFonts w:hint="default" w:ascii="Times New Roman" w:hAnsi="Times New Roman" w:eastAsia="宋体" w:cs="Times New Roman"/>
                <w:color w:val="auto"/>
                <w:sz w:val="24"/>
              </w:rPr>
              <w:t>t/a）</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则项目废活性炭产生量约为</w:t>
            </w:r>
            <w:r>
              <w:rPr>
                <w:rFonts w:hint="eastAsia" w:cs="Times New Roman"/>
                <w:color w:val="auto"/>
                <w:sz w:val="24"/>
                <w:lang w:val="en-US" w:eastAsia="zh-CN"/>
              </w:rPr>
              <w:t>9.433</w:t>
            </w:r>
            <w:r>
              <w:rPr>
                <w:rFonts w:hint="default" w:ascii="Times New Roman" w:hAnsi="Times New Roman" w:eastAsia="宋体" w:cs="Times New Roman"/>
                <w:color w:val="auto"/>
                <w:sz w:val="24"/>
              </w:rPr>
              <w:t>t/a。根据《国家危险废物名录》（2021年版），属于危险废物（危废类别HW49，废物代码900-039-49），交由有危险废物处理资质的单位处理处置。</w:t>
            </w:r>
          </w:p>
          <w:p>
            <w:pPr>
              <w:keepNext w:val="0"/>
              <w:keepLines w:val="0"/>
              <w:numPr>
                <w:ilvl w:val="0"/>
                <w:numId w:val="30"/>
              </w:numPr>
              <w:suppressLineNumbers w:val="0"/>
              <w:adjustRightInd w:val="0"/>
              <w:snapToGrid w:val="0"/>
              <w:spacing w:before="0" w:beforeAutospacing="0" w:after="0" w:afterAutospacing="0" w:line="360" w:lineRule="auto"/>
              <w:ind w:left="0" w:leftChars="0" w:right="0" w:firstLine="400" w:firstLineChars="0"/>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bCs/>
                <w:color w:val="auto"/>
                <w:sz w:val="24"/>
                <w:lang w:val="en-US" w:eastAsia="zh-CN"/>
              </w:rPr>
              <w:t>废漆渣：</w:t>
            </w:r>
            <w:r>
              <w:rPr>
                <w:rFonts w:hint="default" w:ascii="Times New Roman" w:hAnsi="Times New Roman" w:eastAsia="宋体" w:cs="Times New Roman"/>
                <w:b w:val="0"/>
                <w:bCs w:val="0"/>
                <w:color w:val="auto"/>
                <w:sz w:val="24"/>
                <w:lang w:val="en-US" w:eastAsia="zh-CN"/>
              </w:rPr>
              <w:t>项目水帘柜和喷淋塔处理喷漆漆雾所产生的废漆渣，</w:t>
            </w:r>
            <w:r>
              <w:rPr>
                <w:rFonts w:hint="default" w:ascii="Times New Roman" w:hAnsi="Times New Roman" w:eastAsia="宋体" w:cs="Times New Roman"/>
                <w:b w:val="0"/>
                <w:bCs w:val="0"/>
                <w:color w:val="auto"/>
              </w:rPr>
              <w:t>项目水帘柜</w:t>
            </w:r>
            <w:r>
              <w:rPr>
                <w:rFonts w:hint="default" w:ascii="Times New Roman" w:hAnsi="Times New Roman" w:eastAsia="宋体" w:cs="Times New Roman"/>
                <w:b w:val="0"/>
                <w:bCs w:val="0"/>
                <w:color w:val="auto"/>
                <w:lang w:val="en-US" w:eastAsia="zh-CN"/>
              </w:rPr>
              <w:t>和喷淋塔水池</w:t>
            </w:r>
            <w:r>
              <w:rPr>
                <w:rFonts w:hint="default" w:ascii="Times New Roman" w:hAnsi="Times New Roman" w:eastAsia="宋体" w:cs="Times New Roman"/>
                <w:b w:val="0"/>
                <w:bCs w:val="0"/>
                <w:color w:val="auto"/>
              </w:rPr>
              <w:t>会不定期打捞一定量的漆渣，该漆渣在</w:t>
            </w:r>
            <w:r>
              <w:rPr>
                <w:rFonts w:hint="default" w:ascii="Times New Roman" w:hAnsi="Times New Roman" w:eastAsia="宋体" w:cs="Times New Roman"/>
                <w:b w:val="0"/>
                <w:bCs w:val="0"/>
                <w:color w:val="auto"/>
                <w:lang w:val="en-US" w:eastAsia="zh-CN"/>
              </w:rPr>
              <w:t>水帘柜或喷淋塔</w:t>
            </w:r>
            <w:r>
              <w:rPr>
                <w:rFonts w:hint="default" w:ascii="Times New Roman" w:hAnsi="Times New Roman" w:eastAsia="宋体" w:cs="Times New Roman"/>
                <w:b w:val="0"/>
                <w:bCs w:val="0"/>
                <w:color w:val="auto"/>
              </w:rPr>
              <w:t>循环水池上方静止晾干后，</w:t>
            </w:r>
            <w:r>
              <w:rPr>
                <w:rFonts w:hint="default" w:ascii="Times New Roman" w:hAnsi="Times New Roman" w:eastAsia="宋体" w:cs="Times New Roman"/>
                <w:color w:val="auto"/>
              </w:rPr>
              <w:t>装在容器内，项目产生的漆渣量约</w:t>
            </w:r>
            <w:r>
              <w:rPr>
                <w:rFonts w:hint="eastAsia" w:cs="Times New Roman"/>
                <w:color w:val="auto"/>
                <w:lang w:val="en-US" w:eastAsia="zh-CN"/>
              </w:rPr>
              <w:t>1.90</w:t>
            </w:r>
            <w:r>
              <w:rPr>
                <w:rFonts w:hint="default" w:ascii="Times New Roman" w:hAnsi="Times New Roman" w:eastAsia="宋体" w:cs="Times New Roman"/>
                <w:color w:val="auto"/>
                <w:lang w:val="en-US" w:eastAsia="zh-CN"/>
              </w:rPr>
              <w:t>*0.85=</w:t>
            </w:r>
            <w:r>
              <w:rPr>
                <w:rFonts w:hint="eastAsia" w:cs="Times New Roman"/>
                <w:color w:val="auto"/>
                <w:lang w:val="en-US" w:eastAsia="zh-CN"/>
              </w:rPr>
              <w:t>1.615</w:t>
            </w:r>
            <w:r>
              <w:rPr>
                <w:rFonts w:hint="default" w:ascii="Times New Roman" w:hAnsi="Times New Roman" w:eastAsia="宋体" w:cs="Times New Roman"/>
                <w:color w:val="auto"/>
                <w:lang w:val="en-US" w:eastAsia="zh-CN"/>
              </w:rPr>
              <w:t>t</w:t>
            </w:r>
            <w:r>
              <w:rPr>
                <w:rFonts w:hint="default" w:ascii="Times New Roman" w:hAnsi="Times New Roman" w:eastAsia="宋体" w:cs="Times New Roman"/>
                <w:color w:val="auto"/>
              </w:rPr>
              <w:t>/a</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根据《国家危险废物名录（2021年版）》常见问题解答“不包活水性漆是指水性漆渣不属于列入《名录》的危险废物，其是否属于危险废物需要根据《危险废物鉴别标准》（GB5085.1~17）、《危险废物鉴别技术规范》（HJ298）等予以判定”，建议在鉴定结果出具前暂按900-252-12从严管理。</w:t>
            </w:r>
            <w:r>
              <w:rPr>
                <w:rFonts w:hint="default" w:ascii="Times New Roman" w:hAnsi="Times New Roman" w:eastAsia="宋体" w:cs="Times New Roman"/>
                <w:b w:val="0"/>
                <w:bCs w:val="0"/>
                <w:color w:val="auto"/>
                <w:sz w:val="24"/>
                <w:lang w:val="en-US" w:eastAsia="zh-CN"/>
              </w:rPr>
              <w:t>交由有危险废物处理资质的单位处理处置。</w:t>
            </w:r>
          </w:p>
          <w:p>
            <w:pPr>
              <w:keepNext w:val="0"/>
              <w:keepLines w:val="0"/>
              <w:numPr>
                <w:ilvl w:val="0"/>
                <w:numId w:val="30"/>
              </w:numPr>
              <w:suppressLineNumbers w:val="0"/>
              <w:adjustRightInd w:val="0"/>
              <w:snapToGrid w:val="0"/>
              <w:spacing w:before="0" w:beforeAutospacing="0" w:after="0" w:afterAutospacing="0" w:line="360" w:lineRule="auto"/>
              <w:ind w:left="0" w:leftChars="0" w:right="0" w:firstLine="400" w:firstLineChars="0"/>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bCs/>
                <w:color w:val="auto"/>
                <w:sz w:val="24"/>
                <w:lang w:val="en-US" w:eastAsia="zh-CN"/>
              </w:rPr>
              <w:t>水帘柜废水：</w:t>
            </w:r>
            <w:r>
              <w:rPr>
                <w:rFonts w:hint="default" w:ascii="Times New Roman" w:hAnsi="Times New Roman" w:eastAsia="宋体" w:cs="Times New Roman"/>
                <w:b w:val="0"/>
                <w:bCs w:val="0"/>
                <w:color w:val="auto"/>
                <w:sz w:val="24"/>
                <w:lang w:val="en-US" w:eastAsia="zh-CN"/>
              </w:rPr>
              <w:t>项目水帘柜用水定期更换出的废水，产生量为18t/a。根据《国家危险废物名录》（2021年版），属于危险废物（危废类别HW49，废物代码900-041-49），交由有危险废物处理资质的单位处理处置。</w:t>
            </w:r>
          </w:p>
          <w:p>
            <w:pPr>
              <w:keepNext w:val="0"/>
              <w:keepLines w:val="0"/>
              <w:numPr>
                <w:ilvl w:val="0"/>
                <w:numId w:val="30"/>
              </w:numPr>
              <w:suppressLineNumbers w:val="0"/>
              <w:adjustRightInd w:val="0"/>
              <w:snapToGrid w:val="0"/>
              <w:spacing w:before="0" w:beforeAutospacing="0" w:after="0" w:afterAutospacing="0" w:line="360" w:lineRule="auto"/>
              <w:ind w:left="0" w:leftChars="0" w:right="0" w:firstLine="400" w:firstLineChars="0"/>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bCs/>
                <w:color w:val="auto"/>
                <w:sz w:val="24"/>
                <w:lang w:val="en-US" w:eastAsia="zh-CN"/>
              </w:rPr>
              <w:t>喷淋塔废水：</w:t>
            </w:r>
            <w:r>
              <w:rPr>
                <w:rFonts w:hint="default" w:ascii="Times New Roman" w:hAnsi="Times New Roman" w:eastAsia="宋体" w:cs="Times New Roman"/>
                <w:b w:val="0"/>
                <w:bCs w:val="0"/>
                <w:color w:val="auto"/>
                <w:sz w:val="24"/>
                <w:lang w:val="en-US" w:eastAsia="zh-CN"/>
              </w:rPr>
              <w:t>项目水喷淋塔用水定期更换出的废水，产生量为</w:t>
            </w:r>
            <w:r>
              <w:rPr>
                <w:rFonts w:hint="eastAsia" w:cs="Times New Roman"/>
                <w:b w:val="0"/>
                <w:bCs w:val="0"/>
                <w:color w:val="auto"/>
                <w:sz w:val="24"/>
                <w:lang w:val="en-US" w:eastAsia="zh-CN"/>
              </w:rPr>
              <w:t>17.327</w:t>
            </w:r>
            <w:r>
              <w:rPr>
                <w:rFonts w:hint="default" w:ascii="Times New Roman" w:hAnsi="Times New Roman" w:eastAsia="宋体" w:cs="Times New Roman"/>
                <w:b w:val="0"/>
                <w:bCs w:val="0"/>
                <w:color w:val="auto"/>
                <w:sz w:val="24"/>
                <w:lang w:val="en-US" w:eastAsia="zh-CN"/>
              </w:rPr>
              <w:t>t/a。根据《国家危险废物名录》（2021年版），属于危险废物（危废类别HW49，废物代码900-041-49），交由有危险废物处理资质的单位处理处置。</w:t>
            </w:r>
          </w:p>
          <w:p>
            <w:pPr>
              <w:keepNext w:val="0"/>
              <w:keepLines w:val="0"/>
              <w:numPr>
                <w:ilvl w:val="0"/>
                <w:numId w:val="30"/>
              </w:numPr>
              <w:suppressLineNumbers w:val="0"/>
              <w:adjustRightInd w:val="0"/>
              <w:snapToGrid w:val="0"/>
              <w:spacing w:before="0" w:beforeAutospacing="0" w:after="0" w:afterAutospacing="0" w:line="360" w:lineRule="auto"/>
              <w:ind w:left="0" w:leftChars="0" w:right="0" w:firstLine="400" w:firstLineChars="0"/>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喷枪清洗废水：</w:t>
            </w:r>
            <w:r>
              <w:rPr>
                <w:rFonts w:hint="default" w:ascii="Times New Roman" w:hAnsi="Times New Roman" w:eastAsia="宋体" w:cs="Times New Roman"/>
                <w:b w:val="0"/>
                <w:bCs w:val="0"/>
                <w:color w:val="auto"/>
                <w:sz w:val="24"/>
                <w:lang w:val="en-US" w:eastAsia="zh-CN"/>
              </w:rPr>
              <w:t>项目定期清洗喷枪产生的清洗废水，主要成分为水性油漆等，产生量为0.6t/a。根据《国家危险废物名录》（2021年版），属于危险废物（危废类别HW49，废物代码900-041-49），交由有危险废物处理资质的单位处理处置。</w:t>
            </w:r>
          </w:p>
          <w:p>
            <w:pPr>
              <w:keepNext w:val="0"/>
              <w:keepLines w:val="0"/>
              <w:numPr>
                <w:ilvl w:val="0"/>
                <w:numId w:val="29"/>
              </w:numPr>
              <w:suppressLineNumbers w:val="0"/>
              <w:adjustRightInd w:val="0"/>
              <w:snapToGrid w:val="0"/>
              <w:spacing w:before="0" w:beforeAutospacing="0" w:after="0" w:afterAutospacing="0" w:line="360" w:lineRule="auto"/>
              <w:ind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生活垃圾</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8"/>
              </w:rPr>
            </w:pPr>
            <w:r>
              <w:rPr>
                <w:rFonts w:hint="default" w:ascii="Times New Roman" w:hAnsi="Times New Roman" w:eastAsia="宋体" w:cs="Times New Roman"/>
                <w:color w:val="auto"/>
                <w:sz w:val="24"/>
                <w:szCs w:val="28"/>
              </w:rPr>
              <w:t>生活垃圾为工作人员日常办公过程中产生</w:t>
            </w:r>
            <w:r>
              <w:rPr>
                <w:rFonts w:hint="default" w:ascii="Times New Roman" w:hAnsi="Times New Roman" w:eastAsia="宋体" w:cs="Times New Roman"/>
                <w:color w:val="auto"/>
                <w:sz w:val="24"/>
                <w:szCs w:val="28"/>
                <w:lang w:eastAsia="zh-CN"/>
              </w:rPr>
              <w:t>，</w:t>
            </w:r>
            <w:r>
              <w:rPr>
                <w:rFonts w:hint="eastAsia" w:cs="Times New Roman"/>
                <w:color w:val="auto"/>
                <w:sz w:val="24"/>
                <w:szCs w:val="28"/>
                <w:lang w:val="en-US" w:eastAsia="zh-CN"/>
              </w:rPr>
              <w:t>不</w:t>
            </w:r>
            <w:r>
              <w:rPr>
                <w:rFonts w:hint="default" w:ascii="Times New Roman" w:hAnsi="Times New Roman" w:eastAsia="宋体" w:cs="Times New Roman"/>
                <w:color w:val="auto"/>
                <w:sz w:val="24"/>
                <w:szCs w:val="28"/>
                <w:lang w:val="en-US" w:eastAsia="zh-CN"/>
              </w:rPr>
              <w:t>在厂区食宿的员工</w:t>
            </w:r>
            <w:r>
              <w:rPr>
                <w:rFonts w:hint="default" w:ascii="Times New Roman" w:hAnsi="Times New Roman" w:eastAsia="宋体" w:cs="Times New Roman"/>
                <w:color w:val="auto"/>
                <w:sz w:val="24"/>
                <w:szCs w:val="28"/>
              </w:rPr>
              <w:t>按平均每人产生量</w:t>
            </w:r>
            <w:r>
              <w:rPr>
                <w:rFonts w:hint="eastAsia" w:cs="Times New Roman"/>
                <w:color w:val="auto"/>
                <w:sz w:val="24"/>
                <w:szCs w:val="28"/>
                <w:lang w:val="en-US" w:eastAsia="zh-CN"/>
              </w:rPr>
              <w:t>0.5</w:t>
            </w:r>
            <w:r>
              <w:rPr>
                <w:rFonts w:hint="default" w:ascii="Times New Roman" w:hAnsi="Times New Roman" w:eastAsia="宋体" w:cs="Times New Roman"/>
                <w:color w:val="auto"/>
                <w:sz w:val="24"/>
                <w:szCs w:val="28"/>
              </w:rPr>
              <w:t>kg/d计算，项目生活垃圾产生量为</w:t>
            </w:r>
            <w:r>
              <w:rPr>
                <w:rFonts w:hint="eastAsia" w:cs="Times New Roman"/>
                <w:color w:val="auto"/>
                <w:sz w:val="24"/>
                <w:szCs w:val="28"/>
                <w:lang w:val="en-US" w:eastAsia="zh-CN"/>
              </w:rPr>
              <w:t>20.5</w:t>
            </w:r>
            <w:r>
              <w:rPr>
                <w:rFonts w:hint="default" w:ascii="Times New Roman" w:hAnsi="Times New Roman" w:eastAsia="宋体" w:cs="Times New Roman"/>
                <w:color w:val="auto"/>
                <w:sz w:val="24"/>
                <w:szCs w:val="28"/>
              </w:rPr>
              <w:t>kg/d（</w:t>
            </w:r>
            <w:r>
              <w:rPr>
                <w:rFonts w:hint="eastAsia" w:cs="Times New Roman"/>
                <w:color w:val="auto"/>
                <w:sz w:val="24"/>
                <w:szCs w:val="28"/>
                <w:lang w:val="en-US" w:eastAsia="zh-CN"/>
              </w:rPr>
              <w:t>6.15</w:t>
            </w:r>
            <w:r>
              <w:rPr>
                <w:rFonts w:hint="default" w:ascii="Times New Roman" w:hAnsi="Times New Roman" w:eastAsia="宋体" w:cs="Times New Roman"/>
                <w:color w:val="auto"/>
                <w:sz w:val="24"/>
                <w:szCs w:val="28"/>
              </w:rPr>
              <w:t>t/a）</w:t>
            </w:r>
            <w:r>
              <w:rPr>
                <w:rFonts w:hint="default" w:ascii="Times New Roman" w:hAnsi="Times New Roman" w:eastAsia="宋体" w:cs="Times New Roman"/>
                <w:color w:val="auto"/>
                <w:sz w:val="24"/>
              </w:rPr>
              <w:t>。</w:t>
            </w:r>
          </w:p>
        </w:tc>
      </w:tr>
    </w:tbl>
    <w:p>
      <w:pPr>
        <w:rPr>
          <w:rFonts w:hint="default" w:ascii="Times New Roman" w:hAnsi="Times New Roman" w:eastAsia="宋体" w:cs="Times New Roman"/>
          <w:color w:val="auto"/>
        </w:rPr>
        <w:sectPr>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21"/>
        <w:gridCol w:w="1438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84" w:hRule="atLeast"/>
          <w:jc w:val="center"/>
        </w:trPr>
        <w:tc>
          <w:tcPr>
            <w:tcW w:w="109" w:type="pct"/>
            <w:noWrap w:val="0"/>
            <w:tcMar>
              <w:left w:w="28" w:type="dxa"/>
              <w:right w:w="28" w:type="dxa"/>
            </w:tcMar>
            <w:vAlign w:val="center"/>
          </w:tcPr>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运营</w:t>
            </w:r>
          </w:p>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期环</w:t>
            </w:r>
          </w:p>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境影</w:t>
            </w:r>
          </w:p>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响和</w:t>
            </w:r>
          </w:p>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保护</w:t>
            </w:r>
          </w:p>
          <w:p>
            <w:pPr>
              <w:pStyle w:val="54"/>
              <w:keepNext w:val="0"/>
              <w:keepLines w:val="0"/>
              <w:suppressLineNumbers w:val="0"/>
              <w:adjustRightInd/>
              <w:snapToGrid/>
              <w:spacing w:before="0" w:beforeAutospacing="0" w:line="240" w:lineRule="auto"/>
              <w:ind w:left="0" w:right="0"/>
              <w:rPr>
                <w:rFonts w:hint="default" w:ascii="Times New Roman" w:hAnsi="Times New Roman" w:eastAsia="宋体" w:cs="Times New Roman"/>
                <w:bCs/>
                <w:color w:val="auto"/>
              </w:rPr>
            </w:pPr>
            <w:r>
              <w:rPr>
                <w:rFonts w:hint="default" w:ascii="Times New Roman" w:hAnsi="Times New Roman" w:eastAsia="宋体" w:cs="Times New Roman"/>
                <w:color w:val="auto"/>
              </w:rPr>
              <w:t>措</w:t>
            </w:r>
            <w:r>
              <w:rPr>
                <w:rFonts w:hint="default" w:ascii="Times New Roman" w:hAnsi="Times New Roman" w:eastAsia="宋体" w:cs="Times New Roman"/>
                <w:b/>
                <w:color w:val="auto"/>
              </w:rPr>
              <w:t>施</w:t>
            </w:r>
          </w:p>
        </w:tc>
        <w:tc>
          <w:tcPr>
            <w:tcW w:w="4890" w:type="pct"/>
            <w:noWrap w:val="0"/>
            <w:vAlign w:val="center"/>
          </w:tcPr>
          <w:p>
            <w:pPr>
              <w:pStyle w:val="57"/>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rPr>
            </w:pPr>
            <w:bookmarkStart w:id="66" w:name="_Ref29450"/>
            <w:r>
              <w:rPr>
                <w:rFonts w:hint="default" w:ascii="Times New Roman" w:hAnsi="Times New Roman" w:eastAsia="宋体" w:cs="Times New Roman"/>
                <w:color w:val="auto"/>
              </w:rPr>
              <w:t>项目固体废物汇总表见</w:t>
            </w:r>
            <w:r>
              <w:rPr>
                <w:rFonts w:hint="default" w:ascii="Times New Roman" w:hAnsi="Times New Roman" w:eastAsia="宋体" w:cs="Times New Roman"/>
                <w:color w:val="auto"/>
                <w:lang w:eastAsia="zh-CN"/>
              </w:rPr>
              <w:fldChar w:fldCharType="begin"/>
            </w:r>
            <w:r>
              <w:rPr>
                <w:rFonts w:hint="default" w:ascii="Times New Roman" w:hAnsi="Times New Roman" w:eastAsia="宋体" w:cs="Times New Roman"/>
                <w:color w:val="auto"/>
                <w:lang w:eastAsia="zh-CN"/>
              </w:rPr>
              <w:instrText xml:space="preserve"> REF _Ref20779 \h </w:instrText>
            </w:r>
            <w:r>
              <w:rPr>
                <w:rFonts w:hint="default" w:ascii="Times New Roman" w:hAnsi="Times New Roman" w:eastAsia="宋体" w:cs="Times New Roman"/>
                <w:color w:val="auto"/>
                <w:lang w:eastAsia="zh-CN"/>
              </w:rPr>
              <w:fldChar w:fldCharType="separate"/>
            </w:r>
            <w:r>
              <w:rPr>
                <w:rFonts w:hint="default" w:ascii="Times New Roman" w:hAnsi="Times New Roman" w:eastAsia="宋体" w:cs="Times New Roman"/>
                <w:color w:val="auto"/>
              </w:rPr>
              <w:t>表4- 24</w:t>
            </w:r>
            <w:r>
              <w:rPr>
                <w:rFonts w:hint="default" w:ascii="Times New Roman" w:hAnsi="Times New Roman" w:eastAsia="宋体" w:cs="Times New Roman"/>
                <w:color w:val="auto"/>
                <w:lang w:eastAsia="zh-CN"/>
              </w:rPr>
              <w:fldChar w:fldCharType="end"/>
            </w:r>
            <w:r>
              <w:rPr>
                <w:rFonts w:hint="default" w:ascii="Times New Roman" w:hAnsi="Times New Roman" w:eastAsia="宋体" w:cs="Times New Roman"/>
                <w:color w:val="auto"/>
              </w:rPr>
              <w:t>。</w:t>
            </w:r>
          </w:p>
          <w:p>
            <w:pPr>
              <w:pStyle w:val="8"/>
              <w:keepNext w:val="0"/>
              <w:keepLines w:val="0"/>
              <w:suppressLineNumbers w:val="0"/>
              <w:spacing w:beforeAutospacing="0" w:afterAutospacing="0"/>
              <w:ind w:left="0" w:right="0"/>
              <w:jc w:val="center"/>
              <w:rPr>
                <w:rFonts w:hint="default" w:ascii="Times New Roman" w:hAnsi="Times New Roman" w:eastAsia="宋体" w:cs="Times New Roman"/>
                <w:b/>
                <w:color w:val="auto"/>
                <w:kern w:val="0"/>
              </w:rPr>
            </w:pPr>
            <w:bookmarkStart w:id="67" w:name="_Ref20779"/>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24</w:t>
            </w:r>
            <w:r>
              <w:rPr>
                <w:rFonts w:hint="default" w:ascii="Times New Roman" w:hAnsi="Times New Roman" w:eastAsia="宋体" w:cs="Times New Roman"/>
                <w:color w:val="auto"/>
              </w:rPr>
              <w:fldChar w:fldCharType="end"/>
            </w:r>
            <w:bookmarkEnd w:id="66"/>
            <w:bookmarkEnd w:id="67"/>
            <w:r>
              <w:rPr>
                <w:rFonts w:hint="default" w:ascii="Times New Roman" w:hAnsi="Times New Roman" w:eastAsia="宋体" w:cs="Times New Roman"/>
                <w:b/>
                <w:color w:val="auto"/>
                <w:kern w:val="0"/>
              </w:rPr>
              <w:t>项目固体废物汇总表</w:t>
            </w:r>
          </w:p>
          <w:tbl>
            <w:tblPr>
              <w:tblStyle w:val="26"/>
              <w:tblW w:w="4991"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928"/>
              <w:gridCol w:w="804"/>
              <w:gridCol w:w="1124"/>
              <w:gridCol w:w="1452"/>
              <w:gridCol w:w="1285"/>
              <w:gridCol w:w="963"/>
              <w:gridCol w:w="963"/>
              <w:gridCol w:w="1011"/>
              <w:gridCol w:w="801"/>
              <w:gridCol w:w="1447"/>
              <w:gridCol w:w="10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产生环节</w:t>
                  </w: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名称</w:t>
                  </w:r>
                </w:p>
              </w:tc>
              <w:tc>
                <w:tcPr>
                  <w:tcW w:w="28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属性</w:t>
                  </w: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危险废物类别</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危险废物</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代码</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主要有毒有害物质</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物理</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性状</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环境危险特性</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产生量（t/a）</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贮存方式</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利用处置方式和去向</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利用处置量（t/a）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生产过程</w:t>
                  </w: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铁料边角料</w:t>
                  </w:r>
                </w:p>
              </w:tc>
              <w:tc>
                <w:tcPr>
                  <w:tcW w:w="284"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一般工业固体废物</w:t>
                  </w: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8.5</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委外利用</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铝料边角料</w:t>
                  </w: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0.55</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委外利用</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滤筒除尘器收集的粉尘</w:t>
                  </w: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17.057</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自行利用</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17.057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废包装材料</w:t>
                  </w: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委外</w:t>
                  </w:r>
                  <w:r>
                    <w:rPr>
                      <w:rFonts w:hint="default" w:ascii="Times New Roman" w:hAnsi="Times New Roman" w:eastAsia="宋体" w:cs="Times New Roman"/>
                      <w:color w:val="auto"/>
                      <w:lang w:val="en-US" w:eastAsia="zh-CN"/>
                    </w:rPr>
                    <w:t>利用</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钣金件次品</w:t>
                  </w: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0.8</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委外</w:t>
                  </w:r>
                  <w:r>
                    <w:rPr>
                      <w:rFonts w:hint="default" w:ascii="Times New Roman" w:hAnsi="Times New Roman" w:eastAsia="宋体" w:cs="Times New Roman"/>
                      <w:color w:val="auto"/>
                      <w:lang w:val="en-US" w:eastAsia="zh-CN"/>
                    </w:rPr>
                    <w:t>利用</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灯饰配件次品</w:t>
                  </w:r>
                </w:p>
              </w:tc>
              <w:tc>
                <w:tcPr>
                  <w:tcW w:w="28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0.3</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委外</w:t>
                  </w:r>
                  <w:r>
                    <w:rPr>
                      <w:rFonts w:hint="default" w:ascii="Times New Roman" w:hAnsi="Times New Roman" w:eastAsia="宋体" w:cs="Times New Roman"/>
                      <w:color w:val="auto"/>
                      <w:lang w:val="en-US" w:eastAsia="zh-CN"/>
                    </w:rPr>
                    <w:t>利用</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散热器次品</w:t>
                  </w:r>
                </w:p>
              </w:tc>
              <w:tc>
                <w:tcPr>
                  <w:tcW w:w="28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0.2</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委外</w:t>
                  </w:r>
                  <w:r>
                    <w:rPr>
                      <w:rFonts w:hint="default" w:ascii="Times New Roman" w:hAnsi="Times New Roman" w:eastAsia="宋体" w:cs="Times New Roman"/>
                      <w:color w:val="auto"/>
                      <w:lang w:val="en-US" w:eastAsia="zh-CN"/>
                    </w:rPr>
                    <w:t>利用</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废涂料包装桶</w:t>
                  </w:r>
                </w:p>
              </w:tc>
              <w:tc>
                <w:tcPr>
                  <w:tcW w:w="284"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危险废物</w:t>
                  </w: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HW49</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900-041-49</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废涂料</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In</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委外处置</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废手套和抹布</w:t>
                  </w: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HW49</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900-041-49</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矿物油等</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In</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0.05</w:t>
                  </w:r>
                </w:p>
              </w:tc>
              <w:tc>
                <w:tcPr>
                  <w:tcW w:w="28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委外处置</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废矿物油及其包装桶</w:t>
                  </w: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HW08</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900-249-08</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矿物油等</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T，I</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w:t>
                  </w:r>
                </w:p>
              </w:tc>
              <w:tc>
                <w:tcPr>
                  <w:tcW w:w="28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委外处置</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废活性炭</w:t>
                  </w: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HW49</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900-039-49</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VOCs</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9.433</w:t>
                  </w:r>
                </w:p>
              </w:tc>
              <w:tc>
                <w:tcPr>
                  <w:tcW w:w="283"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委外处置</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lang w:val="en-US" w:eastAsia="zh-CN"/>
                    </w:rPr>
                    <w:t>9.433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废漆渣</w:t>
                  </w: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HW</w:t>
                  </w:r>
                  <w:r>
                    <w:rPr>
                      <w:rFonts w:hint="default" w:ascii="Times New Roman" w:hAnsi="Times New Roman" w:eastAsia="宋体" w:cs="Times New Roman"/>
                      <w:color w:val="auto"/>
                      <w:lang w:val="en-US" w:eastAsia="zh-CN"/>
                    </w:rPr>
                    <w:t>12</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900-</w:t>
                  </w:r>
                  <w:r>
                    <w:rPr>
                      <w:rFonts w:hint="default" w:ascii="Times New Roman" w:hAnsi="Times New Roman" w:eastAsia="宋体" w:cs="Times New Roman"/>
                      <w:color w:val="auto"/>
                      <w:lang w:val="en-US" w:eastAsia="zh-CN"/>
                    </w:rPr>
                    <w:t>252</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12</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VOCs等</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T.I</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lang w:val="en-US" w:eastAsia="zh-CN"/>
                    </w:rPr>
                    <w:t>1.615</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委外处置</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lang w:val="en-US" w:eastAsia="zh-CN"/>
                    </w:rPr>
                    <w:t>1.615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水帘柜废水</w:t>
                  </w:r>
                </w:p>
              </w:tc>
              <w:tc>
                <w:tcPr>
                  <w:tcW w:w="284"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HW49</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900-041-49</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VOCs</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液态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In</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18</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委外处置</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喷淋塔废水</w:t>
                  </w:r>
                </w:p>
              </w:tc>
              <w:tc>
                <w:tcPr>
                  <w:tcW w:w="28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HW49</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900-041-49</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VOCs</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液态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In</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lang w:val="en-US" w:eastAsia="zh-CN"/>
                    </w:rPr>
                    <w:t>17.327</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委外处置</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lang w:val="en-US" w:eastAsia="zh-CN"/>
                    </w:rPr>
                    <w:t>17.327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喷枪清洗废水</w:t>
                  </w:r>
                </w:p>
              </w:tc>
              <w:tc>
                <w:tcPr>
                  <w:tcW w:w="284"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HW49</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900-041-49</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VOCs</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液态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In</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0.6</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委外处置</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0.61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员工办公生活</w:t>
                  </w:r>
                </w:p>
              </w:tc>
              <w:tc>
                <w:tcPr>
                  <w:tcW w:w="68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生活办公垃圾</w:t>
                  </w:r>
                </w:p>
              </w:tc>
              <w:tc>
                <w:tcPr>
                  <w:tcW w:w="28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生活垃圾</w:t>
                  </w:r>
                </w:p>
              </w:tc>
              <w:tc>
                <w:tcPr>
                  <w:tcW w:w="39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51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45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4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57"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6.15</w:t>
                  </w:r>
                </w:p>
              </w:tc>
              <w:tc>
                <w:tcPr>
                  <w:tcW w:w="28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桶装贮存</w:t>
                  </w:r>
                </w:p>
              </w:tc>
              <w:tc>
                <w:tcPr>
                  <w:tcW w:w="51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委外处置</w:t>
                  </w:r>
                </w:p>
              </w:tc>
              <w:tc>
                <w:tcPr>
                  <w:tcW w:w="369" w:type="pct"/>
                  <w:tcBorders>
                    <w:tl2br w:val="nil"/>
                    <w:tr2bl w:val="nil"/>
                  </w:tcBorders>
                  <w:noWrap w:val="0"/>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6.15</w:t>
                  </w:r>
                </w:p>
              </w:tc>
            </w:tr>
          </w:tbl>
          <w:p>
            <w:pPr>
              <w:pStyle w:val="7"/>
              <w:keepNext w:val="0"/>
              <w:keepLines w:val="0"/>
              <w:suppressLineNumbers w:val="0"/>
              <w:spacing w:before="0" w:beforeAutospacing="0" w:after="0" w:afterAutospacing="0" w:line="360" w:lineRule="auto"/>
              <w:ind w:left="0" w:right="0" w:firstLine="0"/>
              <w:rPr>
                <w:rFonts w:hint="default" w:ascii="Times New Roman" w:hAnsi="Times New Roman" w:eastAsia="宋体" w:cs="Times New Roman"/>
                <w:color w:val="auto"/>
              </w:rPr>
            </w:pPr>
          </w:p>
        </w:tc>
      </w:tr>
    </w:tbl>
    <w:p>
      <w:pPr>
        <w:rPr>
          <w:rFonts w:hint="default" w:ascii="Times New Roman" w:hAnsi="Times New Roman" w:eastAsia="宋体" w:cs="Times New Roman"/>
          <w:color w:val="auto"/>
        </w:rPr>
        <w:sectPr>
          <w:type w:val="continuous"/>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92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71" w:hRule="atLeast"/>
          <w:jc w:val="center"/>
        </w:trPr>
        <w:tc>
          <w:tcPr>
            <w:tcW w:w="261" w:type="pct"/>
            <w:noWrap w:val="0"/>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p>
        </w:tc>
        <w:tc>
          <w:tcPr>
            <w:tcW w:w="4738" w:type="pct"/>
            <w:tcBorders>
              <w:bottom w:val="single" w:color="auto" w:sz="4" w:space="0"/>
            </w:tcBorders>
            <w:noWrap w:val="0"/>
            <w:vAlign w:val="center"/>
          </w:tcPr>
          <w:p>
            <w:pPr>
              <w:keepNext w:val="0"/>
              <w:keepLines w:val="0"/>
              <w:widowControl/>
              <w:numPr>
                <w:ilvl w:val="0"/>
                <w:numId w:val="28"/>
              </w:numPr>
              <w:suppressLineNumbers w:val="0"/>
              <w:adjustRightInd w:val="0"/>
              <w:snapToGrid w:val="0"/>
              <w:spacing w:before="0" w:beforeAutospacing="0" w:after="0" w:afterAutospacing="0" w:line="360" w:lineRule="auto"/>
              <w:ind w:right="0" w:firstLine="397"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环境管理要求</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企业拟对各种固体废物进行分类堆放处理，厂区设生活垃圾临时堆放点，危险废物设置</w:t>
            </w:r>
            <w:r>
              <w:rPr>
                <w:rFonts w:hint="default" w:ascii="Times New Roman" w:hAnsi="Times New Roman" w:eastAsia="宋体" w:cs="Times New Roman"/>
                <w:color w:val="auto"/>
                <w:kern w:val="0"/>
                <w:sz w:val="24"/>
                <w:szCs w:val="28"/>
              </w:rPr>
              <w:t>危险废物暂存间</w:t>
            </w:r>
            <w:r>
              <w:rPr>
                <w:rFonts w:hint="default" w:ascii="Times New Roman" w:hAnsi="Times New Roman" w:eastAsia="宋体" w:cs="Times New Roman"/>
                <w:color w:val="auto"/>
                <w:kern w:val="0"/>
                <w:sz w:val="24"/>
              </w:rPr>
              <w:t>，一般工业固废设置一般工业固废暂存区。</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szCs w:val="28"/>
              </w:rPr>
            </w:pPr>
            <w:r>
              <w:rPr>
                <w:rFonts w:hint="default" w:ascii="Times New Roman" w:hAnsi="Times New Roman" w:eastAsia="宋体" w:cs="Times New Roman"/>
                <w:bCs/>
                <w:color w:val="auto"/>
                <w:sz w:val="24"/>
                <w:szCs w:val="28"/>
              </w:rPr>
              <w:t>项目固体废物临时储存区应做好防范措施，必须严格按照《一般工业固体废物贮存和填埋污染控制标准》（GB 18599-2020）的要求建设和维护使用。</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bCs/>
                <w:color w:val="auto"/>
                <w:sz w:val="24"/>
                <w:szCs w:val="28"/>
              </w:rPr>
            </w:pPr>
            <w:r>
              <w:rPr>
                <w:rFonts w:hint="default" w:ascii="Times New Roman" w:hAnsi="Times New Roman" w:eastAsia="宋体" w:cs="Times New Roman"/>
                <w:bCs/>
                <w:color w:val="auto"/>
                <w:sz w:val="24"/>
                <w:szCs w:val="28"/>
              </w:rPr>
              <w:t>危险废物从产生、收集、贮运、转运、处置等各个环节都可能因管理不善而进入环境，因此在各个环节中，抛落、渗漏、丢弃等不完善问题都可能存在，为了使各种危险废物能更好的达到合法合理处置的目的，本评价拟按照《建设项目危险废物环境影响评价指南》（公告2017年第43号）、《危险废物贮存污染控制标准》（GB</w:t>
            </w:r>
            <w:r>
              <w:rPr>
                <w:rFonts w:hint="default" w:ascii="Times New Roman" w:hAnsi="Times New Roman" w:eastAsia="宋体" w:cs="Times New Roman"/>
                <w:bCs/>
                <w:color w:val="auto"/>
                <w:szCs w:val="28"/>
              </w:rPr>
              <w:t>18597—2023</w:t>
            </w:r>
            <w:r>
              <w:rPr>
                <w:rFonts w:hint="default" w:ascii="Times New Roman" w:hAnsi="Times New Roman" w:eastAsia="宋体" w:cs="Times New Roman"/>
                <w:bCs/>
                <w:color w:val="auto"/>
                <w:sz w:val="24"/>
                <w:szCs w:val="28"/>
              </w:rPr>
              <w:t>）</w:t>
            </w:r>
            <w:r>
              <w:rPr>
                <w:rFonts w:hint="default" w:ascii="Times New Roman" w:hAnsi="Times New Roman" w:eastAsia="宋体" w:cs="Times New Roman"/>
                <w:bCs/>
                <w:color w:val="auto"/>
                <w:sz w:val="24"/>
                <w:szCs w:val="28"/>
                <w:lang w:val="en-US" w:eastAsia="zh-CN"/>
              </w:rPr>
              <w:t>、《危险废物管理计划和管理台账制定技术导则》（HJ 1259—2022）</w:t>
            </w:r>
            <w:r>
              <w:rPr>
                <w:rFonts w:hint="default" w:ascii="Times New Roman" w:hAnsi="Times New Roman" w:eastAsia="宋体" w:cs="Times New Roman"/>
                <w:bCs/>
                <w:color w:val="auto"/>
                <w:sz w:val="24"/>
                <w:szCs w:val="28"/>
              </w:rPr>
              <w:t>等国家相关法律，提出相应的治理措施，以进一步规范项目在收集、贮运、处置方式等操作过程。</w:t>
            </w:r>
          </w:p>
          <w:p>
            <w:pPr>
              <w:keepNext w:val="0"/>
              <w:keepLines w:val="0"/>
              <w:widowControl/>
              <w:numPr>
                <w:ilvl w:val="0"/>
                <w:numId w:val="31"/>
              </w:numPr>
              <w:suppressLineNumbers w:val="0"/>
              <w:spacing w:before="0" w:beforeAutospacing="0" w:after="0" w:afterAutospacing="0" w:line="360" w:lineRule="auto"/>
              <w:ind w:right="0" w:firstLine="480" w:firstLineChars="200"/>
              <w:jc w:val="left"/>
              <w:rPr>
                <w:rFonts w:hint="default" w:ascii="Times New Roman" w:hAnsi="Times New Roman" w:eastAsia="宋体" w:cs="Times New Roman"/>
                <w:color w:val="auto"/>
              </w:rPr>
            </w:pPr>
            <w:r>
              <w:rPr>
                <w:rFonts w:hint="default" w:ascii="Times New Roman" w:hAnsi="Times New Roman" w:eastAsia="宋体" w:cs="Times New Roman"/>
                <w:color w:val="auto"/>
                <w:kern w:val="0"/>
                <w:sz w:val="24"/>
                <w:lang w:bidi="ar"/>
              </w:rPr>
              <w:t>收集、贮存</w:t>
            </w:r>
          </w:p>
          <w:p>
            <w:pPr>
              <w:pStyle w:val="57"/>
              <w:keepNext w:val="0"/>
              <w:keepLines w:val="0"/>
              <w:suppressLineNumbers w:val="0"/>
              <w:bidi w:val="0"/>
              <w:spacing w:before="0" w:beforeAutospacing="0" w:after="0" w:afterAutospacing="0"/>
              <w:ind w:left="0" w:right="0"/>
              <w:rPr>
                <w:rFonts w:hint="default"/>
              </w:rPr>
            </w:pPr>
            <w:r>
              <w:rPr>
                <w:rFonts w:hint="default"/>
              </w:rPr>
              <w:t>根据上述分析，项目的危险废物主要为</w:t>
            </w:r>
            <w:r>
              <w:rPr>
                <w:rFonts w:hint="default"/>
                <w:lang w:val="en-US" w:eastAsia="zh-CN"/>
              </w:rPr>
              <w:t>废涂料包装桶、废手套和抹布、废矿物油及其包装桶、废活性炭等</w:t>
            </w:r>
            <w:r>
              <w:rPr>
                <w:rFonts w:hint="default"/>
              </w:rPr>
              <w:t>。因此，建设单位根据废物特性设置符合</w:t>
            </w:r>
            <w:r>
              <w:rPr>
                <w:rFonts w:hint="default"/>
                <w:lang w:eastAsia="zh-CN"/>
              </w:rPr>
              <w:t>《危险废物贮存污染控制标准》（GB 18597-2023）</w:t>
            </w:r>
            <w:r>
              <w:rPr>
                <w:rFonts w:hint="default"/>
              </w:rPr>
              <w:t>要求的危险废物暂存场所，且在暂存场所上空设有防雨淋设施，地面采取防渗措施，危险废物收集后分别临时贮存于废物储</w:t>
            </w:r>
            <w:r>
              <w:rPr>
                <w:rFonts w:hint="default"/>
                <w:lang w:val="en-US" w:eastAsia="zh-CN"/>
              </w:rPr>
              <w:t>桶</w:t>
            </w:r>
            <w:r>
              <w:rPr>
                <w:rFonts w:hint="default"/>
              </w:rPr>
              <w:t>内；根据生产需要合理设置贮存量，尽量减少厂内的物料贮存量；严防将危险废物混入生活垃圾；堆放危险废物的地方要有明显的标志，堆放点要防雨、防渗、防漏，按要求进行包装贮存。项目危险废物暂存场基本情况见</w:t>
            </w:r>
            <w:r>
              <w:rPr>
                <w:rFonts w:hint="default"/>
              </w:rPr>
              <w:fldChar w:fldCharType="begin"/>
            </w:r>
            <w:r>
              <w:rPr>
                <w:rFonts w:hint="default"/>
              </w:rPr>
              <w:instrText xml:space="preserve"> REF _Ref29627 \h </w:instrText>
            </w:r>
            <w:r>
              <w:rPr>
                <w:rFonts w:hint="default"/>
              </w:rPr>
              <w:fldChar w:fldCharType="separate"/>
            </w:r>
            <w:r>
              <w:rPr>
                <w:rFonts w:hint="default" w:ascii="Times New Roman" w:hAnsi="Times New Roman" w:eastAsia="宋体" w:cs="Times New Roman"/>
                <w:color w:val="auto"/>
              </w:rPr>
              <w:t>表4- 25</w:t>
            </w:r>
            <w:r>
              <w:rPr>
                <w:rFonts w:hint="default"/>
              </w:rPr>
              <w:fldChar w:fldCharType="end"/>
            </w:r>
            <w:r>
              <w:rPr>
                <w:rFonts w:hint="default"/>
              </w:rPr>
              <w:t>。</w:t>
            </w:r>
          </w:p>
          <w:p>
            <w:pPr>
              <w:pStyle w:val="8"/>
              <w:keepNext w:val="0"/>
              <w:keepLines w:val="0"/>
              <w:suppressLineNumbers w:val="0"/>
              <w:spacing w:beforeAutospacing="0" w:afterAutospacing="0"/>
              <w:ind w:left="0" w:right="0" w:firstLine="480"/>
              <w:jc w:val="center"/>
              <w:rPr>
                <w:rFonts w:hint="default" w:ascii="Times New Roman" w:hAnsi="Times New Roman" w:eastAsia="宋体" w:cs="Times New Roman"/>
                <w:b/>
                <w:bCs/>
                <w:color w:val="auto"/>
                <w:szCs w:val="28"/>
              </w:rPr>
            </w:pPr>
            <w:bookmarkStart w:id="68" w:name="_Ref29627"/>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25</w:t>
            </w:r>
            <w:r>
              <w:rPr>
                <w:rFonts w:hint="default" w:ascii="Times New Roman" w:hAnsi="Times New Roman" w:eastAsia="宋体" w:cs="Times New Roman"/>
                <w:color w:val="auto"/>
              </w:rPr>
              <w:fldChar w:fldCharType="end"/>
            </w:r>
            <w:bookmarkEnd w:id="68"/>
            <w:r>
              <w:rPr>
                <w:rFonts w:hint="default" w:ascii="Times New Roman" w:hAnsi="Times New Roman" w:eastAsia="宋体" w:cs="Times New Roman"/>
                <w:color w:val="auto"/>
              </w:rPr>
              <w:t>建设项目危险废物贮存场所（设施）基本情况</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969"/>
              <w:gridCol w:w="1139"/>
              <w:gridCol w:w="904"/>
              <w:gridCol w:w="1345"/>
              <w:gridCol w:w="824"/>
              <w:gridCol w:w="724"/>
              <w:gridCol w:w="1072"/>
              <w:gridCol w:w="681"/>
              <w:gridCol w:w="9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4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序号</w:t>
                  </w:r>
                </w:p>
              </w:tc>
              <w:tc>
                <w:tcPr>
                  <w:tcW w:w="53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贮存场所（设施）名称</w:t>
                  </w:r>
                </w:p>
              </w:tc>
              <w:tc>
                <w:tcPr>
                  <w:tcW w:w="62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危险废物名称</w:t>
                  </w:r>
                </w:p>
              </w:tc>
              <w:tc>
                <w:tcPr>
                  <w:tcW w:w="49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危险废物类别</w:t>
                  </w:r>
                </w:p>
              </w:tc>
              <w:tc>
                <w:tcPr>
                  <w:tcW w:w="743"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危险废物代码</w:t>
                  </w:r>
                </w:p>
              </w:tc>
              <w:tc>
                <w:tcPr>
                  <w:tcW w:w="45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位置</w:t>
                  </w:r>
                </w:p>
              </w:tc>
              <w:tc>
                <w:tcPr>
                  <w:tcW w:w="400"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占地面积</w:t>
                  </w:r>
                </w:p>
              </w:tc>
              <w:tc>
                <w:tcPr>
                  <w:tcW w:w="592"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贮存方式</w:t>
                  </w:r>
                </w:p>
              </w:tc>
              <w:tc>
                <w:tcPr>
                  <w:tcW w:w="376"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贮存能力</w:t>
                  </w:r>
                </w:p>
              </w:tc>
              <w:tc>
                <w:tcPr>
                  <w:tcW w:w="518"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贮存</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周期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46" w:type="pct"/>
                  <w:vMerge w:val="restar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535" w:type="pct"/>
                  <w:vMerge w:val="restart"/>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危险废物暂存间</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废涂料包装桶</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HW49</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900-041-49</w:t>
                  </w:r>
                </w:p>
              </w:tc>
              <w:tc>
                <w:tcPr>
                  <w:tcW w:w="455" w:type="pct"/>
                  <w:vMerge w:val="restart"/>
                  <w:vAlign w:val="center"/>
                </w:tcPr>
                <w:p>
                  <w:pPr>
                    <w:pStyle w:val="52"/>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lang w:val="en-US" w:eastAsia="zh-CN"/>
                    </w:rPr>
                    <w:t>车间B</w:t>
                  </w:r>
                  <w:r>
                    <w:rPr>
                      <w:rFonts w:hint="default" w:ascii="Times New Roman" w:hAnsi="Times New Roman" w:eastAsia="宋体" w:cs="Times New Roman"/>
                      <w:color w:val="auto"/>
                      <w:lang w:val="en-US" w:eastAsia="zh-CN"/>
                    </w:rPr>
                    <w:t>西南部</w:t>
                  </w:r>
                </w:p>
              </w:tc>
              <w:tc>
                <w:tcPr>
                  <w:tcW w:w="400" w:type="pct"/>
                  <w:vMerge w:val="restart"/>
                  <w:vAlign w:val="center"/>
                </w:tcPr>
                <w:p>
                  <w:pPr>
                    <w:pStyle w:val="52"/>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lang w:val="en-US" w:eastAsia="zh-CN"/>
                    </w:rPr>
                    <w:t>10</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p>
              </w:tc>
              <w:tc>
                <w:tcPr>
                  <w:tcW w:w="592" w:type="pct"/>
                  <w:vMerge w:val="restart"/>
                  <w:vAlign w:val="center"/>
                </w:tcPr>
                <w:p>
                  <w:pPr>
                    <w:pStyle w:val="52"/>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采用密闭性好、耐腐蚀的塑料桶盛装</w:t>
                  </w:r>
                </w:p>
              </w:tc>
              <w:tc>
                <w:tcPr>
                  <w:tcW w:w="0" w:type="auto"/>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2t</w:t>
                  </w: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半年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46"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3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废手套和抹布</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HW49</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900-041-49</w:t>
                  </w:r>
                </w:p>
              </w:tc>
              <w:tc>
                <w:tcPr>
                  <w:tcW w:w="45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400"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92"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0.1t</w:t>
                  </w: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半年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46"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3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废矿物油及其包装桶</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HW08</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900-249-08</w:t>
                  </w:r>
                </w:p>
              </w:tc>
              <w:tc>
                <w:tcPr>
                  <w:tcW w:w="45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400"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92"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0.1t</w:t>
                  </w: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半年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46"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3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废活性炭</w:t>
                  </w:r>
                </w:p>
              </w:tc>
              <w:tc>
                <w:tcPr>
                  <w:tcW w:w="499" w:type="pct"/>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HW49</w:t>
                  </w:r>
                </w:p>
              </w:tc>
              <w:tc>
                <w:tcPr>
                  <w:tcW w:w="743" w:type="pct"/>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900-039-49</w:t>
                  </w:r>
                </w:p>
              </w:tc>
              <w:tc>
                <w:tcPr>
                  <w:tcW w:w="45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400"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92"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5t</w:t>
                  </w: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一季度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6"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3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废漆渣</w:t>
                  </w:r>
                </w:p>
              </w:tc>
              <w:tc>
                <w:tcPr>
                  <w:tcW w:w="499" w:type="pct"/>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HW</w:t>
                  </w:r>
                  <w:r>
                    <w:rPr>
                      <w:rFonts w:hint="default" w:ascii="Times New Roman" w:hAnsi="Times New Roman" w:eastAsia="宋体" w:cs="Times New Roman"/>
                      <w:color w:val="auto"/>
                      <w:lang w:val="en-US" w:eastAsia="zh-CN"/>
                    </w:rPr>
                    <w:t>12</w:t>
                  </w:r>
                </w:p>
              </w:tc>
              <w:tc>
                <w:tcPr>
                  <w:tcW w:w="743" w:type="pct"/>
                  <w:vAlign w:val="center"/>
                </w:tcPr>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900-</w:t>
                  </w:r>
                  <w:r>
                    <w:rPr>
                      <w:rFonts w:hint="default" w:ascii="Times New Roman" w:hAnsi="Times New Roman" w:eastAsia="宋体" w:cs="Times New Roman"/>
                      <w:color w:val="auto"/>
                      <w:lang w:val="en-US" w:eastAsia="zh-CN"/>
                    </w:rPr>
                    <w:t>252</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12</w:t>
                  </w:r>
                </w:p>
              </w:tc>
              <w:tc>
                <w:tcPr>
                  <w:tcW w:w="455" w:type="pct"/>
                  <w:vMerge w:val="continue"/>
                  <w:vAlign w:val="center"/>
                </w:tcPr>
                <w:p>
                  <w:pPr>
                    <w:pStyle w:val="52"/>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400" w:type="pct"/>
                  <w:vMerge w:val="continue"/>
                  <w:vAlign w:val="center"/>
                </w:tcPr>
                <w:p>
                  <w:pPr>
                    <w:pStyle w:val="52"/>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592" w:type="pct"/>
                  <w:vMerge w:val="continue"/>
                  <w:vAlign w:val="center"/>
                </w:tcPr>
                <w:p>
                  <w:pPr>
                    <w:pStyle w:val="52"/>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0" w:type="auto"/>
                  <w:vAlign w:val="center"/>
                </w:tcPr>
                <w:p>
                  <w:pPr>
                    <w:pStyle w:val="5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5t</w:t>
                  </w:r>
                </w:p>
              </w:tc>
              <w:tc>
                <w:tcPr>
                  <w:tcW w:w="0" w:type="auto"/>
                  <w:vAlign w:val="center"/>
                </w:tcPr>
                <w:p>
                  <w:pPr>
                    <w:pStyle w:val="52"/>
                    <w:keepNext w:val="0"/>
                    <w:keepLines w:val="0"/>
                    <w:suppressLineNumbers w:val="0"/>
                    <w:bidi w:val="0"/>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一季度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46"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3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水帘柜废水</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HW49</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900-041-49</w:t>
                  </w:r>
                </w:p>
              </w:tc>
              <w:tc>
                <w:tcPr>
                  <w:tcW w:w="45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400"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92"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8t</w:t>
                  </w: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一季度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46"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3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喷淋塔废水</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HW49</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900-041-49</w:t>
                  </w:r>
                </w:p>
              </w:tc>
              <w:tc>
                <w:tcPr>
                  <w:tcW w:w="45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400"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92"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半年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46"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3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喷枪清洗废水</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HW49</w:t>
                  </w:r>
                </w:p>
              </w:tc>
              <w:tc>
                <w:tcPr>
                  <w:tcW w:w="0" w:type="auto"/>
                  <w:vAlign w:val="center"/>
                </w:tcPr>
                <w:p>
                  <w:pPr>
                    <w:pStyle w:val="52"/>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900-041-49</w:t>
                  </w:r>
                </w:p>
              </w:tc>
              <w:tc>
                <w:tcPr>
                  <w:tcW w:w="455"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400"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592" w:type="pct"/>
                  <w:vMerge w:val="continue"/>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w:t>
                  </w:r>
                </w:p>
              </w:tc>
              <w:tc>
                <w:tcPr>
                  <w:tcW w:w="0" w:type="auto"/>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半年</w:t>
                  </w:r>
                </w:p>
              </w:tc>
            </w:tr>
          </w:tbl>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szCs w:val="28"/>
              </w:rPr>
            </w:pPr>
            <w:r>
              <w:rPr>
                <w:rFonts w:hint="default" w:ascii="Times New Roman" w:hAnsi="Times New Roman" w:eastAsia="宋体" w:cs="Times New Roman"/>
                <w:bCs/>
                <w:color w:val="auto"/>
                <w:sz w:val="24"/>
                <w:szCs w:val="28"/>
              </w:rPr>
              <w:t>综上，项目危险废物贮存场所选址可行，场所贮存能力满足要求。项目危险废物通过各项污染防治措施，贮存符合相关要求，不会对周围环境空气、地表水、地下水、土壤以及环境敏感保护目标造成影响。</w:t>
            </w:r>
          </w:p>
          <w:p>
            <w:pPr>
              <w:keepNext w:val="0"/>
              <w:keepLines w:val="0"/>
              <w:numPr>
                <w:ilvl w:val="0"/>
                <w:numId w:val="31"/>
              </w:numPr>
              <w:suppressLineNumbers w:val="0"/>
              <w:adjustRightInd w:val="0"/>
              <w:snapToGrid w:val="0"/>
              <w:spacing w:before="0" w:beforeAutospacing="0" w:after="0" w:afterAutospacing="0" w:line="360" w:lineRule="auto"/>
              <w:ind w:right="0" w:firstLine="480" w:firstLineChars="200"/>
              <w:rPr>
                <w:rFonts w:hint="default" w:ascii="Times New Roman" w:hAnsi="Times New Roman" w:eastAsia="宋体" w:cs="Times New Roman"/>
                <w:bCs/>
                <w:color w:val="auto"/>
                <w:sz w:val="24"/>
                <w:szCs w:val="28"/>
              </w:rPr>
            </w:pPr>
            <w:r>
              <w:rPr>
                <w:rFonts w:hint="default" w:ascii="Times New Roman" w:hAnsi="Times New Roman" w:eastAsia="宋体" w:cs="Times New Roman"/>
                <w:bCs/>
                <w:color w:val="auto"/>
                <w:sz w:val="24"/>
                <w:szCs w:val="28"/>
              </w:rPr>
              <w:t>运输</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对危险废物的运输要求安全可靠，要严格按照危险废物运输的管理规定进行危险废物的运输，减少运输过程中的二次污染和可能造成的环境风险，运输车辆需有特殊标志。</w:t>
            </w:r>
          </w:p>
          <w:p>
            <w:pPr>
              <w:keepNext w:val="0"/>
              <w:keepLines w:val="0"/>
              <w:numPr>
                <w:ilvl w:val="0"/>
                <w:numId w:val="31"/>
              </w:numPr>
              <w:suppressLineNumbers w:val="0"/>
              <w:spacing w:before="0" w:beforeAutospacing="0" w:after="0" w:afterAutospacing="0" w:line="360" w:lineRule="auto"/>
              <w:ind w:right="0" w:firstLine="400" w:firstLineChars="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处置</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建设单位拟将危险废物交由有危废处置资质单位处理。本项目的危险废物防治措施在技术经济上是可行的。</w:t>
            </w:r>
          </w:p>
          <w:p>
            <w:pPr>
              <w:keepNext w:val="0"/>
              <w:keepLines w:val="0"/>
              <w:numPr>
                <w:ilvl w:val="0"/>
                <w:numId w:val="31"/>
              </w:numPr>
              <w:suppressLineNumbers w:val="0"/>
              <w:spacing w:before="0" w:beforeAutospacing="0" w:after="0" w:afterAutospacing="0" w:line="360" w:lineRule="auto"/>
              <w:ind w:right="0" w:firstLine="400" w:firstLineChars="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管理</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根据《广东省危险废物产生单位危险废物规范化管理工作实施方案》</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bCs/>
                <w:color w:val="auto"/>
                <w:sz w:val="24"/>
                <w:szCs w:val="28"/>
                <w:lang w:val="en-US" w:eastAsia="zh-CN"/>
              </w:rPr>
              <w:t>《危险废物管理计划和管理台账制定技术导则》（HJ 1259—2022）</w:t>
            </w:r>
            <w:r>
              <w:rPr>
                <w:rFonts w:hint="default" w:ascii="Times New Roman" w:hAnsi="Times New Roman" w:eastAsia="宋体" w:cs="Times New Roman"/>
                <w:color w:val="auto"/>
                <w:sz w:val="24"/>
              </w:rPr>
              <w:t>，企业须根据管理台账和近年生产计划，制订危险废物管理计划，并报当地环保部门备案。台账如实记载产生危险废物的种类、数量、利用、贮存、处置、流向等信息，以此作为向当地环保部门申报危险废物管理计划和编制依据。产生的危险废物实行分类收集后置于贮存设施内，贮存时限一般不得超过一年，并设专人管理。盛装危险废物的容器和包装物以及产生、收集、贮存、运输、处置危险废物的场所，必须依法设置相应标识、警示标志和标签，标签上应注明贮存的危险废物类别、危害性以及开始贮存时间等内容。危险废物的转移必须符合《危险废物转移联单管理办法》中的规定，包括危险废物产生单位在转移危险废物前，须向当地环境保护行政主管部门申请领取联单。为提高危险废物转移联单运行效率和信息化管理水平，加强危险废物环境管理，根据省厅相关文件要求，实行危险废物（医疗废物除外）转移电子联单管理。转移当天，产生单位登陆省固废平台填报转移信息，并打印加盖公章，交付危险废物运输单位核实验收并随车携带。</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通过以上处理措施，项目固体废物均得到妥善处理的情况下，固体废物对环境的影响较小。</w:t>
            </w:r>
          </w:p>
          <w:p>
            <w:pPr>
              <w:keepNext w:val="0"/>
              <w:keepLines w:val="0"/>
              <w:numPr>
                <w:ilvl w:val="0"/>
                <w:numId w:val="16"/>
              </w:numPr>
              <w:suppressLineNumbers w:val="0"/>
              <w:adjustRightInd w:val="0"/>
              <w:snapToGrid w:val="0"/>
              <w:spacing w:before="0" w:beforeAutospacing="0" w:after="0" w:afterAutospacing="0" w:line="360" w:lineRule="auto"/>
              <w:ind w:left="0" w:leftChars="0" w:right="0" w:firstLine="400"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地下水和土壤</w:t>
            </w:r>
          </w:p>
          <w:p>
            <w:pPr>
              <w:keepNext w:val="0"/>
              <w:keepLines w:val="0"/>
              <w:numPr>
                <w:ilvl w:val="0"/>
                <w:numId w:val="32"/>
              </w:numPr>
              <w:suppressLineNumbers w:val="0"/>
              <w:adjustRightInd/>
              <w:snapToGrid/>
              <w:spacing w:before="0" w:beforeAutospacing="0" w:after="0" w:afterAutospacing="0" w:line="360" w:lineRule="auto"/>
              <w:ind w:left="0" w:right="0" w:firstLine="397" w:firstLineChars="0"/>
              <w:rPr>
                <w:rFonts w:hint="default" w:ascii="Times New Roman" w:hAnsi="Times New Roman" w:eastAsia="宋体" w:cs="Times New Roman"/>
                <w:iCs/>
                <w:color w:val="auto"/>
                <w:sz w:val="24"/>
                <w:szCs w:val="24"/>
                <w:highlight w:val="none"/>
                <w:lang w:val="en-US" w:eastAsia="zh-CN"/>
              </w:rPr>
            </w:pPr>
            <w:r>
              <w:rPr>
                <w:rFonts w:hint="default" w:ascii="Times New Roman" w:hAnsi="Times New Roman" w:eastAsia="宋体" w:cs="Times New Roman"/>
                <w:iCs/>
                <w:color w:val="auto"/>
                <w:sz w:val="24"/>
                <w:szCs w:val="24"/>
                <w:highlight w:val="none"/>
                <w:lang w:val="en-US" w:eastAsia="zh-CN"/>
              </w:rPr>
              <w:t>影响识别</w:t>
            </w:r>
          </w:p>
          <w:p>
            <w:pPr>
              <w:keepNext w:val="0"/>
              <w:keepLines w:val="0"/>
              <w:suppressLineNumbers w:val="0"/>
              <w:bidi w:val="0"/>
              <w:adjustRightInd/>
              <w:snapToGrid/>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本项目土壤、</w:t>
            </w:r>
            <w:r>
              <w:rPr>
                <w:rFonts w:hint="default" w:ascii="Times New Roman" w:hAnsi="Times New Roman" w:eastAsia="宋体" w:cs="Times New Roman"/>
                <w:color w:val="auto"/>
                <w:highlight w:val="none"/>
              </w:rPr>
              <w:t>地下水污染</w:t>
            </w:r>
            <w:r>
              <w:rPr>
                <w:rFonts w:hint="default" w:ascii="Times New Roman" w:hAnsi="Times New Roman" w:eastAsia="宋体" w:cs="Times New Roman"/>
                <w:color w:val="auto"/>
                <w:highlight w:val="none"/>
                <w:lang w:val="en-US" w:eastAsia="zh-CN"/>
              </w:rPr>
              <w:t>源</w:t>
            </w:r>
            <w:r>
              <w:rPr>
                <w:rFonts w:hint="default" w:ascii="Times New Roman" w:hAnsi="Times New Roman" w:eastAsia="宋体" w:cs="Times New Roman"/>
                <w:color w:val="auto"/>
                <w:highlight w:val="none"/>
              </w:rPr>
              <w:t>主要</w:t>
            </w:r>
            <w:r>
              <w:rPr>
                <w:rFonts w:hint="default" w:ascii="Times New Roman" w:hAnsi="Times New Roman" w:eastAsia="宋体" w:cs="Times New Roman"/>
                <w:color w:val="auto"/>
                <w:highlight w:val="none"/>
                <w:lang w:val="en-US" w:eastAsia="zh-CN"/>
              </w:rPr>
              <w:t>为化学品仓库和危废暂存间</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主要污染物为</w:t>
            </w:r>
            <w:r>
              <w:rPr>
                <w:rFonts w:hint="default" w:ascii="Times New Roman" w:hAnsi="Times New Roman" w:eastAsia="宋体" w:cs="Times New Roman"/>
                <w:color w:val="auto"/>
                <w:highlight w:val="none"/>
                <w:lang w:val="en-US" w:eastAsia="zh-CN"/>
              </w:rPr>
              <w:t>矿物油、水性油漆</w:t>
            </w:r>
            <w:r>
              <w:rPr>
                <w:rFonts w:hint="default" w:ascii="Times New Roman" w:hAnsi="Times New Roman" w:eastAsia="宋体" w:cs="Times New Roman"/>
                <w:color w:val="auto"/>
                <w:highlight w:val="none"/>
              </w:rPr>
              <w:t>等</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详见</w:t>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REF _Ref15505 \h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rPr>
              <w:t>表4- 26</w:t>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t>。</w:t>
            </w:r>
          </w:p>
          <w:p>
            <w:pPr>
              <w:pStyle w:val="8"/>
              <w:keepNext w:val="0"/>
              <w:keepLines w:val="0"/>
              <w:widowControl w:val="0"/>
              <w:suppressLineNumbers w:val="0"/>
              <w:spacing w:beforeAutospacing="0" w:afterAutospacing="0" w:line="240" w:lineRule="auto"/>
              <w:ind w:left="0" w:right="0" w:firstLine="0" w:firstLineChars="0"/>
              <w:jc w:val="center"/>
              <w:rPr>
                <w:rFonts w:hint="default" w:ascii="Times New Roman" w:hAnsi="Times New Roman" w:eastAsia="宋体" w:cs="Times New Roman"/>
                <w:b/>
                <w:color w:val="auto"/>
                <w:kern w:val="0"/>
                <w:sz w:val="24"/>
                <w:szCs w:val="20"/>
                <w:highlight w:val="none"/>
                <w:lang w:val="en-US" w:eastAsia="zh-CN" w:bidi="ar-SA"/>
              </w:rPr>
            </w:pPr>
            <w:bookmarkStart w:id="69" w:name="_Ref15505"/>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26</w:t>
            </w:r>
            <w:r>
              <w:rPr>
                <w:rFonts w:hint="default" w:ascii="Times New Roman" w:hAnsi="Times New Roman" w:eastAsia="宋体" w:cs="Times New Roman"/>
                <w:color w:val="auto"/>
              </w:rPr>
              <w:fldChar w:fldCharType="end"/>
            </w:r>
            <w:bookmarkEnd w:id="69"/>
            <w:r>
              <w:rPr>
                <w:rFonts w:hint="default" w:ascii="Times New Roman" w:hAnsi="Times New Roman" w:eastAsia="宋体" w:cs="Times New Roman"/>
                <w:b/>
                <w:color w:val="auto"/>
                <w:kern w:val="0"/>
                <w:sz w:val="24"/>
                <w:szCs w:val="20"/>
                <w:highlight w:val="none"/>
                <w:lang w:val="en-US" w:eastAsia="zh-CN" w:bidi="ar-SA"/>
              </w:rPr>
              <w:t>环境影响源及污染因子识别</w:t>
            </w:r>
          </w:p>
          <w:tbl>
            <w:tblPr>
              <w:tblStyle w:val="26"/>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610"/>
              <w:gridCol w:w="5284"/>
              <w:gridCol w:w="114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443" w:type="pct"/>
                  <w:tcBorders>
                    <w:tl2br w:val="nil"/>
                    <w:tr2bl w:val="nil"/>
                  </w:tcBorders>
                  <w:noWrap w:val="0"/>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highlight w:val="none"/>
                      <w:lang w:val="en-US" w:eastAsia="zh-CN" w:bidi="ar-SA"/>
                    </w:rPr>
                  </w:pPr>
                  <w:r>
                    <w:rPr>
                      <w:rFonts w:hint="default" w:ascii="Times New Roman" w:hAnsi="Times New Roman" w:eastAsia="宋体" w:cs="Times New Roman"/>
                      <w:b/>
                      <w:bCs/>
                      <w:color w:val="auto"/>
                      <w:kern w:val="0"/>
                      <w:sz w:val="21"/>
                      <w:szCs w:val="20"/>
                      <w:highlight w:val="none"/>
                      <w:lang w:val="en-US" w:eastAsia="zh-CN" w:bidi="ar-SA"/>
                    </w:rPr>
                    <w:t>污染源</w:t>
                  </w:r>
                </w:p>
              </w:tc>
              <w:tc>
                <w:tcPr>
                  <w:tcW w:w="2921" w:type="pct"/>
                  <w:tcBorders>
                    <w:tl2br w:val="nil"/>
                    <w:tr2bl w:val="nil"/>
                  </w:tcBorders>
                  <w:noWrap w:val="0"/>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highlight w:val="none"/>
                      <w:lang w:val="en-US" w:eastAsia="zh-CN" w:bidi="ar-SA"/>
                    </w:rPr>
                  </w:pPr>
                  <w:r>
                    <w:rPr>
                      <w:rFonts w:hint="default" w:ascii="Times New Roman" w:hAnsi="Times New Roman" w:eastAsia="宋体" w:cs="Times New Roman"/>
                      <w:b/>
                      <w:bCs/>
                      <w:color w:val="auto"/>
                      <w:kern w:val="0"/>
                      <w:sz w:val="21"/>
                      <w:szCs w:val="20"/>
                      <w:highlight w:val="none"/>
                      <w:lang w:val="en-US" w:eastAsia="zh-CN" w:bidi="ar-SA"/>
                    </w:rPr>
                    <w:t>污染物类型</w:t>
                  </w:r>
                </w:p>
              </w:tc>
              <w:tc>
                <w:tcPr>
                  <w:tcW w:w="634" w:type="pct"/>
                  <w:tcBorders>
                    <w:tl2br w:val="nil"/>
                    <w:tr2bl w:val="nil"/>
                  </w:tcBorders>
                  <w:noWrap w:val="0"/>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0"/>
                      <w:highlight w:val="none"/>
                      <w:lang w:val="en-US" w:eastAsia="zh-CN" w:bidi="ar-SA"/>
                    </w:rPr>
                  </w:pPr>
                  <w:r>
                    <w:rPr>
                      <w:rFonts w:hint="default" w:ascii="Times New Roman" w:hAnsi="Times New Roman" w:eastAsia="宋体" w:cs="Times New Roman"/>
                      <w:b/>
                      <w:bCs/>
                      <w:color w:val="auto"/>
                      <w:kern w:val="0"/>
                      <w:sz w:val="21"/>
                      <w:szCs w:val="20"/>
                      <w:highlight w:val="none"/>
                      <w:lang w:val="en-US" w:eastAsia="zh-CN" w:bidi="ar-SA"/>
                    </w:rPr>
                    <w:t>污染原因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443" w:type="pct"/>
                  <w:tcBorders>
                    <w:tl2br w:val="nil"/>
                    <w:tr2bl w:val="nil"/>
                  </w:tcBorders>
                  <w:noWrap w:val="0"/>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highlight w:val="none"/>
                      <w:lang w:val="en-US" w:eastAsia="zh-CN" w:bidi="ar-SA"/>
                    </w:rPr>
                  </w:pPr>
                  <w:r>
                    <w:rPr>
                      <w:rFonts w:hint="default" w:ascii="Times New Roman" w:hAnsi="Times New Roman" w:eastAsia="宋体" w:cs="Times New Roman"/>
                      <w:color w:val="auto"/>
                      <w:kern w:val="0"/>
                      <w:sz w:val="21"/>
                      <w:szCs w:val="20"/>
                      <w:highlight w:val="none"/>
                      <w:lang w:val="en-US" w:eastAsia="zh-CN" w:bidi="ar-SA"/>
                    </w:rPr>
                    <w:t>化学品仓库</w:t>
                  </w:r>
                </w:p>
              </w:tc>
              <w:tc>
                <w:tcPr>
                  <w:tcW w:w="2921" w:type="pct"/>
                  <w:tcBorders>
                    <w:tl2br w:val="nil"/>
                    <w:tr2bl w:val="nil"/>
                  </w:tcBorders>
                  <w:noWrap w:val="0"/>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highlight w:val="none"/>
                      <w:lang w:val="en-US" w:eastAsia="zh-CN" w:bidi="ar-SA"/>
                    </w:rPr>
                  </w:pPr>
                  <w:r>
                    <w:rPr>
                      <w:rFonts w:hint="default" w:ascii="Times New Roman" w:hAnsi="Times New Roman" w:eastAsia="宋体" w:cs="Times New Roman"/>
                      <w:color w:val="auto"/>
                      <w:kern w:val="0"/>
                      <w:sz w:val="21"/>
                      <w:szCs w:val="20"/>
                      <w:highlight w:val="none"/>
                      <w:lang w:val="en-US" w:eastAsia="zh-CN" w:bidi="ar-SA"/>
                    </w:rPr>
                    <w:t>矿物油、水性油漆</w:t>
                  </w:r>
                </w:p>
              </w:tc>
              <w:tc>
                <w:tcPr>
                  <w:tcW w:w="634" w:type="pct"/>
                  <w:tcBorders>
                    <w:tl2br w:val="nil"/>
                    <w:tr2bl w:val="nil"/>
                  </w:tcBorders>
                  <w:noWrap w:val="0"/>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highlight w:val="none"/>
                      <w:lang w:val="en-US" w:eastAsia="zh-CN" w:bidi="ar-SA"/>
                    </w:rPr>
                  </w:pPr>
                  <w:r>
                    <w:rPr>
                      <w:rFonts w:hint="default" w:ascii="Times New Roman" w:hAnsi="Times New Roman" w:eastAsia="宋体" w:cs="Times New Roman"/>
                      <w:color w:val="auto"/>
                      <w:kern w:val="0"/>
                      <w:sz w:val="21"/>
                      <w:szCs w:val="20"/>
                      <w:highlight w:val="none"/>
                      <w:lang w:val="en-US" w:eastAsia="zh-CN" w:bidi="ar-SA"/>
                    </w:rPr>
                    <w:t>泄漏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443" w:type="pct"/>
                  <w:tcBorders>
                    <w:tl2br w:val="nil"/>
                    <w:tr2bl w:val="nil"/>
                  </w:tcBorders>
                  <w:noWrap w:val="0"/>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危废暂存间</w:t>
                  </w:r>
                </w:p>
              </w:tc>
              <w:tc>
                <w:tcPr>
                  <w:tcW w:w="2921" w:type="pct"/>
                  <w:tcBorders>
                    <w:tl2br w:val="nil"/>
                    <w:tr2bl w:val="nil"/>
                  </w:tcBorders>
                  <w:noWrap w:val="0"/>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highlight w:val="none"/>
                      <w:lang w:val="en-US" w:eastAsia="zh-CN" w:bidi="ar-SA"/>
                    </w:rPr>
                    <w:t>废涂料包装桶、废活性炭、废漆渣、水帘柜废水、喷淋塔废水、喷枪清洗废水等</w:t>
                  </w:r>
                </w:p>
              </w:tc>
              <w:tc>
                <w:tcPr>
                  <w:tcW w:w="634" w:type="pct"/>
                  <w:tcBorders>
                    <w:tl2br w:val="nil"/>
                    <w:tr2bl w:val="nil"/>
                  </w:tcBorders>
                  <w:noWrap w:val="0"/>
                  <w:tcMar>
                    <w:top w:w="15" w:type="dxa"/>
                    <w:left w:w="15" w:type="dxa"/>
                    <w:right w:w="15" w:type="dxa"/>
                  </w:tcMar>
                  <w:vAlign w:val="center"/>
                </w:tcPr>
                <w:p>
                  <w:pPr>
                    <w:keepNext w:val="0"/>
                    <w:keepLines w:val="0"/>
                    <w:widowControl w:val="0"/>
                    <w:suppressLineNumbers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泄漏</w:t>
                  </w:r>
                </w:p>
              </w:tc>
            </w:tr>
          </w:tbl>
          <w:p>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rPr>
            </w:pPr>
            <w:r>
              <w:rPr>
                <w:rFonts w:hint="eastAsia" w:cs="Times New Roman"/>
                <w:color w:val="auto"/>
                <w:sz w:val="24"/>
                <w:szCs w:val="24"/>
                <w:highlight w:val="none"/>
                <w:lang w:val="en-US" w:eastAsia="zh-CN"/>
              </w:rPr>
              <w:t>项目位于第2F和第3F，污染源均在建筑物楼上，</w:t>
            </w:r>
            <w:r>
              <w:rPr>
                <w:rFonts w:hint="default" w:ascii="Times New Roman" w:hAnsi="Times New Roman" w:eastAsia="宋体" w:cs="Times New Roman"/>
                <w:color w:val="auto"/>
                <w:highlight w:val="none"/>
                <w:lang w:val="en-US" w:eastAsia="zh-CN"/>
              </w:rPr>
              <w:t>化学品仓库、和危废暂存间</w:t>
            </w:r>
            <w:r>
              <w:rPr>
                <w:rFonts w:hint="default" w:ascii="Times New Roman" w:hAnsi="Times New Roman" w:eastAsia="宋体" w:cs="Times New Roman"/>
                <w:color w:val="auto"/>
                <w:sz w:val="24"/>
                <w:szCs w:val="24"/>
                <w:highlight w:val="none"/>
                <w:lang w:val="en-US" w:eastAsia="zh-CN"/>
              </w:rPr>
              <w:t>会基于相关规范进行防渗、防泄露处理，</w:t>
            </w:r>
            <w:r>
              <w:rPr>
                <w:rFonts w:hint="default" w:ascii="Times New Roman" w:hAnsi="Times New Roman" w:eastAsia="宋体" w:cs="Times New Roman"/>
                <w:color w:val="auto"/>
                <w:lang w:val="en-US" w:eastAsia="zh-CN"/>
              </w:rPr>
              <w:t>在</w:t>
            </w:r>
            <w:r>
              <w:rPr>
                <w:rFonts w:hint="default" w:ascii="Times New Roman" w:hAnsi="Times New Roman" w:eastAsia="宋体" w:cs="Times New Roman"/>
                <w:color w:val="auto"/>
              </w:rPr>
              <w:t>门口设置围挡，</w:t>
            </w:r>
            <w:r>
              <w:rPr>
                <w:rFonts w:hint="eastAsia" w:cs="Times New Roman"/>
                <w:color w:val="auto"/>
                <w:sz w:val="24"/>
                <w:szCs w:val="24"/>
                <w:highlight w:val="none"/>
                <w:lang w:val="en-US" w:eastAsia="zh-CN"/>
              </w:rPr>
              <w:t>项目无地下水和土壤污染途径。</w:t>
            </w:r>
          </w:p>
          <w:p>
            <w:pPr>
              <w:keepNext w:val="0"/>
              <w:keepLines w:val="0"/>
              <w:suppressLineNumbers w:val="0"/>
              <w:adjustRightInd/>
              <w:snapToGrid/>
              <w:spacing w:before="0" w:beforeAutospacing="0" w:after="0" w:afterAutospacing="0"/>
              <w:ind w:left="0" w:right="0" w:firstLine="42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因此，</w:t>
            </w:r>
            <w:r>
              <w:rPr>
                <w:rFonts w:hint="default" w:ascii="Times New Roman" w:hAnsi="Times New Roman" w:eastAsia="宋体" w:cs="Times New Roman"/>
                <w:color w:val="auto"/>
                <w:sz w:val="24"/>
                <w:szCs w:val="24"/>
                <w:lang w:val="en-US" w:eastAsia="zh-CN"/>
              </w:rPr>
              <w:t>建设项目在落实相应防治措施后，本项目的建设</w:t>
            </w:r>
            <w:r>
              <w:rPr>
                <w:rFonts w:hint="default" w:ascii="Times New Roman" w:hAnsi="Times New Roman" w:eastAsia="宋体" w:cs="Times New Roman"/>
                <w:color w:val="auto"/>
                <w:sz w:val="24"/>
                <w:szCs w:val="24"/>
              </w:rPr>
              <w:t>对</w:t>
            </w:r>
            <w:r>
              <w:rPr>
                <w:rFonts w:hint="default" w:ascii="Times New Roman" w:hAnsi="Times New Roman" w:eastAsia="宋体" w:cs="Times New Roman"/>
                <w:color w:val="auto"/>
                <w:sz w:val="24"/>
                <w:szCs w:val="24"/>
                <w:lang w:val="en-US" w:eastAsia="zh-CN"/>
              </w:rPr>
              <w:t>区域及</w:t>
            </w:r>
            <w:r>
              <w:rPr>
                <w:rFonts w:hint="default" w:ascii="Times New Roman" w:hAnsi="Times New Roman" w:eastAsia="宋体" w:cs="Times New Roman"/>
                <w:color w:val="auto"/>
                <w:sz w:val="24"/>
                <w:szCs w:val="24"/>
              </w:rPr>
              <w:t>周边土壤</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地下水环境</w:t>
            </w:r>
            <w:r>
              <w:rPr>
                <w:rFonts w:hint="default" w:ascii="Times New Roman" w:hAnsi="Times New Roman" w:eastAsia="宋体" w:cs="Times New Roman"/>
                <w:color w:val="auto"/>
                <w:sz w:val="24"/>
                <w:szCs w:val="24"/>
              </w:rPr>
              <w:t>影响</w:t>
            </w:r>
            <w:r>
              <w:rPr>
                <w:rFonts w:hint="default" w:ascii="Times New Roman" w:hAnsi="Times New Roman" w:eastAsia="宋体" w:cs="Times New Roman"/>
                <w:color w:val="auto"/>
                <w:sz w:val="24"/>
                <w:szCs w:val="24"/>
                <w:lang w:val="en-US" w:eastAsia="zh-CN"/>
              </w:rPr>
              <w:t>可接受</w:t>
            </w:r>
            <w:r>
              <w:rPr>
                <w:rFonts w:hint="default" w:ascii="Times New Roman" w:hAnsi="Times New Roman" w:eastAsia="宋体" w:cs="Times New Roman"/>
                <w:color w:val="auto"/>
                <w:sz w:val="24"/>
                <w:szCs w:val="24"/>
              </w:rPr>
              <w:t>。</w:t>
            </w:r>
          </w:p>
          <w:p>
            <w:pPr>
              <w:keepNext w:val="0"/>
              <w:keepLines w:val="0"/>
              <w:widowControl/>
              <w:numPr>
                <w:ilvl w:val="0"/>
                <w:numId w:val="16"/>
              </w:numPr>
              <w:suppressLineNumbers w:val="0"/>
              <w:adjustRightInd w:val="0"/>
              <w:snapToGrid w:val="0"/>
              <w:spacing w:before="0" w:beforeAutospacing="0" w:after="0" w:afterAutospacing="0" w:line="360" w:lineRule="auto"/>
              <w:ind w:right="0" w:firstLine="400"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生态</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lang w:bidi="ar"/>
              </w:rPr>
            </w:pPr>
            <w:r>
              <w:rPr>
                <w:rFonts w:hint="default" w:ascii="Times New Roman" w:hAnsi="Times New Roman" w:eastAsia="宋体" w:cs="Times New Roman"/>
                <w:color w:val="auto"/>
                <w:kern w:val="0"/>
                <w:sz w:val="24"/>
              </w:rPr>
              <w:t>本项目租用已建好的生产厂房进行生产，无新增用地，因此不会对生态环境产生明显影响。</w:t>
            </w:r>
          </w:p>
          <w:p>
            <w:pPr>
              <w:keepNext w:val="0"/>
              <w:keepLines w:val="0"/>
              <w:widowControl/>
              <w:numPr>
                <w:ilvl w:val="0"/>
                <w:numId w:val="16"/>
              </w:numPr>
              <w:suppressLineNumbers w:val="0"/>
              <w:adjustRightInd w:val="0"/>
              <w:snapToGrid w:val="0"/>
              <w:spacing w:before="0" w:beforeAutospacing="0" w:after="0" w:afterAutospacing="0" w:line="360" w:lineRule="auto"/>
              <w:ind w:left="0" w:leftChars="0" w:right="0" w:firstLine="400" w:firstLineChars="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环境风险</w:t>
            </w:r>
          </w:p>
          <w:p>
            <w:pPr>
              <w:keepNext w:val="0"/>
              <w:keepLines w:val="0"/>
              <w:numPr>
                <w:ilvl w:val="0"/>
                <w:numId w:val="33"/>
              </w:numPr>
              <w:suppressLineNumbers w:val="0"/>
              <w:spacing w:before="0" w:beforeAutospacing="0" w:after="0" w:afterAutospacing="0" w:line="360" w:lineRule="auto"/>
              <w:ind w:left="0" w:right="0" w:firstLine="397" w:firstLineChars="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环境风险识别</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对照《建设项目环境风险评价技术导则》（HJ 169-2018）附录B，综合考虑本项目原辅材料的理化性质，项目所用原辅材料中的突发环境事件风险物质为</w:t>
            </w:r>
            <w:r>
              <w:rPr>
                <w:rFonts w:hint="default" w:ascii="Times New Roman" w:hAnsi="Times New Roman" w:eastAsia="宋体" w:cs="Times New Roman"/>
                <w:color w:val="auto"/>
                <w:sz w:val="24"/>
                <w:szCs w:val="20"/>
                <w:lang w:val="en-US" w:eastAsia="zh-CN"/>
              </w:rPr>
              <w:t>矿物油</w:t>
            </w:r>
            <w:r>
              <w:rPr>
                <w:rFonts w:hint="default" w:ascii="Times New Roman" w:hAnsi="Times New Roman" w:eastAsia="宋体" w:cs="Times New Roman"/>
                <w:color w:val="auto"/>
                <w:sz w:val="24"/>
                <w:szCs w:val="20"/>
              </w:rPr>
              <w:t>，</w:t>
            </w:r>
            <w:r>
              <w:rPr>
                <w:rFonts w:hint="default" w:ascii="Times New Roman" w:hAnsi="Times New Roman" w:eastAsia="宋体" w:cs="Times New Roman"/>
                <w:color w:val="auto"/>
                <w:sz w:val="24"/>
                <w:szCs w:val="20"/>
                <w:lang w:val="en-US" w:eastAsia="zh-CN"/>
              </w:rPr>
              <w:t>临界量及项目Q值计算详见</w:t>
            </w:r>
            <w:r>
              <w:rPr>
                <w:rFonts w:hint="default" w:ascii="Times New Roman" w:hAnsi="Times New Roman" w:eastAsia="宋体" w:cs="Times New Roman"/>
                <w:color w:val="auto"/>
                <w:sz w:val="24"/>
                <w:szCs w:val="20"/>
                <w:lang w:val="en-US" w:eastAsia="zh-CN"/>
              </w:rPr>
              <w:fldChar w:fldCharType="begin"/>
            </w:r>
            <w:r>
              <w:rPr>
                <w:rFonts w:hint="default" w:ascii="Times New Roman" w:hAnsi="Times New Roman" w:eastAsia="宋体" w:cs="Times New Roman"/>
                <w:color w:val="auto"/>
                <w:sz w:val="24"/>
                <w:szCs w:val="20"/>
                <w:lang w:val="en-US" w:eastAsia="zh-CN"/>
              </w:rPr>
              <w:instrText xml:space="preserve"> REF _Ref7997 \h </w:instrText>
            </w:r>
            <w:r>
              <w:rPr>
                <w:rFonts w:hint="default" w:ascii="Times New Roman" w:hAnsi="Times New Roman" w:eastAsia="宋体" w:cs="Times New Roman"/>
                <w:color w:val="auto"/>
                <w:sz w:val="24"/>
                <w:szCs w:val="20"/>
                <w:lang w:val="en-US" w:eastAsia="zh-CN"/>
              </w:rPr>
              <w:fldChar w:fldCharType="separate"/>
            </w:r>
            <w:r>
              <w:rPr>
                <w:rFonts w:hint="default" w:ascii="Times New Roman" w:hAnsi="Times New Roman" w:eastAsia="宋体" w:cs="Times New Roman"/>
                <w:color w:val="auto"/>
              </w:rPr>
              <w:t>表4- 20</w:t>
            </w:r>
            <w:r>
              <w:rPr>
                <w:rFonts w:hint="default" w:ascii="Times New Roman" w:hAnsi="Times New Roman" w:eastAsia="宋体" w:cs="Times New Roman"/>
                <w:color w:val="auto"/>
                <w:sz w:val="24"/>
                <w:szCs w:val="20"/>
                <w:lang w:val="en-US" w:eastAsia="zh-CN"/>
              </w:rPr>
              <w:fldChar w:fldCharType="end"/>
            </w:r>
            <w:r>
              <w:rPr>
                <w:rFonts w:hint="default" w:ascii="Times New Roman" w:hAnsi="Times New Roman" w:eastAsia="宋体" w:cs="Times New Roman"/>
                <w:color w:val="auto"/>
                <w:sz w:val="24"/>
                <w:szCs w:val="20"/>
                <w:lang w:val="en-US" w:eastAsia="zh-CN"/>
              </w:rPr>
              <w:t>，则</w:t>
            </w:r>
            <w:r>
              <w:rPr>
                <w:rFonts w:hint="default" w:ascii="Times New Roman" w:hAnsi="Times New Roman" w:eastAsia="宋体" w:cs="Times New Roman"/>
                <w:color w:val="auto"/>
                <w:sz w:val="24"/>
                <w:szCs w:val="20"/>
              </w:rPr>
              <w:t>计算得Q=</w:t>
            </w:r>
            <w:r>
              <w:rPr>
                <w:rFonts w:hint="default" w:ascii="Times New Roman" w:hAnsi="Times New Roman" w:eastAsia="宋体" w:cs="Times New Roman"/>
                <w:color w:val="auto"/>
                <w:sz w:val="24"/>
                <w:szCs w:val="20"/>
                <w:lang w:val="en-US" w:eastAsia="zh-CN"/>
              </w:rPr>
              <w:t>0.00008</w:t>
            </w:r>
            <w:r>
              <w:rPr>
                <w:rFonts w:hint="default" w:ascii="Times New Roman" w:hAnsi="Times New Roman" w:eastAsia="宋体" w:cs="Times New Roman"/>
                <w:color w:val="auto"/>
                <w:sz w:val="24"/>
                <w:szCs w:val="20"/>
              </w:rPr>
              <w:t>＜1，有毒有害和易燃易爆等危险物质不超过临界量，因此无需设置环境风险专章，根据《建设项目环境风险评价技术导则》（HJ169-2018），风险物质及其临界量比值Q小于1，因此本项目项目环境风险潜势为I。</w:t>
            </w:r>
          </w:p>
          <w:p>
            <w:pPr>
              <w:pStyle w:val="8"/>
              <w:keepNext w:val="0"/>
              <w:keepLines w:val="0"/>
              <w:suppressLineNumbers w:val="0"/>
              <w:spacing w:beforeAutospacing="0" w:afterAutospacing="0"/>
              <w:ind w:left="0" w:right="0"/>
              <w:rPr>
                <w:rFonts w:hint="default" w:ascii="Times New Roman" w:hAnsi="Times New Roman" w:eastAsia="宋体" w:cs="Times New Roman"/>
                <w:color w:val="auto"/>
                <w:lang w:val="en-US" w:eastAsia="zh-CN"/>
              </w:rPr>
            </w:pPr>
            <w:bookmarkStart w:id="70" w:name="_Ref7997"/>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28</w:t>
            </w:r>
            <w:r>
              <w:rPr>
                <w:rFonts w:hint="default" w:ascii="Times New Roman" w:hAnsi="Times New Roman" w:eastAsia="宋体" w:cs="Times New Roman"/>
                <w:color w:val="auto"/>
              </w:rPr>
              <w:fldChar w:fldCharType="end"/>
            </w:r>
            <w:bookmarkEnd w:id="70"/>
            <w:r>
              <w:rPr>
                <w:rFonts w:hint="default" w:ascii="Times New Roman" w:hAnsi="Times New Roman" w:eastAsia="宋体" w:cs="Times New Roman"/>
                <w:color w:val="auto"/>
                <w:lang w:val="en-US" w:eastAsia="zh-CN"/>
              </w:rPr>
              <w:t>项目Q值计算一览表</w:t>
            </w:r>
          </w:p>
          <w:tbl>
            <w:tblPr>
              <w:tblStyle w:val="27"/>
              <w:tblW w:w="0" w:type="auto"/>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9"/>
              <w:gridCol w:w="795"/>
              <w:gridCol w:w="983"/>
              <w:gridCol w:w="1352"/>
              <w:gridCol w:w="637"/>
              <w:gridCol w:w="804"/>
              <w:gridCol w:w="1657"/>
              <w:gridCol w:w="935"/>
              <w:gridCol w:w="89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restart"/>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类别</w:t>
                  </w:r>
                </w:p>
              </w:tc>
              <w:tc>
                <w:tcPr>
                  <w:tcW w:w="795" w:type="dxa"/>
                  <w:vMerge w:val="restart"/>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名称</w:t>
                  </w:r>
                </w:p>
              </w:tc>
              <w:tc>
                <w:tcPr>
                  <w:tcW w:w="983" w:type="dxa"/>
                  <w:vMerge w:val="restart"/>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主要成分</w:t>
                  </w:r>
                </w:p>
              </w:tc>
              <w:tc>
                <w:tcPr>
                  <w:tcW w:w="0" w:type="auto"/>
                  <w:vMerge w:val="restart"/>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风险物质名称</w:t>
                  </w:r>
                </w:p>
              </w:tc>
              <w:tc>
                <w:tcPr>
                  <w:tcW w:w="0" w:type="auto"/>
                  <w:vMerge w:val="restart"/>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CAS</w:t>
                  </w:r>
                </w:p>
              </w:tc>
              <w:tc>
                <w:tcPr>
                  <w:tcW w:w="0" w:type="auto"/>
                  <w:gridSpan w:val="2"/>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厂区最大储存量/t</w:t>
                  </w:r>
                </w:p>
              </w:tc>
              <w:tc>
                <w:tcPr>
                  <w:tcW w:w="0" w:type="auto"/>
                  <w:vMerge w:val="restart"/>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临界量/t</w:t>
                  </w:r>
                </w:p>
              </w:tc>
              <w:tc>
                <w:tcPr>
                  <w:tcW w:w="0" w:type="auto"/>
                  <w:vMerge w:val="restart"/>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Q值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rPr>
                  </w:pPr>
                </w:p>
              </w:tc>
              <w:tc>
                <w:tcPr>
                  <w:tcW w:w="795" w:type="dxa"/>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rPr>
                  </w:pPr>
                </w:p>
              </w:tc>
              <w:tc>
                <w:tcPr>
                  <w:tcW w:w="983" w:type="dxa"/>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rPr>
                  </w:pPr>
                </w:p>
              </w:tc>
              <w:tc>
                <w:tcPr>
                  <w:tcW w:w="0" w:type="auto"/>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rPr>
                  </w:pPr>
                </w:p>
              </w:tc>
              <w:tc>
                <w:tcPr>
                  <w:tcW w:w="0" w:type="auto"/>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rPr>
                  </w:pPr>
                </w:p>
              </w:tc>
              <w:tc>
                <w:tcPr>
                  <w:tcW w:w="0" w:type="auto"/>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物料量</w:t>
                  </w:r>
                </w:p>
              </w:tc>
              <w:tc>
                <w:tcPr>
                  <w:tcW w:w="0" w:type="auto"/>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折算风险物质量/t</w:t>
                  </w:r>
                </w:p>
              </w:tc>
              <w:tc>
                <w:tcPr>
                  <w:tcW w:w="0" w:type="auto"/>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rPr>
                  </w:pPr>
                </w:p>
              </w:tc>
              <w:tc>
                <w:tcPr>
                  <w:tcW w:w="0" w:type="auto"/>
                  <w:vMerge w:val="continue"/>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color w:val="auto"/>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原辅材料</w:t>
                  </w:r>
                </w:p>
              </w:tc>
              <w:tc>
                <w:tcPr>
                  <w:tcW w:w="795" w:type="dxa"/>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润滑油</w:t>
                  </w:r>
                </w:p>
              </w:tc>
              <w:tc>
                <w:tcPr>
                  <w:tcW w:w="983" w:type="dxa"/>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矿物油</w:t>
                  </w:r>
                </w:p>
              </w:tc>
              <w:tc>
                <w:tcPr>
                  <w:tcW w:w="0" w:type="auto"/>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油类物质</w:t>
                  </w:r>
                </w:p>
              </w:tc>
              <w:tc>
                <w:tcPr>
                  <w:tcW w:w="0" w:type="auto"/>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0" w:type="auto"/>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c>
                <w:tcPr>
                  <w:tcW w:w="0" w:type="auto"/>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c>
                <w:tcPr>
                  <w:tcW w:w="0" w:type="auto"/>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2500</w:t>
                  </w:r>
                </w:p>
              </w:tc>
              <w:tc>
                <w:tcPr>
                  <w:tcW w:w="0" w:type="auto"/>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0.00008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gridSpan w:val="8"/>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合计</w:t>
                  </w:r>
                </w:p>
              </w:tc>
              <w:tc>
                <w:tcPr>
                  <w:tcW w:w="0" w:type="auto"/>
                  <w:tcBorders>
                    <w:tl2br w:val="nil"/>
                    <w:tr2bl w:val="nil"/>
                  </w:tcBorders>
                  <w:vAlign w:val="center"/>
                </w:tcPr>
                <w:p>
                  <w:pPr>
                    <w:pStyle w:val="5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0.00008</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根据环境风险的识别原则，经对本项目原辅材料、生产工艺等的分析，本项目的事故风险来源主要为原辅材料</w:t>
            </w:r>
            <w:r>
              <w:rPr>
                <w:rFonts w:hint="default" w:ascii="Times New Roman" w:hAnsi="Times New Roman" w:eastAsia="宋体" w:cs="Times New Roman"/>
                <w:color w:val="auto"/>
                <w:sz w:val="24"/>
                <w:szCs w:val="20"/>
                <w:lang w:eastAsia="zh-CN"/>
              </w:rPr>
              <w:t>、</w:t>
            </w:r>
            <w:r>
              <w:rPr>
                <w:rFonts w:hint="default" w:ascii="Times New Roman" w:hAnsi="Times New Roman" w:eastAsia="宋体" w:cs="Times New Roman"/>
                <w:color w:val="auto"/>
                <w:sz w:val="24"/>
                <w:szCs w:val="20"/>
                <w:lang w:val="en-US" w:eastAsia="zh-CN"/>
              </w:rPr>
              <w:t>危险废物</w:t>
            </w:r>
            <w:r>
              <w:rPr>
                <w:rFonts w:hint="default" w:ascii="Times New Roman" w:hAnsi="Times New Roman" w:eastAsia="宋体" w:cs="Times New Roman"/>
                <w:color w:val="auto"/>
                <w:sz w:val="24"/>
                <w:szCs w:val="20"/>
              </w:rPr>
              <w:t>泄漏事故、火灾事故伴生的环境污染事故。</w:t>
            </w:r>
          </w:p>
          <w:p>
            <w:pPr>
              <w:pStyle w:val="57"/>
              <w:keepNext w:val="0"/>
              <w:keepLines w:val="0"/>
              <w:suppressLineNumbers w:val="0"/>
              <w:bidi w:val="0"/>
              <w:spacing w:before="0" w:beforeAutospacing="0" w:after="0" w:afterAutospacing="0"/>
              <w:ind w:left="0" w:right="0"/>
              <w:rPr>
                <w:rFonts w:hint="default"/>
                <w:lang w:val="en-US" w:eastAsia="zh-CN"/>
              </w:rPr>
            </w:pPr>
            <w:r>
              <w:rPr>
                <w:rFonts w:hint="default"/>
              </w:rPr>
              <w:t>根据环境风险的识别原则，经对本项目原辅材料、生产工艺等的分析，本项目的事故风险来源主要为原辅材料</w:t>
            </w:r>
            <w:r>
              <w:rPr>
                <w:rFonts w:hint="default"/>
                <w:lang w:eastAsia="zh-CN"/>
              </w:rPr>
              <w:t>、</w:t>
            </w:r>
            <w:r>
              <w:rPr>
                <w:rFonts w:hint="default"/>
                <w:lang w:val="en-US" w:eastAsia="zh-CN"/>
              </w:rPr>
              <w:t>危险废物</w:t>
            </w:r>
            <w:r>
              <w:rPr>
                <w:rFonts w:hint="default"/>
              </w:rPr>
              <w:t>泄漏事故、火灾事故伴生的环境污染事故。</w:t>
            </w:r>
            <w:r>
              <w:rPr>
                <w:rFonts w:hint="default"/>
                <w:lang w:val="en-US" w:eastAsia="zh-CN"/>
              </w:rPr>
              <w:t>项目风险源分布情况及可能影响途径</w:t>
            </w:r>
            <w:r>
              <w:rPr>
                <w:rFonts w:hint="eastAsia"/>
                <w:lang w:val="en-US" w:eastAsia="zh-CN"/>
              </w:rPr>
              <w:t>见</w:t>
            </w:r>
            <w:r>
              <w:rPr>
                <w:rFonts w:hint="eastAsia"/>
                <w:lang w:val="en-US" w:eastAsia="zh-CN"/>
              </w:rPr>
              <w:fldChar w:fldCharType="begin"/>
            </w:r>
            <w:r>
              <w:rPr>
                <w:rFonts w:hint="eastAsia"/>
                <w:lang w:val="en-US" w:eastAsia="zh-CN"/>
              </w:rPr>
              <w:instrText xml:space="preserve"> REF _Ref30873 \h </w:instrText>
            </w:r>
            <w:r>
              <w:rPr>
                <w:rFonts w:hint="eastAsia"/>
                <w:lang w:val="en-US" w:eastAsia="zh-CN"/>
              </w:rPr>
              <w:fldChar w:fldCharType="separate"/>
            </w:r>
            <w:r>
              <w:rPr>
                <w:rFonts w:hint="default" w:ascii="Times New Roman" w:hAnsi="Times New Roman" w:eastAsia="宋体" w:cs="Times New Roman"/>
                <w:color w:val="auto"/>
              </w:rPr>
              <w:t>表4- 29</w:t>
            </w:r>
            <w:r>
              <w:rPr>
                <w:rFonts w:hint="eastAsia"/>
                <w:lang w:val="en-US" w:eastAsia="zh-CN"/>
              </w:rPr>
              <w:fldChar w:fldCharType="end"/>
            </w:r>
            <w:r>
              <w:rPr>
                <w:rFonts w:hint="default"/>
                <w:lang w:val="en-US" w:eastAsia="zh-CN"/>
              </w:rPr>
              <w:t>。</w:t>
            </w:r>
          </w:p>
          <w:p>
            <w:pPr>
              <w:pStyle w:val="8"/>
              <w:keepNext w:val="0"/>
              <w:keepLines w:val="0"/>
              <w:widowControl w:val="0"/>
              <w:suppressLineNumbers w:val="0"/>
              <w:spacing w:beforeAutospacing="0" w:afterAutospacing="0" w:line="240" w:lineRule="auto"/>
              <w:ind w:left="0" w:right="0" w:firstLine="0" w:firstLineChars="0"/>
              <w:jc w:val="center"/>
              <w:rPr>
                <w:rFonts w:hint="default" w:ascii="Times New Roman" w:hAnsi="Times New Roman" w:eastAsia="宋体" w:cs="Times New Roman"/>
                <w:b/>
                <w:color w:val="auto"/>
                <w:kern w:val="0"/>
                <w:sz w:val="24"/>
                <w:szCs w:val="20"/>
                <w:lang w:val="en-US" w:eastAsia="zh-CN" w:bidi="ar-SA"/>
              </w:rPr>
            </w:pPr>
            <w:bookmarkStart w:id="71" w:name="_Ref30873"/>
            <w:r>
              <w:rPr>
                <w:rFonts w:hint="default" w:ascii="Times New Roman" w:hAnsi="Times New Roman" w:eastAsia="宋体" w:cs="Times New Roman"/>
                <w:color w:val="auto"/>
              </w:rPr>
              <w:t xml:space="preserve">表4- </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SEQ 表4- \* ARABIC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29</w:t>
            </w:r>
            <w:r>
              <w:rPr>
                <w:rFonts w:hint="default" w:ascii="Times New Roman" w:hAnsi="Times New Roman" w:eastAsia="宋体" w:cs="Times New Roman"/>
                <w:color w:val="auto"/>
              </w:rPr>
              <w:fldChar w:fldCharType="end"/>
            </w:r>
            <w:bookmarkEnd w:id="71"/>
            <w:r>
              <w:rPr>
                <w:rFonts w:hint="default" w:ascii="Times New Roman" w:hAnsi="Times New Roman" w:eastAsia="宋体" w:cs="Times New Roman"/>
                <w:b/>
                <w:color w:val="auto"/>
                <w:kern w:val="0"/>
                <w:sz w:val="24"/>
                <w:szCs w:val="20"/>
                <w:lang w:val="en-US" w:eastAsia="zh-CN" w:bidi="ar-SA"/>
              </w:rPr>
              <w:t>项目风险源分布及影响途径一览表</w:t>
            </w:r>
          </w:p>
          <w:tbl>
            <w:tblPr>
              <w:tblStyle w:val="27"/>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8"/>
              <w:gridCol w:w="1288"/>
              <w:gridCol w:w="1289"/>
              <w:gridCol w:w="1289"/>
              <w:gridCol w:w="1290"/>
              <w:gridCol w:w="1291"/>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8" w:type="dxa"/>
                  <w:tcBorders>
                    <w:top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b/>
                      <w:bCs/>
                      <w:color w:val="auto"/>
                      <w:kern w:val="0"/>
                      <w:sz w:val="21"/>
                      <w:szCs w:val="20"/>
                      <w:lang w:val="en-US" w:eastAsia="zh-CN" w:bidi="ar-SA"/>
                    </w:rPr>
                    <w:t>序号</w:t>
                  </w:r>
                </w:p>
              </w:tc>
              <w:tc>
                <w:tcPr>
                  <w:tcW w:w="1288" w:type="dxa"/>
                  <w:tcBorders>
                    <w:top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b/>
                      <w:bCs/>
                      <w:color w:val="auto"/>
                      <w:kern w:val="0"/>
                      <w:sz w:val="21"/>
                      <w:szCs w:val="20"/>
                      <w:lang w:val="en-US" w:eastAsia="zh-CN" w:bidi="ar-SA"/>
                    </w:rPr>
                    <w:t>功能系统</w:t>
                  </w:r>
                </w:p>
              </w:tc>
              <w:tc>
                <w:tcPr>
                  <w:tcW w:w="1289" w:type="dxa"/>
                  <w:tcBorders>
                    <w:top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b/>
                      <w:bCs/>
                      <w:color w:val="auto"/>
                      <w:kern w:val="0"/>
                      <w:sz w:val="21"/>
                      <w:szCs w:val="20"/>
                      <w:lang w:val="en-US" w:eastAsia="zh-CN" w:bidi="ar-SA"/>
                    </w:rPr>
                    <w:t>危险单元</w:t>
                  </w:r>
                </w:p>
              </w:tc>
              <w:tc>
                <w:tcPr>
                  <w:tcW w:w="1289" w:type="dxa"/>
                  <w:tcBorders>
                    <w:top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b/>
                      <w:bCs/>
                      <w:color w:val="auto"/>
                      <w:kern w:val="0"/>
                      <w:sz w:val="21"/>
                      <w:szCs w:val="20"/>
                      <w:lang w:val="en-US" w:eastAsia="zh-CN" w:bidi="ar-SA"/>
                    </w:rPr>
                    <w:t>主要危险物质</w:t>
                  </w:r>
                </w:p>
              </w:tc>
              <w:tc>
                <w:tcPr>
                  <w:tcW w:w="1290" w:type="dxa"/>
                  <w:tcBorders>
                    <w:top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b/>
                      <w:bCs/>
                      <w:color w:val="auto"/>
                      <w:kern w:val="0"/>
                      <w:sz w:val="21"/>
                      <w:szCs w:val="20"/>
                      <w:lang w:val="en-US" w:eastAsia="zh-CN" w:bidi="ar-SA"/>
                    </w:rPr>
                    <w:t>环境风险类型</w:t>
                  </w:r>
                </w:p>
              </w:tc>
              <w:tc>
                <w:tcPr>
                  <w:tcW w:w="1291" w:type="dxa"/>
                  <w:tcBorders>
                    <w:top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b/>
                      <w:bCs/>
                      <w:color w:val="auto"/>
                      <w:kern w:val="0"/>
                      <w:sz w:val="21"/>
                      <w:szCs w:val="20"/>
                      <w:lang w:val="en-US" w:eastAsia="zh-CN" w:bidi="ar-SA"/>
                    </w:rPr>
                    <w:t>环境影响途径</w:t>
                  </w:r>
                </w:p>
              </w:tc>
              <w:tc>
                <w:tcPr>
                  <w:tcW w:w="1291" w:type="dxa"/>
                  <w:tcBorders>
                    <w:top w:val="single" w:color="auto" w:sz="12" w:space="0"/>
                    <w:right w:val="nil"/>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b/>
                      <w:bCs/>
                      <w:color w:val="auto"/>
                      <w:kern w:val="0"/>
                      <w:sz w:val="21"/>
                      <w:szCs w:val="20"/>
                      <w:lang w:val="en-US" w:eastAsia="zh-CN" w:bidi="ar-SA"/>
                    </w:rPr>
                    <w:t>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8" w:type="dxa"/>
                  <w:tcBorders>
                    <w:left w:val="nil"/>
                    <w:bottom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color w:val="auto"/>
                      <w:kern w:val="0"/>
                      <w:sz w:val="21"/>
                      <w:szCs w:val="20"/>
                      <w:lang w:val="en-US" w:eastAsia="zh-CN" w:bidi="ar-SA"/>
                    </w:rPr>
                    <w:t>1</w:t>
                  </w:r>
                </w:p>
              </w:tc>
              <w:tc>
                <w:tcPr>
                  <w:tcW w:w="1288" w:type="dxa"/>
                  <w:tcBorders>
                    <w:bottom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color w:val="auto"/>
                      <w:kern w:val="0"/>
                      <w:sz w:val="21"/>
                      <w:szCs w:val="20"/>
                      <w:lang w:val="en-US" w:eastAsia="zh-CN" w:bidi="ar-SA"/>
                    </w:rPr>
                    <w:t>储运系统</w:t>
                  </w:r>
                </w:p>
              </w:tc>
              <w:tc>
                <w:tcPr>
                  <w:tcW w:w="1289" w:type="dxa"/>
                  <w:tcBorders>
                    <w:bottom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color w:val="auto"/>
                      <w:kern w:val="0"/>
                      <w:sz w:val="21"/>
                      <w:szCs w:val="20"/>
                      <w:lang w:val="en-US" w:eastAsia="zh-CN" w:bidi="ar-SA"/>
                    </w:rPr>
                    <w:t>化学品仓库</w:t>
                  </w:r>
                </w:p>
              </w:tc>
              <w:tc>
                <w:tcPr>
                  <w:tcW w:w="1289" w:type="dxa"/>
                  <w:tcBorders>
                    <w:bottom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color w:val="auto"/>
                      <w:kern w:val="0"/>
                      <w:sz w:val="21"/>
                      <w:szCs w:val="20"/>
                      <w:highlight w:val="none"/>
                      <w:lang w:val="en-US" w:eastAsia="zh-CN" w:bidi="ar-SA"/>
                    </w:rPr>
                    <w:t>润滑油</w:t>
                  </w:r>
                </w:p>
              </w:tc>
              <w:tc>
                <w:tcPr>
                  <w:tcW w:w="1290" w:type="dxa"/>
                  <w:tcBorders>
                    <w:bottom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color w:val="auto"/>
                      <w:kern w:val="0"/>
                      <w:sz w:val="21"/>
                      <w:szCs w:val="20"/>
                      <w:lang w:val="en-US" w:eastAsia="zh-CN" w:bidi="ar-SA"/>
                    </w:rPr>
                    <w:t>泄漏、火灾</w:t>
                  </w:r>
                </w:p>
              </w:tc>
              <w:tc>
                <w:tcPr>
                  <w:tcW w:w="1291" w:type="dxa"/>
                  <w:tcBorders>
                    <w:bottom w:val="single" w:color="auto" w:sz="12" w:space="0"/>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color w:val="auto"/>
                      <w:kern w:val="0"/>
                      <w:sz w:val="21"/>
                      <w:szCs w:val="20"/>
                      <w:lang w:val="en-US" w:eastAsia="zh-CN" w:bidi="ar-SA"/>
                    </w:rPr>
                    <w:t>进入大气、进入地下水</w:t>
                  </w:r>
                </w:p>
              </w:tc>
              <w:tc>
                <w:tcPr>
                  <w:tcW w:w="1291" w:type="dxa"/>
                  <w:tcBorders>
                    <w:bottom w:val="single" w:color="auto" w:sz="12" w:space="0"/>
                    <w:right w:val="nil"/>
                  </w:tcBorders>
                  <w:vAlign w:val="center"/>
                </w:tcPr>
                <w:p>
                  <w:pPr>
                    <w:keepNext w:val="0"/>
                    <w:keepLines w:val="0"/>
                    <w:widowControl w:val="0"/>
                    <w:suppressLineNumbers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b/>
                      <w:color w:val="auto"/>
                      <w:kern w:val="0"/>
                      <w:sz w:val="24"/>
                      <w:szCs w:val="20"/>
                      <w:vertAlign w:val="baseline"/>
                      <w:lang w:val="en-US" w:eastAsia="zh-CN" w:bidi="ar-SA"/>
                    </w:rPr>
                  </w:pPr>
                  <w:r>
                    <w:rPr>
                      <w:rFonts w:hint="default" w:ascii="Times New Roman" w:hAnsi="Times New Roman" w:eastAsia="宋体" w:cs="Times New Roman"/>
                      <w:color w:val="auto"/>
                      <w:kern w:val="0"/>
                      <w:sz w:val="21"/>
                      <w:szCs w:val="20"/>
                      <w:lang w:val="en-US" w:eastAsia="zh-CN" w:bidi="ar-SA"/>
                    </w:rPr>
                    <w:t>人员操作不当、储存条件不当</w:t>
                  </w:r>
                </w:p>
              </w:tc>
            </w:tr>
          </w:tbl>
          <w:p>
            <w:pPr>
              <w:keepNext w:val="0"/>
              <w:keepLines w:val="0"/>
              <w:numPr>
                <w:ilvl w:val="0"/>
                <w:numId w:val="33"/>
              </w:numPr>
              <w:suppressLineNumbers w:val="0"/>
              <w:autoSpaceDE/>
              <w:autoSpaceDN/>
              <w:adjustRightInd/>
              <w:spacing w:before="0" w:beforeAutospacing="0" w:after="0" w:afterAutospacing="0" w:line="360" w:lineRule="auto"/>
              <w:ind w:right="0" w:firstLine="397" w:firstLineChars="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环境风险影响途径分析</w:t>
            </w:r>
          </w:p>
          <w:p>
            <w:pPr>
              <w:keepNext w:val="0"/>
              <w:keepLines w:val="0"/>
              <w:numPr>
                <w:ilvl w:val="0"/>
                <w:numId w:val="34"/>
              </w:numPr>
              <w:suppressLineNumbers w:val="0"/>
              <w:spacing w:before="0" w:beforeAutospacing="0" w:after="0" w:afterAutospacing="0" w:line="360" w:lineRule="auto"/>
              <w:ind w:right="0" w:firstLine="480" w:firstLineChars="20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泄露事故环境风险影响分析</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lang w:val="en-US" w:eastAsia="zh-CN"/>
              </w:rPr>
              <w:t>化学品仓库</w:t>
            </w:r>
            <w:r>
              <w:rPr>
                <w:rFonts w:hint="default" w:ascii="Times New Roman" w:hAnsi="Times New Roman" w:eastAsia="宋体" w:cs="Times New Roman"/>
                <w:color w:val="auto"/>
                <w:sz w:val="24"/>
                <w:szCs w:val="20"/>
              </w:rPr>
              <w:t>、</w:t>
            </w:r>
            <w:r>
              <w:rPr>
                <w:rFonts w:hint="default" w:ascii="Times New Roman" w:hAnsi="Times New Roman" w:eastAsia="宋体" w:cs="Times New Roman"/>
                <w:color w:val="auto"/>
                <w:sz w:val="24"/>
                <w:szCs w:val="20"/>
                <w:lang w:val="en-US" w:eastAsia="zh-CN"/>
              </w:rPr>
              <w:t>危险废物暂存间</w:t>
            </w:r>
            <w:r>
              <w:rPr>
                <w:rFonts w:hint="default" w:ascii="Times New Roman" w:hAnsi="Times New Roman" w:eastAsia="宋体" w:cs="Times New Roman"/>
                <w:color w:val="auto"/>
                <w:sz w:val="24"/>
                <w:szCs w:val="20"/>
              </w:rPr>
              <w:t>使用物质贮存容器为小规格容器，若小规格容器的原辅料发生泄漏，一般若处理及时，泄漏物质可控制在贮存场所。</w:t>
            </w:r>
            <w:r>
              <w:rPr>
                <w:rFonts w:hint="default" w:ascii="Times New Roman" w:hAnsi="Times New Roman" w:eastAsia="宋体" w:cs="Times New Roman"/>
                <w:color w:val="auto"/>
                <w:sz w:val="24"/>
                <w:szCs w:val="20"/>
                <w:lang w:val="en-US" w:eastAsia="zh-CN"/>
              </w:rPr>
              <w:t>项目化学品仓库</w:t>
            </w:r>
            <w:r>
              <w:rPr>
                <w:rFonts w:hint="default" w:ascii="Times New Roman" w:hAnsi="Times New Roman" w:eastAsia="宋体" w:cs="Times New Roman"/>
                <w:color w:val="auto"/>
                <w:sz w:val="24"/>
                <w:szCs w:val="20"/>
              </w:rPr>
              <w:t>必须防腐、防渗，在门口设置围堰</w:t>
            </w:r>
            <w:r>
              <w:rPr>
                <w:rFonts w:hint="default" w:ascii="Times New Roman" w:hAnsi="Times New Roman" w:eastAsia="宋体" w:cs="Times New Roman"/>
                <w:color w:val="auto"/>
                <w:sz w:val="24"/>
                <w:szCs w:val="20"/>
                <w:lang w:val="en-US" w:eastAsia="zh-CN"/>
              </w:rPr>
              <w:t>或缓坡</w:t>
            </w:r>
            <w:r>
              <w:rPr>
                <w:rFonts w:hint="default" w:ascii="Times New Roman" w:hAnsi="Times New Roman" w:eastAsia="宋体" w:cs="Times New Roman"/>
                <w:color w:val="auto"/>
                <w:sz w:val="24"/>
                <w:szCs w:val="20"/>
              </w:rPr>
              <w:t>；危险废物暂存间的地面采用粘土铺地，再在上层铺设10</w:t>
            </w:r>
            <w:r>
              <w:rPr>
                <w:rFonts w:hint="default" w:ascii="Times New Roman" w:hAnsi="Times New Roman" w:eastAsia="宋体" w:cs="Times New Roman"/>
                <w:color w:val="auto"/>
                <w:sz w:val="24"/>
                <w:szCs w:val="20"/>
                <w:vertAlign w:val="superscript"/>
              </w:rPr>
              <w:t>-15</w:t>
            </w:r>
            <w:r>
              <w:rPr>
                <w:rFonts w:hint="default" w:ascii="Times New Roman" w:hAnsi="Times New Roman" w:eastAsia="宋体" w:cs="Times New Roman"/>
                <w:color w:val="auto"/>
                <w:sz w:val="24"/>
                <w:szCs w:val="20"/>
              </w:rPr>
              <w:t>cm的水泥进行硬化，铺设环氧树脂防渗，并在门口设置围堰</w:t>
            </w:r>
            <w:r>
              <w:rPr>
                <w:rFonts w:hint="default" w:ascii="Times New Roman" w:hAnsi="Times New Roman" w:eastAsia="宋体" w:cs="Times New Roman"/>
                <w:color w:val="auto"/>
                <w:sz w:val="24"/>
                <w:szCs w:val="20"/>
                <w:lang w:val="en-US" w:eastAsia="zh-CN"/>
              </w:rPr>
              <w:t>或缓坡</w:t>
            </w:r>
            <w:r>
              <w:rPr>
                <w:rFonts w:hint="default" w:ascii="Times New Roman" w:hAnsi="Times New Roman" w:eastAsia="宋体" w:cs="Times New Roman"/>
                <w:color w:val="auto"/>
                <w:sz w:val="24"/>
                <w:szCs w:val="20"/>
              </w:rPr>
              <w:t>；</w:t>
            </w:r>
            <w:r>
              <w:rPr>
                <w:rFonts w:hint="default" w:ascii="Times New Roman" w:hAnsi="Times New Roman" w:eastAsia="宋体" w:cs="Times New Roman"/>
                <w:color w:val="auto"/>
                <w:sz w:val="24"/>
                <w:szCs w:val="20"/>
                <w:lang w:val="en-US" w:eastAsia="zh-CN"/>
              </w:rPr>
              <w:t>化学品仓库均</w:t>
            </w:r>
            <w:r>
              <w:rPr>
                <w:rFonts w:hint="default" w:ascii="Times New Roman" w:hAnsi="Times New Roman" w:eastAsia="宋体" w:cs="Times New Roman"/>
                <w:color w:val="auto"/>
                <w:lang w:val="en-US" w:eastAsia="zh-CN"/>
              </w:rPr>
              <w:t>设置等效黏土防渗层Mb≥1.5m，K≤1.0×10</w:t>
            </w:r>
            <w:r>
              <w:rPr>
                <w:rFonts w:hint="default" w:ascii="Times New Roman" w:hAnsi="Times New Roman" w:eastAsia="宋体" w:cs="Times New Roman"/>
                <w:color w:val="auto"/>
                <w:vertAlign w:val="superscript"/>
                <w:lang w:val="en-US" w:eastAsia="zh-CN"/>
              </w:rPr>
              <w:t>-7</w:t>
            </w:r>
            <w:r>
              <w:rPr>
                <w:rFonts w:hint="default" w:ascii="Times New Roman" w:hAnsi="Times New Roman" w:eastAsia="宋体" w:cs="Times New Roman"/>
                <w:color w:val="auto"/>
                <w:lang w:val="en-US" w:eastAsia="zh-CN"/>
              </w:rPr>
              <w:t>cm/s或参照GB18598执行</w:t>
            </w:r>
            <w:r>
              <w:rPr>
                <w:rFonts w:hint="default" w:ascii="Times New Roman" w:hAnsi="Times New Roman" w:eastAsia="宋体" w:cs="Times New Roman"/>
                <w:color w:val="auto"/>
                <w:sz w:val="24"/>
                <w:szCs w:val="20"/>
              </w:rPr>
              <w:t>，</w:t>
            </w:r>
            <w:r>
              <w:rPr>
                <w:rFonts w:hint="default" w:ascii="Times New Roman" w:hAnsi="Times New Roman" w:eastAsia="宋体" w:cs="Times New Roman"/>
                <w:color w:val="auto"/>
                <w:sz w:val="24"/>
                <w:szCs w:val="20"/>
                <w:lang w:val="en-US" w:eastAsia="zh-CN"/>
              </w:rPr>
              <w:t>并加强日常管理和巡查，</w:t>
            </w:r>
            <w:r>
              <w:rPr>
                <w:rFonts w:hint="default" w:ascii="Times New Roman" w:hAnsi="Times New Roman" w:eastAsia="宋体" w:cs="Times New Roman"/>
                <w:color w:val="auto"/>
                <w:sz w:val="24"/>
                <w:szCs w:val="20"/>
              </w:rPr>
              <w:t>防止污染地下水。</w:t>
            </w:r>
          </w:p>
          <w:p>
            <w:pPr>
              <w:keepNext w:val="0"/>
              <w:keepLines w:val="0"/>
              <w:numPr>
                <w:ilvl w:val="0"/>
                <w:numId w:val="34"/>
              </w:numPr>
              <w:suppressLineNumbers w:val="0"/>
              <w:autoSpaceDE w:val="0"/>
              <w:autoSpaceDN w:val="0"/>
              <w:adjustRightInd w:val="0"/>
              <w:spacing w:before="0" w:beforeAutospacing="0" w:after="0" w:afterAutospacing="0" w:line="360" w:lineRule="auto"/>
              <w:ind w:right="0" w:firstLine="480" w:firstLineChars="20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火灾事故环境风险影响分析</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火灾事故危害除热辐射、冲击波和抛射物等直接危害外，未完全燃烧的危险物质在高温下迅速挥发释放至大气，燃烧物质燃烧过程中则同时产生伴生和次生物质，加上燃烧后形成的浓烟。浓烟是由燃烧物质释放出的高温蒸汽和毒气、被分解和凝聚的未燃烧物质、被火焰加热而带入上升气流中的大量空气等多种物质组成。它不但含有大量的热量，而且含有毒气体和弥散的固体微粒。因此浓烟对火场周围人员的生命安全危害程度远超过火灾本身，并对周围的大气环境质量造成很大的污染和破坏。另外，燃烧时的强烈热辐射还可能造成新的火灾和爆炸事故，会对周围的大气环境造成一定的影响，因此，建设单位应做好消防设施配置，有效控制火势。</w:t>
            </w:r>
          </w:p>
          <w:p>
            <w:pPr>
              <w:keepNext w:val="0"/>
              <w:keepLines w:val="0"/>
              <w:numPr>
                <w:ilvl w:val="0"/>
                <w:numId w:val="34"/>
              </w:numPr>
              <w:suppressLineNumbers w:val="0"/>
              <w:autoSpaceDE w:val="0"/>
              <w:autoSpaceDN w:val="0"/>
              <w:adjustRightInd w:val="0"/>
              <w:spacing w:before="0" w:beforeAutospacing="0" w:after="0" w:afterAutospacing="0" w:line="360" w:lineRule="auto"/>
              <w:ind w:right="0" w:firstLine="480" w:firstLineChars="20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环境风险防范措施及应急要求</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Ⅰ、根据应急要求，在生产车间配备应急设备，如灭火器等，车间工作人员及相关责任人均应熟悉其放置地点，用法，而且要经常检查，消防通道保持畅通。</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Ⅱ、地面应采用防腐水泥地坪，防止液体渗漏。定期对储存桶容器的外部进行检查，及时发现破损和漏处，避免物料的外泄导致二次污染。储存场所应阴凉通风，设泄漏应急设备及收容材料等。当发生泄漏后，液体则用砂土或其它不燃性吸附剂混合吸收。</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Ⅲ、危险废物按照规范设置专门收集容器和储存场所，储存场所采取地面硬化处理，存放场所设置防渗漏措施，危险废物委托有危险废物处理资质的单位处理；</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Ⅳ、公司设置专人定期对废气处理设施及生产设备进行检修维护，一旦发现废气处理系统发生故障，操作人员立即采取处理措施，控制事故扩大，避免环境污染事故发生；</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Ⅴ、建立健全安全、环境管理体系和高效的安全生产机构，开展环境应急的培训、宣传和必要的应急演练，一旦发生事故，做到快捷、高效、安全处置。定期对操作人员进行安全生产与安全知识培训，并制定严格的安全操作规程，各种物料应按其相应堆存规范堆置，禁止堆叠过高，防止滚动。原料装卸、使用时，全过程应有人在现场监督，一旦发生事故，立即采取防范措施。保证劳动安全，防止意外事故的发生。</w:t>
            </w:r>
          </w:p>
          <w:p>
            <w:pPr>
              <w:keepNext w:val="0"/>
              <w:keepLines w:val="0"/>
              <w:numPr>
                <w:ilvl w:val="0"/>
                <w:numId w:val="33"/>
              </w:numPr>
              <w:suppressLineNumbers w:val="0"/>
              <w:autoSpaceDE/>
              <w:autoSpaceDN/>
              <w:adjustRightInd/>
              <w:spacing w:before="0" w:beforeAutospacing="0" w:after="0" w:afterAutospacing="0" w:line="360" w:lineRule="auto"/>
              <w:ind w:right="0" w:firstLine="397" w:firstLineChars="0"/>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0"/>
              </w:rPr>
              <w:t>分析结论</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bCs/>
                <w:color w:val="auto"/>
                <w:sz w:val="24"/>
                <w:szCs w:val="20"/>
              </w:rPr>
            </w:pPr>
            <w:r>
              <w:rPr>
                <w:rFonts w:hint="default" w:ascii="Times New Roman" w:hAnsi="Times New Roman" w:eastAsia="宋体" w:cs="Times New Roman"/>
                <w:color w:val="auto"/>
                <w:sz w:val="24"/>
                <w:szCs w:val="20"/>
              </w:rPr>
              <w:t>项目风险物质及其临界量比值Q小于1</w:t>
            </w:r>
            <w:r>
              <w:rPr>
                <w:rFonts w:hint="default" w:ascii="Times New Roman" w:hAnsi="Times New Roman" w:eastAsia="宋体" w:cs="Times New Roman"/>
                <w:color w:val="auto"/>
                <w:sz w:val="24"/>
                <w:szCs w:val="20"/>
                <w:lang w:eastAsia="zh-CN"/>
              </w:rPr>
              <w:t>，</w:t>
            </w:r>
            <w:r>
              <w:rPr>
                <w:rFonts w:hint="default" w:ascii="Times New Roman" w:hAnsi="Times New Roman" w:eastAsia="宋体" w:cs="Times New Roman"/>
                <w:color w:val="auto"/>
                <w:sz w:val="24"/>
                <w:szCs w:val="20"/>
              </w:rPr>
              <w:t>火灾/爆炸等事故发生概率较低，环境风险潜势为Ⅰ，在落实上述防范措施后，项目生产过程的环境风险总体可控。</w:t>
            </w:r>
          </w:p>
          <w:p>
            <w:pPr>
              <w:pStyle w:val="7"/>
              <w:keepNext w:val="0"/>
              <w:keepLines w:val="0"/>
              <w:suppressLineNumbers w:val="0"/>
              <w:spacing w:before="0" w:beforeAutospacing="0" w:after="0" w:afterAutospacing="0" w:line="360" w:lineRule="auto"/>
              <w:ind w:left="0" w:right="0" w:firstLineChars="200"/>
              <w:rPr>
                <w:rFonts w:hint="default" w:ascii="Times New Roman" w:hAnsi="Times New Roman" w:eastAsia="宋体" w:cs="Times New Roman"/>
                <w:color w:val="auto"/>
              </w:rPr>
            </w:pPr>
          </w:p>
        </w:tc>
      </w:tr>
    </w:tbl>
    <w:p>
      <w:pPr>
        <w:pStyle w:val="22"/>
        <w:jc w:val="center"/>
        <w:outlineLvl w:val="0"/>
        <w:rPr>
          <w:rFonts w:hint="default" w:ascii="Times New Roman" w:hAnsi="Times New Roman" w:eastAsia="宋体" w:cs="Times New Roman"/>
          <w:snapToGrid w:val="0"/>
          <w:color w:val="auto"/>
          <w:sz w:val="30"/>
          <w:szCs w:val="30"/>
        </w:rPr>
        <w:sectPr>
          <w:type w:val="continuous"/>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pPr>
        <w:pStyle w:val="22"/>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五、</w:t>
      </w:r>
      <w:bookmarkStart w:id="72" w:name="_Hlk54167917"/>
      <w:r>
        <w:rPr>
          <w:rFonts w:hint="default" w:ascii="Times New Roman" w:hAnsi="Times New Roman" w:eastAsia="宋体" w:cs="Times New Roman"/>
          <w:snapToGrid w:val="0"/>
          <w:color w:val="auto"/>
          <w:sz w:val="30"/>
          <w:szCs w:val="30"/>
        </w:rPr>
        <w:t>环境保护措施监督检查清单</w:t>
      </w:r>
      <w:bookmarkEnd w:id="72"/>
    </w:p>
    <w:tbl>
      <w:tblPr>
        <w:tblStyle w:val="26"/>
        <w:tblW w:w="498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77"/>
        <w:gridCol w:w="1689"/>
        <w:gridCol w:w="1473"/>
        <w:gridCol w:w="2224"/>
        <w:gridCol w:w="24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tcBorders>
              <w:tl2br w:val="nil"/>
              <w:tr2bl w:val="nil"/>
            </w:tcBorders>
            <w:noWrap w:val="0"/>
            <w:vAlign w:val="top"/>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内容</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要素</w:t>
            </w:r>
          </w:p>
        </w:tc>
        <w:tc>
          <w:tcPr>
            <w:tcW w:w="85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排放口(编号、</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名称)/污染源</w:t>
            </w:r>
          </w:p>
        </w:tc>
        <w:tc>
          <w:tcPr>
            <w:tcW w:w="749"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污染物项目</w:t>
            </w:r>
          </w:p>
        </w:tc>
        <w:tc>
          <w:tcPr>
            <w:tcW w:w="1131"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环境保护措施</w:t>
            </w:r>
          </w:p>
        </w:tc>
        <w:tc>
          <w:tcPr>
            <w:tcW w:w="1254"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vMerge w:val="restar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大气环境</w:t>
            </w:r>
          </w:p>
        </w:tc>
        <w:tc>
          <w:tcPr>
            <w:tcW w:w="85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DA001废气排放口1#</w:t>
            </w:r>
          </w:p>
        </w:tc>
        <w:tc>
          <w:tcPr>
            <w:tcW w:w="74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1131"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收集通过</w:t>
            </w:r>
            <w:r>
              <w:rPr>
                <w:rFonts w:hint="default" w:ascii="Times New Roman" w:hAnsi="Times New Roman" w:eastAsia="宋体" w:cs="Times New Roman"/>
                <w:color w:val="auto"/>
                <w:lang w:val="en-US" w:eastAsia="zh-CN"/>
              </w:rPr>
              <w:t>滤筒除尘器</w:t>
            </w:r>
            <w:r>
              <w:rPr>
                <w:rFonts w:hint="default" w:ascii="Times New Roman" w:hAnsi="Times New Roman" w:eastAsia="宋体" w:cs="Times New Roman"/>
                <w:color w:val="auto"/>
              </w:rPr>
              <w:t>处理后引至15m</w:t>
            </w:r>
            <w:r>
              <w:rPr>
                <w:rFonts w:hint="default" w:ascii="Times New Roman" w:hAnsi="Times New Roman" w:eastAsia="宋体" w:cs="Times New Roman"/>
                <w:color w:val="auto"/>
                <w:lang w:val="en-US" w:eastAsia="zh-CN"/>
              </w:rPr>
              <w:t>高</w:t>
            </w:r>
            <w:r>
              <w:rPr>
                <w:rFonts w:hint="default" w:ascii="Times New Roman" w:hAnsi="Times New Roman" w:eastAsia="宋体" w:cs="Times New Roman"/>
                <w:color w:val="auto"/>
              </w:rPr>
              <w:t>排气筒（DA001）排放</w:t>
            </w:r>
          </w:p>
        </w:tc>
        <w:tc>
          <w:tcPr>
            <w:tcW w:w="1254" w:type="pct"/>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颗粒物执行《大气污染物排放限值》（DB44/27-2001)第二时段二级标准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5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DA00</w:t>
            </w:r>
            <w:r>
              <w:rPr>
                <w:rFonts w:hint="default" w:ascii="Times New Roman" w:hAnsi="Times New Roman" w:eastAsia="宋体" w:cs="Times New Roman"/>
                <w:color w:val="auto"/>
                <w:lang w:eastAsia="zh-CN"/>
              </w:rPr>
              <w:t>2</w:t>
            </w:r>
            <w:r>
              <w:rPr>
                <w:rFonts w:hint="default" w:ascii="Times New Roman" w:hAnsi="Times New Roman" w:eastAsia="宋体" w:cs="Times New Roman"/>
                <w:color w:val="auto"/>
              </w:rPr>
              <w:t>废气排放口</w:t>
            </w:r>
            <w:r>
              <w:rPr>
                <w:rFonts w:hint="default" w:ascii="Times New Roman" w:hAnsi="Times New Roman" w:eastAsia="宋体" w:cs="Times New Roman"/>
                <w:color w:val="auto"/>
                <w:lang w:eastAsia="zh-CN"/>
              </w:rPr>
              <w:t>2</w:t>
            </w:r>
            <w:r>
              <w:rPr>
                <w:rFonts w:hint="default" w:ascii="Times New Roman" w:hAnsi="Times New Roman" w:eastAsia="宋体" w:cs="Times New Roman"/>
                <w:color w:val="auto"/>
              </w:rPr>
              <w:t>#</w:t>
            </w:r>
          </w:p>
        </w:tc>
        <w:tc>
          <w:tcPr>
            <w:tcW w:w="74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1131"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收集通过</w:t>
            </w:r>
            <w:r>
              <w:rPr>
                <w:rFonts w:hint="default" w:ascii="Times New Roman" w:hAnsi="Times New Roman" w:eastAsia="宋体" w:cs="Times New Roman"/>
                <w:color w:val="auto"/>
                <w:lang w:val="en-US" w:eastAsia="zh-CN"/>
              </w:rPr>
              <w:t>滤筒粉尘回收机</w:t>
            </w:r>
            <w:r>
              <w:rPr>
                <w:rFonts w:hint="default" w:ascii="Times New Roman" w:hAnsi="Times New Roman" w:eastAsia="宋体" w:cs="Times New Roman"/>
                <w:color w:val="auto"/>
              </w:rPr>
              <w:t>处理后引至15m</w:t>
            </w:r>
            <w:r>
              <w:rPr>
                <w:rFonts w:hint="default" w:ascii="Times New Roman" w:hAnsi="Times New Roman" w:eastAsia="宋体" w:cs="Times New Roman"/>
                <w:color w:val="auto"/>
                <w:lang w:val="en-US" w:eastAsia="zh-CN"/>
              </w:rPr>
              <w:t>高</w:t>
            </w:r>
            <w:r>
              <w:rPr>
                <w:rFonts w:hint="default" w:ascii="Times New Roman" w:hAnsi="Times New Roman" w:eastAsia="宋体" w:cs="Times New Roman"/>
                <w:color w:val="auto"/>
              </w:rPr>
              <w:t>排气筒（DA00</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）排放</w:t>
            </w:r>
          </w:p>
        </w:tc>
        <w:tc>
          <w:tcPr>
            <w:tcW w:w="1254" w:type="pct"/>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颗粒物执行《大气污染物排放限值》（DB44/27-2001)第二时段二级标准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5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DA00</w:t>
            </w:r>
            <w:r>
              <w:rPr>
                <w:rFonts w:hint="default" w:ascii="Times New Roman" w:hAnsi="Times New Roman" w:eastAsia="宋体" w:cs="Times New Roman"/>
                <w:color w:val="auto"/>
                <w:lang w:eastAsia="zh-CN"/>
              </w:rPr>
              <w:t>3</w:t>
            </w:r>
            <w:r>
              <w:rPr>
                <w:rFonts w:hint="default" w:ascii="Times New Roman" w:hAnsi="Times New Roman" w:eastAsia="宋体" w:cs="Times New Roman"/>
                <w:color w:val="auto"/>
              </w:rPr>
              <w:t>废气排放口</w:t>
            </w:r>
            <w:r>
              <w:rPr>
                <w:rFonts w:hint="default" w:ascii="Times New Roman" w:hAnsi="Times New Roman" w:eastAsia="宋体" w:cs="Times New Roman"/>
                <w:color w:val="auto"/>
                <w:lang w:eastAsia="zh-CN"/>
              </w:rPr>
              <w:t>3</w:t>
            </w:r>
            <w:r>
              <w:rPr>
                <w:rFonts w:hint="default" w:ascii="Times New Roman" w:hAnsi="Times New Roman" w:eastAsia="宋体" w:cs="Times New Roman"/>
                <w:color w:val="auto"/>
              </w:rPr>
              <w:t>#</w:t>
            </w:r>
          </w:p>
        </w:tc>
        <w:tc>
          <w:tcPr>
            <w:tcW w:w="74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w:t>
            </w:r>
          </w:p>
        </w:tc>
        <w:tc>
          <w:tcPr>
            <w:tcW w:w="1131"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收集通过</w:t>
            </w:r>
            <w:r>
              <w:rPr>
                <w:rFonts w:hint="default" w:ascii="Times New Roman" w:hAnsi="Times New Roman" w:eastAsia="宋体" w:cs="Times New Roman"/>
                <w:color w:val="auto"/>
                <w:lang w:val="en-US" w:eastAsia="zh-CN"/>
              </w:rPr>
              <w:t>水喷淋塔+活性炭吸附装置</w:t>
            </w:r>
            <w:r>
              <w:rPr>
                <w:rFonts w:hint="default" w:ascii="Times New Roman" w:hAnsi="Times New Roman" w:eastAsia="宋体" w:cs="Times New Roman"/>
                <w:color w:val="auto"/>
              </w:rPr>
              <w:t>处理后引至15m</w:t>
            </w:r>
            <w:r>
              <w:rPr>
                <w:rFonts w:hint="default" w:ascii="Times New Roman" w:hAnsi="Times New Roman" w:eastAsia="宋体" w:cs="Times New Roman"/>
                <w:color w:val="auto"/>
                <w:lang w:val="en-US" w:eastAsia="zh-CN"/>
              </w:rPr>
              <w:t>高</w:t>
            </w:r>
            <w:r>
              <w:rPr>
                <w:rFonts w:hint="default" w:ascii="Times New Roman" w:hAnsi="Times New Roman" w:eastAsia="宋体" w:cs="Times New Roman"/>
                <w:color w:val="auto"/>
              </w:rPr>
              <w:t>排气筒（DA00</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）排放</w:t>
            </w:r>
          </w:p>
        </w:tc>
        <w:tc>
          <w:tcPr>
            <w:tcW w:w="1254" w:type="pct"/>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总VOCs执行《固定污染源挥发性有机物综合排放标准》（DB44/2367—2022）的排放限值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59" w:type="pct"/>
            <w:tcBorders>
              <w:tl2br w:val="nil"/>
              <w:tr2bl w:val="nil"/>
            </w:tcBorders>
            <w:noWrap w:val="0"/>
            <w:vAlign w:val="center"/>
          </w:tcPr>
          <w:p>
            <w:pPr>
              <w:pStyle w:val="5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DA00</w:t>
            </w:r>
            <w:r>
              <w:rPr>
                <w:rFonts w:hint="default" w:ascii="Times New Roman" w:hAnsi="Times New Roman" w:eastAsia="宋体" w:cs="Times New Roman"/>
                <w:color w:val="auto"/>
                <w:lang w:eastAsia="zh-CN"/>
              </w:rPr>
              <w:t>4</w:t>
            </w:r>
            <w:r>
              <w:rPr>
                <w:rFonts w:hint="default" w:ascii="Times New Roman" w:hAnsi="Times New Roman" w:eastAsia="宋体" w:cs="Times New Roman"/>
                <w:color w:val="auto"/>
              </w:rPr>
              <w:t>废气排放口</w:t>
            </w:r>
            <w:r>
              <w:rPr>
                <w:rFonts w:hint="default" w:ascii="Times New Roman" w:hAnsi="Times New Roman" w:eastAsia="宋体" w:cs="Times New Roman"/>
                <w:color w:val="auto"/>
                <w:lang w:eastAsia="zh-CN"/>
              </w:rPr>
              <w:t>4</w:t>
            </w:r>
            <w:r>
              <w:rPr>
                <w:rFonts w:hint="default" w:ascii="Times New Roman" w:hAnsi="Times New Roman" w:eastAsia="宋体" w:cs="Times New Roman"/>
                <w:color w:val="auto"/>
              </w:rPr>
              <w:t>#</w:t>
            </w:r>
          </w:p>
        </w:tc>
        <w:tc>
          <w:tcPr>
            <w:tcW w:w="74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颗粒物、总VOCs</w:t>
            </w:r>
          </w:p>
        </w:tc>
        <w:tc>
          <w:tcPr>
            <w:tcW w:w="1131"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收集通过</w:t>
            </w:r>
            <w:r>
              <w:rPr>
                <w:rFonts w:hint="default" w:ascii="Times New Roman" w:hAnsi="Times New Roman" w:eastAsia="宋体" w:cs="Times New Roman"/>
                <w:color w:val="auto"/>
                <w:lang w:val="en-US" w:eastAsia="zh-CN"/>
              </w:rPr>
              <w:t>水喷淋塔+二级活性炭吸附装置</w:t>
            </w:r>
            <w:r>
              <w:rPr>
                <w:rFonts w:hint="default" w:ascii="Times New Roman" w:hAnsi="Times New Roman" w:eastAsia="宋体" w:cs="Times New Roman"/>
                <w:color w:val="auto"/>
              </w:rPr>
              <w:t>处理后引至15m</w:t>
            </w:r>
            <w:r>
              <w:rPr>
                <w:rFonts w:hint="default" w:ascii="Times New Roman" w:hAnsi="Times New Roman" w:eastAsia="宋体" w:cs="Times New Roman"/>
                <w:color w:val="auto"/>
                <w:lang w:val="en-US" w:eastAsia="zh-CN"/>
              </w:rPr>
              <w:t>高</w:t>
            </w:r>
            <w:r>
              <w:rPr>
                <w:rFonts w:hint="default" w:ascii="Times New Roman" w:hAnsi="Times New Roman" w:eastAsia="宋体" w:cs="Times New Roman"/>
                <w:color w:val="auto"/>
              </w:rPr>
              <w:t>排气筒（DA00</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rPr>
              <w:t>）排放</w:t>
            </w:r>
          </w:p>
        </w:tc>
        <w:tc>
          <w:tcPr>
            <w:tcW w:w="1254" w:type="pct"/>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颗粒物执行《大气污染物排放限值》（DB44/27-2001)第二时段二级标准，总VOCs执行《固定污染源挥发性有机物综合排放标准》（DB44/2367—2022）的排放限值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5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厂区内无组织</w:t>
            </w:r>
          </w:p>
        </w:tc>
        <w:tc>
          <w:tcPr>
            <w:tcW w:w="74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NMHC</w:t>
            </w:r>
          </w:p>
        </w:tc>
        <w:tc>
          <w:tcPr>
            <w:tcW w:w="1131"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加强密闭</w:t>
            </w:r>
          </w:p>
        </w:tc>
        <w:tc>
          <w:tcPr>
            <w:tcW w:w="1254" w:type="pct"/>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《固定污染源挥发性有机物综合排放标准》（DB44/2367-2022）中表3</w:t>
            </w:r>
            <w:r>
              <w:rPr>
                <w:rFonts w:hint="default" w:ascii="Times New Roman" w:hAnsi="Times New Roman" w:eastAsia="宋体" w:cs="Times New Roman"/>
                <w:color w:val="auto"/>
                <w:lang w:val="en-US" w:eastAsia="zh-CN"/>
              </w:rPr>
              <w:t>厂区内VOCs无组织</w:t>
            </w:r>
            <w:r>
              <w:rPr>
                <w:rFonts w:hint="default" w:ascii="Times New Roman" w:hAnsi="Times New Roman" w:eastAsia="宋体" w:cs="Times New Roman"/>
                <w:color w:val="auto"/>
              </w:rPr>
              <w:t>排放限值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vMerge w:val="continue"/>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p>
        </w:tc>
        <w:tc>
          <w:tcPr>
            <w:tcW w:w="85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厂界无组织</w:t>
            </w:r>
          </w:p>
        </w:tc>
        <w:tc>
          <w:tcPr>
            <w:tcW w:w="74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TVOC、颗粒物</w:t>
            </w:r>
          </w:p>
        </w:tc>
        <w:tc>
          <w:tcPr>
            <w:tcW w:w="1131"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加强密闭</w:t>
            </w:r>
          </w:p>
        </w:tc>
        <w:tc>
          <w:tcPr>
            <w:tcW w:w="1254" w:type="pct"/>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颗粒物执行《大气污染物排放限值》（DB44/27-2001)第二时段无组织排放监控浓度限值，TVOC执行《家具制造行业挥发性有机化合物排放标准》（DB 44/814-2010）的排放限值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4" w:hRule="atLeast"/>
          <w:jc w:val="center"/>
        </w:trPr>
        <w:tc>
          <w:tcPr>
            <w:tcW w:w="100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地表水环境</w:t>
            </w:r>
          </w:p>
        </w:tc>
        <w:tc>
          <w:tcPr>
            <w:tcW w:w="85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生活污水</w:t>
            </w:r>
          </w:p>
        </w:tc>
        <w:tc>
          <w:tcPr>
            <w:tcW w:w="74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COD</w:t>
            </w:r>
            <w:r>
              <w:rPr>
                <w:rFonts w:hint="default" w:ascii="Times New Roman" w:hAnsi="Times New Roman" w:eastAsia="宋体" w:cs="Times New Roman"/>
                <w:color w:val="auto"/>
                <w:vertAlign w:val="subscript"/>
              </w:rPr>
              <w:t>Cr</w:t>
            </w:r>
            <w:r>
              <w:rPr>
                <w:rFonts w:hint="default" w:ascii="Times New Roman" w:hAnsi="Times New Roman" w:eastAsia="宋体" w:cs="Times New Roman"/>
                <w:color w:val="auto"/>
              </w:rPr>
              <w:t>、BOD</w:t>
            </w:r>
            <w:r>
              <w:rPr>
                <w:rFonts w:hint="default" w:ascii="Times New Roman" w:hAnsi="Times New Roman" w:eastAsia="宋体" w:cs="Times New Roman"/>
                <w:color w:val="auto"/>
                <w:vertAlign w:val="subscript"/>
              </w:rPr>
              <w:t>5</w:t>
            </w:r>
            <w:r>
              <w:rPr>
                <w:rFonts w:hint="default" w:ascii="Times New Roman" w:hAnsi="Times New Roman" w:eastAsia="宋体" w:cs="Times New Roman"/>
                <w:color w:val="auto"/>
              </w:rPr>
              <w:t>、SS、氨氮</w:t>
            </w:r>
          </w:p>
        </w:tc>
        <w:tc>
          <w:tcPr>
            <w:tcW w:w="1131"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生活污水由三级化粪池预处理达标后经市政管网纳入</w:t>
            </w:r>
            <w:r>
              <w:rPr>
                <w:rFonts w:hint="default" w:ascii="Times New Roman" w:hAnsi="Times New Roman" w:eastAsia="宋体" w:cs="Times New Roman"/>
                <w:color w:val="auto"/>
                <w:lang w:eastAsia="zh-CN"/>
              </w:rPr>
              <w:t>石湾镇大牛垒污水处理厂</w:t>
            </w:r>
            <w:r>
              <w:rPr>
                <w:rFonts w:hint="default" w:ascii="Times New Roman" w:hAnsi="Times New Roman" w:eastAsia="宋体" w:cs="Times New Roman"/>
                <w:color w:val="auto"/>
              </w:rPr>
              <w:t>进行处理</w:t>
            </w:r>
          </w:p>
        </w:tc>
        <w:tc>
          <w:tcPr>
            <w:tcW w:w="1254" w:type="pct"/>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石湾镇大牛垒污水处理厂尾水氨氮和总磷排放执行《地表水环境质量标准》（GB3838-2002）V类标准，其余指标排放执行《城镇污水处理厂污染物排放标准》（GB18918-2002）一级A标准、广东省地方标准《水污染物排放限值》（DB44/26-2001）第二时段一级标准的较严值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声环境</w:t>
            </w:r>
          </w:p>
        </w:tc>
        <w:tc>
          <w:tcPr>
            <w:tcW w:w="85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机械设备</w:t>
            </w:r>
          </w:p>
        </w:tc>
        <w:tc>
          <w:tcPr>
            <w:tcW w:w="74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噪声</w:t>
            </w:r>
          </w:p>
        </w:tc>
        <w:tc>
          <w:tcPr>
            <w:tcW w:w="1131"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采用低噪声设备、合理布局、减振、消声、隔声、距离衰减等综合治理措施</w:t>
            </w:r>
          </w:p>
        </w:tc>
        <w:tc>
          <w:tcPr>
            <w:tcW w:w="1254" w:type="pct"/>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《工业企业厂界环境噪声排放标准》（GB12348-2008）中2类标准要求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电磁辐射</w:t>
            </w:r>
          </w:p>
        </w:tc>
        <w:tc>
          <w:tcPr>
            <w:tcW w:w="85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749"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1131" w:type="pct"/>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1254" w:type="pct"/>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固体废物</w:t>
            </w:r>
          </w:p>
        </w:tc>
        <w:tc>
          <w:tcPr>
            <w:tcW w:w="3994" w:type="pct"/>
            <w:gridSpan w:val="4"/>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一般工业固体废物交专业公司回收处理；危险废物交有危险废物处理资质单位处理处置；生活垃圾交给当地环卫部门收集处置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土壤及地下水</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污染防治措施</w:t>
            </w:r>
          </w:p>
        </w:tc>
        <w:tc>
          <w:tcPr>
            <w:tcW w:w="3994" w:type="pct"/>
            <w:gridSpan w:val="4"/>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建设单位按照分区防控采取相应的防控措施，采取规范化管理，设置一般固体废物暂存间和危险暂存间，分别储存一般固废和危险废物，做防渗防泄漏处理；危废暂存间、</w:t>
            </w:r>
            <w:r>
              <w:rPr>
                <w:rFonts w:hint="default" w:ascii="Times New Roman" w:hAnsi="Times New Roman" w:eastAsia="宋体" w:cs="Times New Roman"/>
                <w:color w:val="auto"/>
                <w:lang w:val="en-US" w:eastAsia="zh-CN"/>
              </w:rPr>
              <w:t>化学品</w:t>
            </w:r>
            <w:r>
              <w:rPr>
                <w:rFonts w:hint="default" w:ascii="Times New Roman" w:hAnsi="Times New Roman" w:eastAsia="宋体" w:cs="Times New Roman"/>
                <w:color w:val="auto"/>
              </w:rPr>
              <w:t>仓库拟做硬底化防渗处理，同时有完善的泄漏处理措施。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生态保护措施</w:t>
            </w:r>
          </w:p>
        </w:tc>
        <w:tc>
          <w:tcPr>
            <w:tcW w:w="3994" w:type="pct"/>
            <w:gridSpan w:val="4"/>
            <w:tcBorders>
              <w:tl2br w:val="nil"/>
              <w:tr2bl w:val="nil"/>
            </w:tcBorders>
            <w:noWrap w:val="0"/>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环境风险</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防范措施</w:t>
            </w:r>
          </w:p>
        </w:tc>
        <w:tc>
          <w:tcPr>
            <w:tcW w:w="3994" w:type="pct"/>
            <w:gridSpan w:val="4"/>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Ⅰ、根据应急要求，在生产车间配备应急设备，如灭火器等，车间工作人员及相关责任人均应熟悉其放置地点，用法，而且要经常检查，消防通道保持畅通。</w:t>
            </w:r>
          </w:p>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Ⅱ、地面应采用防腐水泥地坪，防止液体渗漏。定期对储存桶容器的外部进行检查，及时发现破损和漏处，避免物料的外泄导致二次污染。储存场所应阴凉通风，设泄漏应急设备及收容材料等。当发生泄漏后，液体则用砂土或其它不燃性吸附剂混合吸收。</w:t>
            </w:r>
          </w:p>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Ⅲ、危险废物按照规范设置专门收集容器和储存场所，储存场所采取地面硬化处理，存放场所设置防渗漏措施，危险废物委托有危险废物处理资质的单位处理；</w:t>
            </w:r>
          </w:p>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Ⅳ、公司设置专人定期对废气处理设施及生产设备进行检修维护，一旦发现废气处理系统发生故障，操作人员立即采取处理措施，控制事故扩大，避免环境污染事故发生；</w:t>
            </w:r>
          </w:p>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Ⅴ、建立健全安全、环境管理体系和高效的安全生产机构，开展环境应急的培训、宣传和必要的应急演练，一旦发生事故，做到快捷、高效、安全处置。定期对操作人员进行安全生产与安全知识培训，并制定严格的安全操作规程，各种物料应按其相应堆存规范堆置，禁止堆叠过高，防止滚动。原料装卸、使用时，全过程应有人在现场监督，一旦发生事故，立即采取防范措施。保证劳动安全，防止意外事故的发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pct"/>
            <w:tcBorders>
              <w:tl2br w:val="nil"/>
              <w:tr2bl w:val="nil"/>
            </w:tcBorders>
            <w:noWrap w:val="0"/>
            <w:vAlign w:val="center"/>
          </w:tcPr>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其他环境</w:t>
            </w:r>
          </w:p>
          <w:p>
            <w:pPr>
              <w:pStyle w:val="52"/>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管理要求</w:t>
            </w:r>
          </w:p>
        </w:tc>
        <w:tc>
          <w:tcPr>
            <w:tcW w:w="3994" w:type="pct"/>
            <w:gridSpan w:val="4"/>
            <w:tcBorders>
              <w:tl2br w:val="nil"/>
              <w:tr2bl w:val="nil"/>
            </w:tcBorders>
            <w:noWrap w:val="0"/>
            <w:vAlign w:val="center"/>
          </w:tcPr>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1、排污许可</w:t>
            </w:r>
          </w:p>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根据《排污许可证管理办法（试行）》和《固定污染源排污许可分类管理名录（2019年版）》等相关政策文件，本项目排污许可证管理类别为</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登记</w:t>
            </w:r>
            <w:r>
              <w:rPr>
                <w:rFonts w:hint="default" w:ascii="Times New Roman" w:hAnsi="Times New Roman" w:eastAsia="宋体" w:cs="Times New Roman"/>
                <w:color w:val="auto"/>
              </w:rPr>
              <w:t>管理</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，企业应在实际投入生产或发生排污前完成排污</w:t>
            </w:r>
            <w:r>
              <w:rPr>
                <w:rFonts w:hint="default" w:ascii="Times New Roman" w:hAnsi="Times New Roman" w:eastAsia="宋体" w:cs="Times New Roman"/>
                <w:color w:val="auto"/>
                <w:lang w:val="en-US" w:eastAsia="zh-CN"/>
              </w:rPr>
              <w:t>登记</w:t>
            </w:r>
            <w:r>
              <w:rPr>
                <w:rFonts w:hint="default" w:ascii="Times New Roman" w:hAnsi="Times New Roman" w:eastAsia="宋体" w:cs="Times New Roman"/>
                <w:color w:val="auto"/>
              </w:rPr>
              <w:t>相关手续。</w:t>
            </w:r>
          </w:p>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2、竣工验收</w:t>
            </w:r>
          </w:p>
          <w:p>
            <w:pPr>
              <w:pStyle w:val="52"/>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rPr>
            </w:pPr>
            <w:r>
              <w:rPr>
                <w:rFonts w:hint="default" w:ascii="Times New Roman" w:hAnsi="Times New Roman" w:eastAsia="宋体" w:cs="Times New Roman"/>
                <w:color w:val="auto"/>
              </w:rPr>
              <w:t>建设单位应依据建设项目竣工环境保护验收技术规范、环评文件及其批复的要求，自主开展环境保护竣工验收相关工作。建设项目配套建设的环境保护设施经验收合格，方可投入生产或者使用，未经验收或者验收不合格的，不得投入生产或者使用。</w:t>
            </w:r>
          </w:p>
        </w:tc>
      </w:tr>
    </w:tbl>
    <w:p>
      <w:pPr>
        <w:pStyle w:val="22"/>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rPr>
        <w:br w:type="page"/>
      </w:r>
      <w:r>
        <w:rPr>
          <w:rFonts w:hint="default" w:ascii="Times New Roman" w:hAnsi="Times New Roman" w:eastAsia="宋体" w:cs="Times New Roman"/>
          <w:snapToGrid w:val="0"/>
          <w:color w:val="auto"/>
          <w:sz w:val="30"/>
          <w:szCs w:val="30"/>
        </w:rPr>
        <w:t>六、结论</w:t>
      </w:r>
    </w:p>
    <w:tbl>
      <w:tblPr>
        <w:tblStyle w:val="2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从环境保护角度分析，本项目建设具有可行性。</w: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4"/>
              </w:rPr>
            </w:pPr>
          </w:p>
        </w:tc>
      </w:tr>
    </w:tbl>
    <w:p>
      <w:pPr>
        <w:rPr>
          <w:rFonts w:hint="default" w:ascii="Times New Roman" w:hAnsi="Times New Roman" w:eastAsia="宋体" w:cs="Times New Roman"/>
          <w:color w:val="auto"/>
        </w:rPr>
        <w:sectPr>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pPr>
        <w:pStyle w:val="22"/>
        <w:adjustRightInd w:val="0"/>
        <w:snapToGrid w:val="0"/>
        <w:spacing w:before="0" w:beforeAutospacing="0" w:after="0" w:afterAutospacing="0" w:line="240" w:lineRule="auto"/>
        <w:outlineLvl w:val="0"/>
        <w:rPr>
          <w:rFonts w:hint="default" w:ascii="Times New Roman" w:hAnsi="Times New Roman" w:eastAsia="宋体" w:cs="Times New Roman"/>
          <w:snapToGrid w:val="0"/>
          <w:color w:val="auto"/>
          <w:sz w:val="32"/>
          <w:szCs w:val="32"/>
        </w:rPr>
      </w:pPr>
      <w:r>
        <w:rPr>
          <w:rFonts w:hint="default" w:ascii="Times New Roman" w:hAnsi="Times New Roman" w:eastAsia="宋体" w:cs="Times New Roman"/>
          <w:snapToGrid w:val="0"/>
          <w:color w:val="auto"/>
          <w:sz w:val="32"/>
          <w:szCs w:val="32"/>
        </w:rPr>
        <w:t>附表</w:t>
      </w:r>
    </w:p>
    <w:p>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9"/>
        <w:rPr>
          <w:rFonts w:hint="default" w:ascii="Times New Roman" w:hAnsi="Times New Roman" w:eastAsia="宋体" w:cs="Times New Roman"/>
          <w:snapToGrid w:val="0"/>
          <w:color w:val="auto"/>
          <w:sz w:val="38"/>
          <w:szCs w:val="38"/>
        </w:rPr>
      </w:pPr>
      <w:r>
        <w:rPr>
          <w:rFonts w:hint="default" w:ascii="Times New Roman" w:hAnsi="Times New Roman" w:eastAsia="宋体" w:cs="Times New Roman"/>
          <w:snapToGrid w:val="0"/>
          <w:color w:val="auto"/>
          <w:sz w:val="38"/>
          <w:szCs w:val="38"/>
        </w:rPr>
        <w:t>建设项目污染物排放量汇总表</w:t>
      </w:r>
    </w:p>
    <w:tbl>
      <w:tblPr>
        <w:tblStyle w:val="26"/>
        <w:tblW w:w="4993"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81"/>
        <w:gridCol w:w="1944"/>
        <w:gridCol w:w="1357"/>
        <w:gridCol w:w="1351"/>
        <w:gridCol w:w="1802"/>
        <w:gridCol w:w="1653"/>
        <w:gridCol w:w="1866"/>
        <w:gridCol w:w="1574"/>
        <w:gridCol w:w="137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75" w:type="pct"/>
            <w:tcBorders>
              <w:tl2br w:val="single" w:color="auto" w:sz="4" w:space="0"/>
            </w:tcBorders>
            <w:noWrap w:val="0"/>
            <w:tcMar>
              <w:left w:w="28" w:type="dxa"/>
              <w:right w:w="28" w:type="dxa"/>
            </w:tcMar>
            <w:vAlign w:val="center"/>
          </w:tcPr>
          <w:p>
            <w:pPr>
              <w:pStyle w:val="44"/>
              <w:keepNext w:val="0"/>
              <w:keepLines w:val="0"/>
              <w:suppressLineNumbers w:val="0"/>
              <w:spacing w:before="0" w:beforeLines="0" w:beforeAutospacing="0" w:after="0" w:afterLines="0" w:afterAutospacing="0" w:line="240" w:lineRule="auto"/>
              <w:ind w:right="0" w:firstLine="0" w:firstLineChars="0"/>
              <w:jc w:val="right"/>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项目</w:t>
            </w:r>
          </w:p>
          <w:p>
            <w:pPr>
              <w:pStyle w:val="44"/>
              <w:keepNext w:val="0"/>
              <w:keepLines w:val="0"/>
              <w:suppressLineNumbers w:val="0"/>
              <w:spacing w:before="0" w:beforeLines="0" w:beforeAutospacing="0" w:after="0" w:afterLines="0" w:afterAutospacing="0" w:line="240" w:lineRule="auto"/>
              <w:ind w:right="0" w:firstLine="0" w:firstLineChars="0"/>
              <w:jc w:val="left"/>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分类</w:t>
            </w:r>
          </w:p>
        </w:tc>
        <w:tc>
          <w:tcPr>
            <w:tcW w:w="665" w:type="pct"/>
            <w:noWrap w:val="0"/>
            <w:tcMar>
              <w:left w:w="28" w:type="dxa"/>
              <w:right w:w="28" w:type="dxa"/>
            </w:tcMar>
            <w:vAlign w:val="center"/>
          </w:tcPr>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污染物名称</w:t>
            </w:r>
          </w:p>
        </w:tc>
        <w:tc>
          <w:tcPr>
            <w:tcW w:w="464" w:type="pct"/>
            <w:noWrap w:val="0"/>
            <w:tcMar>
              <w:left w:w="28" w:type="dxa"/>
              <w:right w:w="28" w:type="dxa"/>
            </w:tcMar>
            <w:vAlign w:val="center"/>
          </w:tcPr>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现有工程</w:t>
            </w:r>
          </w:p>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排放量（固体废物产生量）</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1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kern w:val="2"/>
                <w:szCs w:val="21"/>
              </w:rPr>
              <w:t>①</w:t>
            </w:r>
            <w:r>
              <w:rPr>
                <w:rFonts w:hint="default" w:ascii="Times New Roman" w:hAnsi="Times New Roman" w:eastAsia="宋体" w:cs="Times New Roman"/>
                <w:snapToGrid w:val="0"/>
                <w:color w:val="auto"/>
                <w:spacing w:val="-6"/>
                <w:kern w:val="21"/>
                <w:szCs w:val="21"/>
              </w:rPr>
              <w:fldChar w:fldCharType="end"/>
            </w:r>
          </w:p>
        </w:tc>
        <w:tc>
          <w:tcPr>
            <w:tcW w:w="462" w:type="pct"/>
            <w:noWrap w:val="0"/>
            <w:tcMar>
              <w:left w:w="28" w:type="dxa"/>
              <w:right w:w="28" w:type="dxa"/>
            </w:tcMar>
            <w:vAlign w:val="center"/>
          </w:tcPr>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现有工程</w:t>
            </w:r>
          </w:p>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许可排放量</w:t>
            </w:r>
          </w:p>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2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snapToGrid w:val="0"/>
                <w:color w:val="auto"/>
                <w:spacing w:val="-6"/>
                <w:kern w:val="21"/>
                <w:szCs w:val="21"/>
              </w:rPr>
              <w:t>②</w:t>
            </w:r>
            <w:r>
              <w:rPr>
                <w:rFonts w:hint="default" w:ascii="Times New Roman" w:hAnsi="Times New Roman" w:eastAsia="宋体" w:cs="Times New Roman"/>
                <w:snapToGrid w:val="0"/>
                <w:color w:val="auto"/>
                <w:spacing w:val="-6"/>
                <w:kern w:val="21"/>
                <w:szCs w:val="21"/>
              </w:rPr>
              <w:fldChar w:fldCharType="end"/>
            </w:r>
          </w:p>
        </w:tc>
        <w:tc>
          <w:tcPr>
            <w:tcW w:w="616" w:type="pct"/>
            <w:noWrap w:val="0"/>
            <w:tcMar>
              <w:left w:w="28" w:type="dxa"/>
              <w:right w:w="28" w:type="dxa"/>
            </w:tcMar>
            <w:vAlign w:val="center"/>
          </w:tcPr>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在建工程</w:t>
            </w:r>
          </w:p>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排放量（固体废物产生量）</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3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kern w:val="2"/>
                <w:szCs w:val="21"/>
              </w:rPr>
              <w:t>③</w:t>
            </w:r>
            <w:r>
              <w:rPr>
                <w:rFonts w:hint="default" w:ascii="Times New Roman" w:hAnsi="Times New Roman" w:eastAsia="宋体" w:cs="Times New Roman"/>
                <w:snapToGrid w:val="0"/>
                <w:color w:val="auto"/>
                <w:spacing w:val="-6"/>
                <w:kern w:val="21"/>
                <w:szCs w:val="21"/>
              </w:rPr>
              <w:fldChar w:fldCharType="end"/>
            </w:r>
          </w:p>
        </w:tc>
        <w:tc>
          <w:tcPr>
            <w:tcW w:w="565" w:type="pct"/>
            <w:noWrap w:val="0"/>
            <w:tcMar>
              <w:left w:w="28" w:type="dxa"/>
              <w:right w:w="28" w:type="dxa"/>
            </w:tcMar>
            <w:vAlign w:val="center"/>
          </w:tcPr>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本项目</w:t>
            </w:r>
          </w:p>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排放量（固体废物产生量）</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4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kern w:val="2"/>
                <w:szCs w:val="21"/>
              </w:rPr>
              <w:t>④</w:t>
            </w:r>
            <w:r>
              <w:rPr>
                <w:rFonts w:hint="default" w:ascii="Times New Roman" w:hAnsi="Times New Roman" w:eastAsia="宋体" w:cs="Times New Roman"/>
                <w:snapToGrid w:val="0"/>
                <w:color w:val="auto"/>
                <w:spacing w:val="-6"/>
                <w:kern w:val="21"/>
                <w:szCs w:val="21"/>
              </w:rPr>
              <w:fldChar w:fldCharType="end"/>
            </w:r>
          </w:p>
        </w:tc>
        <w:tc>
          <w:tcPr>
            <w:tcW w:w="638" w:type="pct"/>
            <w:noWrap w:val="0"/>
            <w:tcMar>
              <w:left w:w="28" w:type="dxa"/>
              <w:right w:w="28" w:type="dxa"/>
            </w:tcMar>
            <w:vAlign w:val="center"/>
          </w:tcPr>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以新带老削减量</w:t>
            </w:r>
          </w:p>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（新建项目不填）</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5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kern w:val="2"/>
                <w:szCs w:val="21"/>
              </w:rPr>
              <w:t>⑤</w:t>
            </w:r>
            <w:r>
              <w:rPr>
                <w:rFonts w:hint="default" w:ascii="Times New Roman" w:hAnsi="Times New Roman" w:eastAsia="宋体" w:cs="Times New Roman"/>
                <w:snapToGrid w:val="0"/>
                <w:color w:val="auto"/>
                <w:spacing w:val="-16"/>
                <w:kern w:val="21"/>
                <w:szCs w:val="21"/>
              </w:rPr>
              <w:fldChar w:fldCharType="end"/>
            </w:r>
          </w:p>
        </w:tc>
        <w:tc>
          <w:tcPr>
            <w:tcW w:w="538" w:type="pct"/>
            <w:noWrap w:val="0"/>
            <w:tcMar>
              <w:left w:w="28" w:type="dxa"/>
              <w:right w:w="28" w:type="dxa"/>
            </w:tcMar>
            <w:vAlign w:val="center"/>
          </w:tcPr>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本项目建成后</w:t>
            </w:r>
          </w:p>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全厂排放量（固体废物产生量）</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6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kern w:val="2"/>
                <w:szCs w:val="21"/>
              </w:rPr>
              <w:t>⑥</w:t>
            </w:r>
            <w:r>
              <w:rPr>
                <w:rFonts w:hint="default" w:ascii="Times New Roman" w:hAnsi="Times New Roman" w:eastAsia="宋体" w:cs="Times New Roman"/>
                <w:snapToGrid w:val="0"/>
                <w:color w:val="auto"/>
                <w:spacing w:val="-16"/>
                <w:kern w:val="21"/>
                <w:szCs w:val="21"/>
              </w:rPr>
              <w:fldChar w:fldCharType="end"/>
            </w:r>
          </w:p>
        </w:tc>
        <w:tc>
          <w:tcPr>
            <w:tcW w:w="471" w:type="pct"/>
            <w:noWrap w:val="0"/>
            <w:tcMar>
              <w:left w:w="28" w:type="dxa"/>
              <w:right w:w="28" w:type="dxa"/>
            </w:tcMar>
            <w:vAlign w:val="center"/>
          </w:tcPr>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变化量</w:t>
            </w:r>
          </w:p>
          <w:p>
            <w:pPr>
              <w:pStyle w:val="44"/>
              <w:keepNext w:val="0"/>
              <w:keepLines w:val="0"/>
              <w:suppressLineNumbers w:val="0"/>
              <w:spacing w:before="0" w:beforeLines="0" w:beforeAutospacing="0" w:after="0" w:afterLines="0" w:afterAutospacing="0" w:line="240" w:lineRule="auto"/>
              <w:ind w:right="0" w:firstLine="0" w:firstLineChar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7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kern w:val="2"/>
                <w:szCs w:val="21"/>
              </w:rPr>
              <w:t>⑦</w:t>
            </w:r>
            <w:r>
              <w:rPr>
                <w:rFonts w:hint="default" w:ascii="Times New Roman" w:hAnsi="Times New Roman" w:eastAsia="宋体" w:cs="Times New Roman"/>
                <w:snapToGrid w:val="0"/>
                <w:color w:val="auto"/>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5" w:type="pct"/>
            <w:vMerge w:val="restart"/>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废气</w:t>
            </w:r>
          </w:p>
        </w:tc>
        <w:tc>
          <w:tcPr>
            <w:tcW w:w="665" w:type="pct"/>
            <w:noWrap w:val="0"/>
            <w:vAlign w:val="center"/>
          </w:tcPr>
          <w:p>
            <w:pPr>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w:t>
            </w:r>
          </w:p>
        </w:tc>
        <w:tc>
          <w:tcPr>
            <w:tcW w:w="565" w:type="pct"/>
            <w:noWrap w:val="0"/>
            <w:vAlign w:val="center"/>
          </w:tcPr>
          <w:p>
            <w:pPr>
              <w:pStyle w:val="44"/>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ascii="Times New Roman" w:cs="Times New Roman"/>
                <w:color w:val="auto"/>
                <w:sz w:val="24"/>
                <w:szCs w:val="24"/>
                <w:lang w:val="en-US" w:eastAsia="zh-CN"/>
              </w:rPr>
              <w:t>2.275</w:t>
            </w:r>
            <w:r>
              <w:rPr>
                <w:rFonts w:hint="default" w:ascii="Times New Roman" w:hAnsi="Times New Roman" w:eastAsia="宋体" w:cs="Times New Roman"/>
                <w:color w:val="auto"/>
                <w:sz w:val="24"/>
                <w:szCs w:val="24"/>
              </w:rPr>
              <w:t>t/a</w:t>
            </w:r>
          </w:p>
        </w:tc>
        <w:tc>
          <w:tcPr>
            <w:tcW w:w="638"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snapToGrid w:val="0"/>
                <w:color w:val="auto"/>
                <w:kern w:val="21"/>
                <w:sz w:val="24"/>
                <w:szCs w:val="24"/>
              </w:rPr>
              <w:t>0</w:t>
            </w:r>
          </w:p>
        </w:tc>
        <w:tc>
          <w:tcPr>
            <w:tcW w:w="1574" w:type="dxa"/>
            <w:noWrap w:val="0"/>
            <w:vAlign w:val="center"/>
          </w:tcPr>
          <w:p>
            <w:pPr>
              <w:pStyle w:val="44"/>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lang w:val="en-US" w:eastAsia="zh-CN"/>
              </w:rPr>
            </w:pPr>
            <w:r>
              <w:rPr>
                <w:rFonts w:hint="eastAsia" w:ascii="Times New Roman" w:cs="Times New Roman"/>
                <w:color w:val="auto"/>
                <w:sz w:val="24"/>
                <w:szCs w:val="24"/>
                <w:lang w:val="en-US" w:eastAsia="zh-CN"/>
              </w:rPr>
              <w:t>2.275</w:t>
            </w:r>
            <w:r>
              <w:rPr>
                <w:rFonts w:hint="default" w:ascii="Times New Roman" w:hAnsi="Times New Roman" w:eastAsia="宋体" w:cs="Times New Roman"/>
                <w:color w:val="auto"/>
                <w:sz w:val="24"/>
                <w:szCs w:val="24"/>
              </w:rPr>
              <w:t>t/a</w:t>
            </w:r>
          </w:p>
        </w:tc>
        <w:tc>
          <w:tcPr>
            <w:tcW w:w="1378" w:type="dxa"/>
            <w:noWrap w:val="0"/>
            <w:vAlign w:val="center"/>
          </w:tcPr>
          <w:p>
            <w:pPr>
              <w:pStyle w:val="44"/>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lang w:val="en-US" w:eastAsia="zh-CN"/>
              </w:rPr>
            </w:pPr>
            <w:r>
              <w:rPr>
                <w:rFonts w:hint="eastAsia" w:ascii="Times New Roman" w:cs="Times New Roman"/>
                <w:color w:val="auto"/>
                <w:sz w:val="24"/>
                <w:szCs w:val="24"/>
                <w:lang w:val="en-US" w:eastAsia="zh-CN"/>
              </w:rPr>
              <w:t>+2.275</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VOCs</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565" w:type="pct"/>
            <w:noWrap w:val="0"/>
            <w:vAlign w:val="center"/>
          </w:tcPr>
          <w:p>
            <w:pPr>
              <w:pStyle w:val="44"/>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ascii="Times New Roman" w:cs="Times New Roman"/>
                <w:color w:val="auto"/>
                <w:sz w:val="24"/>
                <w:szCs w:val="24"/>
                <w:lang w:val="en-US" w:eastAsia="zh-CN"/>
              </w:rPr>
              <w:t>0.617</w:t>
            </w:r>
            <w:r>
              <w:rPr>
                <w:rFonts w:hint="default" w:ascii="Times New Roman" w:hAnsi="Times New Roman" w:eastAsia="宋体" w:cs="Times New Roman"/>
                <w:color w:val="auto"/>
                <w:sz w:val="24"/>
                <w:szCs w:val="24"/>
              </w:rPr>
              <w:t>t/a</w:t>
            </w:r>
          </w:p>
        </w:tc>
        <w:tc>
          <w:tcPr>
            <w:tcW w:w="638"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snapToGrid w:val="0"/>
                <w:color w:val="auto"/>
                <w:kern w:val="21"/>
                <w:sz w:val="24"/>
                <w:szCs w:val="24"/>
              </w:rPr>
              <w:t>0</w:t>
            </w:r>
          </w:p>
        </w:tc>
        <w:tc>
          <w:tcPr>
            <w:tcW w:w="1574" w:type="dxa"/>
            <w:noWrap w:val="0"/>
            <w:vAlign w:val="center"/>
          </w:tcPr>
          <w:p>
            <w:pPr>
              <w:pStyle w:val="44"/>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rPr>
            </w:pPr>
            <w:r>
              <w:rPr>
                <w:rFonts w:hint="eastAsia" w:ascii="Times New Roman" w:cs="Times New Roman"/>
                <w:color w:val="auto"/>
                <w:sz w:val="24"/>
                <w:szCs w:val="24"/>
                <w:lang w:val="en-US" w:eastAsia="zh-CN"/>
              </w:rPr>
              <w:t>0.617</w:t>
            </w:r>
            <w:r>
              <w:rPr>
                <w:rFonts w:hint="default" w:ascii="Times New Roman" w:hAnsi="Times New Roman" w:eastAsia="宋体" w:cs="Times New Roman"/>
                <w:color w:val="auto"/>
                <w:sz w:val="24"/>
                <w:szCs w:val="24"/>
              </w:rPr>
              <w:t>t/a</w:t>
            </w:r>
          </w:p>
        </w:tc>
        <w:tc>
          <w:tcPr>
            <w:tcW w:w="1378" w:type="dxa"/>
            <w:noWrap w:val="0"/>
            <w:vAlign w:val="center"/>
          </w:tcPr>
          <w:p>
            <w:pPr>
              <w:pStyle w:val="44"/>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rPr>
            </w:pPr>
            <w:r>
              <w:rPr>
                <w:rFonts w:hint="eastAsia" w:ascii="Times New Roman" w:cs="Times New Roman"/>
                <w:color w:val="auto"/>
                <w:sz w:val="24"/>
                <w:szCs w:val="24"/>
                <w:lang w:val="en-US" w:eastAsia="zh-CN"/>
              </w:rPr>
              <w:t>+0.617</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75" w:type="pct"/>
            <w:vMerge w:val="restart"/>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废水</w:t>
            </w:r>
          </w:p>
        </w:tc>
        <w:tc>
          <w:tcPr>
            <w:tcW w:w="665" w:type="pct"/>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生活污水</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565" w:type="pct"/>
            <w:noWrap w:val="0"/>
            <w:vAlign w:val="center"/>
          </w:tcPr>
          <w:p>
            <w:pPr>
              <w:pStyle w:val="5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21"/>
                <w:sz w:val="24"/>
                <w:szCs w:val="24"/>
                <w:lang w:val="en-US" w:eastAsia="zh-CN"/>
              </w:rPr>
            </w:pPr>
            <w:r>
              <w:rPr>
                <w:rFonts w:hint="eastAsia" w:cs="Times New Roman"/>
                <w:color w:val="auto"/>
                <w:sz w:val="24"/>
                <w:szCs w:val="24"/>
                <w:lang w:val="en-US" w:eastAsia="zh-CN"/>
              </w:rPr>
              <w:t>262.4</w:t>
            </w:r>
            <w:r>
              <w:rPr>
                <w:rFonts w:hint="default" w:ascii="Times New Roman" w:hAnsi="Times New Roman" w:eastAsia="宋体" w:cs="Times New Roman"/>
                <w:color w:val="auto"/>
                <w:sz w:val="24"/>
                <w:szCs w:val="24"/>
              </w:rPr>
              <w:t>t/a</w:t>
            </w:r>
          </w:p>
        </w:tc>
        <w:tc>
          <w:tcPr>
            <w:tcW w:w="638"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snapToGrid w:val="0"/>
                <w:color w:val="auto"/>
                <w:kern w:val="21"/>
                <w:sz w:val="24"/>
                <w:szCs w:val="24"/>
              </w:rPr>
              <w:t>0</w:t>
            </w:r>
          </w:p>
        </w:tc>
        <w:tc>
          <w:tcPr>
            <w:tcW w:w="1574" w:type="dxa"/>
            <w:noWrap w:val="0"/>
            <w:vAlign w:val="center"/>
          </w:tcPr>
          <w:p>
            <w:pPr>
              <w:pStyle w:val="5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rPr>
            </w:pPr>
            <w:r>
              <w:rPr>
                <w:rFonts w:hint="eastAsia" w:cs="Times New Roman"/>
                <w:color w:val="auto"/>
                <w:sz w:val="24"/>
                <w:szCs w:val="24"/>
                <w:lang w:val="en-US" w:eastAsia="zh-CN"/>
              </w:rPr>
              <w:t>262.4</w:t>
            </w:r>
            <w:r>
              <w:rPr>
                <w:rFonts w:hint="default" w:ascii="Times New Roman" w:hAnsi="Times New Roman" w:eastAsia="宋体" w:cs="Times New Roman"/>
                <w:color w:val="auto"/>
                <w:sz w:val="24"/>
                <w:szCs w:val="24"/>
              </w:rPr>
              <w:t>t/a</w:t>
            </w:r>
          </w:p>
        </w:tc>
        <w:tc>
          <w:tcPr>
            <w:tcW w:w="1378" w:type="dxa"/>
            <w:noWrap w:val="0"/>
            <w:vAlign w:val="center"/>
          </w:tcPr>
          <w:p>
            <w:pPr>
              <w:pStyle w:val="5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rPr>
            </w:pPr>
            <w:r>
              <w:rPr>
                <w:rFonts w:hint="eastAsia" w:cs="Times New Roman"/>
                <w:color w:val="auto"/>
                <w:sz w:val="24"/>
                <w:szCs w:val="24"/>
                <w:lang w:val="en-US" w:eastAsia="zh-CN"/>
              </w:rPr>
              <w:t>+262.4</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color w:val="auto"/>
                <w:kern w:val="0"/>
                <w:szCs w:val="21"/>
              </w:rPr>
              <w:t>COD</w:t>
            </w:r>
            <w:r>
              <w:rPr>
                <w:rFonts w:hint="default" w:ascii="Times New Roman" w:hAnsi="Times New Roman" w:eastAsia="宋体" w:cs="Times New Roman"/>
                <w:color w:val="auto"/>
                <w:kern w:val="0"/>
                <w:szCs w:val="21"/>
                <w:vertAlign w:val="subscript"/>
              </w:rPr>
              <w:t>Cr</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565" w:type="pct"/>
            <w:noWrap w:val="0"/>
            <w:vAlign w:val="center"/>
          </w:tcPr>
          <w:p>
            <w:pPr>
              <w:pStyle w:val="5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21"/>
                <w:sz w:val="24"/>
                <w:szCs w:val="24"/>
              </w:rPr>
            </w:pPr>
            <w:r>
              <w:rPr>
                <w:rFonts w:hint="eastAsia" w:cs="Times New Roman"/>
                <w:color w:val="auto"/>
                <w:sz w:val="24"/>
                <w:szCs w:val="24"/>
                <w:lang w:val="en-US" w:eastAsia="zh-CN"/>
              </w:rPr>
              <w:t>0.0105</w:t>
            </w:r>
            <w:r>
              <w:rPr>
                <w:rFonts w:hint="default" w:ascii="Times New Roman" w:hAnsi="Times New Roman" w:eastAsia="宋体" w:cs="Times New Roman"/>
                <w:color w:val="auto"/>
                <w:sz w:val="24"/>
                <w:szCs w:val="24"/>
              </w:rPr>
              <w:t>t/a</w:t>
            </w:r>
          </w:p>
        </w:tc>
        <w:tc>
          <w:tcPr>
            <w:tcW w:w="638"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snapToGrid w:val="0"/>
                <w:color w:val="auto"/>
                <w:kern w:val="21"/>
                <w:sz w:val="24"/>
                <w:szCs w:val="24"/>
              </w:rPr>
              <w:t>0</w:t>
            </w:r>
          </w:p>
        </w:tc>
        <w:tc>
          <w:tcPr>
            <w:tcW w:w="1574" w:type="dxa"/>
            <w:noWrap w:val="0"/>
            <w:vAlign w:val="center"/>
          </w:tcPr>
          <w:p>
            <w:pPr>
              <w:pStyle w:val="5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rPr>
            </w:pPr>
            <w:r>
              <w:rPr>
                <w:rFonts w:hint="eastAsia" w:cs="Times New Roman"/>
                <w:color w:val="auto"/>
                <w:sz w:val="24"/>
                <w:szCs w:val="24"/>
                <w:lang w:val="en-US" w:eastAsia="zh-CN"/>
              </w:rPr>
              <w:t>0.0105</w:t>
            </w:r>
            <w:r>
              <w:rPr>
                <w:rFonts w:hint="default" w:ascii="Times New Roman" w:hAnsi="Times New Roman" w:eastAsia="宋体" w:cs="Times New Roman"/>
                <w:color w:val="auto"/>
                <w:sz w:val="24"/>
                <w:szCs w:val="24"/>
              </w:rPr>
              <w:t>t/a</w:t>
            </w:r>
          </w:p>
        </w:tc>
        <w:tc>
          <w:tcPr>
            <w:tcW w:w="1378" w:type="dxa"/>
            <w:noWrap w:val="0"/>
            <w:vAlign w:val="center"/>
          </w:tcPr>
          <w:p>
            <w:pPr>
              <w:pStyle w:val="5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rPr>
            </w:pPr>
            <w:r>
              <w:rPr>
                <w:rFonts w:hint="eastAsia" w:cs="Times New Roman"/>
                <w:color w:val="auto"/>
                <w:sz w:val="24"/>
                <w:szCs w:val="24"/>
                <w:lang w:val="en-US" w:eastAsia="zh-CN"/>
              </w:rPr>
              <w:t>+0.0105</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color w:val="auto"/>
                <w:kern w:val="0"/>
                <w:szCs w:val="21"/>
                <w:lang w:val="en-US" w:eastAsia="zh-CN"/>
              </w:rPr>
              <w:t>氨氮</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565" w:type="pct"/>
            <w:noWrap w:val="0"/>
            <w:vAlign w:val="center"/>
          </w:tcPr>
          <w:p>
            <w:pPr>
              <w:pStyle w:val="5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21"/>
                <w:sz w:val="24"/>
                <w:szCs w:val="24"/>
              </w:rPr>
            </w:pPr>
            <w:r>
              <w:rPr>
                <w:rFonts w:hint="eastAsia" w:cs="Times New Roman"/>
                <w:color w:val="auto"/>
                <w:sz w:val="24"/>
                <w:szCs w:val="24"/>
                <w:lang w:val="en-US" w:eastAsia="zh-CN"/>
              </w:rPr>
              <w:t>0.0005</w:t>
            </w:r>
            <w:r>
              <w:rPr>
                <w:rFonts w:hint="default" w:ascii="Times New Roman" w:hAnsi="Times New Roman" w:eastAsia="宋体" w:cs="Times New Roman"/>
                <w:color w:val="auto"/>
                <w:sz w:val="24"/>
                <w:szCs w:val="24"/>
              </w:rPr>
              <w:t>t/a</w:t>
            </w:r>
          </w:p>
        </w:tc>
        <w:tc>
          <w:tcPr>
            <w:tcW w:w="638"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snapToGrid w:val="0"/>
                <w:color w:val="auto"/>
                <w:kern w:val="21"/>
                <w:sz w:val="24"/>
                <w:szCs w:val="24"/>
              </w:rPr>
              <w:t>0</w:t>
            </w:r>
          </w:p>
        </w:tc>
        <w:tc>
          <w:tcPr>
            <w:tcW w:w="1574" w:type="dxa"/>
            <w:noWrap w:val="0"/>
            <w:vAlign w:val="center"/>
          </w:tcPr>
          <w:p>
            <w:pPr>
              <w:pStyle w:val="5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rPr>
            </w:pPr>
            <w:r>
              <w:rPr>
                <w:rFonts w:hint="eastAsia" w:cs="Times New Roman"/>
                <w:color w:val="auto"/>
                <w:sz w:val="24"/>
                <w:szCs w:val="24"/>
                <w:lang w:val="en-US" w:eastAsia="zh-CN"/>
              </w:rPr>
              <w:t>0.0005</w:t>
            </w:r>
            <w:r>
              <w:rPr>
                <w:rFonts w:hint="default" w:ascii="Times New Roman" w:hAnsi="Times New Roman" w:eastAsia="宋体" w:cs="Times New Roman"/>
                <w:color w:val="auto"/>
                <w:sz w:val="24"/>
                <w:szCs w:val="24"/>
              </w:rPr>
              <w:t>t/a</w:t>
            </w:r>
          </w:p>
        </w:tc>
        <w:tc>
          <w:tcPr>
            <w:tcW w:w="1378" w:type="dxa"/>
            <w:noWrap w:val="0"/>
            <w:vAlign w:val="center"/>
          </w:tcPr>
          <w:p>
            <w:pPr>
              <w:pStyle w:val="5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rPr>
            </w:pPr>
            <w:r>
              <w:rPr>
                <w:rFonts w:hint="eastAsia" w:cs="Times New Roman"/>
                <w:color w:val="auto"/>
                <w:sz w:val="24"/>
                <w:szCs w:val="24"/>
                <w:lang w:val="en-US" w:eastAsia="zh-CN"/>
              </w:rPr>
              <w:t>+0.0005</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75" w:type="pct"/>
            <w:vMerge w:val="restart"/>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一般工业</w:t>
            </w:r>
          </w:p>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固体废物</w:t>
            </w: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lang w:val="en-US" w:eastAsia="zh-CN"/>
              </w:rPr>
            </w:pPr>
            <w:r>
              <w:rPr>
                <w:rFonts w:hint="eastAsia" w:cs="Times New Roman"/>
                <w:color w:val="auto"/>
                <w:szCs w:val="21"/>
                <w:lang w:val="en-US" w:eastAsia="zh-CN"/>
              </w:rPr>
              <w:t>铁料边角料</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4"/>
                <w:szCs w:val="24"/>
              </w:rPr>
            </w:pPr>
            <w:r>
              <w:rPr>
                <w:rFonts w:hint="eastAsia" w:cs="Times New Roman"/>
                <w:color w:val="auto"/>
                <w:sz w:val="24"/>
                <w:szCs w:val="24"/>
                <w:lang w:val="en-US" w:eastAsia="zh-CN"/>
              </w:rPr>
              <w:t>8.5</w:t>
            </w:r>
            <w:r>
              <w:rPr>
                <w:rFonts w:hint="default" w:ascii="Times New Roman" w:hAnsi="Times New Roman" w:eastAsia="宋体" w:cs="Times New Roman"/>
                <w:color w:val="auto"/>
                <w:sz w:val="24"/>
                <w:szCs w:val="24"/>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rPr>
            </w:pPr>
            <w:r>
              <w:rPr>
                <w:rFonts w:hint="eastAsia" w:cs="Times New Roman"/>
                <w:color w:val="auto"/>
                <w:sz w:val="24"/>
                <w:szCs w:val="24"/>
                <w:lang w:val="en-US" w:eastAsia="zh-CN"/>
              </w:rPr>
              <w:t>8.5</w:t>
            </w:r>
            <w:r>
              <w:rPr>
                <w:rFonts w:hint="default" w:ascii="Times New Roman" w:hAnsi="Times New Roman" w:eastAsia="宋体" w:cs="Times New Roman"/>
                <w:color w:val="auto"/>
                <w:sz w:val="24"/>
                <w:szCs w:val="24"/>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rPr>
            </w:pPr>
            <w:r>
              <w:rPr>
                <w:rFonts w:hint="eastAsia" w:cs="Times New Roman"/>
                <w:color w:val="auto"/>
                <w:sz w:val="24"/>
                <w:szCs w:val="24"/>
                <w:lang w:val="en-US" w:eastAsia="zh-CN"/>
              </w:rPr>
              <w:t>+8.5</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铝料边角料</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.25</w:t>
            </w:r>
            <w:r>
              <w:rPr>
                <w:rFonts w:hint="default" w:ascii="Times New Roman" w:hAnsi="Times New Roman" w:eastAsia="宋体" w:cs="Times New Roman"/>
                <w:color w:val="auto"/>
                <w:sz w:val="24"/>
                <w:szCs w:val="24"/>
                <w:lang w:val="en-US" w:eastAsia="zh-CN"/>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rPr>
            </w:pPr>
            <w:r>
              <w:rPr>
                <w:rFonts w:hint="default"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.25</w:t>
            </w:r>
            <w:r>
              <w:rPr>
                <w:rFonts w:hint="default" w:ascii="Times New Roman" w:hAnsi="Times New Roman" w:eastAsia="宋体" w:cs="Times New Roman"/>
                <w:color w:val="auto"/>
                <w:sz w:val="24"/>
                <w:szCs w:val="24"/>
                <w:lang w:val="en-US" w:eastAsia="zh-CN"/>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rPr>
            </w:pP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.25</w:t>
            </w:r>
            <w:r>
              <w:rPr>
                <w:rFonts w:hint="default" w:ascii="Times New Roman" w:hAnsi="Times New Roman" w:eastAsia="宋体" w:cs="Times New Roman"/>
                <w:color w:val="auto"/>
                <w:sz w:val="24"/>
                <w:szCs w:val="24"/>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lang w:val="en-US" w:eastAsia="zh-CN"/>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滤筒除尘器粉尘</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17.057</w:t>
            </w:r>
            <w:r>
              <w:rPr>
                <w:rFonts w:hint="default" w:ascii="Times New Roman" w:hAnsi="Times New Roman" w:eastAsia="宋体" w:cs="Times New Roman"/>
                <w:color w:val="auto"/>
                <w:sz w:val="24"/>
                <w:szCs w:val="24"/>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17.057</w:t>
            </w:r>
            <w:r>
              <w:rPr>
                <w:rFonts w:hint="default" w:ascii="Times New Roman" w:hAnsi="Times New Roman" w:eastAsia="宋体" w:cs="Times New Roman"/>
                <w:color w:val="auto"/>
                <w:sz w:val="24"/>
                <w:szCs w:val="24"/>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+17.057</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szCs w:val="21"/>
                <w:lang w:val="en-US" w:eastAsia="zh-CN"/>
              </w:rPr>
              <w:t>废包装材料</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color w:val="auto"/>
                <w:sz w:val="24"/>
                <w:szCs w:val="24"/>
                <w:lang w:val="en-US" w:eastAsia="zh-CN"/>
              </w:rPr>
              <w:t>0.2</w:t>
            </w:r>
            <w:r>
              <w:rPr>
                <w:rFonts w:hint="default" w:ascii="Times New Roman" w:hAnsi="Times New Roman" w:eastAsia="宋体" w:cs="Times New Roman"/>
                <w:color w:val="auto"/>
                <w:sz w:val="24"/>
                <w:szCs w:val="24"/>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rPr>
            </w:pPr>
            <w:r>
              <w:rPr>
                <w:rFonts w:hint="default" w:ascii="Times New Roman" w:hAnsi="Times New Roman" w:eastAsia="宋体" w:cs="Times New Roman"/>
                <w:color w:val="auto"/>
                <w:sz w:val="24"/>
                <w:szCs w:val="24"/>
                <w:lang w:val="en-US" w:eastAsia="zh-CN"/>
              </w:rPr>
              <w:t>0.2</w:t>
            </w:r>
            <w:r>
              <w:rPr>
                <w:rFonts w:hint="default" w:ascii="Times New Roman" w:hAnsi="Times New Roman" w:eastAsia="宋体" w:cs="Times New Roman"/>
                <w:color w:val="auto"/>
                <w:sz w:val="24"/>
                <w:szCs w:val="24"/>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rPr>
            </w:pP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0.2</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钣金件次品</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0.</w:t>
            </w:r>
            <w:r>
              <w:rPr>
                <w:rFonts w:hint="eastAsia" w:cs="Times New Roman"/>
                <w:color w:val="auto"/>
                <w:sz w:val="24"/>
                <w:szCs w:val="24"/>
                <w:lang w:val="en-US" w:eastAsia="zh-CN"/>
              </w:rPr>
              <w:t>8</w:t>
            </w:r>
            <w:r>
              <w:rPr>
                <w:rFonts w:hint="default" w:ascii="Times New Roman" w:hAnsi="Times New Roman" w:eastAsia="宋体" w:cs="Times New Roman"/>
                <w:color w:val="auto"/>
                <w:sz w:val="24"/>
                <w:szCs w:val="24"/>
                <w:lang w:val="en-US" w:eastAsia="zh-CN"/>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lang w:val="en-US" w:eastAsia="zh-CN"/>
              </w:rPr>
              <w:t>0.</w:t>
            </w:r>
            <w:r>
              <w:rPr>
                <w:rFonts w:hint="eastAsia" w:cs="Times New Roman"/>
                <w:color w:val="auto"/>
                <w:sz w:val="24"/>
                <w:szCs w:val="24"/>
                <w:lang w:val="en-US" w:eastAsia="zh-CN"/>
              </w:rPr>
              <w:t>8</w:t>
            </w:r>
            <w:r>
              <w:rPr>
                <w:rFonts w:hint="default" w:ascii="Times New Roman" w:hAnsi="Times New Roman" w:eastAsia="宋体" w:cs="Times New Roman"/>
                <w:color w:val="auto"/>
                <w:sz w:val="24"/>
                <w:szCs w:val="24"/>
                <w:lang w:val="en-US" w:eastAsia="zh-CN"/>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0.</w:t>
            </w:r>
            <w:r>
              <w:rPr>
                <w:rFonts w:hint="eastAsia" w:cs="Times New Roman"/>
                <w:color w:val="auto"/>
                <w:sz w:val="24"/>
                <w:szCs w:val="24"/>
                <w:lang w:val="en-US" w:eastAsia="zh-CN"/>
              </w:rPr>
              <w:t>8</w:t>
            </w:r>
            <w:r>
              <w:rPr>
                <w:rFonts w:hint="default" w:ascii="Times New Roman" w:hAnsi="Times New Roman" w:eastAsia="宋体" w:cs="Times New Roman"/>
                <w:color w:val="auto"/>
                <w:sz w:val="24"/>
                <w:szCs w:val="24"/>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灯饰配件次品</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0.3</w:t>
            </w:r>
            <w:r>
              <w:rPr>
                <w:rFonts w:hint="default" w:ascii="Times New Roman" w:hAnsi="Times New Roman" w:eastAsia="宋体" w:cs="Times New Roman"/>
                <w:color w:val="auto"/>
                <w:sz w:val="24"/>
                <w:szCs w:val="24"/>
                <w:lang w:val="en-US" w:eastAsia="zh-CN"/>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0.3</w:t>
            </w:r>
            <w:r>
              <w:rPr>
                <w:rFonts w:hint="default" w:ascii="Times New Roman" w:hAnsi="Times New Roman" w:eastAsia="宋体" w:cs="Times New Roman"/>
                <w:color w:val="auto"/>
                <w:sz w:val="24"/>
                <w:szCs w:val="24"/>
                <w:lang w:val="en-US" w:eastAsia="zh-CN"/>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+0.3</w:t>
            </w:r>
            <w:r>
              <w:rPr>
                <w:rFonts w:hint="default" w:ascii="Times New Roman" w:hAnsi="Times New Roman" w:eastAsia="宋体" w:cs="Times New Roman"/>
                <w:color w:val="auto"/>
                <w:sz w:val="24"/>
                <w:szCs w:val="24"/>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散热器次品</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0.2</w:t>
            </w:r>
            <w:r>
              <w:rPr>
                <w:rFonts w:hint="default" w:ascii="Times New Roman" w:hAnsi="Times New Roman" w:eastAsia="宋体" w:cs="Times New Roman"/>
                <w:color w:val="auto"/>
                <w:sz w:val="24"/>
                <w:szCs w:val="24"/>
                <w:lang w:val="en-US" w:eastAsia="zh-CN"/>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0.2</w:t>
            </w:r>
            <w:r>
              <w:rPr>
                <w:rFonts w:hint="default" w:ascii="Times New Roman" w:hAnsi="Times New Roman" w:eastAsia="宋体" w:cs="Times New Roman"/>
                <w:color w:val="auto"/>
                <w:sz w:val="24"/>
                <w:szCs w:val="24"/>
                <w:lang w:val="en-US" w:eastAsia="zh-CN"/>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+0.2</w:t>
            </w:r>
            <w:r>
              <w:rPr>
                <w:rFonts w:hint="default" w:ascii="Times New Roman" w:hAnsi="Times New Roman" w:eastAsia="宋体" w:cs="Times New Roman"/>
                <w:color w:val="auto"/>
                <w:sz w:val="24"/>
                <w:szCs w:val="24"/>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restart"/>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危险废物</w:t>
            </w: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4"/>
                <w:szCs w:val="21"/>
                <w:lang w:val="en-US" w:eastAsia="zh-CN" w:bidi="ar-SA"/>
              </w:rPr>
            </w:pPr>
            <w:r>
              <w:rPr>
                <w:rFonts w:hint="eastAsia" w:cs="Times New Roman"/>
                <w:bCs/>
                <w:color w:val="auto"/>
                <w:kern w:val="0"/>
                <w:szCs w:val="21"/>
                <w:lang w:val="en-US" w:eastAsia="zh-CN"/>
              </w:rPr>
              <w:t>废涂料包装桶</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lang w:val="en-US" w:eastAsia="zh-CN" w:bidi="ar-SA"/>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4"/>
                <w:szCs w:val="24"/>
                <w:lang w:val="en-US" w:eastAsia="zh-CN" w:bidi="ar-SA"/>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 w:val="24"/>
                <w:szCs w:val="24"/>
                <w:lang w:val="en-US" w:eastAsia="zh-CN" w:bidi="ar-SA"/>
              </w:rPr>
            </w:pPr>
            <w:r>
              <w:rPr>
                <w:rFonts w:hint="eastAsia" w:cs="Times New Roman"/>
                <w:color w:val="auto"/>
                <w:sz w:val="24"/>
                <w:szCs w:val="24"/>
                <w:lang w:val="en-US" w:eastAsia="zh-CN"/>
              </w:rPr>
              <w:t>1</w:t>
            </w:r>
            <w:r>
              <w:rPr>
                <w:rFonts w:hint="default" w:ascii="Times New Roman" w:hAnsi="Times New Roman" w:eastAsia="宋体" w:cs="Times New Roman"/>
                <w:color w:val="auto"/>
                <w:sz w:val="24"/>
                <w:szCs w:val="24"/>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1</w:t>
            </w:r>
            <w:r>
              <w:rPr>
                <w:rFonts w:hint="default" w:ascii="Times New Roman" w:hAnsi="Times New Roman" w:eastAsia="宋体" w:cs="Times New Roman"/>
                <w:color w:val="auto"/>
                <w:sz w:val="24"/>
                <w:szCs w:val="24"/>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+1</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废手套和抹布</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napToGrid w:val="0"/>
                <w:color w:val="auto"/>
                <w:kern w:val="21"/>
                <w:sz w:val="24"/>
                <w:szCs w:val="24"/>
                <w:lang w:val="en-US" w:eastAsia="zh-CN" w:bidi="ar-SA"/>
              </w:rPr>
            </w:pPr>
            <w:r>
              <w:rPr>
                <w:rFonts w:hint="default" w:ascii="Times New Roman" w:hAnsi="Times New Roman" w:eastAsia="宋体" w:cs="Times New Roman"/>
                <w:color w:val="auto"/>
                <w:sz w:val="24"/>
                <w:szCs w:val="24"/>
                <w:lang w:val="en-US" w:eastAsia="zh-CN"/>
              </w:rPr>
              <w:t>0.05</w:t>
            </w:r>
            <w:r>
              <w:rPr>
                <w:rFonts w:hint="default" w:ascii="Times New Roman" w:hAnsi="Times New Roman" w:eastAsia="宋体" w:cs="Times New Roman"/>
                <w:color w:val="auto"/>
                <w:sz w:val="24"/>
                <w:szCs w:val="24"/>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lang w:val="en-US" w:eastAsia="zh-CN"/>
              </w:rPr>
              <w:t>0.05</w:t>
            </w:r>
            <w:r>
              <w:rPr>
                <w:rFonts w:hint="default" w:ascii="Times New Roman" w:hAnsi="Times New Roman" w:eastAsia="宋体" w:cs="Times New Roman"/>
                <w:color w:val="auto"/>
                <w:sz w:val="24"/>
                <w:szCs w:val="24"/>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0.05</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废矿物油及其包装桶</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0.01</w:t>
            </w:r>
            <w:r>
              <w:rPr>
                <w:rFonts w:hint="default" w:ascii="Times New Roman" w:hAnsi="Times New Roman" w:eastAsia="宋体" w:cs="Times New Roman"/>
                <w:color w:val="auto"/>
                <w:sz w:val="24"/>
                <w:szCs w:val="24"/>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lang w:val="en-US" w:eastAsia="zh-CN"/>
              </w:rPr>
              <w:t>0.01</w:t>
            </w:r>
            <w:r>
              <w:rPr>
                <w:rFonts w:hint="default" w:ascii="Times New Roman" w:hAnsi="Times New Roman" w:eastAsia="宋体" w:cs="Times New Roman"/>
                <w:color w:val="auto"/>
                <w:sz w:val="24"/>
                <w:szCs w:val="24"/>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0.01</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kern w:val="0"/>
                <w:szCs w:val="21"/>
                <w:lang w:val="en-US" w:eastAsia="zh-CN"/>
              </w:rPr>
            </w:pPr>
            <w:r>
              <w:rPr>
                <w:rFonts w:hint="eastAsia" w:cs="Times New Roman"/>
                <w:bCs/>
                <w:color w:val="auto"/>
                <w:kern w:val="0"/>
                <w:szCs w:val="21"/>
                <w:lang w:val="en-US" w:eastAsia="zh-CN"/>
              </w:rPr>
              <w:t>废活性炭</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9.433</w:t>
            </w:r>
            <w:r>
              <w:rPr>
                <w:rFonts w:hint="default" w:ascii="Times New Roman" w:hAnsi="Times New Roman" w:eastAsia="宋体" w:cs="Times New Roman"/>
                <w:color w:val="auto"/>
                <w:sz w:val="24"/>
                <w:szCs w:val="24"/>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9.433</w:t>
            </w:r>
            <w:r>
              <w:rPr>
                <w:rFonts w:hint="default" w:ascii="Times New Roman" w:hAnsi="Times New Roman" w:eastAsia="宋体" w:cs="Times New Roman"/>
                <w:color w:val="auto"/>
                <w:sz w:val="24"/>
                <w:szCs w:val="24"/>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+9.433</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kern w:val="0"/>
                <w:szCs w:val="21"/>
                <w:lang w:val="en-US" w:eastAsia="zh-CN"/>
              </w:rPr>
            </w:pPr>
            <w:r>
              <w:rPr>
                <w:rFonts w:hint="eastAsia" w:cs="Times New Roman"/>
                <w:bCs/>
                <w:color w:val="auto"/>
                <w:kern w:val="0"/>
                <w:szCs w:val="21"/>
                <w:lang w:val="en-US" w:eastAsia="zh-CN"/>
              </w:rPr>
              <w:t>废漆渣</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1.615</w:t>
            </w:r>
            <w:r>
              <w:rPr>
                <w:rFonts w:hint="default" w:ascii="Times New Roman" w:hAnsi="Times New Roman" w:eastAsia="宋体" w:cs="Times New Roman"/>
                <w:color w:val="auto"/>
                <w:sz w:val="24"/>
                <w:szCs w:val="24"/>
                <w:lang w:val="en-US" w:eastAsia="zh-CN"/>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1.615</w:t>
            </w:r>
            <w:r>
              <w:rPr>
                <w:rFonts w:hint="default" w:ascii="Times New Roman" w:hAnsi="Times New Roman" w:eastAsia="宋体" w:cs="Times New Roman"/>
                <w:color w:val="auto"/>
                <w:sz w:val="24"/>
                <w:szCs w:val="24"/>
                <w:lang w:val="en-US" w:eastAsia="zh-CN"/>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+1.615</w:t>
            </w:r>
            <w:r>
              <w:rPr>
                <w:rFonts w:hint="default" w:ascii="Times New Roman" w:hAnsi="Times New Roman" w:eastAsia="宋体" w:cs="Times New Roman"/>
                <w:color w:val="auto"/>
                <w:sz w:val="24"/>
                <w:szCs w:val="24"/>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kern w:val="0"/>
                <w:szCs w:val="21"/>
                <w:lang w:val="en-US" w:eastAsia="zh-CN"/>
              </w:rPr>
            </w:pPr>
            <w:r>
              <w:rPr>
                <w:rFonts w:hint="eastAsia" w:cs="Times New Roman"/>
                <w:bCs/>
                <w:color w:val="auto"/>
                <w:kern w:val="0"/>
                <w:szCs w:val="21"/>
                <w:lang w:val="en-US" w:eastAsia="zh-CN"/>
              </w:rPr>
              <w:t>水帘柜废水</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18</w:t>
            </w:r>
            <w:r>
              <w:rPr>
                <w:rFonts w:hint="default" w:ascii="Times New Roman" w:hAnsi="Times New Roman" w:eastAsia="宋体" w:cs="Times New Roman"/>
                <w:color w:val="auto"/>
                <w:sz w:val="24"/>
                <w:szCs w:val="24"/>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18</w:t>
            </w:r>
            <w:r>
              <w:rPr>
                <w:rFonts w:hint="default" w:ascii="Times New Roman" w:hAnsi="Times New Roman" w:eastAsia="宋体" w:cs="Times New Roman"/>
                <w:color w:val="auto"/>
                <w:sz w:val="24"/>
                <w:szCs w:val="24"/>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+18</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Cs/>
                <w:color w:val="auto"/>
                <w:kern w:val="0"/>
                <w:szCs w:val="21"/>
                <w:lang w:val="en-US" w:eastAsia="zh-CN"/>
              </w:rPr>
            </w:pPr>
            <w:r>
              <w:rPr>
                <w:rFonts w:hint="eastAsia" w:cs="Times New Roman"/>
                <w:bCs/>
                <w:color w:val="auto"/>
                <w:kern w:val="0"/>
                <w:szCs w:val="21"/>
                <w:lang w:val="en-US" w:eastAsia="zh-CN"/>
              </w:rPr>
              <w:t>喷淋塔废水</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17.327</w:t>
            </w:r>
            <w:r>
              <w:rPr>
                <w:rFonts w:hint="default" w:ascii="Times New Roman" w:hAnsi="Times New Roman" w:eastAsia="宋体" w:cs="Times New Roman"/>
                <w:color w:val="auto"/>
                <w:sz w:val="24"/>
                <w:szCs w:val="24"/>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17.327</w:t>
            </w:r>
            <w:r>
              <w:rPr>
                <w:rFonts w:hint="default" w:ascii="Times New Roman" w:hAnsi="Times New Roman" w:eastAsia="宋体" w:cs="Times New Roman"/>
                <w:color w:val="auto"/>
                <w:sz w:val="24"/>
                <w:szCs w:val="24"/>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+17.327</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rPr>
            </w:pP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Cs/>
                <w:color w:val="auto"/>
                <w:kern w:val="0"/>
                <w:szCs w:val="21"/>
                <w:lang w:val="en-US" w:eastAsia="zh-CN"/>
              </w:rPr>
            </w:pPr>
            <w:r>
              <w:rPr>
                <w:rFonts w:hint="eastAsia" w:cs="Times New Roman"/>
                <w:bCs/>
                <w:color w:val="auto"/>
                <w:kern w:val="0"/>
                <w:szCs w:val="21"/>
                <w:lang w:val="en-US" w:eastAsia="zh-CN"/>
              </w:rPr>
              <w:t>喷枪清洗废水</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0.6</w:t>
            </w:r>
            <w:r>
              <w:rPr>
                <w:rFonts w:hint="default" w:ascii="Times New Roman" w:hAnsi="Times New Roman" w:eastAsia="宋体" w:cs="Times New Roman"/>
                <w:color w:val="auto"/>
                <w:sz w:val="24"/>
                <w:szCs w:val="24"/>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0.6</w:t>
            </w:r>
            <w:r>
              <w:rPr>
                <w:rFonts w:hint="default" w:ascii="Times New Roman" w:hAnsi="Times New Roman" w:eastAsia="宋体" w:cs="Times New Roman"/>
                <w:color w:val="auto"/>
                <w:sz w:val="24"/>
                <w:szCs w:val="24"/>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sz w:val="24"/>
                <w:szCs w:val="24"/>
                <w:lang w:val="en-US" w:eastAsia="zh-CN"/>
              </w:rPr>
              <w:t>+0.6</w:t>
            </w:r>
            <w:r>
              <w:rPr>
                <w:rFonts w:hint="default" w:ascii="Times New Roman" w:hAnsi="Times New Roman" w:eastAsia="宋体" w:cs="Times New Roman"/>
                <w:color w:val="auto"/>
                <w:sz w:val="24"/>
                <w:szCs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noWrap w:val="0"/>
            <w:vAlign w:val="center"/>
          </w:tcPr>
          <w:p>
            <w:pPr>
              <w:pStyle w:val="44"/>
              <w:keepNext w:val="0"/>
              <w:keepLines w:val="0"/>
              <w:pageBreakBefore w:val="0"/>
              <w:suppressLineNumbers w:val="0"/>
              <w:kinsoku/>
              <w:wordWrap/>
              <w:overflowPunct/>
              <w:topLinePunct w:val="0"/>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生活垃圾</w:t>
            </w:r>
          </w:p>
        </w:tc>
        <w:tc>
          <w:tcPr>
            <w:tcW w:w="665" w:type="pct"/>
            <w:noWrap w:val="0"/>
            <w:vAlign w:val="center"/>
          </w:tcPr>
          <w:p>
            <w:pPr>
              <w:keepNext w:val="0"/>
              <w:keepLines w:val="0"/>
              <w:pageBreakBefore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生活垃圾</w:t>
            </w:r>
          </w:p>
        </w:tc>
        <w:tc>
          <w:tcPr>
            <w:tcW w:w="1357"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0</w:t>
            </w:r>
          </w:p>
        </w:tc>
        <w:tc>
          <w:tcPr>
            <w:tcW w:w="135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0</w:t>
            </w:r>
          </w:p>
        </w:tc>
        <w:tc>
          <w:tcPr>
            <w:tcW w:w="180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default" w:ascii="Times New Roman" w:hAnsi="Times New Roman" w:eastAsia="宋体" w:cs="Times New Roman"/>
                <w:color w:val="auto"/>
                <w:sz w:val="24"/>
                <w:szCs w:val="24"/>
              </w:rPr>
              <w:t>0</w:t>
            </w:r>
          </w:p>
        </w:tc>
        <w:tc>
          <w:tcPr>
            <w:tcW w:w="565"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4"/>
                <w:szCs w:val="24"/>
                <w:lang w:val="en-US" w:eastAsia="zh-CN" w:bidi="ar-SA"/>
              </w:rPr>
            </w:pPr>
            <w:r>
              <w:rPr>
                <w:rFonts w:hint="eastAsia" w:cs="Times New Roman"/>
                <w:color w:val="auto"/>
                <w:kern w:val="0"/>
                <w:sz w:val="24"/>
                <w:szCs w:val="24"/>
                <w:lang w:val="en-US" w:eastAsia="zh-CN"/>
              </w:rPr>
              <w:t>6.15</w:t>
            </w:r>
            <w:r>
              <w:rPr>
                <w:rFonts w:hint="default" w:ascii="Times New Roman" w:hAnsi="Times New Roman" w:eastAsia="宋体" w:cs="Times New Roman"/>
                <w:color w:val="auto"/>
                <w:sz w:val="24"/>
                <w:szCs w:val="24"/>
              </w:rPr>
              <w:t>t/a</w:t>
            </w:r>
          </w:p>
        </w:tc>
        <w:tc>
          <w:tcPr>
            <w:tcW w:w="638" w:type="pct"/>
            <w:noWrap w:val="0"/>
            <w:vAlign w:val="center"/>
          </w:tcPr>
          <w:p>
            <w:pPr>
              <w:pStyle w:val="52"/>
              <w:keepNext w:val="0"/>
              <w:keepLines w:val="0"/>
              <w:suppressLineNumbers w:val="0"/>
              <w:bidi w:val="0"/>
              <w:spacing w:before="0" w:beforeAutospacing="0" w:after="0" w:afterAutospacing="0"/>
              <w:ind w:left="0" w:right="0"/>
              <w:rPr>
                <w:rFonts w:hint="default"/>
                <w:lang w:val="en-US" w:eastAsia="zh-CN"/>
              </w:rPr>
            </w:pPr>
            <w:r>
              <w:rPr>
                <w:rFonts w:hint="default"/>
              </w:rPr>
              <w:t>0</w:t>
            </w:r>
          </w:p>
        </w:tc>
        <w:tc>
          <w:tcPr>
            <w:tcW w:w="1574"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kern w:val="0"/>
                <w:sz w:val="24"/>
                <w:szCs w:val="24"/>
                <w:lang w:val="en-US" w:eastAsia="zh-CN"/>
              </w:rPr>
              <w:t>6.15</w:t>
            </w:r>
            <w:r>
              <w:rPr>
                <w:rFonts w:hint="default" w:ascii="Times New Roman" w:hAnsi="Times New Roman" w:eastAsia="宋体" w:cs="Times New Roman"/>
                <w:color w:val="auto"/>
                <w:sz w:val="24"/>
                <w:szCs w:val="24"/>
              </w:rPr>
              <w:t>t/a</w:t>
            </w:r>
          </w:p>
        </w:tc>
        <w:tc>
          <w:tcPr>
            <w:tcW w:w="1378"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lang w:val="en-US" w:eastAsia="zh-CN"/>
              </w:rPr>
            </w:pPr>
            <w:r>
              <w:rPr>
                <w:rFonts w:hint="eastAsia" w:cs="Times New Roman"/>
                <w:color w:val="auto"/>
                <w:kern w:val="0"/>
                <w:sz w:val="24"/>
                <w:szCs w:val="24"/>
                <w:lang w:val="en-US" w:eastAsia="zh-CN"/>
              </w:rPr>
              <w:t>+6.15</w:t>
            </w:r>
            <w:r>
              <w:rPr>
                <w:rFonts w:hint="default" w:ascii="Times New Roman" w:hAnsi="Times New Roman" w:eastAsia="宋体" w:cs="Times New Roman"/>
                <w:color w:val="auto"/>
                <w:sz w:val="24"/>
                <w:szCs w:val="24"/>
              </w:rPr>
              <w:t>t/a</w:t>
            </w:r>
          </w:p>
        </w:tc>
      </w:tr>
    </w:tbl>
    <w:p>
      <w:pPr>
        <w:rPr>
          <w:rFonts w:hint="default" w:ascii="Times New Roman" w:hAnsi="Times New Roman" w:eastAsia="宋体" w:cs="Times New Roman"/>
          <w:color w:val="auto"/>
        </w:rPr>
      </w:pPr>
      <w:r>
        <w:rPr>
          <w:rFonts w:hint="default" w:ascii="Times New Roman" w:hAnsi="Times New Roman" w:eastAsia="宋体" w:cs="Times New Roman"/>
          <w:snapToGrid w:val="0"/>
          <w:color w:val="auto"/>
          <w:kern w:val="21"/>
          <w:szCs w:val="21"/>
        </w:rPr>
        <w:t>注：</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6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⑥</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1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①</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3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③</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4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④</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5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⑤</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7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⑦</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6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⑥</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1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①</w:t>
      </w:r>
      <w:r>
        <w:rPr>
          <w:rFonts w:hint="default" w:ascii="Times New Roman" w:hAnsi="Times New Roman" w:eastAsia="宋体" w:cs="Times New Roman"/>
          <w:snapToGrid w:val="0"/>
          <w:color w:val="auto"/>
          <w:spacing w:val="-6"/>
          <w:kern w:val="21"/>
          <w:szCs w:val="21"/>
        </w:rPr>
        <w:fldChar w:fldCharType="end"/>
      </w:r>
    </w:p>
    <w:p>
      <w:pPr>
        <w:rPr>
          <w:rFonts w:hint="default" w:ascii="Times New Roman" w:hAnsi="Times New Roman" w:eastAsia="宋体" w:cs="Times New Roman"/>
          <w:color w:val="auto"/>
        </w:rPr>
        <w:sectPr>
          <w:footerReference r:id="rId9" w:type="default"/>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pPr>
        <w:pStyle w:val="21"/>
        <w:ind w:left="0" w:leftChars="0" w:firstLine="0" w:firstLineChars="0"/>
        <w:rPr>
          <w:rFonts w:hint="eastAsia" w:ascii="Times New Roman" w:hAnsi="Times New Roman" w:eastAsia="宋体" w:cs="Times New Roman"/>
          <w:color w:val="auto"/>
          <w:lang w:val="en-US" w:eastAsia="zh-CN"/>
        </w:rPr>
      </w:pPr>
      <w:bookmarkStart w:id="73" w:name="_GoBack"/>
      <w:bookmarkEnd w:id="73"/>
    </w:p>
    <w:sectPr>
      <w:footerReference r:id="rId10" w:type="default"/>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modern"/>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体">
    <w:altName w:val="仿宋"/>
    <w:panose1 w:val="00000000000000000000"/>
    <w:charset w:val="86"/>
    <w:family w:val="roman"/>
    <w:pitch w:val="default"/>
    <w:sig w:usb0="00000000" w:usb1="00000000" w:usb2="00000010" w:usb3="00000000" w:csb0="00040000" w:csb1="00000000"/>
  </w:font>
  <w:font w:name="Impact">
    <w:panose1 w:val="020B0806030902050204"/>
    <w:charset w:val="00"/>
    <w:family w:val="swiss"/>
    <w:pitch w:val="default"/>
    <w:sig w:usb0="00000287"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30"/>
      </w:rPr>
    </w:pPr>
    <w:r>
      <w:fldChar w:fldCharType="begin"/>
    </w:r>
    <w:r>
      <w:rPr>
        <w:rStyle w:val="30"/>
      </w:rPr>
      <w:instrText xml:space="preserve">PAGE  </w:instrText>
    </w:r>
    <w:r>
      <w:fldChar w:fldCharType="end"/>
    </w:r>
  </w:p>
  <w:p>
    <w:pPr>
      <w:pStyle w:val="1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9</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urc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urczAgAAZQQAAA4AAAAAAAAAAQAgAAAAHwEAAGRycy9lMm9Eb2MueG1sUEsF&#10;BgAAAAAGAAYAWQEAAMQFAAAAAA==&#10;">
              <v:fill on="f" focussize="0,0"/>
              <v:stroke on="f" weight="0.5pt"/>
              <v:imagedata o:title=""/>
              <o:lock v:ext="edit" aspectratio="f"/>
              <v:textbox inset="0mm,0mm,0mm,0mm" style="mso-fit-shape-to-text:t;">
                <w:txbxContent>
                  <w:p>
                    <w:pPr>
                      <w:pStyle w:val="17"/>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9</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 name="文本框 1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9</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DJCs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5os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QDJCszAgAAZQQAAA4AAAAAAAAAAQAgAAAAHwEAAGRycy9lMm9Eb2MueG1sUEsF&#10;BgAAAAAGAAYAWQEAAMQFAAAAAA==&#10;">
              <v:fill on="f" focussize="0,0"/>
              <v:stroke on="f" weight="0.5pt"/>
              <v:imagedata o:title=""/>
              <o:lock v:ext="edit" aspectratio="f"/>
              <v:textbox inset="0mm,0mm,0mm,0mm" style="mso-fit-shape-to-text:t;">
                <w:txbxContent>
                  <w:p>
                    <w:pPr>
                      <w:pStyle w:val="17"/>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9</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 name="文本框 1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10</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c6H0o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8ZvKDFMo+SnH99P&#10;Px9Ov76RdAiJGhdmiLx3iI3tO9sifDgPOEzM28rr9AUnAj8EPl4EFm0kPF2aTqbTHC4O37ABfvZ4&#10;3fkQ3wurSTIK6lHBTlh22ITYhw4hKZuxa6lUV0VlSFPQq9dv8+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nOh9KNAIAAGUEAAAOAAAAAAAAAAEAIAAAAB8BAABkcnMvZTJvRG9jLnhtbFBL&#10;BQYAAAAABgAGAFkBAADFBQAAAAA=&#10;">
              <v:fill on="f" focussize="0,0"/>
              <v:stroke on="f" weight="0.5pt"/>
              <v:imagedata o:title=""/>
              <o:lock v:ext="edit" aspectratio="f"/>
              <v:textbox inset="0mm,0mm,0mm,0mm" style="mso-fit-shape-to-text:t;">
                <w:txbxContent>
                  <w:p>
                    <w:pPr>
                      <w:pStyle w:val="17"/>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10</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keepNext w:val="0"/>
      <w:keepLines w:val="0"/>
      <w:pageBreakBefore w:val="0"/>
      <w:widowControl w:val="0"/>
      <w:tabs>
        <w:tab w:val="center" w:pos="0"/>
        <w:tab w:val="left" w:pos="315"/>
      </w:tabs>
      <w:kinsoku/>
      <w:wordWrap/>
      <w:overflowPunct/>
      <w:topLinePunct w:val="0"/>
      <w:autoSpaceDE/>
      <w:autoSpaceDN/>
      <w:bidi w:val="0"/>
      <w:adjustRightInd/>
      <w:snapToGrid w:val="0"/>
      <w:spacing w:line="240" w:lineRule="auto"/>
      <w:ind w:left="0" w:leftChars="0" w:firstLine="0" w:firstLineChars="0"/>
      <w:textAlignment w:val="auto"/>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tabs>
                              <w:tab w:val="center" w:pos="0"/>
                              <w:tab w:val="left" w:pos="315"/>
                            </w:tabs>
                          </w:pPr>
                          <w:r>
                            <w:t xml:space="preserve">— </w:t>
                          </w:r>
                          <w:r>
                            <w:fldChar w:fldCharType="begin"/>
                          </w:r>
                          <w:r>
                            <w:instrText xml:space="preserve"> PAGE  \* MERGEFORMAT </w:instrText>
                          </w:r>
                          <w:r>
                            <w:fldChar w:fldCharType="separate"/>
                          </w:r>
                          <w:r>
                            <w:t>85</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2BZx8oBAACbAwAADgAAAGRycy9lMm9Eb2MueG1srVPNjtMwEL4j8Q6W&#10;79TZCq2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X17TYnjFid+/vnj/OvP+fd3&#10;gj4UqA9QY959wMw0vPMDrs3sB3Rm3oOKNn+REcE4ynu6yCuHRER+tFquVhWGBMbmC+Kzh+chQnov&#10;vSXZaGjE+RVZ+fEjpDF1TsnVnL/TxpQZGvePAzGzh+Xexx6zlYbdMBHa+faEfHocfUMdbjol5oND&#10;ZfOWzEacjd1sHELU+66sUa4H4faQsInSW64wwk6FcWaF3bRfeSke30vWwz+1+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U2BZx8oBAACbAwAADgAAAAAAAAABACAAAAAeAQAAZHJzL2Uyb0Rv&#10;Yy54bWxQSwUGAAAAAAYABgBZAQAAWgUAAAAA&#10;">
              <v:fill on="f" focussize="0,0"/>
              <v:stroke on="f"/>
              <v:imagedata o:title=""/>
              <o:lock v:ext="edit" aspectratio="f"/>
              <v:textbox inset="0mm,0mm,0mm,0mm" style="mso-fit-shape-to-text:t;">
                <w:txbxContent>
                  <w:p>
                    <w:pPr>
                      <w:pStyle w:val="17"/>
                      <w:tabs>
                        <w:tab w:val="center" w:pos="0"/>
                        <w:tab w:val="left" w:pos="315"/>
                      </w:tabs>
                    </w:pPr>
                    <w:r>
                      <w:t xml:space="preserve">— </w:t>
                    </w:r>
                    <w:r>
                      <w:fldChar w:fldCharType="begin"/>
                    </w:r>
                    <w:r>
                      <w:instrText xml:space="preserve"> PAGE  \* MERGEFORMAT </w:instrText>
                    </w:r>
                    <w:r>
                      <w:fldChar w:fldCharType="separate"/>
                    </w:r>
                    <w:r>
                      <w:t>85</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8871D9"/>
    <w:multiLevelType w:val="singleLevel"/>
    <w:tmpl w:val="8C8871D9"/>
    <w:lvl w:ilvl="0" w:tentative="0">
      <w:start w:val="1"/>
      <w:numFmt w:val="decimal"/>
      <w:lvlText w:val="(%1)"/>
      <w:lvlJc w:val="left"/>
      <w:pPr>
        <w:tabs>
          <w:tab w:val="left" w:pos="397"/>
        </w:tabs>
        <w:ind w:left="0" w:leftChars="0" w:firstLine="397" w:firstLineChars="0"/>
      </w:pPr>
      <w:rPr>
        <w:rFonts w:hint="default"/>
      </w:rPr>
    </w:lvl>
  </w:abstractNum>
  <w:abstractNum w:abstractNumId="1">
    <w:nsid w:val="8E682FA0"/>
    <w:multiLevelType w:val="singleLevel"/>
    <w:tmpl w:val="8E682FA0"/>
    <w:lvl w:ilvl="0" w:tentative="0">
      <w:start w:val="1"/>
      <w:numFmt w:val="decimal"/>
      <w:suff w:val="nothing"/>
      <w:lvlText w:val="%1．"/>
      <w:lvlJc w:val="left"/>
      <w:pPr>
        <w:ind w:left="0" w:firstLine="400"/>
      </w:pPr>
      <w:rPr>
        <w:rFonts w:hint="default"/>
      </w:rPr>
    </w:lvl>
  </w:abstractNum>
  <w:abstractNum w:abstractNumId="2">
    <w:nsid w:val="9189008B"/>
    <w:multiLevelType w:val="singleLevel"/>
    <w:tmpl w:val="9189008B"/>
    <w:lvl w:ilvl="0" w:tentative="0">
      <w:start w:val="1"/>
      <w:numFmt w:val="decimalEnclosedCircleChinese"/>
      <w:suff w:val="nothing"/>
      <w:lvlText w:val="%1　"/>
      <w:lvlJc w:val="left"/>
      <w:pPr>
        <w:ind w:left="0" w:firstLine="400"/>
      </w:pPr>
      <w:rPr>
        <w:rFonts w:hint="eastAsia"/>
      </w:rPr>
    </w:lvl>
  </w:abstractNum>
  <w:abstractNum w:abstractNumId="3">
    <w:nsid w:val="9AB19CB6"/>
    <w:multiLevelType w:val="singleLevel"/>
    <w:tmpl w:val="9AB19CB6"/>
    <w:lvl w:ilvl="0" w:tentative="0">
      <w:start w:val="1"/>
      <w:numFmt w:val="decimal"/>
      <w:suff w:val="nothing"/>
      <w:lvlText w:val="%1．"/>
      <w:lvlJc w:val="left"/>
      <w:pPr>
        <w:ind w:left="0" w:firstLine="400"/>
      </w:pPr>
      <w:rPr>
        <w:rFonts w:hint="default"/>
      </w:rPr>
    </w:lvl>
  </w:abstractNum>
  <w:abstractNum w:abstractNumId="4">
    <w:nsid w:val="A48CCEFB"/>
    <w:multiLevelType w:val="singleLevel"/>
    <w:tmpl w:val="A48CCEFB"/>
    <w:lvl w:ilvl="0" w:tentative="0">
      <w:start w:val="1"/>
      <w:numFmt w:val="decimal"/>
      <w:lvlText w:val="%1)"/>
      <w:lvlJc w:val="left"/>
      <w:pPr>
        <w:tabs>
          <w:tab w:val="left" w:pos="397"/>
        </w:tabs>
        <w:ind w:left="0" w:leftChars="0" w:firstLine="397" w:firstLineChars="0"/>
      </w:pPr>
      <w:rPr>
        <w:rFonts w:hint="default"/>
      </w:rPr>
    </w:lvl>
  </w:abstractNum>
  <w:abstractNum w:abstractNumId="5">
    <w:nsid w:val="B9CCC7D8"/>
    <w:multiLevelType w:val="singleLevel"/>
    <w:tmpl w:val="B9CCC7D8"/>
    <w:lvl w:ilvl="0" w:tentative="0">
      <w:start w:val="1"/>
      <w:numFmt w:val="decimalEnclosedCircleChinese"/>
      <w:suff w:val="nothing"/>
      <w:lvlText w:val="%1　"/>
      <w:lvlJc w:val="left"/>
      <w:pPr>
        <w:ind w:left="0" w:firstLine="400"/>
      </w:pPr>
      <w:rPr>
        <w:rFonts w:hint="eastAsia"/>
      </w:rPr>
    </w:lvl>
  </w:abstractNum>
  <w:abstractNum w:abstractNumId="6">
    <w:nsid w:val="BD66ABC9"/>
    <w:multiLevelType w:val="singleLevel"/>
    <w:tmpl w:val="BD66ABC9"/>
    <w:lvl w:ilvl="0" w:tentative="0">
      <w:start w:val="1"/>
      <w:numFmt w:val="decimal"/>
      <w:lvlText w:val="%1)"/>
      <w:lvlJc w:val="left"/>
      <w:pPr>
        <w:tabs>
          <w:tab w:val="left" w:pos="397"/>
        </w:tabs>
        <w:ind w:left="0" w:leftChars="0" w:firstLine="397" w:firstLineChars="0"/>
      </w:pPr>
      <w:rPr>
        <w:rFonts w:hint="default"/>
      </w:rPr>
    </w:lvl>
  </w:abstractNum>
  <w:abstractNum w:abstractNumId="7">
    <w:nsid w:val="C7A8F399"/>
    <w:multiLevelType w:val="singleLevel"/>
    <w:tmpl w:val="C7A8F399"/>
    <w:lvl w:ilvl="0" w:tentative="0">
      <w:start w:val="1"/>
      <w:numFmt w:val="decimal"/>
      <w:lvlText w:val="%1)"/>
      <w:lvlJc w:val="left"/>
      <w:pPr>
        <w:tabs>
          <w:tab w:val="left" w:pos="397"/>
        </w:tabs>
        <w:ind w:left="0" w:leftChars="0" w:firstLine="397" w:firstLineChars="0"/>
      </w:pPr>
      <w:rPr>
        <w:rFonts w:hint="default"/>
      </w:rPr>
    </w:lvl>
  </w:abstractNum>
  <w:abstractNum w:abstractNumId="8">
    <w:nsid w:val="CB5398D7"/>
    <w:multiLevelType w:val="singleLevel"/>
    <w:tmpl w:val="CB5398D7"/>
    <w:lvl w:ilvl="0" w:tentative="0">
      <w:start w:val="1"/>
      <w:numFmt w:val="decimal"/>
      <w:suff w:val="nothing"/>
      <w:lvlText w:val="%1．"/>
      <w:lvlJc w:val="left"/>
      <w:pPr>
        <w:ind w:left="-2" w:firstLine="400"/>
      </w:pPr>
      <w:rPr>
        <w:rFonts w:hint="default"/>
      </w:rPr>
    </w:lvl>
  </w:abstractNum>
  <w:abstractNum w:abstractNumId="9">
    <w:nsid w:val="CC81AD92"/>
    <w:multiLevelType w:val="singleLevel"/>
    <w:tmpl w:val="CC81AD92"/>
    <w:lvl w:ilvl="0" w:tentative="0">
      <w:start w:val="1"/>
      <w:numFmt w:val="decimal"/>
      <w:lvlText w:val="(%1)"/>
      <w:lvlJc w:val="left"/>
      <w:pPr>
        <w:tabs>
          <w:tab w:val="left" w:pos="397"/>
        </w:tabs>
        <w:ind w:left="0" w:leftChars="0" w:firstLine="397" w:firstLineChars="0"/>
      </w:pPr>
      <w:rPr>
        <w:rFonts w:hint="default"/>
      </w:rPr>
    </w:lvl>
  </w:abstractNum>
  <w:abstractNum w:abstractNumId="10">
    <w:nsid w:val="CF13385D"/>
    <w:multiLevelType w:val="singleLevel"/>
    <w:tmpl w:val="CF13385D"/>
    <w:lvl w:ilvl="0" w:tentative="0">
      <w:start w:val="1"/>
      <w:numFmt w:val="decimal"/>
      <w:lvlText w:val="%1)"/>
      <w:lvlJc w:val="left"/>
      <w:pPr>
        <w:tabs>
          <w:tab w:val="left" w:pos="397"/>
        </w:tabs>
        <w:ind w:left="0" w:leftChars="0" w:firstLine="397" w:firstLineChars="0"/>
      </w:pPr>
      <w:rPr>
        <w:rFonts w:hint="default"/>
      </w:rPr>
    </w:lvl>
  </w:abstractNum>
  <w:abstractNum w:abstractNumId="11">
    <w:nsid w:val="D086C15F"/>
    <w:multiLevelType w:val="singleLevel"/>
    <w:tmpl w:val="D086C15F"/>
    <w:lvl w:ilvl="0" w:tentative="0">
      <w:start w:val="1"/>
      <w:numFmt w:val="decimal"/>
      <w:lvlText w:val="(%1)"/>
      <w:lvlJc w:val="left"/>
      <w:pPr>
        <w:tabs>
          <w:tab w:val="left" w:pos="397"/>
        </w:tabs>
        <w:ind w:left="0" w:leftChars="0" w:firstLine="397" w:firstLineChars="0"/>
      </w:pPr>
      <w:rPr>
        <w:rFonts w:hint="default"/>
      </w:rPr>
    </w:lvl>
  </w:abstractNum>
  <w:abstractNum w:abstractNumId="12">
    <w:nsid w:val="D1C82BA3"/>
    <w:multiLevelType w:val="singleLevel"/>
    <w:tmpl w:val="D1C82BA3"/>
    <w:lvl w:ilvl="0" w:tentative="0">
      <w:start w:val="1"/>
      <w:numFmt w:val="decimal"/>
      <w:lvlText w:val="(%1)"/>
      <w:lvlJc w:val="left"/>
      <w:pPr>
        <w:tabs>
          <w:tab w:val="left" w:pos="397"/>
        </w:tabs>
        <w:ind w:left="0" w:leftChars="0" w:firstLine="397" w:firstLineChars="0"/>
      </w:pPr>
      <w:rPr>
        <w:rFonts w:hint="default"/>
      </w:rPr>
    </w:lvl>
  </w:abstractNum>
  <w:abstractNum w:abstractNumId="13">
    <w:nsid w:val="E2C1F4AC"/>
    <w:multiLevelType w:val="singleLevel"/>
    <w:tmpl w:val="E2C1F4AC"/>
    <w:lvl w:ilvl="0" w:tentative="0">
      <w:start w:val="1"/>
      <w:numFmt w:val="decimal"/>
      <w:suff w:val="nothing"/>
      <w:lvlText w:val="%1．"/>
      <w:lvlJc w:val="left"/>
      <w:pPr>
        <w:ind w:left="0" w:firstLine="400"/>
      </w:pPr>
      <w:rPr>
        <w:rFonts w:hint="default"/>
      </w:rPr>
    </w:lvl>
  </w:abstractNum>
  <w:abstractNum w:abstractNumId="14">
    <w:nsid w:val="E703663F"/>
    <w:multiLevelType w:val="singleLevel"/>
    <w:tmpl w:val="E703663F"/>
    <w:lvl w:ilvl="0" w:tentative="0">
      <w:start w:val="1"/>
      <w:numFmt w:val="upperLetter"/>
      <w:lvlText w:val="%1."/>
      <w:lvlJc w:val="left"/>
      <w:pPr>
        <w:ind w:left="425" w:hanging="425"/>
      </w:pPr>
      <w:rPr>
        <w:rFonts w:hint="default"/>
      </w:rPr>
    </w:lvl>
  </w:abstractNum>
  <w:abstractNum w:abstractNumId="15">
    <w:nsid w:val="E7FAAD1F"/>
    <w:multiLevelType w:val="singleLevel"/>
    <w:tmpl w:val="E7FAAD1F"/>
    <w:lvl w:ilvl="0" w:tentative="0">
      <w:start w:val="1"/>
      <w:numFmt w:val="decimal"/>
      <w:suff w:val="nothing"/>
      <w:lvlText w:val="%1．"/>
      <w:lvlJc w:val="left"/>
      <w:pPr>
        <w:ind w:left="0" w:firstLine="400"/>
      </w:pPr>
      <w:rPr>
        <w:rFonts w:hint="default"/>
      </w:rPr>
    </w:lvl>
  </w:abstractNum>
  <w:abstractNum w:abstractNumId="16">
    <w:nsid w:val="EE137553"/>
    <w:multiLevelType w:val="singleLevel"/>
    <w:tmpl w:val="EE137553"/>
    <w:lvl w:ilvl="0" w:tentative="0">
      <w:start w:val="1"/>
      <w:numFmt w:val="decimal"/>
      <w:lvlText w:val="%1)"/>
      <w:lvlJc w:val="left"/>
      <w:pPr>
        <w:tabs>
          <w:tab w:val="left" w:pos="397"/>
        </w:tabs>
        <w:ind w:left="0" w:leftChars="0" w:firstLine="397" w:firstLineChars="0"/>
      </w:pPr>
      <w:rPr>
        <w:rFonts w:hint="default"/>
      </w:rPr>
    </w:lvl>
  </w:abstractNum>
  <w:abstractNum w:abstractNumId="17">
    <w:nsid w:val="F17A97D3"/>
    <w:multiLevelType w:val="singleLevel"/>
    <w:tmpl w:val="F17A97D3"/>
    <w:lvl w:ilvl="0" w:tentative="0">
      <w:start w:val="1"/>
      <w:numFmt w:val="decimal"/>
      <w:lvlText w:val="(%1)"/>
      <w:lvlJc w:val="left"/>
      <w:pPr>
        <w:tabs>
          <w:tab w:val="left" w:pos="397"/>
        </w:tabs>
        <w:ind w:left="0" w:leftChars="0" w:firstLine="397" w:firstLineChars="0"/>
      </w:pPr>
      <w:rPr>
        <w:rFonts w:hint="default"/>
      </w:rPr>
    </w:lvl>
  </w:abstractNum>
  <w:abstractNum w:abstractNumId="18">
    <w:nsid w:val="F6EF02AB"/>
    <w:multiLevelType w:val="singleLevel"/>
    <w:tmpl w:val="F6EF02AB"/>
    <w:lvl w:ilvl="0" w:tentative="0">
      <w:start w:val="1"/>
      <w:numFmt w:val="bullet"/>
      <w:pStyle w:val="12"/>
      <w:lvlText w:val=""/>
      <w:lvlJc w:val="left"/>
      <w:pPr>
        <w:tabs>
          <w:tab w:val="left" w:pos="780"/>
        </w:tabs>
        <w:ind w:left="780" w:hanging="360"/>
      </w:pPr>
      <w:rPr>
        <w:rFonts w:hint="default" w:ascii="Wingdings" w:hAnsi="Wingdings"/>
      </w:rPr>
    </w:lvl>
  </w:abstractNum>
  <w:abstractNum w:abstractNumId="19">
    <w:nsid w:val="03514BC3"/>
    <w:multiLevelType w:val="singleLevel"/>
    <w:tmpl w:val="03514BC3"/>
    <w:lvl w:ilvl="0" w:tentative="0">
      <w:start w:val="1"/>
      <w:numFmt w:val="decimal"/>
      <w:lvlText w:val="(%1)"/>
      <w:lvlJc w:val="left"/>
      <w:pPr>
        <w:tabs>
          <w:tab w:val="left" w:pos="397"/>
        </w:tabs>
        <w:ind w:left="0" w:leftChars="0" w:firstLine="397" w:firstLineChars="0"/>
      </w:pPr>
      <w:rPr>
        <w:rFonts w:hint="default"/>
      </w:rPr>
    </w:lvl>
  </w:abstractNum>
  <w:abstractNum w:abstractNumId="20">
    <w:nsid w:val="05730790"/>
    <w:multiLevelType w:val="singleLevel"/>
    <w:tmpl w:val="05730790"/>
    <w:lvl w:ilvl="0" w:tentative="0">
      <w:start w:val="1"/>
      <w:numFmt w:val="decimalEnclosedCircleChinese"/>
      <w:suff w:val="nothing"/>
      <w:lvlText w:val="%1　"/>
      <w:lvlJc w:val="left"/>
      <w:pPr>
        <w:ind w:left="0" w:firstLine="400"/>
      </w:pPr>
      <w:rPr>
        <w:rFonts w:hint="eastAsia"/>
      </w:rPr>
    </w:lvl>
  </w:abstractNum>
  <w:abstractNum w:abstractNumId="21">
    <w:nsid w:val="11122735"/>
    <w:multiLevelType w:val="singleLevel"/>
    <w:tmpl w:val="11122735"/>
    <w:lvl w:ilvl="0" w:tentative="0">
      <w:start w:val="1"/>
      <w:numFmt w:val="decimal"/>
      <w:lvlText w:val="(%1)"/>
      <w:lvlJc w:val="left"/>
      <w:pPr>
        <w:tabs>
          <w:tab w:val="left" w:pos="397"/>
        </w:tabs>
        <w:ind w:left="0" w:leftChars="0" w:firstLine="397" w:firstLineChars="0"/>
      </w:pPr>
      <w:rPr>
        <w:rFonts w:hint="default"/>
      </w:rPr>
    </w:lvl>
  </w:abstractNum>
  <w:abstractNum w:abstractNumId="22">
    <w:nsid w:val="16E81B7D"/>
    <w:multiLevelType w:val="multilevel"/>
    <w:tmpl w:val="16E81B7D"/>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lvlText w:val="%1.%2.%3"/>
      <w:lvlJc w:val="left"/>
      <w:pPr>
        <w:ind w:left="720" w:hanging="720"/>
      </w:pPr>
      <w:rPr>
        <w:rFonts w:hint="default" w:ascii="宋体" w:hAnsi="宋体" w:eastAsia="宋体" w:cs="宋体"/>
      </w:rPr>
    </w:lvl>
    <w:lvl w:ilvl="3" w:tentative="0">
      <w:start w:val="1"/>
      <w:numFmt w:val="decimal"/>
      <w:pStyle w:val="4"/>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3">
    <w:nsid w:val="1DAE3612"/>
    <w:multiLevelType w:val="singleLevel"/>
    <w:tmpl w:val="1DAE3612"/>
    <w:lvl w:ilvl="0" w:tentative="0">
      <w:start w:val="1"/>
      <w:numFmt w:val="decimal"/>
      <w:lvlText w:val="%1)"/>
      <w:lvlJc w:val="left"/>
      <w:pPr>
        <w:tabs>
          <w:tab w:val="left" w:pos="397"/>
        </w:tabs>
        <w:ind w:left="0" w:leftChars="0" w:firstLine="397" w:firstLineChars="0"/>
      </w:pPr>
      <w:rPr>
        <w:rFonts w:hint="default"/>
      </w:rPr>
    </w:lvl>
  </w:abstractNum>
  <w:abstractNum w:abstractNumId="24">
    <w:nsid w:val="21F1DB99"/>
    <w:multiLevelType w:val="singleLevel"/>
    <w:tmpl w:val="21F1DB99"/>
    <w:lvl w:ilvl="0" w:tentative="0">
      <w:start w:val="1"/>
      <w:numFmt w:val="decimalEnclosedCircleChinese"/>
      <w:suff w:val="nothing"/>
      <w:lvlText w:val="%1　"/>
      <w:lvlJc w:val="left"/>
      <w:pPr>
        <w:ind w:left="0" w:firstLine="400"/>
      </w:pPr>
      <w:rPr>
        <w:rFonts w:hint="eastAsia"/>
      </w:rPr>
    </w:lvl>
  </w:abstractNum>
  <w:abstractNum w:abstractNumId="25">
    <w:nsid w:val="2CE446B9"/>
    <w:multiLevelType w:val="singleLevel"/>
    <w:tmpl w:val="2CE446B9"/>
    <w:lvl w:ilvl="0" w:tentative="0">
      <w:start w:val="1"/>
      <w:numFmt w:val="decimal"/>
      <w:suff w:val="nothing"/>
      <w:lvlText w:val="%1．"/>
      <w:lvlJc w:val="left"/>
      <w:pPr>
        <w:ind w:left="0" w:firstLine="400"/>
      </w:pPr>
      <w:rPr>
        <w:rFonts w:hint="default"/>
      </w:rPr>
    </w:lvl>
  </w:abstractNum>
  <w:abstractNum w:abstractNumId="26">
    <w:nsid w:val="352D2DC9"/>
    <w:multiLevelType w:val="singleLevel"/>
    <w:tmpl w:val="352D2DC9"/>
    <w:lvl w:ilvl="0" w:tentative="0">
      <w:start w:val="1"/>
      <w:numFmt w:val="decimal"/>
      <w:lvlText w:val="%1)"/>
      <w:lvlJc w:val="left"/>
      <w:pPr>
        <w:tabs>
          <w:tab w:val="left" w:pos="397"/>
        </w:tabs>
        <w:ind w:left="0" w:leftChars="0" w:firstLine="397" w:firstLineChars="0"/>
      </w:pPr>
      <w:rPr>
        <w:rFonts w:hint="default"/>
      </w:rPr>
    </w:lvl>
  </w:abstractNum>
  <w:abstractNum w:abstractNumId="27">
    <w:nsid w:val="4CC6D22C"/>
    <w:multiLevelType w:val="singleLevel"/>
    <w:tmpl w:val="4CC6D22C"/>
    <w:lvl w:ilvl="0" w:tentative="0">
      <w:start w:val="1"/>
      <w:numFmt w:val="decimal"/>
      <w:suff w:val="nothing"/>
      <w:lvlText w:val="%1、"/>
      <w:lvlJc w:val="left"/>
    </w:lvl>
  </w:abstractNum>
  <w:abstractNum w:abstractNumId="28">
    <w:nsid w:val="51E8C5E6"/>
    <w:multiLevelType w:val="singleLevel"/>
    <w:tmpl w:val="51E8C5E6"/>
    <w:lvl w:ilvl="0" w:tentative="0">
      <w:start w:val="1"/>
      <w:numFmt w:val="decimal"/>
      <w:lvlText w:val="%1)"/>
      <w:lvlJc w:val="left"/>
      <w:pPr>
        <w:tabs>
          <w:tab w:val="left" w:pos="397"/>
        </w:tabs>
        <w:ind w:left="0" w:leftChars="0" w:firstLine="397" w:firstLineChars="0"/>
      </w:pPr>
      <w:rPr>
        <w:rFonts w:hint="default"/>
      </w:rPr>
    </w:lvl>
  </w:abstractNum>
  <w:abstractNum w:abstractNumId="29">
    <w:nsid w:val="56D9A5AF"/>
    <w:multiLevelType w:val="singleLevel"/>
    <w:tmpl w:val="56D9A5AF"/>
    <w:lvl w:ilvl="0" w:tentative="0">
      <w:start w:val="1"/>
      <w:numFmt w:val="decimal"/>
      <w:lvlText w:val="(%1)"/>
      <w:lvlJc w:val="left"/>
      <w:pPr>
        <w:tabs>
          <w:tab w:val="left" w:pos="397"/>
        </w:tabs>
        <w:ind w:left="0" w:leftChars="0" w:firstLine="397" w:firstLineChars="0"/>
      </w:pPr>
      <w:rPr>
        <w:rFonts w:hint="default"/>
      </w:rPr>
    </w:lvl>
  </w:abstractNum>
  <w:abstractNum w:abstractNumId="30">
    <w:nsid w:val="6BDA4A7A"/>
    <w:multiLevelType w:val="singleLevel"/>
    <w:tmpl w:val="6BDA4A7A"/>
    <w:lvl w:ilvl="0" w:tentative="0">
      <w:start w:val="1"/>
      <w:numFmt w:val="decimal"/>
      <w:suff w:val="nothing"/>
      <w:lvlText w:val="（%1）"/>
      <w:lvlJc w:val="left"/>
    </w:lvl>
  </w:abstractNum>
  <w:abstractNum w:abstractNumId="31">
    <w:nsid w:val="6D784DF2"/>
    <w:multiLevelType w:val="singleLevel"/>
    <w:tmpl w:val="6D784DF2"/>
    <w:lvl w:ilvl="0" w:tentative="0">
      <w:start w:val="1"/>
      <w:numFmt w:val="decimal"/>
      <w:pStyle w:val="61"/>
      <w:lvlText w:val="表%1"/>
      <w:lvlJc w:val="left"/>
      <w:pPr>
        <w:tabs>
          <w:tab w:val="left" w:pos="420"/>
        </w:tabs>
        <w:ind w:left="425" w:hanging="425"/>
      </w:pPr>
      <w:rPr>
        <w:rFonts w:hint="default"/>
      </w:rPr>
    </w:lvl>
  </w:abstractNum>
  <w:abstractNum w:abstractNumId="32">
    <w:nsid w:val="72D4789E"/>
    <w:multiLevelType w:val="singleLevel"/>
    <w:tmpl w:val="72D4789E"/>
    <w:lvl w:ilvl="0" w:tentative="0">
      <w:start w:val="1"/>
      <w:numFmt w:val="decimal"/>
      <w:lvlText w:val="%1)"/>
      <w:lvlJc w:val="left"/>
      <w:pPr>
        <w:tabs>
          <w:tab w:val="left" w:pos="397"/>
        </w:tabs>
        <w:ind w:left="0" w:leftChars="0" w:firstLine="397" w:firstLineChars="0"/>
      </w:pPr>
      <w:rPr>
        <w:rFonts w:hint="default"/>
      </w:rPr>
    </w:lvl>
  </w:abstractNum>
  <w:abstractNum w:abstractNumId="33">
    <w:nsid w:val="782F50FC"/>
    <w:multiLevelType w:val="singleLevel"/>
    <w:tmpl w:val="782F50FC"/>
    <w:lvl w:ilvl="0" w:tentative="0">
      <w:start w:val="1"/>
      <w:numFmt w:val="decimal"/>
      <w:lvlText w:val="(%1)"/>
      <w:lvlJc w:val="left"/>
      <w:pPr>
        <w:tabs>
          <w:tab w:val="left" w:pos="397"/>
        </w:tabs>
        <w:ind w:left="0" w:leftChars="0" w:firstLine="397" w:firstLineChars="0"/>
      </w:pPr>
      <w:rPr>
        <w:rFonts w:hint="default"/>
      </w:rPr>
    </w:lvl>
  </w:abstractNum>
  <w:num w:numId="1">
    <w:abstractNumId w:val="22"/>
  </w:num>
  <w:num w:numId="2">
    <w:abstractNumId w:val="18"/>
  </w:num>
  <w:num w:numId="3">
    <w:abstractNumId w:val="31"/>
  </w:num>
  <w:num w:numId="4">
    <w:abstractNumId w:val="13"/>
  </w:num>
  <w:num w:numId="5">
    <w:abstractNumId w:val="27"/>
  </w:num>
  <w:num w:numId="6">
    <w:abstractNumId w:val="15"/>
  </w:num>
  <w:num w:numId="7">
    <w:abstractNumId w:val="4"/>
  </w:num>
  <w:num w:numId="8">
    <w:abstractNumId w:val="29"/>
  </w:num>
  <w:num w:numId="9">
    <w:abstractNumId w:val="8"/>
  </w:num>
  <w:num w:numId="10">
    <w:abstractNumId w:val="0"/>
  </w:num>
  <w:num w:numId="11">
    <w:abstractNumId w:val="30"/>
  </w:num>
  <w:num w:numId="12">
    <w:abstractNumId w:val="25"/>
  </w:num>
  <w:num w:numId="13">
    <w:abstractNumId w:val="1"/>
  </w:num>
  <w:num w:numId="14">
    <w:abstractNumId w:val="11"/>
  </w:num>
  <w:num w:numId="15">
    <w:abstractNumId w:val="21"/>
  </w:num>
  <w:num w:numId="16">
    <w:abstractNumId w:val="3"/>
  </w:num>
  <w:num w:numId="17">
    <w:abstractNumId w:val="9"/>
  </w:num>
  <w:num w:numId="18">
    <w:abstractNumId w:val="26"/>
  </w:num>
  <w:num w:numId="19">
    <w:abstractNumId w:val="5"/>
  </w:num>
  <w:num w:numId="20">
    <w:abstractNumId w:val="14"/>
  </w:num>
  <w:num w:numId="21">
    <w:abstractNumId w:val="23"/>
  </w:num>
  <w:num w:numId="22">
    <w:abstractNumId w:val="33"/>
  </w:num>
  <w:num w:numId="23">
    <w:abstractNumId w:val="10"/>
  </w:num>
  <w:num w:numId="24">
    <w:abstractNumId w:val="32"/>
  </w:num>
  <w:num w:numId="25">
    <w:abstractNumId w:val="17"/>
  </w:num>
  <w:num w:numId="26">
    <w:abstractNumId w:val="16"/>
  </w:num>
  <w:num w:numId="27">
    <w:abstractNumId w:val="28"/>
  </w:num>
  <w:num w:numId="28">
    <w:abstractNumId w:val="12"/>
  </w:num>
  <w:num w:numId="29">
    <w:abstractNumId w:val="7"/>
  </w:num>
  <w:num w:numId="30">
    <w:abstractNumId w:val="24"/>
  </w:num>
  <w:num w:numId="31">
    <w:abstractNumId w:val="20"/>
  </w:num>
  <w:num w:numId="32">
    <w:abstractNumId w:val="19"/>
  </w:num>
  <w:num w:numId="33">
    <w:abstractNumId w:val="6"/>
  </w:num>
  <w:num w:numId="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0"/>
  <w:hyphenationZone w:val="360"/>
  <w:doNotHyphenateCaps/>
  <w:drawingGridHorizontalSpacing w:val="240"/>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jMWM1NDFiZDIxNmE2NjNlODI4OTFjMmFlZjA4NDQifQ=="/>
  </w:docVars>
  <w:rsids>
    <w:rsidRoot w:val="00A14947"/>
    <w:rsid w:val="0000128C"/>
    <w:rsid w:val="000060B3"/>
    <w:rsid w:val="000231A3"/>
    <w:rsid w:val="0004364B"/>
    <w:rsid w:val="00052245"/>
    <w:rsid w:val="00061B1F"/>
    <w:rsid w:val="000733C4"/>
    <w:rsid w:val="00074783"/>
    <w:rsid w:val="0008070B"/>
    <w:rsid w:val="000810AC"/>
    <w:rsid w:val="00081A02"/>
    <w:rsid w:val="00082231"/>
    <w:rsid w:val="00085E07"/>
    <w:rsid w:val="00092D38"/>
    <w:rsid w:val="0009377B"/>
    <w:rsid w:val="000A20C9"/>
    <w:rsid w:val="000B058F"/>
    <w:rsid w:val="000B4467"/>
    <w:rsid w:val="000B4DB9"/>
    <w:rsid w:val="000C09AC"/>
    <w:rsid w:val="000C528B"/>
    <w:rsid w:val="000C767F"/>
    <w:rsid w:val="000D3675"/>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0FD2"/>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089E"/>
    <w:rsid w:val="0023280E"/>
    <w:rsid w:val="002377D1"/>
    <w:rsid w:val="002506BC"/>
    <w:rsid w:val="00254345"/>
    <w:rsid w:val="00264557"/>
    <w:rsid w:val="002805AB"/>
    <w:rsid w:val="00284204"/>
    <w:rsid w:val="00291773"/>
    <w:rsid w:val="002932E6"/>
    <w:rsid w:val="002A168C"/>
    <w:rsid w:val="002A3DC7"/>
    <w:rsid w:val="002B49E2"/>
    <w:rsid w:val="002B7B00"/>
    <w:rsid w:val="002B7C44"/>
    <w:rsid w:val="002C2B17"/>
    <w:rsid w:val="002D3A96"/>
    <w:rsid w:val="002D3DD0"/>
    <w:rsid w:val="002E1F3A"/>
    <w:rsid w:val="002E298A"/>
    <w:rsid w:val="00301978"/>
    <w:rsid w:val="0030332C"/>
    <w:rsid w:val="003051C2"/>
    <w:rsid w:val="00312296"/>
    <w:rsid w:val="00314F0E"/>
    <w:rsid w:val="00321D8E"/>
    <w:rsid w:val="003225AC"/>
    <w:rsid w:val="00325928"/>
    <w:rsid w:val="00332863"/>
    <w:rsid w:val="0033684D"/>
    <w:rsid w:val="00337B42"/>
    <w:rsid w:val="00341B42"/>
    <w:rsid w:val="0034348F"/>
    <w:rsid w:val="00356653"/>
    <w:rsid w:val="0035743F"/>
    <w:rsid w:val="00357BE2"/>
    <w:rsid w:val="0036170C"/>
    <w:rsid w:val="00362E64"/>
    <w:rsid w:val="00366E0F"/>
    <w:rsid w:val="00381A72"/>
    <w:rsid w:val="00384676"/>
    <w:rsid w:val="00390857"/>
    <w:rsid w:val="003A2501"/>
    <w:rsid w:val="003A27B3"/>
    <w:rsid w:val="003A4BF3"/>
    <w:rsid w:val="003B420D"/>
    <w:rsid w:val="003C1EDC"/>
    <w:rsid w:val="003C2BA5"/>
    <w:rsid w:val="003C6C16"/>
    <w:rsid w:val="003D1F53"/>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48B"/>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D5C7C"/>
    <w:rsid w:val="006E12FF"/>
    <w:rsid w:val="006E607E"/>
    <w:rsid w:val="00700F82"/>
    <w:rsid w:val="00706C5D"/>
    <w:rsid w:val="00732922"/>
    <w:rsid w:val="00734835"/>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2105"/>
    <w:rsid w:val="007B72B8"/>
    <w:rsid w:val="007B7A58"/>
    <w:rsid w:val="007C21B5"/>
    <w:rsid w:val="007D088A"/>
    <w:rsid w:val="007E4BD2"/>
    <w:rsid w:val="007E7A20"/>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C461D"/>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0828"/>
    <w:rsid w:val="00A14947"/>
    <w:rsid w:val="00A30794"/>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27E"/>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04BA"/>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51735"/>
    <w:rsid w:val="00C61E4B"/>
    <w:rsid w:val="00C64BFF"/>
    <w:rsid w:val="00C704E9"/>
    <w:rsid w:val="00C763C9"/>
    <w:rsid w:val="00C80057"/>
    <w:rsid w:val="00C82232"/>
    <w:rsid w:val="00C82913"/>
    <w:rsid w:val="00C94308"/>
    <w:rsid w:val="00C972B1"/>
    <w:rsid w:val="00CA2CCE"/>
    <w:rsid w:val="00CA43FD"/>
    <w:rsid w:val="00CA7EF8"/>
    <w:rsid w:val="00CB4866"/>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743ED"/>
    <w:rsid w:val="00E9242D"/>
    <w:rsid w:val="00EB51B5"/>
    <w:rsid w:val="00EB5255"/>
    <w:rsid w:val="00EB5C47"/>
    <w:rsid w:val="00ED0639"/>
    <w:rsid w:val="00EF4755"/>
    <w:rsid w:val="00EF7135"/>
    <w:rsid w:val="00F027DB"/>
    <w:rsid w:val="00F14A7A"/>
    <w:rsid w:val="00F22985"/>
    <w:rsid w:val="00F32C81"/>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191428"/>
    <w:rsid w:val="01290F7E"/>
    <w:rsid w:val="013435B5"/>
    <w:rsid w:val="014B18CA"/>
    <w:rsid w:val="015D1E09"/>
    <w:rsid w:val="016C2D4F"/>
    <w:rsid w:val="01730F4A"/>
    <w:rsid w:val="01B155E4"/>
    <w:rsid w:val="020F79D0"/>
    <w:rsid w:val="023042F6"/>
    <w:rsid w:val="0266435A"/>
    <w:rsid w:val="02697903"/>
    <w:rsid w:val="02AD788C"/>
    <w:rsid w:val="02CF3A0D"/>
    <w:rsid w:val="02F96569"/>
    <w:rsid w:val="02FA438B"/>
    <w:rsid w:val="03206EA5"/>
    <w:rsid w:val="03903702"/>
    <w:rsid w:val="039E4DF5"/>
    <w:rsid w:val="03BE5911"/>
    <w:rsid w:val="03DA14EF"/>
    <w:rsid w:val="03EA7B21"/>
    <w:rsid w:val="041A2F1D"/>
    <w:rsid w:val="045D3AEA"/>
    <w:rsid w:val="045D63F2"/>
    <w:rsid w:val="046C12F9"/>
    <w:rsid w:val="047D33F2"/>
    <w:rsid w:val="054D5928"/>
    <w:rsid w:val="05720B50"/>
    <w:rsid w:val="05B22BB1"/>
    <w:rsid w:val="05E92321"/>
    <w:rsid w:val="05F83EAE"/>
    <w:rsid w:val="062C439B"/>
    <w:rsid w:val="062C604B"/>
    <w:rsid w:val="063E7D85"/>
    <w:rsid w:val="06442F6B"/>
    <w:rsid w:val="06455247"/>
    <w:rsid w:val="06585396"/>
    <w:rsid w:val="06826B71"/>
    <w:rsid w:val="068A4F34"/>
    <w:rsid w:val="06966BF7"/>
    <w:rsid w:val="06B11926"/>
    <w:rsid w:val="06B632C3"/>
    <w:rsid w:val="06BC362D"/>
    <w:rsid w:val="06CA5E9F"/>
    <w:rsid w:val="07293586"/>
    <w:rsid w:val="07295285"/>
    <w:rsid w:val="07636392"/>
    <w:rsid w:val="07687847"/>
    <w:rsid w:val="07770C56"/>
    <w:rsid w:val="079C51BA"/>
    <w:rsid w:val="07A93748"/>
    <w:rsid w:val="07CB2BF4"/>
    <w:rsid w:val="080211E9"/>
    <w:rsid w:val="08090A6F"/>
    <w:rsid w:val="08094FD3"/>
    <w:rsid w:val="084532DA"/>
    <w:rsid w:val="089A7245"/>
    <w:rsid w:val="089B6B0C"/>
    <w:rsid w:val="08AB78AA"/>
    <w:rsid w:val="091C50C1"/>
    <w:rsid w:val="091F2D9D"/>
    <w:rsid w:val="092217DD"/>
    <w:rsid w:val="09301FCF"/>
    <w:rsid w:val="09316BE4"/>
    <w:rsid w:val="093A7294"/>
    <w:rsid w:val="095E33C0"/>
    <w:rsid w:val="09814A60"/>
    <w:rsid w:val="09880942"/>
    <w:rsid w:val="09A96B66"/>
    <w:rsid w:val="0A263993"/>
    <w:rsid w:val="0A2C57DB"/>
    <w:rsid w:val="0A2D3AC2"/>
    <w:rsid w:val="0A87661E"/>
    <w:rsid w:val="0AA755DF"/>
    <w:rsid w:val="0AAD3882"/>
    <w:rsid w:val="0AC929EC"/>
    <w:rsid w:val="0ADC7C98"/>
    <w:rsid w:val="0B120D44"/>
    <w:rsid w:val="0B136931"/>
    <w:rsid w:val="0B381EF4"/>
    <w:rsid w:val="0B4C689D"/>
    <w:rsid w:val="0B60227F"/>
    <w:rsid w:val="0B626CB9"/>
    <w:rsid w:val="0B6729D6"/>
    <w:rsid w:val="0BD27BF6"/>
    <w:rsid w:val="0BF659B6"/>
    <w:rsid w:val="0C287913"/>
    <w:rsid w:val="0C3B3C7D"/>
    <w:rsid w:val="0C4B1ECB"/>
    <w:rsid w:val="0C4F5584"/>
    <w:rsid w:val="0C9D2956"/>
    <w:rsid w:val="0CAB2EAE"/>
    <w:rsid w:val="0CAC4283"/>
    <w:rsid w:val="0CAE27C7"/>
    <w:rsid w:val="0CC96A50"/>
    <w:rsid w:val="0CDF2F6F"/>
    <w:rsid w:val="0D4717B5"/>
    <w:rsid w:val="0D47652C"/>
    <w:rsid w:val="0D562658"/>
    <w:rsid w:val="0D621C7D"/>
    <w:rsid w:val="0DA12E83"/>
    <w:rsid w:val="0DB84403"/>
    <w:rsid w:val="0DEC0D15"/>
    <w:rsid w:val="0DF23F8E"/>
    <w:rsid w:val="0E4B6A21"/>
    <w:rsid w:val="0E590382"/>
    <w:rsid w:val="0E73034D"/>
    <w:rsid w:val="0E88297D"/>
    <w:rsid w:val="0E99685C"/>
    <w:rsid w:val="0EC34B7A"/>
    <w:rsid w:val="0EE06B2A"/>
    <w:rsid w:val="0EF425D6"/>
    <w:rsid w:val="0F0547E3"/>
    <w:rsid w:val="0F0E5E48"/>
    <w:rsid w:val="0F13775A"/>
    <w:rsid w:val="0F3541E2"/>
    <w:rsid w:val="0F3F1846"/>
    <w:rsid w:val="0F4049FB"/>
    <w:rsid w:val="0F5F45FE"/>
    <w:rsid w:val="0F6E5D3F"/>
    <w:rsid w:val="0F724B55"/>
    <w:rsid w:val="0F9A112B"/>
    <w:rsid w:val="0FCB0131"/>
    <w:rsid w:val="0FEB42BE"/>
    <w:rsid w:val="10241B29"/>
    <w:rsid w:val="10361380"/>
    <w:rsid w:val="10536560"/>
    <w:rsid w:val="105F573C"/>
    <w:rsid w:val="106D2F64"/>
    <w:rsid w:val="107C3619"/>
    <w:rsid w:val="10B63710"/>
    <w:rsid w:val="10E81815"/>
    <w:rsid w:val="10F10820"/>
    <w:rsid w:val="111C2F7A"/>
    <w:rsid w:val="11464A8E"/>
    <w:rsid w:val="11505760"/>
    <w:rsid w:val="11611AC3"/>
    <w:rsid w:val="11665CA1"/>
    <w:rsid w:val="11761152"/>
    <w:rsid w:val="117F451E"/>
    <w:rsid w:val="11B0210D"/>
    <w:rsid w:val="11D010D8"/>
    <w:rsid w:val="11E2138F"/>
    <w:rsid w:val="12691140"/>
    <w:rsid w:val="12787AD6"/>
    <w:rsid w:val="1299129D"/>
    <w:rsid w:val="12A73092"/>
    <w:rsid w:val="12B0375C"/>
    <w:rsid w:val="12F60AE4"/>
    <w:rsid w:val="13076D7F"/>
    <w:rsid w:val="132A2A6A"/>
    <w:rsid w:val="133766A5"/>
    <w:rsid w:val="13495ABA"/>
    <w:rsid w:val="134E490B"/>
    <w:rsid w:val="13560EB0"/>
    <w:rsid w:val="13595CD4"/>
    <w:rsid w:val="13667AE8"/>
    <w:rsid w:val="1391192E"/>
    <w:rsid w:val="13951726"/>
    <w:rsid w:val="13A50896"/>
    <w:rsid w:val="13F310AE"/>
    <w:rsid w:val="13F52E13"/>
    <w:rsid w:val="13F85D15"/>
    <w:rsid w:val="13FE4276"/>
    <w:rsid w:val="13FF66CC"/>
    <w:rsid w:val="14125E20"/>
    <w:rsid w:val="14251E2C"/>
    <w:rsid w:val="14396509"/>
    <w:rsid w:val="147B6486"/>
    <w:rsid w:val="148049B6"/>
    <w:rsid w:val="1494222D"/>
    <w:rsid w:val="1494367F"/>
    <w:rsid w:val="14A61922"/>
    <w:rsid w:val="14BD14AA"/>
    <w:rsid w:val="14DD2C3C"/>
    <w:rsid w:val="14DE6CF7"/>
    <w:rsid w:val="14DF236B"/>
    <w:rsid w:val="14E06349"/>
    <w:rsid w:val="14F64C4A"/>
    <w:rsid w:val="14F808C9"/>
    <w:rsid w:val="153907E7"/>
    <w:rsid w:val="153F5B00"/>
    <w:rsid w:val="15595889"/>
    <w:rsid w:val="15621873"/>
    <w:rsid w:val="158970E9"/>
    <w:rsid w:val="15A0294F"/>
    <w:rsid w:val="15FE75CE"/>
    <w:rsid w:val="16087E1D"/>
    <w:rsid w:val="160E11FA"/>
    <w:rsid w:val="16284EC4"/>
    <w:rsid w:val="162E527C"/>
    <w:rsid w:val="163E7A14"/>
    <w:rsid w:val="16512C56"/>
    <w:rsid w:val="16916282"/>
    <w:rsid w:val="171A3DE1"/>
    <w:rsid w:val="172338C9"/>
    <w:rsid w:val="176A78D9"/>
    <w:rsid w:val="17701D14"/>
    <w:rsid w:val="17735226"/>
    <w:rsid w:val="17775DE1"/>
    <w:rsid w:val="17B81E09"/>
    <w:rsid w:val="181925A0"/>
    <w:rsid w:val="185B2F4D"/>
    <w:rsid w:val="189F624C"/>
    <w:rsid w:val="19222C01"/>
    <w:rsid w:val="19420D78"/>
    <w:rsid w:val="197F3297"/>
    <w:rsid w:val="1A1C66C0"/>
    <w:rsid w:val="1A334B89"/>
    <w:rsid w:val="1A42393B"/>
    <w:rsid w:val="1AA9103F"/>
    <w:rsid w:val="1AAD45DE"/>
    <w:rsid w:val="1AB95B19"/>
    <w:rsid w:val="1AC92B69"/>
    <w:rsid w:val="1AED6EA5"/>
    <w:rsid w:val="1B046F80"/>
    <w:rsid w:val="1B0A228D"/>
    <w:rsid w:val="1B3267B5"/>
    <w:rsid w:val="1B40161D"/>
    <w:rsid w:val="1B441859"/>
    <w:rsid w:val="1B6606B1"/>
    <w:rsid w:val="1B767A7C"/>
    <w:rsid w:val="1B7E1BA5"/>
    <w:rsid w:val="1B9A55F5"/>
    <w:rsid w:val="1BA879DA"/>
    <w:rsid w:val="1BD143CB"/>
    <w:rsid w:val="1C124468"/>
    <w:rsid w:val="1C2079BB"/>
    <w:rsid w:val="1C461085"/>
    <w:rsid w:val="1C5D2199"/>
    <w:rsid w:val="1C5E1101"/>
    <w:rsid w:val="1C5E7925"/>
    <w:rsid w:val="1C60082C"/>
    <w:rsid w:val="1C972B62"/>
    <w:rsid w:val="1CFD070F"/>
    <w:rsid w:val="1D012A8E"/>
    <w:rsid w:val="1D39297A"/>
    <w:rsid w:val="1D3E7D89"/>
    <w:rsid w:val="1D4C59C2"/>
    <w:rsid w:val="1D5F6196"/>
    <w:rsid w:val="1D6132A5"/>
    <w:rsid w:val="1D750D86"/>
    <w:rsid w:val="1D8E56D5"/>
    <w:rsid w:val="1D9A1049"/>
    <w:rsid w:val="1DCF5540"/>
    <w:rsid w:val="1DD27F86"/>
    <w:rsid w:val="1DDF4608"/>
    <w:rsid w:val="1E030B81"/>
    <w:rsid w:val="1E0D610D"/>
    <w:rsid w:val="1E1F2D72"/>
    <w:rsid w:val="1E307DF8"/>
    <w:rsid w:val="1E324BDA"/>
    <w:rsid w:val="1E4D780C"/>
    <w:rsid w:val="1E7A43DA"/>
    <w:rsid w:val="1EA47B74"/>
    <w:rsid w:val="1ED22C1C"/>
    <w:rsid w:val="1EDA5104"/>
    <w:rsid w:val="1F0D2E86"/>
    <w:rsid w:val="1F1C595D"/>
    <w:rsid w:val="1F1E079F"/>
    <w:rsid w:val="1F416501"/>
    <w:rsid w:val="1FE7539E"/>
    <w:rsid w:val="1FE769ED"/>
    <w:rsid w:val="1FF75607"/>
    <w:rsid w:val="20120B0E"/>
    <w:rsid w:val="2018227E"/>
    <w:rsid w:val="203554EB"/>
    <w:rsid w:val="20501ED8"/>
    <w:rsid w:val="20671BE0"/>
    <w:rsid w:val="20963CB8"/>
    <w:rsid w:val="20A81A1B"/>
    <w:rsid w:val="20B07FB6"/>
    <w:rsid w:val="20B120D5"/>
    <w:rsid w:val="20B646FB"/>
    <w:rsid w:val="20C13E2D"/>
    <w:rsid w:val="20CB00AE"/>
    <w:rsid w:val="20DB4700"/>
    <w:rsid w:val="20E82D60"/>
    <w:rsid w:val="20F6042F"/>
    <w:rsid w:val="21095139"/>
    <w:rsid w:val="213827F6"/>
    <w:rsid w:val="213B74B1"/>
    <w:rsid w:val="215A2310"/>
    <w:rsid w:val="21666426"/>
    <w:rsid w:val="217A6110"/>
    <w:rsid w:val="21C7555C"/>
    <w:rsid w:val="21DE318A"/>
    <w:rsid w:val="21EF5B80"/>
    <w:rsid w:val="221A2719"/>
    <w:rsid w:val="223A4B20"/>
    <w:rsid w:val="22576990"/>
    <w:rsid w:val="228C4BA7"/>
    <w:rsid w:val="229D4371"/>
    <w:rsid w:val="22A32F2C"/>
    <w:rsid w:val="22CC6A17"/>
    <w:rsid w:val="22F47480"/>
    <w:rsid w:val="231D450A"/>
    <w:rsid w:val="23272836"/>
    <w:rsid w:val="232A5A95"/>
    <w:rsid w:val="23681A92"/>
    <w:rsid w:val="23AB78FA"/>
    <w:rsid w:val="23DE1C48"/>
    <w:rsid w:val="240210CD"/>
    <w:rsid w:val="240A7386"/>
    <w:rsid w:val="242279E9"/>
    <w:rsid w:val="24326650"/>
    <w:rsid w:val="243C27FA"/>
    <w:rsid w:val="246A0F18"/>
    <w:rsid w:val="24763558"/>
    <w:rsid w:val="24BF09F7"/>
    <w:rsid w:val="24DD2A62"/>
    <w:rsid w:val="24FE4DD4"/>
    <w:rsid w:val="25076D79"/>
    <w:rsid w:val="25214C78"/>
    <w:rsid w:val="252D53FE"/>
    <w:rsid w:val="2564005E"/>
    <w:rsid w:val="25657645"/>
    <w:rsid w:val="257A3F18"/>
    <w:rsid w:val="25AE5D35"/>
    <w:rsid w:val="25EC2D81"/>
    <w:rsid w:val="25F63DD5"/>
    <w:rsid w:val="26487037"/>
    <w:rsid w:val="264F5B58"/>
    <w:rsid w:val="267464C4"/>
    <w:rsid w:val="268D4EDB"/>
    <w:rsid w:val="26963488"/>
    <w:rsid w:val="26A554F7"/>
    <w:rsid w:val="26AB171E"/>
    <w:rsid w:val="26B9453D"/>
    <w:rsid w:val="26C31C9F"/>
    <w:rsid w:val="26C6581F"/>
    <w:rsid w:val="26FB3F8D"/>
    <w:rsid w:val="27342E0D"/>
    <w:rsid w:val="276E62B8"/>
    <w:rsid w:val="277057A2"/>
    <w:rsid w:val="27A72484"/>
    <w:rsid w:val="27D12A92"/>
    <w:rsid w:val="286918F0"/>
    <w:rsid w:val="287F0247"/>
    <w:rsid w:val="28B152EB"/>
    <w:rsid w:val="28CB3DD6"/>
    <w:rsid w:val="28DE4A41"/>
    <w:rsid w:val="28F74D45"/>
    <w:rsid w:val="29206EB8"/>
    <w:rsid w:val="293146FB"/>
    <w:rsid w:val="294E56D7"/>
    <w:rsid w:val="29595666"/>
    <w:rsid w:val="29596419"/>
    <w:rsid w:val="295D776C"/>
    <w:rsid w:val="29874881"/>
    <w:rsid w:val="298B4180"/>
    <w:rsid w:val="29BE6704"/>
    <w:rsid w:val="29E325E0"/>
    <w:rsid w:val="2A0B267F"/>
    <w:rsid w:val="2A2B0AD6"/>
    <w:rsid w:val="2A452503"/>
    <w:rsid w:val="2A4B72A1"/>
    <w:rsid w:val="2A545C04"/>
    <w:rsid w:val="2AD1011D"/>
    <w:rsid w:val="2AF37B03"/>
    <w:rsid w:val="2B303EB2"/>
    <w:rsid w:val="2B7918E2"/>
    <w:rsid w:val="2B8310AE"/>
    <w:rsid w:val="2B856638"/>
    <w:rsid w:val="2BA54F2C"/>
    <w:rsid w:val="2BA936A8"/>
    <w:rsid w:val="2BB47876"/>
    <w:rsid w:val="2BCB31A7"/>
    <w:rsid w:val="2C122B53"/>
    <w:rsid w:val="2C315A5A"/>
    <w:rsid w:val="2C4B1C25"/>
    <w:rsid w:val="2C4B2AA0"/>
    <w:rsid w:val="2C507D93"/>
    <w:rsid w:val="2C5801F0"/>
    <w:rsid w:val="2C6455B4"/>
    <w:rsid w:val="2C817026"/>
    <w:rsid w:val="2C8472C8"/>
    <w:rsid w:val="2CC77870"/>
    <w:rsid w:val="2CC80ED2"/>
    <w:rsid w:val="2CCD6970"/>
    <w:rsid w:val="2CD61A37"/>
    <w:rsid w:val="2D102879"/>
    <w:rsid w:val="2D5C4707"/>
    <w:rsid w:val="2D791AB2"/>
    <w:rsid w:val="2D8868B3"/>
    <w:rsid w:val="2D9E56F5"/>
    <w:rsid w:val="2DEA131C"/>
    <w:rsid w:val="2DEB4DBE"/>
    <w:rsid w:val="2DFC6874"/>
    <w:rsid w:val="2DFE2DC1"/>
    <w:rsid w:val="2E4017FD"/>
    <w:rsid w:val="2E4B0AFC"/>
    <w:rsid w:val="2E5073D1"/>
    <w:rsid w:val="2E667F96"/>
    <w:rsid w:val="2E785CD9"/>
    <w:rsid w:val="2E7C44BF"/>
    <w:rsid w:val="2E8226AB"/>
    <w:rsid w:val="2EAB4E4C"/>
    <w:rsid w:val="2EEB7355"/>
    <w:rsid w:val="2EF0012F"/>
    <w:rsid w:val="2EF351A3"/>
    <w:rsid w:val="2F454670"/>
    <w:rsid w:val="2F480111"/>
    <w:rsid w:val="2F7210BD"/>
    <w:rsid w:val="2FAA25BC"/>
    <w:rsid w:val="2FC8743B"/>
    <w:rsid w:val="2FD065E6"/>
    <w:rsid w:val="2FD65208"/>
    <w:rsid w:val="2FD951A4"/>
    <w:rsid w:val="2FD96870"/>
    <w:rsid w:val="2FEB3F28"/>
    <w:rsid w:val="2FEE7494"/>
    <w:rsid w:val="2FF50919"/>
    <w:rsid w:val="2FFD9991"/>
    <w:rsid w:val="304C7DD9"/>
    <w:rsid w:val="30554AC9"/>
    <w:rsid w:val="30580BC9"/>
    <w:rsid w:val="30BF083E"/>
    <w:rsid w:val="30F97515"/>
    <w:rsid w:val="310F3573"/>
    <w:rsid w:val="311E2ED7"/>
    <w:rsid w:val="31472419"/>
    <w:rsid w:val="31490E7A"/>
    <w:rsid w:val="315619EE"/>
    <w:rsid w:val="315C449C"/>
    <w:rsid w:val="31665779"/>
    <w:rsid w:val="317B6B20"/>
    <w:rsid w:val="31A31F0E"/>
    <w:rsid w:val="31B82709"/>
    <w:rsid w:val="31BB465F"/>
    <w:rsid w:val="31D05482"/>
    <w:rsid w:val="31DE73CF"/>
    <w:rsid w:val="31E63E55"/>
    <w:rsid w:val="31ED4F37"/>
    <w:rsid w:val="31FB23CF"/>
    <w:rsid w:val="32400B34"/>
    <w:rsid w:val="325D2EB5"/>
    <w:rsid w:val="329E6876"/>
    <w:rsid w:val="32B14B1F"/>
    <w:rsid w:val="32C552B8"/>
    <w:rsid w:val="32C71DE5"/>
    <w:rsid w:val="32DB1FCA"/>
    <w:rsid w:val="32EE5E74"/>
    <w:rsid w:val="3301206A"/>
    <w:rsid w:val="332E546C"/>
    <w:rsid w:val="333015F2"/>
    <w:rsid w:val="334B6320"/>
    <w:rsid w:val="33587A2D"/>
    <w:rsid w:val="33D934D4"/>
    <w:rsid w:val="33F078DD"/>
    <w:rsid w:val="33FA59F9"/>
    <w:rsid w:val="33FE2F6A"/>
    <w:rsid w:val="340E07E5"/>
    <w:rsid w:val="34235BF7"/>
    <w:rsid w:val="344A2B14"/>
    <w:rsid w:val="345C6019"/>
    <w:rsid w:val="346F2B26"/>
    <w:rsid w:val="34775567"/>
    <w:rsid w:val="34923B8D"/>
    <w:rsid w:val="34D35970"/>
    <w:rsid w:val="34E754E9"/>
    <w:rsid w:val="34F13E4E"/>
    <w:rsid w:val="34F41EAD"/>
    <w:rsid w:val="3506180A"/>
    <w:rsid w:val="350B5E00"/>
    <w:rsid w:val="35241BF9"/>
    <w:rsid w:val="35284AE7"/>
    <w:rsid w:val="354F0967"/>
    <w:rsid w:val="35666D87"/>
    <w:rsid w:val="35687ED1"/>
    <w:rsid w:val="358C5FA8"/>
    <w:rsid w:val="35C15DF1"/>
    <w:rsid w:val="35D56C44"/>
    <w:rsid w:val="36074A7F"/>
    <w:rsid w:val="36923549"/>
    <w:rsid w:val="369E189C"/>
    <w:rsid w:val="36A612C5"/>
    <w:rsid w:val="36AF2723"/>
    <w:rsid w:val="36B75FBF"/>
    <w:rsid w:val="36B858B1"/>
    <w:rsid w:val="36BD0C45"/>
    <w:rsid w:val="36F1589F"/>
    <w:rsid w:val="36FD4547"/>
    <w:rsid w:val="373B3134"/>
    <w:rsid w:val="373C5BEB"/>
    <w:rsid w:val="37850EE9"/>
    <w:rsid w:val="37BF6D6A"/>
    <w:rsid w:val="37CE47A0"/>
    <w:rsid w:val="37E00298"/>
    <w:rsid w:val="37FD40A0"/>
    <w:rsid w:val="387660B4"/>
    <w:rsid w:val="387A3DF1"/>
    <w:rsid w:val="38A070DE"/>
    <w:rsid w:val="38AD4ACA"/>
    <w:rsid w:val="38B07E7D"/>
    <w:rsid w:val="38B302F9"/>
    <w:rsid w:val="38F12CD3"/>
    <w:rsid w:val="38F17C32"/>
    <w:rsid w:val="38F94775"/>
    <w:rsid w:val="391117C9"/>
    <w:rsid w:val="391F2F84"/>
    <w:rsid w:val="392971ED"/>
    <w:rsid w:val="39325651"/>
    <w:rsid w:val="39514871"/>
    <w:rsid w:val="39567BD8"/>
    <w:rsid w:val="396250A1"/>
    <w:rsid w:val="3967608A"/>
    <w:rsid w:val="396D1DA3"/>
    <w:rsid w:val="39B065F1"/>
    <w:rsid w:val="39F122CA"/>
    <w:rsid w:val="39FB6802"/>
    <w:rsid w:val="39FD10C2"/>
    <w:rsid w:val="39FE7AB4"/>
    <w:rsid w:val="3A0C73AA"/>
    <w:rsid w:val="3A1219DE"/>
    <w:rsid w:val="3A4A6392"/>
    <w:rsid w:val="3A4F678F"/>
    <w:rsid w:val="3A684713"/>
    <w:rsid w:val="3A872856"/>
    <w:rsid w:val="3AA7259C"/>
    <w:rsid w:val="3AB365A7"/>
    <w:rsid w:val="3AB64A60"/>
    <w:rsid w:val="3AE07D2F"/>
    <w:rsid w:val="3AE92302"/>
    <w:rsid w:val="3B0F54B8"/>
    <w:rsid w:val="3B1927CF"/>
    <w:rsid w:val="3B256FD0"/>
    <w:rsid w:val="3B321BB5"/>
    <w:rsid w:val="3B3763D1"/>
    <w:rsid w:val="3B7442DC"/>
    <w:rsid w:val="3BC211E2"/>
    <w:rsid w:val="3BE50B94"/>
    <w:rsid w:val="3BF43A8D"/>
    <w:rsid w:val="3C2F6E1E"/>
    <w:rsid w:val="3C4F64BA"/>
    <w:rsid w:val="3C53008C"/>
    <w:rsid w:val="3C5B6BC1"/>
    <w:rsid w:val="3C697E76"/>
    <w:rsid w:val="3C76349E"/>
    <w:rsid w:val="3CA24510"/>
    <w:rsid w:val="3CB274A9"/>
    <w:rsid w:val="3CCC1243"/>
    <w:rsid w:val="3CDA245A"/>
    <w:rsid w:val="3CDB4734"/>
    <w:rsid w:val="3CFB1B47"/>
    <w:rsid w:val="3D1E06B7"/>
    <w:rsid w:val="3D2C6D20"/>
    <w:rsid w:val="3D3542AD"/>
    <w:rsid w:val="3D530CB5"/>
    <w:rsid w:val="3D56167D"/>
    <w:rsid w:val="3D6F1E01"/>
    <w:rsid w:val="3D7529B0"/>
    <w:rsid w:val="3D9E2451"/>
    <w:rsid w:val="3DA740B6"/>
    <w:rsid w:val="3DA93EB4"/>
    <w:rsid w:val="3E316E65"/>
    <w:rsid w:val="3E395321"/>
    <w:rsid w:val="3E5460B6"/>
    <w:rsid w:val="3E574627"/>
    <w:rsid w:val="3EDA0523"/>
    <w:rsid w:val="3EFC3FDC"/>
    <w:rsid w:val="3F2E1C08"/>
    <w:rsid w:val="3F39134D"/>
    <w:rsid w:val="3F3D5539"/>
    <w:rsid w:val="3F463F5C"/>
    <w:rsid w:val="3F541174"/>
    <w:rsid w:val="3F5B3000"/>
    <w:rsid w:val="3FAF5DB5"/>
    <w:rsid w:val="3FF53C50"/>
    <w:rsid w:val="3FFDB51A"/>
    <w:rsid w:val="405B3DE4"/>
    <w:rsid w:val="407A6407"/>
    <w:rsid w:val="40827921"/>
    <w:rsid w:val="41076015"/>
    <w:rsid w:val="412442FA"/>
    <w:rsid w:val="412C5C07"/>
    <w:rsid w:val="414F2E1B"/>
    <w:rsid w:val="4151103E"/>
    <w:rsid w:val="4155012C"/>
    <w:rsid w:val="417230CC"/>
    <w:rsid w:val="41AD130B"/>
    <w:rsid w:val="41B75FCF"/>
    <w:rsid w:val="4200449D"/>
    <w:rsid w:val="423A3BCC"/>
    <w:rsid w:val="424E57D2"/>
    <w:rsid w:val="42787831"/>
    <w:rsid w:val="429A6A15"/>
    <w:rsid w:val="42B26C49"/>
    <w:rsid w:val="42D51A09"/>
    <w:rsid w:val="42D51E7F"/>
    <w:rsid w:val="43086074"/>
    <w:rsid w:val="431A7641"/>
    <w:rsid w:val="43205314"/>
    <w:rsid w:val="4321257C"/>
    <w:rsid w:val="43331E13"/>
    <w:rsid w:val="433A6FE6"/>
    <w:rsid w:val="43480868"/>
    <w:rsid w:val="4350713C"/>
    <w:rsid w:val="43567BC9"/>
    <w:rsid w:val="436653E0"/>
    <w:rsid w:val="437739CC"/>
    <w:rsid w:val="4389590E"/>
    <w:rsid w:val="43A14D38"/>
    <w:rsid w:val="43A47C34"/>
    <w:rsid w:val="43C4431A"/>
    <w:rsid w:val="43C50E7D"/>
    <w:rsid w:val="44054916"/>
    <w:rsid w:val="44B951CC"/>
    <w:rsid w:val="44CB735A"/>
    <w:rsid w:val="44CD14E0"/>
    <w:rsid w:val="44D1567D"/>
    <w:rsid w:val="44D426B2"/>
    <w:rsid w:val="44DE690F"/>
    <w:rsid w:val="44E63F42"/>
    <w:rsid w:val="44F20B0B"/>
    <w:rsid w:val="45250D3C"/>
    <w:rsid w:val="452E5F4C"/>
    <w:rsid w:val="45352A25"/>
    <w:rsid w:val="453F3B2A"/>
    <w:rsid w:val="4556343E"/>
    <w:rsid w:val="45612018"/>
    <w:rsid w:val="457572C5"/>
    <w:rsid w:val="457D3F33"/>
    <w:rsid w:val="45823EC5"/>
    <w:rsid w:val="458946E9"/>
    <w:rsid w:val="45A47C0E"/>
    <w:rsid w:val="45B91596"/>
    <w:rsid w:val="45CE5353"/>
    <w:rsid w:val="45EE66BF"/>
    <w:rsid w:val="462B4B4D"/>
    <w:rsid w:val="463C5A3D"/>
    <w:rsid w:val="46577FD6"/>
    <w:rsid w:val="46671304"/>
    <w:rsid w:val="46C2478C"/>
    <w:rsid w:val="46D22ADD"/>
    <w:rsid w:val="46D955A7"/>
    <w:rsid w:val="46DB447C"/>
    <w:rsid w:val="46EB2E2C"/>
    <w:rsid w:val="46F930C5"/>
    <w:rsid w:val="47133957"/>
    <w:rsid w:val="4714317B"/>
    <w:rsid w:val="47641989"/>
    <w:rsid w:val="477E6905"/>
    <w:rsid w:val="47A07E0C"/>
    <w:rsid w:val="47A359ED"/>
    <w:rsid w:val="47D713A6"/>
    <w:rsid w:val="47E32216"/>
    <w:rsid w:val="48397A59"/>
    <w:rsid w:val="4870272E"/>
    <w:rsid w:val="48926881"/>
    <w:rsid w:val="48B83F0C"/>
    <w:rsid w:val="49153299"/>
    <w:rsid w:val="493F0316"/>
    <w:rsid w:val="496E3F4B"/>
    <w:rsid w:val="49B357DC"/>
    <w:rsid w:val="49BC2E86"/>
    <w:rsid w:val="49DC7715"/>
    <w:rsid w:val="49DD4DFD"/>
    <w:rsid w:val="4A023139"/>
    <w:rsid w:val="4A7B576F"/>
    <w:rsid w:val="4AA403D2"/>
    <w:rsid w:val="4ACB40EE"/>
    <w:rsid w:val="4AF06C70"/>
    <w:rsid w:val="4AF561A9"/>
    <w:rsid w:val="4B5663DA"/>
    <w:rsid w:val="4B587D67"/>
    <w:rsid w:val="4B8D6BD9"/>
    <w:rsid w:val="4BC61C79"/>
    <w:rsid w:val="4BD670EE"/>
    <w:rsid w:val="4C006210"/>
    <w:rsid w:val="4C1F2E64"/>
    <w:rsid w:val="4C4A0649"/>
    <w:rsid w:val="4C621B00"/>
    <w:rsid w:val="4C7E5ECA"/>
    <w:rsid w:val="4C812DDF"/>
    <w:rsid w:val="4C876AA5"/>
    <w:rsid w:val="4C976993"/>
    <w:rsid w:val="4CCA5B36"/>
    <w:rsid w:val="4CE75B92"/>
    <w:rsid w:val="4D0C3504"/>
    <w:rsid w:val="4D0E00FB"/>
    <w:rsid w:val="4D176606"/>
    <w:rsid w:val="4D2F0059"/>
    <w:rsid w:val="4D500D16"/>
    <w:rsid w:val="4D871A12"/>
    <w:rsid w:val="4DEC4FB0"/>
    <w:rsid w:val="4E075D8A"/>
    <w:rsid w:val="4E8A6E7C"/>
    <w:rsid w:val="4E9D703F"/>
    <w:rsid w:val="4EAF3848"/>
    <w:rsid w:val="4EB73AAF"/>
    <w:rsid w:val="4EC00FAD"/>
    <w:rsid w:val="4EC44C35"/>
    <w:rsid w:val="4F005E52"/>
    <w:rsid w:val="4F0C47F7"/>
    <w:rsid w:val="4F3D02BB"/>
    <w:rsid w:val="4F7112D0"/>
    <w:rsid w:val="4F7B7070"/>
    <w:rsid w:val="4F7C6C82"/>
    <w:rsid w:val="4F8F7CD8"/>
    <w:rsid w:val="4F9843DC"/>
    <w:rsid w:val="4FC62A8C"/>
    <w:rsid w:val="4FDB2A73"/>
    <w:rsid w:val="4FE20F0D"/>
    <w:rsid w:val="4FE51552"/>
    <w:rsid w:val="4FE75AF5"/>
    <w:rsid w:val="4FFF264B"/>
    <w:rsid w:val="50060DB3"/>
    <w:rsid w:val="501524D9"/>
    <w:rsid w:val="50414974"/>
    <w:rsid w:val="50504C4B"/>
    <w:rsid w:val="505862DF"/>
    <w:rsid w:val="50610747"/>
    <w:rsid w:val="509C6E7C"/>
    <w:rsid w:val="511C34C3"/>
    <w:rsid w:val="51445FA1"/>
    <w:rsid w:val="5162104E"/>
    <w:rsid w:val="51791EEB"/>
    <w:rsid w:val="51821B99"/>
    <w:rsid w:val="51944532"/>
    <w:rsid w:val="51E8023F"/>
    <w:rsid w:val="51F97062"/>
    <w:rsid w:val="52062F5B"/>
    <w:rsid w:val="52067305"/>
    <w:rsid w:val="52112AB9"/>
    <w:rsid w:val="521B629D"/>
    <w:rsid w:val="52687FBB"/>
    <w:rsid w:val="52A82CF6"/>
    <w:rsid w:val="52AD6C19"/>
    <w:rsid w:val="52FC4B82"/>
    <w:rsid w:val="532D22AF"/>
    <w:rsid w:val="536672AF"/>
    <w:rsid w:val="53726C98"/>
    <w:rsid w:val="538563AA"/>
    <w:rsid w:val="53A039CC"/>
    <w:rsid w:val="53A1505A"/>
    <w:rsid w:val="53A81551"/>
    <w:rsid w:val="53B13F40"/>
    <w:rsid w:val="53C14D9C"/>
    <w:rsid w:val="54063E08"/>
    <w:rsid w:val="5425486F"/>
    <w:rsid w:val="543437E8"/>
    <w:rsid w:val="54396B81"/>
    <w:rsid w:val="54CA13DC"/>
    <w:rsid w:val="54F73313"/>
    <w:rsid w:val="54F75B30"/>
    <w:rsid w:val="54F80955"/>
    <w:rsid w:val="5508215F"/>
    <w:rsid w:val="55236113"/>
    <w:rsid w:val="554C74D6"/>
    <w:rsid w:val="555170A7"/>
    <w:rsid w:val="5554004A"/>
    <w:rsid w:val="555B2034"/>
    <w:rsid w:val="5587536D"/>
    <w:rsid w:val="559B174B"/>
    <w:rsid w:val="55CE0CF4"/>
    <w:rsid w:val="55F036FF"/>
    <w:rsid w:val="55F0421D"/>
    <w:rsid w:val="56242706"/>
    <w:rsid w:val="56291444"/>
    <w:rsid w:val="563D1C2C"/>
    <w:rsid w:val="56430A23"/>
    <w:rsid w:val="567A1A1A"/>
    <w:rsid w:val="568C0102"/>
    <w:rsid w:val="56B22A9C"/>
    <w:rsid w:val="56D60913"/>
    <w:rsid w:val="56F95FA8"/>
    <w:rsid w:val="57374168"/>
    <w:rsid w:val="575765BE"/>
    <w:rsid w:val="575C04F6"/>
    <w:rsid w:val="57A2219C"/>
    <w:rsid w:val="57B72A76"/>
    <w:rsid w:val="57C3426C"/>
    <w:rsid w:val="57CE1F93"/>
    <w:rsid w:val="57D174FC"/>
    <w:rsid w:val="57DB688D"/>
    <w:rsid w:val="57F51222"/>
    <w:rsid w:val="58034A75"/>
    <w:rsid w:val="581D7A74"/>
    <w:rsid w:val="58223F48"/>
    <w:rsid w:val="58347B8D"/>
    <w:rsid w:val="58787AEF"/>
    <w:rsid w:val="588743D1"/>
    <w:rsid w:val="5887701A"/>
    <w:rsid w:val="58BC7666"/>
    <w:rsid w:val="58BD4DB3"/>
    <w:rsid w:val="5940666D"/>
    <w:rsid w:val="59472D5C"/>
    <w:rsid w:val="594D2336"/>
    <w:rsid w:val="595D188F"/>
    <w:rsid w:val="59684756"/>
    <w:rsid w:val="59C0439F"/>
    <w:rsid w:val="59EF3732"/>
    <w:rsid w:val="59FC366C"/>
    <w:rsid w:val="5A162E49"/>
    <w:rsid w:val="5A225CCD"/>
    <w:rsid w:val="5A29759F"/>
    <w:rsid w:val="5A517DB0"/>
    <w:rsid w:val="5A5568AA"/>
    <w:rsid w:val="5A5A12AB"/>
    <w:rsid w:val="5ABE2233"/>
    <w:rsid w:val="5AD84282"/>
    <w:rsid w:val="5ADE5539"/>
    <w:rsid w:val="5AE12BFC"/>
    <w:rsid w:val="5B02170F"/>
    <w:rsid w:val="5B0836CD"/>
    <w:rsid w:val="5B096390"/>
    <w:rsid w:val="5B331769"/>
    <w:rsid w:val="5B3B4E91"/>
    <w:rsid w:val="5B481847"/>
    <w:rsid w:val="5B8B6B11"/>
    <w:rsid w:val="5B8F3A94"/>
    <w:rsid w:val="5BA91AA3"/>
    <w:rsid w:val="5BDF5D95"/>
    <w:rsid w:val="5BFE7528"/>
    <w:rsid w:val="5CAC73E1"/>
    <w:rsid w:val="5CE84AF5"/>
    <w:rsid w:val="5CFE75E9"/>
    <w:rsid w:val="5D140534"/>
    <w:rsid w:val="5E0F4078"/>
    <w:rsid w:val="5E1F6CE3"/>
    <w:rsid w:val="5E2467F1"/>
    <w:rsid w:val="5E354DBF"/>
    <w:rsid w:val="5E6F8C7C"/>
    <w:rsid w:val="5E765C76"/>
    <w:rsid w:val="5E7F6863"/>
    <w:rsid w:val="5EC91376"/>
    <w:rsid w:val="5EC9275E"/>
    <w:rsid w:val="5F1A2B43"/>
    <w:rsid w:val="5F5B1F6E"/>
    <w:rsid w:val="5F735D5A"/>
    <w:rsid w:val="5F7F3496"/>
    <w:rsid w:val="5F8E64E9"/>
    <w:rsid w:val="5F997F29"/>
    <w:rsid w:val="5FB350B9"/>
    <w:rsid w:val="5FB837BB"/>
    <w:rsid w:val="600F5625"/>
    <w:rsid w:val="601A48EA"/>
    <w:rsid w:val="601A69DA"/>
    <w:rsid w:val="6032487C"/>
    <w:rsid w:val="605F0EDB"/>
    <w:rsid w:val="60667D3B"/>
    <w:rsid w:val="6083418A"/>
    <w:rsid w:val="60B81A7F"/>
    <w:rsid w:val="60CC405A"/>
    <w:rsid w:val="60FD56B8"/>
    <w:rsid w:val="618063AF"/>
    <w:rsid w:val="61A67376"/>
    <w:rsid w:val="61A92A37"/>
    <w:rsid w:val="61E215D8"/>
    <w:rsid w:val="621B3775"/>
    <w:rsid w:val="62342FC3"/>
    <w:rsid w:val="62364782"/>
    <w:rsid w:val="623D4C40"/>
    <w:rsid w:val="62A36FB4"/>
    <w:rsid w:val="62CE705E"/>
    <w:rsid w:val="62DD64C9"/>
    <w:rsid w:val="62F54A5E"/>
    <w:rsid w:val="6394356A"/>
    <w:rsid w:val="63B06A0A"/>
    <w:rsid w:val="63B865F0"/>
    <w:rsid w:val="63C1609E"/>
    <w:rsid w:val="63C61B2C"/>
    <w:rsid w:val="63D40BE9"/>
    <w:rsid w:val="63E45C5D"/>
    <w:rsid w:val="63F3397C"/>
    <w:rsid w:val="63FF0716"/>
    <w:rsid w:val="64102431"/>
    <w:rsid w:val="64490850"/>
    <w:rsid w:val="644C71B0"/>
    <w:rsid w:val="64540B4A"/>
    <w:rsid w:val="64651621"/>
    <w:rsid w:val="64906CC7"/>
    <w:rsid w:val="649078A5"/>
    <w:rsid w:val="64A5243A"/>
    <w:rsid w:val="64AA73F6"/>
    <w:rsid w:val="64D04E8A"/>
    <w:rsid w:val="64F531DE"/>
    <w:rsid w:val="65373578"/>
    <w:rsid w:val="658F0D6C"/>
    <w:rsid w:val="65A24DA1"/>
    <w:rsid w:val="65C71189"/>
    <w:rsid w:val="65C949F7"/>
    <w:rsid w:val="65D36D47"/>
    <w:rsid w:val="65E47A85"/>
    <w:rsid w:val="65F415B9"/>
    <w:rsid w:val="661C5AB5"/>
    <w:rsid w:val="666F2BF3"/>
    <w:rsid w:val="669C78E0"/>
    <w:rsid w:val="66EB6C5C"/>
    <w:rsid w:val="670F75E6"/>
    <w:rsid w:val="6717311A"/>
    <w:rsid w:val="671F124A"/>
    <w:rsid w:val="672D1CA8"/>
    <w:rsid w:val="67387A6A"/>
    <w:rsid w:val="677A33C6"/>
    <w:rsid w:val="67A239DB"/>
    <w:rsid w:val="67CB0BB4"/>
    <w:rsid w:val="67D96DDE"/>
    <w:rsid w:val="681F6961"/>
    <w:rsid w:val="6832115E"/>
    <w:rsid w:val="684B0328"/>
    <w:rsid w:val="68516831"/>
    <w:rsid w:val="685550F2"/>
    <w:rsid w:val="68610A2F"/>
    <w:rsid w:val="68805514"/>
    <w:rsid w:val="68C340D9"/>
    <w:rsid w:val="690E58E3"/>
    <w:rsid w:val="69316E2F"/>
    <w:rsid w:val="693A05DF"/>
    <w:rsid w:val="694E2071"/>
    <w:rsid w:val="69754837"/>
    <w:rsid w:val="69766163"/>
    <w:rsid w:val="697A3B33"/>
    <w:rsid w:val="69AF4ED6"/>
    <w:rsid w:val="69B1277E"/>
    <w:rsid w:val="69D12417"/>
    <w:rsid w:val="69D44760"/>
    <w:rsid w:val="69DD4150"/>
    <w:rsid w:val="69F07DD2"/>
    <w:rsid w:val="6A320E87"/>
    <w:rsid w:val="6A520EC7"/>
    <w:rsid w:val="6AC47243"/>
    <w:rsid w:val="6AE371E6"/>
    <w:rsid w:val="6AEE5CFF"/>
    <w:rsid w:val="6AF87E20"/>
    <w:rsid w:val="6B161CD6"/>
    <w:rsid w:val="6B191A49"/>
    <w:rsid w:val="6B2A197B"/>
    <w:rsid w:val="6B322639"/>
    <w:rsid w:val="6B3D0570"/>
    <w:rsid w:val="6B454EC0"/>
    <w:rsid w:val="6B614F18"/>
    <w:rsid w:val="6B747196"/>
    <w:rsid w:val="6B89729B"/>
    <w:rsid w:val="6BCB5AC6"/>
    <w:rsid w:val="6BCF2A70"/>
    <w:rsid w:val="6BD45824"/>
    <w:rsid w:val="6BF150EC"/>
    <w:rsid w:val="6BF9082D"/>
    <w:rsid w:val="6C00528B"/>
    <w:rsid w:val="6C636C38"/>
    <w:rsid w:val="6C7D1BC9"/>
    <w:rsid w:val="6C7D4A97"/>
    <w:rsid w:val="6CC035A0"/>
    <w:rsid w:val="6CD52C04"/>
    <w:rsid w:val="6D0C3099"/>
    <w:rsid w:val="6D257FDB"/>
    <w:rsid w:val="6DB34098"/>
    <w:rsid w:val="6DB545B6"/>
    <w:rsid w:val="6DE02FB4"/>
    <w:rsid w:val="6DF80910"/>
    <w:rsid w:val="6E133D86"/>
    <w:rsid w:val="6E375EBF"/>
    <w:rsid w:val="6E47215A"/>
    <w:rsid w:val="6E514CED"/>
    <w:rsid w:val="6E7B6E4B"/>
    <w:rsid w:val="6E8B5CC9"/>
    <w:rsid w:val="6EA13BF9"/>
    <w:rsid w:val="6EA25F15"/>
    <w:rsid w:val="6EB13409"/>
    <w:rsid w:val="6EB563D5"/>
    <w:rsid w:val="6EC907F2"/>
    <w:rsid w:val="6ED92677"/>
    <w:rsid w:val="6EE172DE"/>
    <w:rsid w:val="6EFC6AFA"/>
    <w:rsid w:val="6F004757"/>
    <w:rsid w:val="6F225983"/>
    <w:rsid w:val="6F5806A9"/>
    <w:rsid w:val="6F643777"/>
    <w:rsid w:val="6F654211"/>
    <w:rsid w:val="6FA7614A"/>
    <w:rsid w:val="6FC56ACF"/>
    <w:rsid w:val="6FFC5590"/>
    <w:rsid w:val="70412585"/>
    <w:rsid w:val="70460BC6"/>
    <w:rsid w:val="704B6BB6"/>
    <w:rsid w:val="706D1DD0"/>
    <w:rsid w:val="70856B87"/>
    <w:rsid w:val="70D527EE"/>
    <w:rsid w:val="70FC24C5"/>
    <w:rsid w:val="712052C3"/>
    <w:rsid w:val="712D20B9"/>
    <w:rsid w:val="712F289B"/>
    <w:rsid w:val="715B5300"/>
    <w:rsid w:val="71755917"/>
    <w:rsid w:val="71891245"/>
    <w:rsid w:val="71C649CA"/>
    <w:rsid w:val="71D27F8A"/>
    <w:rsid w:val="71DA601C"/>
    <w:rsid w:val="71E01CF4"/>
    <w:rsid w:val="720A6E64"/>
    <w:rsid w:val="72214D83"/>
    <w:rsid w:val="72337CB5"/>
    <w:rsid w:val="72553024"/>
    <w:rsid w:val="72832723"/>
    <w:rsid w:val="72BF1310"/>
    <w:rsid w:val="72D627F1"/>
    <w:rsid w:val="72F12697"/>
    <w:rsid w:val="72F51AF7"/>
    <w:rsid w:val="73122968"/>
    <w:rsid w:val="73172F72"/>
    <w:rsid w:val="73174F4F"/>
    <w:rsid w:val="731F5D5E"/>
    <w:rsid w:val="739D72C1"/>
    <w:rsid w:val="73A433D4"/>
    <w:rsid w:val="73C51AD5"/>
    <w:rsid w:val="73CD318D"/>
    <w:rsid w:val="7400220F"/>
    <w:rsid w:val="740C554E"/>
    <w:rsid w:val="741E3148"/>
    <w:rsid w:val="741E793C"/>
    <w:rsid w:val="744C3764"/>
    <w:rsid w:val="745E3944"/>
    <w:rsid w:val="746535FD"/>
    <w:rsid w:val="74724DEE"/>
    <w:rsid w:val="75182220"/>
    <w:rsid w:val="752C3307"/>
    <w:rsid w:val="758609FB"/>
    <w:rsid w:val="758812B7"/>
    <w:rsid w:val="758E56B6"/>
    <w:rsid w:val="759E5B35"/>
    <w:rsid w:val="75A77A0B"/>
    <w:rsid w:val="75D01A5D"/>
    <w:rsid w:val="75DE4A3A"/>
    <w:rsid w:val="75EB48B6"/>
    <w:rsid w:val="75F95F54"/>
    <w:rsid w:val="76095EBF"/>
    <w:rsid w:val="76177E10"/>
    <w:rsid w:val="7635099D"/>
    <w:rsid w:val="76382CE2"/>
    <w:rsid w:val="764E1A95"/>
    <w:rsid w:val="7653300D"/>
    <w:rsid w:val="765F14BD"/>
    <w:rsid w:val="766F6B96"/>
    <w:rsid w:val="76821695"/>
    <w:rsid w:val="76C55E59"/>
    <w:rsid w:val="76DB6C0B"/>
    <w:rsid w:val="77002034"/>
    <w:rsid w:val="770B4F06"/>
    <w:rsid w:val="773D78D4"/>
    <w:rsid w:val="77435F91"/>
    <w:rsid w:val="775363CA"/>
    <w:rsid w:val="77759CB8"/>
    <w:rsid w:val="77762421"/>
    <w:rsid w:val="779C59FE"/>
    <w:rsid w:val="77B56B1F"/>
    <w:rsid w:val="77CA4A04"/>
    <w:rsid w:val="77F12248"/>
    <w:rsid w:val="77FC088E"/>
    <w:rsid w:val="780F09F4"/>
    <w:rsid w:val="78195387"/>
    <w:rsid w:val="781B5927"/>
    <w:rsid w:val="78212811"/>
    <w:rsid w:val="789C2EE1"/>
    <w:rsid w:val="78A90480"/>
    <w:rsid w:val="78AC25B5"/>
    <w:rsid w:val="78CE31AD"/>
    <w:rsid w:val="78D930EC"/>
    <w:rsid w:val="78F31357"/>
    <w:rsid w:val="792A4F8B"/>
    <w:rsid w:val="799D5CDA"/>
    <w:rsid w:val="79A67472"/>
    <w:rsid w:val="79B50E82"/>
    <w:rsid w:val="7A21675B"/>
    <w:rsid w:val="7A364017"/>
    <w:rsid w:val="7A5C498C"/>
    <w:rsid w:val="7A8265E1"/>
    <w:rsid w:val="7B030394"/>
    <w:rsid w:val="7B686D42"/>
    <w:rsid w:val="7B7C5481"/>
    <w:rsid w:val="7B841746"/>
    <w:rsid w:val="7BD83FCD"/>
    <w:rsid w:val="7BDD20D8"/>
    <w:rsid w:val="7BF4536F"/>
    <w:rsid w:val="7BFA104E"/>
    <w:rsid w:val="7C1B6AB0"/>
    <w:rsid w:val="7C281D78"/>
    <w:rsid w:val="7C6C5AC7"/>
    <w:rsid w:val="7C762DA9"/>
    <w:rsid w:val="7C8433B2"/>
    <w:rsid w:val="7CC571A4"/>
    <w:rsid w:val="7CC6544B"/>
    <w:rsid w:val="7CD56ACF"/>
    <w:rsid w:val="7CE1625A"/>
    <w:rsid w:val="7CEB6DE5"/>
    <w:rsid w:val="7D0239FF"/>
    <w:rsid w:val="7D197F5B"/>
    <w:rsid w:val="7D3F3C48"/>
    <w:rsid w:val="7D5E40CD"/>
    <w:rsid w:val="7D79534D"/>
    <w:rsid w:val="7D977DB3"/>
    <w:rsid w:val="7D9B3066"/>
    <w:rsid w:val="7DC58744"/>
    <w:rsid w:val="7DCD56F2"/>
    <w:rsid w:val="7DF71B97"/>
    <w:rsid w:val="7E062BD5"/>
    <w:rsid w:val="7E1E56BB"/>
    <w:rsid w:val="7E32551E"/>
    <w:rsid w:val="7E5E5336"/>
    <w:rsid w:val="7E6D079E"/>
    <w:rsid w:val="7E8A7362"/>
    <w:rsid w:val="7EA13DF7"/>
    <w:rsid w:val="7EB06D4F"/>
    <w:rsid w:val="7EBF8DEE"/>
    <w:rsid w:val="7EC21AFD"/>
    <w:rsid w:val="7EF42B45"/>
    <w:rsid w:val="7EF67E84"/>
    <w:rsid w:val="7F001CE7"/>
    <w:rsid w:val="7F1A527D"/>
    <w:rsid w:val="7F21759B"/>
    <w:rsid w:val="7FCBA867"/>
    <w:rsid w:val="7FE47E50"/>
    <w:rsid w:val="7FFF9881"/>
    <w:rsid w:val="8FFD71AD"/>
    <w:rsid w:val="9DAF5093"/>
    <w:rsid w:val="AB570BA9"/>
    <w:rsid w:val="ABF90A71"/>
    <w:rsid w:val="BCF84147"/>
    <w:rsid w:val="BFEBD46E"/>
    <w:rsid w:val="CFFBE560"/>
    <w:rsid w:val="DF696EA7"/>
    <w:rsid w:val="F7DD0A1D"/>
    <w:rsid w:val="FDBEBD33"/>
    <w:rsid w:val="FFFF339D"/>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1" w:semiHidden="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iPriority="99"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72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1"/>
    <w:pPr>
      <w:ind w:left="1184"/>
      <w:outlineLvl w:val="1"/>
    </w:pPr>
    <w:rPr>
      <w:rFonts w:ascii="宋体" w:hAnsi="宋体" w:eastAsia="宋体" w:cs="宋体"/>
      <w:b/>
      <w:bCs/>
      <w:sz w:val="21"/>
      <w:szCs w:val="21"/>
      <w:lang w:val="zh-CN" w:eastAsia="zh-CN" w:bidi="zh-CN"/>
    </w:rPr>
  </w:style>
  <w:style w:type="paragraph" w:styleId="4">
    <w:name w:val="heading 4"/>
    <w:basedOn w:val="1"/>
    <w:next w:val="1"/>
    <w:qFormat/>
    <w:locked/>
    <w:uiPriority w:val="0"/>
    <w:pPr>
      <w:keepNext/>
      <w:keepLines/>
      <w:numPr>
        <w:ilvl w:val="3"/>
        <w:numId w:val="1"/>
      </w:numPr>
      <w:spacing w:beforeLines="0" w:beforeAutospacing="0" w:afterLines="0" w:afterAutospacing="0" w:line="240" w:lineRule="auto"/>
      <w:ind w:left="864" w:hanging="864" w:firstLineChars="0"/>
      <w:outlineLvl w:val="3"/>
    </w:pPr>
    <w:rPr>
      <w:rFonts w:ascii="Arial" w:hAnsi="Arial" w:eastAsia="宋体"/>
      <w:b/>
    </w:rPr>
  </w:style>
  <w:style w:type="paragraph" w:styleId="5">
    <w:name w:val="heading 8"/>
    <w:basedOn w:val="1"/>
    <w:next w:val="1"/>
    <w:semiHidden/>
    <w:unhideWhenUsed/>
    <w:qFormat/>
    <w:locked/>
    <w:uiPriority w:val="0"/>
    <w:pPr>
      <w:keepNext/>
      <w:keepLines/>
      <w:widowControl w:val="0"/>
      <w:suppressLineNumbers w:val="0"/>
      <w:ind w:left="420" w:hanging="420"/>
      <w:jc w:val="center"/>
      <w:outlineLvl w:val="7"/>
    </w:pPr>
    <w:rPr>
      <w:rFonts w:hint="default" w:ascii="Times New Roman" w:hAnsi="Times New Roman" w:cs="Times New Roman"/>
      <w:b/>
      <w:kern w:val="2"/>
      <w:sz w:val="21"/>
      <w:szCs w:val="21"/>
      <w:lang w:val="en-US" w:eastAsia="zh-CN" w:bidi="ar"/>
    </w:rPr>
  </w:style>
  <w:style w:type="character" w:default="1" w:styleId="28">
    <w:name w:val="Default Paragraph Font"/>
    <w:semiHidden/>
    <w:qFormat/>
    <w:uiPriority w:val="0"/>
  </w:style>
  <w:style w:type="table" w:default="1" w:styleId="2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next w:val="1"/>
    <w:qFormat/>
    <w:locked/>
    <w:uiPriority w:val="0"/>
    <w:pPr>
      <w:ind w:left="100" w:leftChars="400" w:hanging="200" w:hangingChars="200"/>
    </w:pPr>
  </w:style>
  <w:style w:type="paragraph" w:styleId="7">
    <w:name w:val="Normal Indent"/>
    <w:basedOn w:val="1"/>
    <w:next w:val="1"/>
    <w:qFormat/>
    <w:locked/>
    <w:uiPriority w:val="0"/>
    <w:pPr>
      <w:ind w:firstLine="420"/>
    </w:pPr>
    <w:rPr>
      <w:rFonts w:ascii="仿宋体" w:hAnsi="仿宋体" w:eastAsia="Impact" w:cs="Times New Roman"/>
      <w:szCs w:val="20"/>
    </w:rPr>
  </w:style>
  <w:style w:type="paragraph" w:styleId="8">
    <w:name w:val="caption"/>
    <w:basedOn w:val="1"/>
    <w:next w:val="1"/>
    <w:link w:val="58"/>
    <w:qFormat/>
    <w:locked/>
    <w:uiPriority w:val="0"/>
    <w:pPr>
      <w:adjustRightInd/>
      <w:snapToGrid/>
      <w:spacing w:before="0" w:after="0" w:line="240" w:lineRule="auto"/>
      <w:ind w:firstLine="0" w:firstLineChars="0"/>
      <w:jc w:val="center"/>
    </w:pPr>
    <w:rPr>
      <w:rFonts w:ascii="Times New Roman" w:hAnsi="Times New Roman" w:eastAsia="宋体"/>
      <w:b/>
      <w:color w:val="000000"/>
      <w:szCs w:val="20"/>
    </w:rPr>
  </w:style>
  <w:style w:type="paragraph" w:styleId="9">
    <w:name w:val="annotation text"/>
    <w:basedOn w:val="1"/>
    <w:link w:val="62"/>
    <w:semiHidden/>
    <w:qFormat/>
    <w:uiPriority w:val="0"/>
    <w:pPr>
      <w:jc w:val="left"/>
    </w:pPr>
    <w:rPr>
      <w:kern w:val="0"/>
      <w:sz w:val="24"/>
      <w:szCs w:val="20"/>
    </w:rPr>
  </w:style>
  <w:style w:type="paragraph" w:styleId="10">
    <w:name w:val="Body Text"/>
    <w:basedOn w:val="1"/>
    <w:next w:val="1"/>
    <w:link w:val="63"/>
    <w:qFormat/>
    <w:uiPriority w:val="0"/>
    <w:pPr>
      <w:widowControl/>
      <w:snapToGrid w:val="0"/>
      <w:spacing w:before="60" w:after="160" w:line="259" w:lineRule="auto"/>
      <w:ind w:right="113"/>
    </w:pPr>
    <w:rPr>
      <w:kern w:val="0"/>
      <w:sz w:val="18"/>
      <w:szCs w:val="20"/>
    </w:rPr>
  </w:style>
  <w:style w:type="paragraph" w:styleId="11">
    <w:name w:val="Body Text Indent"/>
    <w:basedOn w:val="1"/>
    <w:link w:val="64"/>
    <w:qFormat/>
    <w:uiPriority w:val="0"/>
    <w:pPr>
      <w:spacing w:after="120"/>
      <w:ind w:left="420" w:leftChars="200"/>
    </w:pPr>
    <w:rPr>
      <w:kern w:val="0"/>
      <w:sz w:val="24"/>
      <w:szCs w:val="20"/>
    </w:rPr>
  </w:style>
  <w:style w:type="paragraph" w:styleId="12">
    <w:name w:val="List Bullet 2"/>
    <w:basedOn w:val="1"/>
    <w:next w:val="1"/>
    <w:qFormat/>
    <w:locked/>
    <w:uiPriority w:val="0"/>
    <w:pPr>
      <w:numPr>
        <w:ilvl w:val="0"/>
        <w:numId w:val="2"/>
      </w:numPr>
    </w:pPr>
  </w:style>
  <w:style w:type="paragraph" w:styleId="13">
    <w:name w:val="Plain Text"/>
    <w:basedOn w:val="1"/>
    <w:next w:val="14"/>
    <w:qFormat/>
    <w:locked/>
    <w:uiPriority w:val="0"/>
    <w:rPr>
      <w:rFonts w:hint="eastAsia" w:hAnsi="Courier New" w:cs="Courier New"/>
      <w:sz w:val="28"/>
    </w:rPr>
  </w:style>
  <w:style w:type="paragraph" w:styleId="14">
    <w:name w:val="toc 1"/>
    <w:basedOn w:val="1"/>
    <w:next w:val="1"/>
    <w:qFormat/>
    <w:locked/>
    <w:uiPriority w:val="0"/>
  </w:style>
  <w:style w:type="paragraph" w:styleId="15">
    <w:name w:val="Date"/>
    <w:basedOn w:val="1"/>
    <w:next w:val="1"/>
    <w:link w:val="65"/>
    <w:qFormat/>
    <w:uiPriority w:val="0"/>
    <w:pPr>
      <w:ind w:left="100" w:leftChars="2500"/>
    </w:pPr>
    <w:rPr>
      <w:kern w:val="0"/>
      <w:sz w:val="24"/>
      <w:szCs w:val="20"/>
    </w:rPr>
  </w:style>
  <w:style w:type="paragraph" w:styleId="16">
    <w:name w:val="Balloon Text"/>
    <w:basedOn w:val="1"/>
    <w:link w:val="66"/>
    <w:semiHidden/>
    <w:qFormat/>
    <w:uiPriority w:val="0"/>
    <w:rPr>
      <w:kern w:val="0"/>
      <w:sz w:val="18"/>
      <w:szCs w:val="20"/>
    </w:rPr>
  </w:style>
  <w:style w:type="paragraph" w:styleId="17">
    <w:name w:val="footer"/>
    <w:basedOn w:val="1"/>
    <w:next w:val="1"/>
    <w:link w:val="67"/>
    <w:qFormat/>
    <w:uiPriority w:val="99"/>
    <w:pPr>
      <w:tabs>
        <w:tab w:val="center" w:pos="4153"/>
        <w:tab w:val="right" w:pos="8306"/>
      </w:tabs>
      <w:snapToGrid w:val="0"/>
      <w:jc w:val="left"/>
    </w:pPr>
    <w:rPr>
      <w:kern w:val="0"/>
      <w:sz w:val="18"/>
      <w:szCs w:val="20"/>
    </w:rPr>
  </w:style>
  <w:style w:type="paragraph" w:styleId="18">
    <w:name w:val="header"/>
    <w:basedOn w:val="1"/>
    <w:link w:val="68"/>
    <w:qFormat/>
    <w:uiPriority w:val="0"/>
    <w:pPr>
      <w:pBdr>
        <w:bottom w:val="single" w:color="auto" w:sz="6" w:space="1"/>
      </w:pBdr>
      <w:tabs>
        <w:tab w:val="center" w:pos="4153"/>
        <w:tab w:val="right" w:pos="8306"/>
      </w:tabs>
      <w:snapToGrid w:val="0"/>
      <w:jc w:val="center"/>
    </w:pPr>
    <w:rPr>
      <w:kern w:val="0"/>
      <w:sz w:val="18"/>
      <w:szCs w:val="20"/>
    </w:rPr>
  </w:style>
  <w:style w:type="paragraph" w:styleId="19">
    <w:name w:val="List"/>
    <w:basedOn w:val="1"/>
    <w:next w:val="12"/>
    <w:qFormat/>
    <w:locked/>
    <w:uiPriority w:val="0"/>
    <w:pPr>
      <w:ind w:left="200" w:hanging="200" w:hangingChars="200"/>
    </w:pPr>
    <w:rPr>
      <w:szCs w:val="24"/>
    </w:rPr>
  </w:style>
  <w:style w:type="paragraph" w:styleId="20">
    <w:name w:val="Body Text Indent 3"/>
    <w:basedOn w:val="1"/>
    <w:qFormat/>
    <w:locked/>
    <w:uiPriority w:val="0"/>
    <w:pPr>
      <w:spacing w:line="360" w:lineRule="auto"/>
      <w:ind w:firstLine="567"/>
    </w:pPr>
    <w:rPr>
      <w:sz w:val="24"/>
      <w:szCs w:val="20"/>
    </w:rPr>
  </w:style>
  <w:style w:type="paragraph" w:styleId="21">
    <w:name w:val="toc 2"/>
    <w:basedOn w:val="1"/>
    <w:next w:val="1"/>
    <w:qFormat/>
    <w:locked/>
    <w:uiPriority w:val="0"/>
    <w:pPr>
      <w:adjustRightInd w:val="0"/>
      <w:spacing w:line="312" w:lineRule="atLeast"/>
      <w:ind w:left="420" w:leftChars="200"/>
      <w:textAlignment w:val="baseline"/>
    </w:pPr>
    <w:rPr>
      <w:kern w:val="0"/>
      <w:szCs w:val="20"/>
    </w:rPr>
  </w:style>
  <w:style w:type="paragraph" w:styleId="22">
    <w:name w:val="Normal (Web)"/>
    <w:basedOn w:val="1"/>
    <w:link w:val="69"/>
    <w:qFormat/>
    <w:uiPriority w:val="0"/>
    <w:pPr>
      <w:widowControl/>
      <w:spacing w:before="100" w:beforeAutospacing="1" w:after="100" w:afterAutospacing="1"/>
      <w:jc w:val="left"/>
    </w:pPr>
    <w:rPr>
      <w:rFonts w:ascii="宋体" w:hAnsi="宋体"/>
      <w:kern w:val="0"/>
      <w:sz w:val="24"/>
      <w:szCs w:val="20"/>
    </w:rPr>
  </w:style>
  <w:style w:type="paragraph" w:styleId="23">
    <w:name w:val="annotation subject"/>
    <w:basedOn w:val="9"/>
    <w:next w:val="9"/>
    <w:link w:val="70"/>
    <w:semiHidden/>
    <w:qFormat/>
    <w:uiPriority w:val="0"/>
    <w:rPr>
      <w:b/>
      <w:sz w:val="24"/>
      <w:szCs w:val="20"/>
    </w:rPr>
  </w:style>
  <w:style w:type="paragraph" w:styleId="24">
    <w:name w:val="Body Text First Indent"/>
    <w:basedOn w:val="10"/>
    <w:next w:val="1"/>
    <w:unhideWhenUsed/>
    <w:qFormat/>
    <w:locked/>
    <w:uiPriority w:val="99"/>
    <w:pPr>
      <w:widowControl w:val="0"/>
      <w:snapToGrid w:val="0"/>
      <w:spacing w:line="360" w:lineRule="auto"/>
      <w:ind w:firstLine="200" w:firstLineChars="200"/>
      <w:jc w:val="both"/>
    </w:pPr>
    <w:rPr>
      <w:kern w:val="2"/>
      <w:sz w:val="24"/>
      <w:szCs w:val="24"/>
      <w:lang w:val="en-US" w:eastAsia="zh-CN" w:bidi="ar-SA"/>
    </w:rPr>
  </w:style>
  <w:style w:type="paragraph" w:styleId="25">
    <w:name w:val="Body Text First Indent 2"/>
    <w:basedOn w:val="11"/>
    <w:next w:val="24"/>
    <w:qFormat/>
    <w:locked/>
    <w:uiPriority w:val="0"/>
    <w:pPr>
      <w:ind w:firstLine="200" w:firstLineChars="200"/>
    </w:pPr>
  </w:style>
  <w:style w:type="table" w:styleId="27">
    <w:name w:val="Table Grid"/>
    <w:basedOn w:val="26"/>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locked/>
    <w:uiPriority w:val="0"/>
    <w:rPr>
      <w:b/>
    </w:rPr>
  </w:style>
  <w:style w:type="character" w:styleId="30">
    <w:name w:val="page number"/>
    <w:qFormat/>
    <w:locked/>
    <w:uiPriority w:val="0"/>
  </w:style>
  <w:style w:type="character" w:styleId="31">
    <w:name w:val="FollowedHyperlink"/>
    <w:basedOn w:val="28"/>
    <w:qFormat/>
    <w:locked/>
    <w:uiPriority w:val="0"/>
    <w:rPr>
      <w:color w:val="800080"/>
      <w:u w:val="single"/>
    </w:rPr>
  </w:style>
  <w:style w:type="character" w:styleId="32">
    <w:name w:val="Emphasis"/>
    <w:basedOn w:val="28"/>
    <w:qFormat/>
    <w:locked/>
    <w:uiPriority w:val="0"/>
    <w:rPr>
      <w:i/>
    </w:rPr>
  </w:style>
  <w:style w:type="character" w:styleId="33">
    <w:name w:val="Hyperlink"/>
    <w:qFormat/>
    <w:locked/>
    <w:uiPriority w:val="0"/>
    <w:rPr>
      <w:color w:val="0000FF"/>
      <w:u w:val="single"/>
    </w:rPr>
  </w:style>
  <w:style w:type="character" w:styleId="34">
    <w:name w:val="annotation reference"/>
    <w:semiHidden/>
    <w:qFormat/>
    <w:uiPriority w:val="0"/>
    <w:rPr>
      <w:sz w:val="21"/>
    </w:rPr>
  </w:style>
  <w:style w:type="paragraph" w:customStyle="1" w:styleId="35">
    <w:name w:val="CYJ表格内容"/>
    <w:basedOn w:val="1"/>
    <w:qFormat/>
    <w:uiPriority w:val="0"/>
    <w:pPr>
      <w:adjustRightInd w:val="0"/>
      <w:snapToGrid w:val="0"/>
      <w:jc w:val="center"/>
    </w:pPr>
    <w:rPr>
      <w:szCs w:val="21"/>
    </w:rPr>
  </w:style>
  <w:style w:type="paragraph" w:customStyle="1" w:styleId="36">
    <w:name w:val="Default"/>
    <w:basedOn w:val="37"/>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7">
    <w:name w:val="纯文本1"/>
    <w:basedOn w:val="1"/>
    <w:next w:val="13"/>
    <w:qFormat/>
    <w:uiPriority w:val="0"/>
    <w:pPr>
      <w:adjustRightInd w:val="0"/>
      <w:jc w:val="center"/>
      <w:textAlignment w:val="baseline"/>
    </w:pPr>
    <w:rPr>
      <w:rFonts w:ascii="宋体" w:hAnsi="Courier New" w:eastAsia="宋体" w:cs="Times New Roman"/>
      <w:sz w:val="24"/>
      <w:szCs w:val="20"/>
    </w:rPr>
  </w:style>
  <w:style w:type="paragraph" w:customStyle="1" w:styleId="38">
    <w:name w:val="xl70"/>
    <w:basedOn w:val="1"/>
    <w:next w:val="39"/>
    <w:qFormat/>
    <w:uiPriority w:val="0"/>
    <w:pPr>
      <w:widowControl/>
      <w:spacing w:before="280" w:after="280"/>
    </w:pPr>
  </w:style>
  <w:style w:type="paragraph" w:customStyle="1" w:styleId="39">
    <w:name w:val="正文缩进1"/>
    <w:basedOn w:val="1"/>
    <w:next w:val="40"/>
    <w:qFormat/>
    <w:uiPriority w:val="0"/>
    <w:pPr>
      <w:ind w:firstLine="420"/>
    </w:pPr>
    <w:rPr>
      <w:sz w:val="28"/>
    </w:rPr>
  </w:style>
  <w:style w:type="paragraph" w:customStyle="1" w:styleId="40">
    <w:name w:val="td1"/>
    <w:basedOn w:val="1"/>
    <w:next w:val="1"/>
    <w:qFormat/>
    <w:uiPriority w:val="0"/>
    <w:pPr>
      <w:widowControl/>
      <w:spacing w:before="280" w:after="280" w:line="300" w:lineRule="atLeast"/>
      <w:ind w:firstLine="200"/>
    </w:pPr>
    <w:rPr>
      <w:color w:val="000000"/>
      <w:sz w:val="18"/>
    </w:rPr>
  </w:style>
  <w:style w:type="character" w:customStyle="1" w:styleId="41">
    <w:name w:val="题注 Char"/>
    <w:link w:val="8"/>
    <w:qFormat/>
    <w:uiPriority w:val="0"/>
    <w:rPr>
      <w:b/>
      <w:color w:val="000000"/>
      <w:sz w:val="24"/>
      <w:szCs w:val="20"/>
    </w:rPr>
  </w:style>
  <w:style w:type="paragraph" w:customStyle="1" w:styleId="42">
    <w:name w:val="08表格"/>
    <w:basedOn w:val="1"/>
    <w:qFormat/>
    <w:uiPriority w:val="0"/>
    <w:pPr>
      <w:adjustRightInd w:val="0"/>
      <w:snapToGrid w:val="0"/>
      <w:jc w:val="center"/>
    </w:pPr>
    <w:rPr>
      <w:rFonts w:ascii="Times New Roman" w:hAnsi="Times New Roman" w:cs="Times New Roman"/>
    </w:rPr>
  </w:style>
  <w:style w:type="paragraph" w:customStyle="1" w:styleId="43">
    <w:name w:val="环评1正文"/>
    <w:basedOn w:val="1"/>
    <w:qFormat/>
    <w:uiPriority w:val="0"/>
    <w:pPr>
      <w:spacing w:line="360" w:lineRule="auto"/>
      <w:ind w:firstLine="480" w:firstLineChars="200"/>
    </w:pPr>
    <w:rPr>
      <w:rFonts w:ascii="Times New Roman" w:hAnsi="Times New Roman"/>
    </w:rPr>
  </w:style>
  <w:style w:type="paragraph" w:customStyle="1" w:styleId="44">
    <w:name w:val="表格"/>
    <w:basedOn w:val="19"/>
    <w:next w:val="1"/>
    <w:link w:val="45"/>
    <w:qFormat/>
    <w:uiPriority w:val="0"/>
    <w:pPr>
      <w:adjustRightInd w:val="0"/>
      <w:snapToGrid w:val="0"/>
      <w:spacing w:beforeLines="10" w:afterLines="10" w:line="259" w:lineRule="auto"/>
      <w:jc w:val="center"/>
    </w:pPr>
    <w:rPr>
      <w:rFonts w:ascii="宋体"/>
      <w:kern w:val="0"/>
      <w:szCs w:val="20"/>
    </w:rPr>
  </w:style>
  <w:style w:type="character" w:customStyle="1" w:styleId="45">
    <w:name w:val="表格 Char"/>
    <w:link w:val="44"/>
    <w:qFormat/>
    <w:locked/>
    <w:uiPriority w:val="0"/>
    <w:rPr>
      <w:rFonts w:ascii="宋体"/>
      <w:sz w:val="21"/>
    </w:rPr>
  </w:style>
  <w:style w:type="paragraph" w:customStyle="1" w:styleId="46">
    <w:name w:val="附图格式"/>
    <w:basedOn w:val="1"/>
    <w:next w:val="1"/>
    <w:qFormat/>
    <w:uiPriority w:val="0"/>
    <w:pPr>
      <w:spacing w:line="240" w:lineRule="auto"/>
      <w:ind w:firstLine="0" w:firstLineChars="0"/>
      <w:jc w:val="center"/>
    </w:pPr>
    <w:rPr>
      <w:rFonts w:hint="eastAsia" w:ascii="Times New Roman" w:hAnsi="Times New Roman"/>
    </w:rPr>
  </w:style>
  <w:style w:type="paragraph" w:customStyle="1" w:styleId="47">
    <w:name w:val="表格内容"/>
    <w:basedOn w:val="48"/>
    <w:next w:val="1"/>
    <w:qFormat/>
    <w:uiPriority w:val="0"/>
    <w:rPr>
      <w:bCs/>
      <w:kern w:val="2"/>
      <w:szCs w:val="24"/>
      <w:lang w:val="zh-CN"/>
    </w:rPr>
  </w:style>
  <w:style w:type="paragraph" w:customStyle="1" w:styleId="48">
    <w:name w:val="表格内容居中"/>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49">
    <w:name w:val="炙衍表格"/>
    <w:basedOn w:val="1"/>
    <w:next w:val="1"/>
    <w:qFormat/>
    <w:uiPriority w:val="0"/>
    <w:pPr>
      <w:adjustRightInd/>
      <w:snapToGrid/>
      <w:spacing w:line="240" w:lineRule="auto"/>
      <w:ind w:firstLine="0" w:firstLineChars="0"/>
      <w:jc w:val="center"/>
    </w:pPr>
    <w:rPr>
      <w:sz w:val="21"/>
      <w:szCs w:val="22"/>
    </w:rPr>
  </w:style>
  <w:style w:type="paragraph" w:customStyle="1" w:styleId="50">
    <w:name w:val="炙衍图片"/>
    <w:basedOn w:val="1"/>
    <w:link w:val="93"/>
    <w:qFormat/>
    <w:uiPriority w:val="0"/>
    <w:pPr>
      <w:spacing w:line="240" w:lineRule="auto"/>
      <w:ind w:firstLine="0" w:firstLineChars="0"/>
      <w:jc w:val="center"/>
    </w:pPr>
    <w:rPr>
      <w:rFonts w:ascii="Times New Roman" w:hAnsi="Times New Roman"/>
    </w:rPr>
  </w:style>
  <w:style w:type="paragraph" w:customStyle="1" w:styleId="51">
    <w:name w:val="炙衍公式"/>
    <w:basedOn w:val="1"/>
    <w:next w:val="1"/>
    <w:qFormat/>
    <w:uiPriority w:val="0"/>
    <w:pPr>
      <w:ind w:firstLine="0" w:firstLineChars="0"/>
      <w:jc w:val="center"/>
    </w:pPr>
    <w:rPr>
      <w:rFonts w:ascii="Times New Roman" w:hAnsi="Times New Roman" w:eastAsia="宋体"/>
    </w:rPr>
  </w:style>
  <w:style w:type="paragraph" w:customStyle="1" w:styleId="52">
    <w:name w:val="炙衍环保表格"/>
    <w:basedOn w:val="1"/>
    <w:qFormat/>
    <w:uiPriority w:val="0"/>
    <w:pPr>
      <w:autoSpaceDE w:val="0"/>
      <w:adjustRightInd w:val="0"/>
      <w:spacing w:line="240" w:lineRule="auto"/>
      <w:ind w:firstLine="0" w:firstLineChars="0"/>
      <w:jc w:val="center"/>
    </w:pPr>
    <w:rPr>
      <w:rFonts w:ascii="Times New Roman" w:hAnsi="Times New Roman" w:eastAsia="宋体"/>
      <w:color w:val="auto"/>
      <w:sz w:val="21"/>
      <w:szCs w:val="21"/>
    </w:rPr>
  </w:style>
  <w:style w:type="paragraph" w:customStyle="1" w:styleId="53">
    <w:name w:val="cyj报告表正文"/>
    <w:basedOn w:val="1"/>
    <w:next w:val="1"/>
    <w:link w:val="92"/>
    <w:qFormat/>
    <w:uiPriority w:val="0"/>
    <w:pPr>
      <w:widowControl/>
      <w:spacing w:line="360" w:lineRule="auto"/>
      <w:ind w:firstLine="720" w:firstLineChars="200"/>
      <w:jc w:val="both"/>
    </w:pPr>
    <w:rPr>
      <w:rFonts w:hint="default" w:ascii="Times New Roman" w:hAnsi="Times New Roman"/>
    </w:rPr>
  </w:style>
  <w:style w:type="paragraph" w:customStyle="1" w:styleId="54">
    <w:name w:val="报告表左侧格式"/>
    <w:basedOn w:val="1"/>
    <w:qFormat/>
    <w:uiPriority w:val="0"/>
    <w:pPr>
      <w:widowControl/>
      <w:spacing w:before="100" w:beforeAutospacing="1" w:after="0" w:afterAutospacing="0"/>
      <w:ind w:firstLine="0" w:firstLineChars="0"/>
      <w:jc w:val="center"/>
      <w:outlineLvl w:val="0"/>
    </w:pPr>
    <w:rPr>
      <w:rFonts w:ascii="Times New Roman" w:hAnsi="Times New Roman" w:eastAsia="宋体"/>
      <w:b/>
      <w:snapToGrid w:val="0"/>
      <w:kern w:val="0"/>
      <w:szCs w:val="30"/>
    </w:rPr>
  </w:style>
  <w:style w:type="paragraph" w:customStyle="1" w:styleId="55">
    <w:name w:val="CYJ保护目标文字"/>
    <w:basedOn w:val="1"/>
    <w:qFormat/>
    <w:uiPriority w:val="0"/>
    <w:pPr>
      <w:spacing w:line="240" w:lineRule="auto"/>
      <w:ind w:firstLine="0" w:firstLineChars="0"/>
    </w:pPr>
    <w:rPr>
      <w:rFonts w:hint="eastAsia" w:ascii="Times New Roman" w:hAnsi="Times New Roman"/>
      <w:b/>
      <w:bCs/>
      <w:color w:val="FFFF00"/>
      <w:sz w:val="18"/>
      <w:szCs w:val="21"/>
    </w:rPr>
  </w:style>
  <w:style w:type="paragraph" w:customStyle="1" w:styleId="56">
    <w:name w:val="附图标题"/>
    <w:basedOn w:val="1"/>
    <w:qFormat/>
    <w:uiPriority w:val="0"/>
    <w:pPr>
      <w:spacing w:line="240" w:lineRule="auto"/>
      <w:ind w:firstLine="0" w:firstLineChars="0"/>
      <w:jc w:val="center"/>
    </w:pPr>
    <w:rPr>
      <w:rFonts w:hint="eastAsia" w:ascii="Times New Roman" w:hAnsi="Times New Roman"/>
      <w:b/>
      <w:color w:val="000000"/>
    </w:rPr>
  </w:style>
  <w:style w:type="paragraph" w:customStyle="1" w:styleId="57">
    <w:name w:val="CYJ报告表正文"/>
    <w:basedOn w:val="1"/>
    <w:link w:val="96"/>
    <w:autoRedefine/>
    <w:qFormat/>
    <w:uiPriority w:val="0"/>
    <w:pPr>
      <w:spacing w:line="360" w:lineRule="auto"/>
      <w:ind w:firstLine="720" w:firstLineChars="200"/>
    </w:pPr>
    <w:rPr>
      <w:rFonts w:hint="default" w:ascii="Times New Roman" w:hAnsi="Times New Roman" w:eastAsia="宋体" w:cs="Times New Roman"/>
      <w:sz w:val="24"/>
      <w:szCs w:val="20"/>
    </w:rPr>
  </w:style>
  <w:style w:type="character" w:customStyle="1" w:styleId="58">
    <w:name w:val="题注 Char1"/>
    <w:link w:val="8"/>
    <w:qFormat/>
    <w:uiPriority w:val="0"/>
    <w:rPr>
      <w:rFonts w:ascii="Times New Roman" w:hAnsi="Times New Roman" w:eastAsia="宋体"/>
      <w:b/>
      <w:color w:val="000000"/>
      <w:szCs w:val="20"/>
    </w:rPr>
  </w:style>
  <w:style w:type="paragraph" w:customStyle="1" w:styleId="59">
    <w:name w:val="CYJ附图图片"/>
    <w:basedOn w:val="1"/>
    <w:link w:val="94"/>
    <w:qFormat/>
    <w:uiPriority w:val="0"/>
    <w:pPr>
      <w:autoSpaceDE w:val="0"/>
      <w:autoSpaceDN w:val="0"/>
      <w:spacing w:line="240" w:lineRule="auto"/>
      <w:ind w:firstLine="0" w:firstLineChars="0"/>
      <w:jc w:val="center"/>
      <w:textAlignment w:val="baseline"/>
    </w:pPr>
    <w:rPr>
      <w:rFonts w:ascii="宋体" w:hAnsi="宋体" w:cs="宋体"/>
      <w:color w:val="000000"/>
      <w:sz w:val="28"/>
    </w:rPr>
  </w:style>
  <w:style w:type="paragraph" w:customStyle="1" w:styleId="60">
    <w:name w:val="报告书正文"/>
    <w:basedOn w:val="1"/>
    <w:autoRedefine/>
    <w:qFormat/>
    <w:uiPriority w:val="0"/>
    <w:pPr>
      <w:spacing w:line="360" w:lineRule="auto"/>
      <w:ind w:firstLine="480" w:firstLineChars="200"/>
    </w:pPr>
    <w:rPr>
      <w:kern w:val="0"/>
      <w:sz w:val="24"/>
      <w:szCs w:val="24"/>
    </w:rPr>
  </w:style>
  <w:style w:type="paragraph" w:customStyle="1" w:styleId="61">
    <w:name w:val="表格标题"/>
    <w:basedOn w:val="1"/>
    <w:next w:val="1"/>
    <w:qFormat/>
    <w:uiPriority w:val="0"/>
    <w:pPr>
      <w:numPr>
        <w:ilvl w:val="0"/>
        <w:numId w:val="3"/>
      </w:numPr>
      <w:spacing w:line="240" w:lineRule="auto"/>
      <w:ind w:left="0" w:firstLine="0"/>
      <w:jc w:val="center"/>
    </w:pPr>
    <w:rPr>
      <w:b/>
      <w:bCs/>
    </w:rPr>
  </w:style>
  <w:style w:type="character" w:customStyle="1" w:styleId="62">
    <w:name w:val="批注文字 字符"/>
    <w:link w:val="9"/>
    <w:autoRedefine/>
    <w:qFormat/>
    <w:locked/>
    <w:uiPriority w:val="0"/>
    <w:rPr>
      <w:rFonts w:ascii="Times New Roman" w:hAnsi="Times New Roman" w:eastAsia="宋体"/>
      <w:sz w:val="24"/>
    </w:rPr>
  </w:style>
  <w:style w:type="character" w:customStyle="1" w:styleId="63">
    <w:name w:val="正文文本 字符"/>
    <w:link w:val="10"/>
    <w:qFormat/>
    <w:locked/>
    <w:uiPriority w:val="0"/>
    <w:rPr>
      <w:sz w:val="18"/>
    </w:rPr>
  </w:style>
  <w:style w:type="character" w:customStyle="1" w:styleId="64">
    <w:name w:val="正文文本缩进 字符"/>
    <w:link w:val="11"/>
    <w:autoRedefine/>
    <w:semiHidden/>
    <w:qFormat/>
    <w:locked/>
    <w:uiPriority w:val="0"/>
    <w:rPr>
      <w:rFonts w:ascii="Times New Roman" w:hAnsi="Times New Roman" w:eastAsia="宋体"/>
      <w:sz w:val="24"/>
    </w:rPr>
  </w:style>
  <w:style w:type="character" w:customStyle="1" w:styleId="65">
    <w:name w:val="日期 字符1"/>
    <w:link w:val="15"/>
    <w:autoRedefine/>
    <w:qFormat/>
    <w:locked/>
    <w:uiPriority w:val="0"/>
    <w:rPr>
      <w:rFonts w:ascii="Times New Roman" w:hAnsi="Times New Roman" w:eastAsia="宋体"/>
      <w:sz w:val="24"/>
    </w:rPr>
  </w:style>
  <w:style w:type="character" w:customStyle="1" w:styleId="66">
    <w:name w:val="批注框文本 字符"/>
    <w:link w:val="16"/>
    <w:semiHidden/>
    <w:qFormat/>
    <w:locked/>
    <w:uiPriority w:val="0"/>
    <w:rPr>
      <w:rFonts w:ascii="Times New Roman" w:hAnsi="Times New Roman" w:eastAsia="宋体"/>
      <w:sz w:val="18"/>
    </w:rPr>
  </w:style>
  <w:style w:type="character" w:customStyle="1" w:styleId="67">
    <w:name w:val="页脚 字符1"/>
    <w:link w:val="17"/>
    <w:qFormat/>
    <w:locked/>
    <w:uiPriority w:val="99"/>
    <w:rPr>
      <w:sz w:val="18"/>
    </w:rPr>
  </w:style>
  <w:style w:type="character" w:customStyle="1" w:styleId="68">
    <w:name w:val="页眉 字符"/>
    <w:link w:val="18"/>
    <w:autoRedefine/>
    <w:qFormat/>
    <w:locked/>
    <w:uiPriority w:val="0"/>
    <w:rPr>
      <w:sz w:val="18"/>
    </w:rPr>
  </w:style>
  <w:style w:type="character" w:customStyle="1" w:styleId="69">
    <w:name w:val="普通(网站) 字符"/>
    <w:link w:val="22"/>
    <w:qFormat/>
    <w:locked/>
    <w:uiPriority w:val="0"/>
    <w:rPr>
      <w:rFonts w:ascii="宋体" w:hAnsi="宋体" w:eastAsia="宋体"/>
      <w:sz w:val="24"/>
    </w:rPr>
  </w:style>
  <w:style w:type="character" w:customStyle="1" w:styleId="70">
    <w:name w:val="批注主题 字符"/>
    <w:link w:val="23"/>
    <w:autoRedefine/>
    <w:semiHidden/>
    <w:qFormat/>
    <w:locked/>
    <w:uiPriority w:val="0"/>
    <w:rPr>
      <w:rFonts w:ascii="Times New Roman" w:hAnsi="Times New Roman" w:eastAsia="宋体"/>
      <w:b/>
      <w:kern w:val="2"/>
      <w:sz w:val="24"/>
    </w:rPr>
  </w:style>
  <w:style w:type="character" w:customStyle="1" w:styleId="71">
    <w:name w:val="批注文字 字符1"/>
    <w:autoRedefine/>
    <w:semiHidden/>
    <w:qFormat/>
    <w:uiPriority w:val="0"/>
    <w:rPr>
      <w:rFonts w:ascii="Times New Roman" w:hAnsi="Times New Roman" w:eastAsia="宋体"/>
      <w:sz w:val="24"/>
    </w:rPr>
  </w:style>
  <w:style w:type="character" w:customStyle="1" w:styleId="72">
    <w:name w:val="1 Char"/>
    <w:link w:val="73"/>
    <w:qFormat/>
    <w:uiPriority w:val="0"/>
    <w:rPr>
      <w:kern w:val="0"/>
      <w:sz w:val="24"/>
      <w:szCs w:val="24"/>
    </w:rPr>
  </w:style>
  <w:style w:type="paragraph" w:customStyle="1" w:styleId="73">
    <w:name w:val="1"/>
    <w:basedOn w:val="1"/>
    <w:next w:val="11"/>
    <w:link w:val="72"/>
    <w:autoRedefine/>
    <w:qFormat/>
    <w:uiPriority w:val="0"/>
    <w:pPr>
      <w:adjustRightInd w:val="0"/>
      <w:snapToGrid w:val="0"/>
      <w:spacing w:line="360" w:lineRule="auto"/>
      <w:ind w:firstLine="420" w:firstLineChars="200"/>
      <w:jc w:val="left"/>
    </w:pPr>
    <w:rPr>
      <w:kern w:val="0"/>
      <w:sz w:val="24"/>
      <w:szCs w:val="24"/>
    </w:rPr>
  </w:style>
  <w:style w:type="character" w:customStyle="1" w:styleId="74">
    <w:name w:val="日期 字符"/>
    <w:autoRedefine/>
    <w:semiHidden/>
    <w:qFormat/>
    <w:uiPriority w:val="0"/>
    <w:rPr>
      <w:rFonts w:ascii="Times New Roman" w:hAnsi="Times New Roman" w:eastAsia="宋体"/>
      <w:sz w:val="24"/>
    </w:rPr>
  </w:style>
  <w:style w:type="character" w:customStyle="1" w:styleId="75">
    <w:name w:val="页脚 字符"/>
    <w:autoRedefine/>
    <w:qFormat/>
    <w:uiPriority w:val="99"/>
  </w:style>
  <w:style w:type="character" w:customStyle="1" w:styleId="76">
    <w:name w:val="正文文本 字符1"/>
    <w:autoRedefine/>
    <w:semiHidden/>
    <w:qFormat/>
    <w:uiPriority w:val="0"/>
    <w:rPr>
      <w:rFonts w:ascii="Times New Roman" w:hAnsi="Times New Roman" w:eastAsia="宋体"/>
      <w:sz w:val="24"/>
    </w:rPr>
  </w:style>
  <w:style w:type="character" w:customStyle="1" w:styleId="77">
    <w:name w:val="font01"/>
    <w:autoRedefine/>
    <w:qFormat/>
    <w:uiPriority w:val="0"/>
    <w:rPr>
      <w:rFonts w:hint="eastAsia" w:ascii="宋体" w:hAnsi="宋体" w:eastAsia="宋体" w:cs="宋体"/>
      <w:color w:val="000000"/>
      <w:sz w:val="21"/>
      <w:szCs w:val="21"/>
      <w:u w:val="none"/>
    </w:rPr>
  </w:style>
  <w:style w:type="paragraph" w:customStyle="1" w:styleId="78">
    <w:name w:val="样式 表格表头样式"/>
    <w:basedOn w:val="1"/>
    <w:autoRedefine/>
    <w:qFormat/>
    <w:uiPriority w:val="0"/>
    <w:pPr>
      <w:adjustRightInd w:val="0"/>
      <w:snapToGrid w:val="0"/>
      <w:ind w:left="360" w:hanging="360"/>
      <w:jc w:val="center"/>
    </w:pPr>
    <w:rPr>
      <w:rFonts w:eastAsia="黑体" w:cs="宋体"/>
      <w:kern w:val="0"/>
      <w:sz w:val="24"/>
      <w:szCs w:val="20"/>
    </w:rPr>
  </w:style>
  <w:style w:type="paragraph" w:customStyle="1" w:styleId="79">
    <w:name w:val="廖表格内容"/>
    <w:basedOn w:val="1"/>
    <w:autoRedefine/>
    <w:qFormat/>
    <w:uiPriority w:val="0"/>
    <w:pPr>
      <w:jc w:val="center"/>
    </w:pPr>
    <w:rPr>
      <w:rFonts w:ascii="Times New Roman" w:hAnsi="Times New Roman" w:cs="Times New Roman"/>
    </w:rPr>
  </w:style>
  <w:style w:type="paragraph" w:customStyle="1" w:styleId="80">
    <w:name w:val="表格正文"/>
    <w:basedOn w:val="1"/>
    <w:qFormat/>
    <w:uiPriority w:val="0"/>
    <w:pPr>
      <w:adjustRightInd w:val="0"/>
      <w:jc w:val="center"/>
    </w:pPr>
    <w:rPr>
      <w:szCs w:val="20"/>
    </w:rPr>
  </w:style>
  <w:style w:type="paragraph" w:customStyle="1" w:styleId="81">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2">
    <w:name w:val="正文 首行缩进:  2 字符"/>
    <w:basedOn w:val="1"/>
    <w:autoRedefine/>
    <w:qFormat/>
    <w:uiPriority w:val="0"/>
    <w:pPr>
      <w:suppressAutoHyphens/>
      <w:ind w:firstLine="579" w:firstLineChars="200"/>
    </w:pPr>
    <w:rPr>
      <w:rFonts w:cs="宋体"/>
      <w:kern w:val="1"/>
      <w:lang w:eastAsia="ar-SA"/>
    </w:rPr>
  </w:style>
  <w:style w:type="paragraph" w:customStyle="1" w:styleId="83">
    <w:name w:val="报告表小段"/>
    <w:basedOn w:val="1"/>
    <w:autoRedefine/>
    <w:qFormat/>
    <w:uiPriority w:val="0"/>
    <w:pPr>
      <w:spacing w:before="120" w:line="360" w:lineRule="auto"/>
      <w:ind w:firstLine="470" w:firstLineChars="196"/>
    </w:pPr>
    <w:rPr>
      <w:rFonts w:ascii="Times New Roman" w:hAnsi="Times New Roman" w:cs="Times New Roman"/>
      <w:bCs/>
      <w:sz w:val="20"/>
      <w:szCs w:val="24"/>
    </w:rPr>
  </w:style>
  <w:style w:type="paragraph" w:customStyle="1" w:styleId="84">
    <w:name w:val="普通(网站)2"/>
    <w:basedOn w:val="1"/>
    <w:qFormat/>
    <w:uiPriority w:val="0"/>
    <w:pPr>
      <w:widowControl/>
      <w:spacing w:before="100" w:beforeAutospacing="1" w:after="100" w:afterAutospacing="1"/>
      <w:jc w:val="left"/>
    </w:pPr>
    <w:rPr>
      <w:rFonts w:ascii="宋体" w:hAnsi="宋体"/>
      <w:sz w:val="24"/>
      <w:szCs w:val="20"/>
    </w:rPr>
  </w:style>
  <w:style w:type="table" w:customStyle="1" w:styleId="85">
    <w:name w:val="Table Normal"/>
    <w:autoRedefine/>
    <w:unhideWhenUsed/>
    <w:qFormat/>
    <w:uiPriority w:val="2"/>
    <w:pPr>
      <w:widowControl w:val="0"/>
      <w:autoSpaceDE w:val="0"/>
      <w:autoSpaceDN w:val="0"/>
    </w:pPr>
    <w:rPr>
      <w:rFonts w:ascii="Calibri" w:hAnsi="Calibri"/>
      <w:sz w:val="22"/>
      <w:szCs w:val="22"/>
      <w:lang w:val="en-US" w:eastAsia="en-US" w:bidi="ar-SA"/>
    </w:rPr>
    <w:tblPr>
      <w:tblCellMar>
        <w:top w:w="0" w:type="dxa"/>
        <w:left w:w="0" w:type="dxa"/>
        <w:bottom w:w="0" w:type="dxa"/>
        <w:right w:w="0" w:type="dxa"/>
      </w:tblCellMar>
    </w:tblPr>
  </w:style>
  <w:style w:type="paragraph" w:customStyle="1" w:styleId="86">
    <w:name w:val="Table Paragraph"/>
    <w:basedOn w:val="1"/>
    <w:qFormat/>
    <w:uiPriority w:val="1"/>
    <w:rPr>
      <w:rFonts w:ascii="宋体" w:hAnsi="宋体" w:eastAsia="宋体" w:cs="宋体"/>
      <w:lang w:val="zh-CN" w:eastAsia="zh-CN" w:bidi="zh-CN"/>
    </w:rPr>
  </w:style>
  <w:style w:type="paragraph" w:customStyle="1" w:styleId="87">
    <w:name w:val="cheng正文"/>
    <w:basedOn w:val="1"/>
    <w:qFormat/>
    <w:uiPriority w:val="0"/>
    <w:pPr>
      <w:widowControl/>
      <w:adjustRightInd w:val="0"/>
      <w:snapToGrid w:val="0"/>
      <w:spacing w:line="360" w:lineRule="auto"/>
      <w:ind w:firstLine="200" w:firstLineChars="200"/>
    </w:pPr>
    <w:rPr>
      <w:kern w:val="0"/>
      <w:sz w:val="24"/>
    </w:rPr>
  </w:style>
  <w:style w:type="paragraph" w:customStyle="1" w:styleId="88">
    <w:name w:val="正文001"/>
    <w:basedOn w:val="10"/>
    <w:qFormat/>
    <w:uiPriority w:val="0"/>
    <w:pPr>
      <w:spacing w:line="240" w:lineRule="auto"/>
      <w:jc w:val="center"/>
    </w:pPr>
  </w:style>
  <w:style w:type="paragraph" w:customStyle="1" w:styleId="89">
    <w:name w:val="段落1 Char"/>
    <w:basedOn w:val="1"/>
    <w:autoRedefine/>
    <w:qFormat/>
    <w:uiPriority w:val="0"/>
    <w:pPr>
      <w:adjustRightInd w:val="0"/>
      <w:spacing w:line="440" w:lineRule="exact"/>
      <w:ind w:firstLine="480" w:firstLineChars="200"/>
    </w:pPr>
    <w:rPr>
      <w:spacing w:val="8"/>
      <w:sz w:val="24"/>
    </w:rPr>
  </w:style>
  <w:style w:type="character" w:customStyle="1" w:styleId="90">
    <w:name w:val="font31"/>
    <w:basedOn w:val="28"/>
    <w:qFormat/>
    <w:uiPriority w:val="0"/>
    <w:rPr>
      <w:rFonts w:hint="default" w:ascii="Times New Roman" w:hAnsi="Times New Roman" w:cs="Times New Roman"/>
      <w:color w:val="0070C0"/>
      <w:sz w:val="21"/>
      <w:szCs w:val="21"/>
      <w:u w:val="none"/>
    </w:rPr>
  </w:style>
  <w:style w:type="paragraph" w:customStyle="1" w:styleId="91">
    <w:name w:val="CYJ四邻关系文字"/>
    <w:basedOn w:val="1"/>
    <w:autoRedefine/>
    <w:qFormat/>
    <w:uiPriority w:val="0"/>
    <w:pPr>
      <w:spacing w:line="240" w:lineRule="auto"/>
      <w:ind w:firstLine="0" w:firstLineChars="0"/>
    </w:pPr>
    <w:rPr>
      <w:rFonts w:ascii="Times New Roman" w:hAnsi="Times New Roman" w:eastAsia="宋体"/>
      <w:b/>
      <w:bCs/>
      <w:color w:val="FFFF00"/>
      <w:sz w:val="15"/>
      <w:szCs w:val="18"/>
    </w:rPr>
  </w:style>
  <w:style w:type="character" w:customStyle="1" w:styleId="92">
    <w:name w:val="cyj报告表正文 Char"/>
    <w:link w:val="53"/>
    <w:qFormat/>
    <w:uiPriority w:val="0"/>
    <w:rPr>
      <w:rFonts w:hint="default" w:ascii="Times New Roman" w:hAnsi="Times New Roman"/>
    </w:rPr>
  </w:style>
  <w:style w:type="character" w:customStyle="1" w:styleId="93">
    <w:name w:val="炙衍图片 Char"/>
    <w:link w:val="50"/>
    <w:autoRedefine/>
    <w:qFormat/>
    <w:uiPriority w:val="0"/>
    <w:rPr>
      <w:rFonts w:ascii="Times New Roman" w:hAnsi="Times New Roman"/>
    </w:rPr>
  </w:style>
  <w:style w:type="character" w:customStyle="1" w:styleId="94">
    <w:name w:val="CYJ附图图片 Char"/>
    <w:link w:val="59"/>
    <w:autoRedefine/>
    <w:qFormat/>
    <w:uiPriority w:val="0"/>
    <w:rPr>
      <w:rFonts w:ascii="宋体" w:hAnsi="宋体" w:cs="宋体"/>
      <w:color w:val="000000"/>
      <w:sz w:val="28"/>
    </w:rPr>
  </w:style>
  <w:style w:type="paragraph" w:customStyle="1" w:styleId="95">
    <w:name w:val="正文（首行缩进） Char"/>
    <w:basedOn w:val="1"/>
    <w:autoRedefine/>
    <w:qFormat/>
    <w:uiPriority w:val="0"/>
    <w:pPr>
      <w:widowControl/>
      <w:overflowPunct w:val="0"/>
      <w:topLinePunct/>
      <w:autoSpaceDE w:val="0"/>
      <w:autoSpaceDN w:val="0"/>
      <w:adjustRightInd w:val="0"/>
      <w:snapToGrid w:val="0"/>
      <w:spacing w:line="360" w:lineRule="auto"/>
      <w:ind w:firstLine="480" w:firstLineChars="200"/>
      <w:textAlignment w:val="baseline"/>
    </w:pPr>
    <w:rPr>
      <w:snapToGrid w:val="0"/>
      <w:color w:val="FF0000"/>
      <w:sz w:val="24"/>
      <w:szCs w:val="24"/>
    </w:rPr>
  </w:style>
  <w:style w:type="character" w:customStyle="1" w:styleId="96">
    <w:name w:val="CYJ报告表正文 Char"/>
    <w:link w:val="57"/>
    <w:autoRedefine/>
    <w:qFormat/>
    <w:uiPriority w:val="0"/>
    <w:rPr>
      <w:rFonts w:hint="default" w:ascii="Times New Roman" w:hAnsi="Times New Roman" w:eastAsia="宋体" w:cs="Times New Roman"/>
      <w:sz w:val="24"/>
      <w:szCs w:val="20"/>
    </w:rPr>
  </w:style>
  <w:style w:type="character" w:customStyle="1" w:styleId="97">
    <w:name w:val="font21"/>
    <w:basedOn w:val="28"/>
    <w:autoRedefine/>
    <w:qFormat/>
    <w:uiPriority w:val="0"/>
    <w:rPr>
      <w:rFonts w:hint="eastAsia" w:ascii="宋体" w:hAnsi="宋体" w:eastAsia="宋体" w:cs="宋体"/>
      <w:color w:val="000000"/>
      <w:sz w:val="21"/>
      <w:szCs w:val="21"/>
      <w:u w:val="none"/>
    </w:rPr>
  </w:style>
  <w:style w:type="character" w:customStyle="1" w:styleId="98">
    <w:name w:val="font11"/>
    <w:basedOn w:val="28"/>
    <w:qFormat/>
    <w:uiPriority w:val="0"/>
    <w:rPr>
      <w:rFonts w:hint="default" w:ascii="Times New Roman" w:hAnsi="Times New Roman" w:cs="Times New Roman"/>
      <w:color w:val="000000"/>
      <w:sz w:val="21"/>
      <w:szCs w:val="21"/>
      <w:u w:val="none"/>
    </w:rPr>
  </w:style>
  <w:style w:type="character" w:customStyle="1" w:styleId="99">
    <w:name w:val="headline-content2"/>
    <w:basedOn w:val="28"/>
    <w:autoRedefine/>
    <w:qFormat/>
    <w:uiPriority w:val="0"/>
  </w:style>
  <w:style w:type="paragraph" w:customStyle="1" w:styleId="100">
    <w:name w:val="Body Text Indent 3"/>
    <w:basedOn w:val="1"/>
    <w:qFormat/>
    <w:uiPriority w:val="0"/>
    <w:pPr>
      <w:spacing w:line="312" w:lineRule="auto"/>
      <w:ind w:firstLine="510"/>
    </w:pPr>
    <w:rPr>
      <w:sz w:val="24"/>
    </w:rPr>
  </w:style>
  <w:style w:type="character" w:customStyle="1" w:styleId="101">
    <w:name w:val="font41"/>
    <w:basedOn w:val="28"/>
    <w:qFormat/>
    <w:uiPriority w:val="0"/>
    <w:rPr>
      <w:rFonts w:hint="default" w:ascii="Times New Roman" w:hAnsi="Times New Roman" w:cs="Times New Roman"/>
      <w:b/>
      <w:bCs/>
      <w:color w:val="000000"/>
      <w:sz w:val="21"/>
      <w:szCs w:val="21"/>
      <w:u w:val="none"/>
    </w:rPr>
  </w:style>
  <w:style w:type="paragraph" w:customStyle="1" w:styleId="102">
    <w:name w:val="zy表格"/>
    <w:basedOn w:val="1"/>
    <w:qFormat/>
    <w:uiPriority w:val="0"/>
    <w:pPr>
      <w:tabs>
        <w:tab w:val="left" w:pos="146"/>
      </w:tabs>
      <w:adjustRightInd w:val="0"/>
      <w:snapToGrid w:val="0"/>
      <w:spacing w:line="240" w:lineRule="auto"/>
      <w:ind w:firstLine="0" w:firstLineChars="0"/>
      <w:jc w:val="center"/>
    </w:pPr>
    <w:rPr>
      <w:spacing w:val="6"/>
      <w:kern w:val="21"/>
      <w:sz w:val="21"/>
      <w:szCs w:val="20"/>
    </w:rPr>
  </w:style>
  <w:style w:type="paragraph" w:customStyle="1" w:styleId="103">
    <w:name w:val="正文20120515"/>
    <w:basedOn w:val="1"/>
    <w:autoRedefine/>
    <w:qFormat/>
    <w:uiPriority w:val="0"/>
    <w:pPr>
      <w:adjustRightInd w:val="0"/>
      <w:spacing w:line="360" w:lineRule="auto"/>
      <w:ind w:firstLine="200" w:firstLineChars="200"/>
      <w:textAlignment w:val="baseline"/>
    </w:pPr>
    <w:rPr>
      <w:kern w:val="18"/>
      <w:sz w:val="24"/>
    </w:rPr>
  </w:style>
  <w:style w:type="paragraph" w:customStyle="1" w:styleId="104">
    <w:name w:val="zy标题"/>
    <w:basedOn w:val="1"/>
    <w:autoRedefine/>
    <w:qFormat/>
    <w:uiPriority w:val="0"/>
    <w:pPr>
      <w:autoSpaceDE w:val="0"/>
      <w:autoSpaceDN w:val="0"/>
      <w:adjustRightInd w:val="0"/>
      <w:spacing w:line="240" w:lineRule="auto"/>
      <w:ind w:firstLine="0" w:firstLineChars="0"/>
      <w:jc w:val="center"/>
      <w:textAlignment w:val="baseline"/>
    </w:pPr>
    <w:rPr>
      <w:b/>
      <w:spacing w:val="11"/>
      <w:kern w:val="0"/>
      <w:sz w:val="21"/>
      <w:szCs w:val="20"/>
    </w:rPr>
  </w:style>
  <w:style w:type="paragraph" w:customStyle="1" w:styleId="105">
    <w:name w:val="环5"/>
    <w:basedOn w:val="61"/>
    <w:qFormat/>
    <w:uiPriority w:val="0"/>
    <w:pPr>
      <w:spacing w:line="360" w:lineRule="auto"/>
      <w:jc w:val="both"/>
    </w:pPr>
    <w:rPr>
      <w:b w:val="0"/>
      <w:sz w:val="21"/>
    </w:rPr>
  </w:style>
  <w:style w:type="paragraph" w:customStyle="1" w:styleId="106">
    <w:name w:val="zy图片"/>
    <w:basedOn w:val="1"/>
    <w:autoRedefine/>
    <w:qFormat/>
    <w:uiPriority w:val="0"/>
    <w:pPr>
      <w:spacing w:line="240" w:lineRule="auto"/>
      <w:ind w:firstLine="0" w:firstLineChars="0"/>
      <w:jc w:val="center"/>
    </w:pPr>
    <w:rPr>
      <w:color w:val="000000"/>
    </w:rPr>
  </w:style>
  <w:style w:type="paragraph" w:customStyle="1" w:styleId="107">
    <w:name w:val="05正文"/>
    <w:basedOn w:val="1"/>
    <w:autoRedefine/>
    <w:qFormat/>
    <w:uiPriority w:val="0"/>
    <w:pPr>
      <w:adjustRightInd w:val="0"/>
      <w:snapToGrid w:val="0"/>
      <w:spacing w:line="360" w:lineRule="auto"/>
      <w:ind w:firstLine="200" w:firstLineChars="200"/>
    </w:pPr>
    <w:rPr>
      <w:sz w:val="24"/>
      <w:szCs w:val="22"/>
    </w:rPr>
  </w:style>
  <w:style w:type="paragraph" w:customStyle="1" w:styleId="108">
    <w:name w:val="报告表正文"/>
    <w:basedOn w:val="1"/>
    <w:autoRedefine/>
    <w:qFormat/>
    <w:uiPriority w:val="0"/>
    <w:pPr>
      <w:keepNext w:val="0"/>
      <w:keepLines w:val="0"/>
      <w:widowControl w:val="0"/>
      <w:suppressLineNumbers w:val="0"/>
      <w:adjustRightInd w:val="0"/>
      <w:snapToGrid w:val="0"/>
      <w:spacing w:before="0" w:beforeAutospacing="0" w:after="0" w:afterAutospacing="0" w:line="360" w:lineRule="auto"/>
      <w:ind w:left="0" w:right="0" w:firstLine="200" w:firstLineChars="200"/>
      <w:jc w:val="both"/>
    </w:pPr>
    <w:rPr>
      <w:rFonts w:hint="default" w:ascii="Times New Roman" w:hAnsi="Times New Roman" w:cs="Times New Roman"/>
      <w:color w:val="000000"/>
      <w:kern w:val="0"/>
      <w:sz w:val="24"/>
      <w:szCs w:val="24"/>
      <w:lang w:val="en-US" w:eastAsia="zh-CN" w:bidi="ar"/>
    </w:rPr>
  </w:style>
  <w:style w:type="character" w:customStyle="1" w:styleId="109">
    <w:name w:val="15"/>
    <w:basedOn w:val="28"/>
    <w:qFormat/>
    <w:uiPriority w:val="0"/>
    <w:rPr>
      <w:rFonts w:hint="default" w:ascii="Times New Roman" w:hAnsi="Times New Roman" w:cs="Times New Roman"/>
    </w:rPr>
  </w:style>
  <w:style w:type="paragraph" w:customStyle="1" w:styleId="110">
    <w:name w:val="CYJ表格内容6-19"/>
    <w:basedOn w:val="1"/>
    <w:autoRedefine/>
    <w:qFormat/>
    <w:uiPriority w:val="0"/>
    <w:pPr>
      <w:keepNext w:val="0"/>
      <w:keepLines w:val="0"/>
      <w:widowControl w:val="0"/>
      <w:suppressLineNumbers w:val="0"/>
      <w:adjustRightInd w:val="0"/>
      <w:spacing w:before="0" w:beforeAutospacing="0" w:after="0" w:afterAutospacing="0"/>
      <w:ind w:left="0" w:right="0"/>
      <w:jc w:val="center"/>
    </w:pPr>
    <w:rPr>
      <w:rFonts w:hint="default" w:ascii="Times New Roman" w:hAnsi="Times New Roman" w:eastAsia="宋体" w:cs="Times New Roman"/>
      <w:kern w:val="2"/>
      <w:sz w:val="21"/>
      <w:szCs w:val="21"/>
      <w:lang w:val="en-US" w:eastAsia="zh-CN" w:bidi="ar"/>
    </w:rPr>
  </w:style>
  <w:style w:type="paragraph" w:customStyle="1" w:styleId="111">
    <w:name w:val="T正文"/>
    <w:basedOn w:val="1"/>
    <w:autoRedefine/>
    <w:qFormat/>
    <w:uiPriority w:val="0"/>
    <w:pPr>
      <w:keepNext w:val="0"/>
      <w:keepLines w:val="0"/>
      <w:widowControl w:val="0"/>
      <w:suppressLineNumbers w:val="0"/>
      <w:adjustRightInd w:val="0"/>
      <w:snapToGrid w:val="0"/>
      <w:spacing w:before="0" w:beforeAutospacing="0" w:after="0" w:afterAutospacing="0" w:line="360" w:lineRule="auto"/>
      <w:ind w:left="0" w:right="0" w:firstLine="200" w:firstLineChars="200"/>
      <w:jc w:val="both"/>
    </w:pPr>
    <w:rPr>
      <w:rFonts w:hint="default" w:ascii="Times New Roman" w:hAnsi="Times New Roman" w:eastAsia="仿宋_GB2312" w:cs="Times New Roman"/>
      <w:kern w:val="0"/>
      <w:sz w:val="28"/>
      <w:szCs w:val="28"/>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emf"/><Relationship Id="rId21" Type="http://schemas.openxmlformats.org/officeDocument/2006/relationships/oleObject" Target="embeddings/oleObject3.bin"/><Relationship Id="rId20" Type="http://schemas.openxmlformats.org/officeDocument/2006/relationships/image" Target="media/image7.e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6.jpeg"/><Relationship Id="rId17" Type="http://schemas.openxmlformats.org/officeDocument/2006/relationships/image" Target="media/image5.wmf"/><Relationship Id="rId16" Type="http://schemas.openxmlformats.org/officeDocument/2006/relationships/oleObject" Target="embeddings/oleObject1.bin"/><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ata\weboffice\tmp\webword_903910448\C:\data\weboffice\tmp\webword_620873422\E:\data\weboffice\tmp\webword_219491273\C:\data\weboffice\tmp\webword_800101805\C:\data\weboffice\tmp\webword_204907834\C:\data\weboffice\tmp\webword_747685136\C:\data\weboffice\tmp\webword_609874243\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微软中国</Company>
  <Pages>146</Pages>
  <Words>56868</Words>
  <Characters>70297</Characters>
  <Lines>1</Lines>
  <Paragraphs>1</Paragraphs>
  <TotalTime>9</TotalTime>
  <ScaleCrop>false</ScaleCrop>
  <LinksUpToDate>false</LinksUpToDate>
  <CharactersWithSpaces>70798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2020-12-26T17:29:00Z</dcterms:created>
  <dc:creator>lhj</dc:creator>
  <cp:lastModifiedBy>叶靖</cp:lastModifiedBy>
  <cp:lastPrinted>2023-04-28T23:22:00Z</cp:lastPrinted>
  <dcterms:modified xsi:type="dcterms:W3CDTF">2023-12-18T06:14:32Z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752097D18BD34227A1B1EC118E058D92_13</vt:lpwstr>
  </property>
  <property fmtid="{D5CDD505-2E9C-101B-9397-08002B2CF9AE}" pid="4" name="commondata">
    <vt:lpwstr>eyJoZGlkIjoiYTUzYzFiMmZjYzIxMTZkY2Q2N2FiZjVkNzY4YmZhZjEifQ==</vt:lpwstr>
  </property>
</Properties>
</file>