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640" w:lineRule="exact"/>
        <w:ind w:left="-320" w:leftChars="-100" w:right="-320" w:rightChars="-100"/>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《博罗县户外广告设置规划（县城建成区范围）》政策解读</w:t>
      </w:r>
    </w:p>
    <w:p>
      <w:pPr>
        <w:rPr>
          <w:rFonts w:hint="eastAsia"/>
          <w:lang w:val="en-US" w:eastAsia="zh-CN"/>
        </w:rPr>
      </w:pPr>
    </w:p>
    <w:p>
      <w:pPr>
        <w:pStyle w:val="3"/>
        <w:pageBreakBefore w:val="0"/>
        <w:widowControl w:val="0"/>
        <w:numPr>
          <w:ilvl w:val="0"/>
          <w:numId w:val="0"/>
        </w:numPr>
        <w:kinsoku/>
        <w:wordWrap/>
        <w:overflowPunct/>
        <w:topLinePunct w:val="0"/>
        <w:autoSpaceDE/>
        <w:autoSpaceDN/>
        <w:bidi w:val="0"/>
        <w:adjustRightInd/>
        <w:snapToGrid/>
        <w:spacing w:line="590" w:lineRule="exact"/>
        <w:ind w:left="0" w:leftChars="0" w:firstLine="640" w:firstLineChars="200"/>
        <w:textAlignment w:val="auto"/>
        <w:rPr>
          <w:rFonts w:hint="eastAsia" w:ascii="黑体" w:hAnsi="黑体" w:eastAsia="黑体" w:cs="黑体"/>
          <w:lang w:val="en-US" w:eastAsia="zh-CN"/>
        </w:rPr>
      </w:pPr>
      <w:r>
        <w:rPr>
          <w:rFonts w:hint="eastAsia" w:ascii="黑体" w:hAnsi="黑体" w:eastAsia="黑体" w:cs="黑体"/>
          <w:kern w:val="2"/>
          <w:sz w:val="32"/>
          <w:szCs w:val="24"/>
          <w:lang w:val="en-US" w:eastAsia="zh-CN" w:bidi="ar-SA"/>
        </w:rPr>
        <w:t>一、</w:t>
      </w:r>
      <w:r>
        <w:rPr>
          <w:rFonts w:hint="eastAsia" w:ascii="黑体" w:hAnsi="黑体" w:eastAsia="黑体" w:cs="黑体"/>
          <w:lang w:val="en-US" w:eastAsia="zh-CN"/>
        </w:rPr>
        <w:t>背景研究</w:t>
      </w:r>
    </w:p>
    <w:p>
      <w:pPr>
        <w:pageBreakBefore w:val="0"/>
        <w:widowControl w:val="0"/>
        <w:kinsoku/>
        <w:wordWrap/>
        <w:overflowPunct/>
        <w:topLinePunct w:val="0"/>
        <w:autoSpaceDE/>
        <w:autoSpaceDN/>
        <w:bidi w:val="0"/>
        <w:adjustRightInd/>
        <w:snapToGrid/>
        <w:spacing w:line="590" w:lineRule="exact"/>
        <w:textAlignment w:val="auto"/>
        <w:rPr>
          <w:rFonts w:hint="eastAsia" w:ascii="楷体_GB2312" w:hAnsi="楷体_GB2312" w:eastAsia="楷体_GB2312" w:cs="楷体_GB2312"/>
        </w:rPr>
      </w:pPr>
      <w:r>
        <w:rPr>
          <w:rFonts w:hint="eastAsia" w:ascii="楷体_GB2312" w:hAnsi="楷体_GB2312" w:eastAsia="楷体_GB2312" w:cs="楷体_GB2312"/>
          <w:lang w:val="en-US" w:eastAsia="zh-CN"/>
        </w:rPr>
        <w:t xml:space="preserve">（一）宏观层面 </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b/>
          <w:bCs/>
          <w:lang w:val="en-US" w:eastAsia="zh-CN"/>
        </w:rPr>
        <w:t>1.规划体系变革</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2019年5月28日，为贯彻落实《中共中央国务院关于建立国土空间规划体系并监督实施的若干意见》，全面启动国土空</w:t>
      </w:r>
    </w:p>
    <w:p>
      <w:pPr>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间规划编制审批和实施管理工作。自然资源部印发《关于全面开展国土空间规划工作的通知》。要求各地不再新編和报批主体功能区规划、土地利用总体规划、城镇体系规划。城市(镇)总体规划、海洋功能区划等。已批准的规划期至2020年后的省级国士规划、城镇体系规划、主体功能区规划，城市(镇)总体规划，以及原省级空间规划试点和市县“多规合一”试点等，要按照新的规划编制要求，将既有规划成果融入新编制的同级国土空间规划中。 </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2.城市发展新阶段</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中国共产党第十九次全国代表大会首次提出:中国经济由高速增长阶段转向高质量发展阶段。 户外广告和招牌规划作为城市建设的关键和展现城市活力和魅力的重要</w:t>
      </w:r>
      <w:bookmarkStart w:id="0" w:name="_GoBack"/>
      <w:bookmarkEnd w:id="0"/>
      <w:r>
        <w:rPr>
          <w:rFonts w:hint="eastAsia" w:ascii="仿宋_GB2312" w:hAnsi="仿宋_GB2312" w:eastAsia="仿宋_GB2312" w:cs="仿宋_GB2312"/>
          <w:lang w:val="en-US" w:eastAsia="zh-CN"/>
        </w:rPr>
        <w:t>手段，更应立足之区位，彰显特色，以高起点高水平高质量的规划设计引领城市高质量发展。</w:t>
      </w:r>
    </w:p>
    <w:p>
      <w:pPr>
        <w:pageBreakBefore w:val="0"/>
        <w:widowControl w:val="0"/>
        <w:kinsoku/>
        <w:wordWrap/>
        <w:overflowPunct/>
        <w:topLinePunct w:val="0"/>
        <w:autoSpaceDE/>
        <w:autoSpaceDN/>
        <w:bidi w:val="0"/>
        <w:adjustRightInd/>
        <w:snapToGrid/>
        <w:spacing w:line="590" w:lineRule="exact"/>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 xml:space="preserve">（二）上级文件要求 </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《惠州市户外广告和招牌设置管理办法》第七条  户外广告规划包括户外广告专项规划和户外广告设置规划。县、区城乡管理主管部门应当会同自然资源、交通运输等有关部门根据户外广告专项规划、城市容貌标准等组织编制户外广告设置规划。</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博罗建设发展需要</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坚持生态优先：把生态保护着力点放在国土安全上</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坚持人民至上：把城市建设着力点放在品质提升上</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坚持产业为王：把经济发展着力点放在实体经济上        </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坚持特色传承：把博罗魅力着力点放在彰显特色上</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为进一步落实博罗县“十四五”目标，高质量建成社会主义现代化强县，加快形成新型工业化滨江城市格局，深入巩固提升全国县级文明城市创建成果和全国新时代文明实践中心建设成果，充分发挥户外广告在美化城市、建设城市、经营城市中的作用，助力开创博罗高质量发展新局面，以《中华人民共和国广告法》、《城市户外广告和招牌设施技术标准（CJJ/T149-2021）》、《城市容貌标准（GB50449-2008）》、《惠州市户外广告和招牌设置管理办法》、《惠州市户外广告专项规划》、《博罗县国民经济和社会发展第十四个五年规划和2035年远景目标纲要》、《博罗县国土空间总体规划（2021-2035 年）》等文件为依据，结合博罗县实际，编制《博罗县户外广告设置规划（县城建成区范围）》（以下简称“规划”），对户外广告设施的设置进行科学合理的规划布局，借以推动户外广告设施品质升级，提振城区活力，展现全国经济百强县的和千年文明古县的独特城市魅力。</w:t>
      </w:r>
    </w:p>
    <w:p>
      <w:pPr>
        <w:pStyle w:val="3"/>
        <w:pageBreakBefore w:val="0"/>
        <w:widowControl w:val="0"/>
        <w:numPr>
          <w:ilvl w:val="0"/>
          <w:numId w:val="0"/>
        </w:numPr>
        <w:kinsoku/>
        <w:wordWrap/>
        <w:overflowPunct/>
        <w:topLinePunct w:val="0"/>
        <w:autoSpaceDE/>
        <w:autoSpaceDN/>
        <w:bidi w:val="0"/>
        <w:adjustRightInd/>
        <w:snapToGrid/>
        <w:spacing w:line="590" w:lineRule="exact"/>
        <w:ind w:left="0" w:leftChars="0" w:firstLine="640" w:firstLineChars="200"/>
        <w:textAlignment w:val="auto"/>
        <w:rPr>
          <w:rFonts w:hint="eastAsia" w:ascii="黑体" w:hAnsi="黑体" w:eastAsia="黑体" w:cs="黑体"/>
          <w:kern w:val="2"/>
          <w:sz w:val="32"/>
          <w:szCs w:val="24"/>
          <w:lang w:val="en-US" w:eastAsia="zh-CN" w:bidi="ar-SA"/>
        </w:rPr>
      </w:pPr>
      <w:r>
        <w:rPr>
          <w:rFonts w:hint="eastAsia" w:ascii="黑体" w:hAnsi="黑体" w:eastAsia="黑体" w:cs="黑体"/>
          <w:kern w:val="2"/>
          <w:sz w:val="32"/>
          <w:szCs w:val="24"/>
          <w:lang w:val="en-US" w:eastAsia="zh-CN" w:bidi="ar-SA"/>
        </w:rPr>
        <w:t>二、城市概况</w:t>
      </w:r>
    </w:p>
    <w:p>
      <w:pPr>
        <w:pageBreakBefore w:val="0"/>
        <w:widowControl w:val="0"/>
        <w:kinsoku/>
        <w:wordWrap/>
        <w:overflowPunct/>
        <w:topLinePunct w:val="0"/>
        <w:autoSpaceDE/>
        <w:autoSpaceDN/>
        <w:bidi w:val="0"/>
        <w:adjustRightInd/>
        <w:snapToGrid/>
        <w:spacing w:line="590" w:lineRule="exact"/>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（一）区位优势</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博罗县位于广东省珠江三角洲东北部，东连惠州市区,西邻广州,北接河源、龙门,南与东莞隔江相望,是深莞惠经济圈的重要组成部分,珠三角辐射带动粤东北的关键节点，是京九铁路经济增长带的咽喉地带。县城距惠州市区15公里,距东莞20多公里,距广州80公里,距深圳62公里。    </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全县总面积约2858平方公里，辖2个街道（罗阳街道、龙溪街道）、15个镇（石湾、杨村、园洲、福田、长宁、龙华、湖镇、柏塘、泰美、公庄、杨侨、麻陂、石坝、观音阁、横河）、1个管委会（罗浮山管委会）和389个行政村（社区），县政府驻地在罗阳街道。</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博罗是珠三角最大的可连片开发的县区，是广东省唯一的全国百强县，境内的罗浮山，集道、佛两教于一山，融自然景观与人文景观于一体，是中国道教十大名山之一，素有“岭南第一山”和“中国道教圣地”之美称。博罗土地肥沃，四季如春，发展“三高”农业条件优越，是广东重要的农业生产基地。</w:t>
      </w:r>
    </w:p>
    <w:p>
      <w:pPr>
        <w:pageBreakBefore w:val="0"/>
        <w:widowControl w:val="0"/>
        <w:kinsoku/>
        <w:wordWrap/>
        <w:overflowPunct/>
        <w:topLinePunct w:val="0"/>
        <w:autoSpaceDE/>
        <w:autoSpaceDN/>
        <w:bidi w:val="0"/>
        <w:adjustRightInd/>
        <w:snapToGrid/>
        <w:spacing w:line="590" w:lineRule="exact"/>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（二）城市特征</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b/>
          <w:bCs/>
          <w:lang w:val="en-US" w:eastAsia="zh-CN"/>
        </w:rPr>
        <w:t>1.全国经济百强县，全国工业百强县。</w:t>
      </w:r>
      <w:r>
        <w:rPr>
          <w:rFonts w:hint="eastAsia" w:ascii="仿宋_GB2312" w:hAnsi="仿宋_GB2312" w:eastAsia="仿宋_GB2312" w:cs="仿宋_GB2312"/>
          <w:lang w:val="en-US" w:eastAsia="zh-CN"/>
        </w:rPr>
        <w:t xml:space="preserve">2022全国百强县榜单，博罗县以第81位的排名入选，为广东省唯一上榜的县，相比上一年年的第89位，上升了8位。博罗以“百千万工程”为总抓手，落细落实“五大行动”，加快推进智能装备产业园、产业转移工业园等重大平台建设，做大做强电子信息、新材料、电动车和生命健康四大主导产业。  </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b/>
          <w:bCs/>
          <w:lang w:val="en-US" w:eastAsia="zh-CN"/>
        </w:rPr>
        <w:t>2.全国文明城市。</w:t>
      </w:r>
      <w:r>
        <w:rPr>
          <w:rFonts w:hint="eastAsia" w:ascii="仿宋_GB2312" w:hAnsi="仿宋_GB2312" w:eastAsia="仿宋_GB2312" w:cs="仿宋_GB2312"/>
          <w:lang w:val="en-US" w:eastAsia="zh-CN"/>
        </w:rPr>
        <w:t xml:space="preserve">博罗县连续蝉联全国文明城市荣誉称号，也是全国首批新时代文明实践中心建设试点和全国十个新时代文明实践先行试验区之一。  </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b/>
          <w:bCs/>
          <w:lang w:val="en-US" w:eastAsia="zh-CN"/>
        </w:rPr>
        <w:t>3.岭南四大文明古县之一，国家全域旅游示范县。</w:t>
      </w:r>
      <w:r>
        <w:rPr>
          <w:rFonts w:hint="eastAsia" w:ascii="仿宋_GB2312" w:hAnsi="仿宋_GB2312" w:eastAsia="仿宋_GB2312" w:cs="仿宋_GB2312"/>
          <w:lang w:val="en-US" w:eastAsia="zh-CN"/>
        </w:rPr>
        <w:t>客家文化、红色文化、中医药文化等交相辉映，博罗文化先后融合广府、客家、潮汕等众多民系的文化，形成了既有岭南文化共性，又有鲜明地域个性的多元文化。国家级风景名胜区、国家5A级旅游景区罗浮山是全国道教十大名山之一，集山水美景、名胜古迹和道、佛两教于一山，为广东四大名山之首，素有“岭南第一山”之美称，是中国乃至东南亚著名的佛道教旅游观光胜地。</w:t>
      </w:r>
    </w:p>
    <w:p>
      <w:pPr>
        <w:pStyle w:val="3"/>
        <w:pageBreakBefore w:val="0"/>
        <w:widowControl w:val="0"/>
        <w:numPr>
          <w:ilvl w:val="0"/>
          <w:numId w:val="0"/>
        </w:numPr>
        <w:kinsoku/>
        <w:wordWrap/>
        <w:overflowPunct/>
        <w:topLinePunct w:val="0"/>
        <w:autoSpaceDE/>
        <w:autoSpaceDN/>
        <w:bidi w:val="0"/>
        <w:adjustRightInd/>
        <w:snapToGrid/>
        <w:spacing w:line="590" w:lineRule="exact"/>
        <w:ind w:left="0" w:leftChars="0" w:firstLine="640" w:firstLineChars="200"/>
        <w:textAlignment w:val="auto"/>
        <w:rPr>
          <w:rFonts w:hint="eastAsia" w:ascii="黑体" w:hAnsi="黑体" w:eastAsia="黑体" w:cs="黑体"/>
          <w:kern w:val="2"/>
          <w:sz w:val="32"/>
          <w:szCs w:val="24"/>
          <w:lang w:val="en-US" w:eastAsia="zh-CN" w:bidi="ar-SA"/>
        </w:rPr>
      </w:pPr>
      <w:r>
        <w:rPr>
          <w:rFonts w:hint="eastAsia" w:ascii="黑体" w:hAnsi="黑体" w:eastAsia="黑体" w:cs="黑体"/>
          <w:kern w:val="2"/>
          <w:sz w:val="32"/>
          <w:szCs w:val="24"/>
          <w:lang w:val="en-US" w:eastAsia="zh-CN" w:bidi="ar-SA"/>
        </w:rPr>
        <w:t>三、发展目标</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2025 惠州副中心城市</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全国一流县城品质初步显现，大湾区宜居宜业宜游的魅力强具初步建成，辐射带动粤东北的枢纽门户地位得到确立，成为惠州副中心城市。</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2035全国县域经济社会高质量发展标杆全国一流文明县城和国家康养旅游名城</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公共服务水平、基础设施水平、生态环境质量达到先进水平经济增长质量和效益显著提高，成为全国县域经济社会高质量发展的标杆、全国一流的文明县城和国家康养旅游名城。</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2050大湾区宜居宜业宜游社会主义现代化魅力强县</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全面建成更高水平的全国一流县城，各项经济社会发展指标达到全国领先水平，建成大湾区宜居宜业宜游的社会主义现代化魅力强县 。</w:t>
      </w:r>
    </w:p>
    <w:p>
      <w:pPr>
        <w:pStyle w:val="3"/>
        <w:pageBreakBefore w:val="0"/>
        <w:widowControl w:val="0"/>
        <w:numPr>
          <w:ilvl w:val="0"/>
          <w:numId w:val="0"/>
        </w:numPr>
        <w:kinsoku/>
        <w:wordWrap/>
        <w:overflowPunct/>
        <w:topLinePunct w:val="0"/>
        <w:autoSpaceDE/>
        <w:autoSpaceDN/>
        <w:bidi w:val="0"/>
        <w:adjustRightInd/>
        <w:snapToGrid/>
        <w:spacing w:line="590" w:lineRule="exact"/>
        <w:ind w:left="0" w:leftChars="0" w:firstLine="640" w:firstLineChars="200"/>
        <w:textAlignment w:val="auto"/>
        <w:rPr>
          <w:rFonts w:hint="eastAsia" w:ascii="黑体" w:hAnsi="黑体" w:eastAsia="黑体" w:cs="黑体"/>
          <w:kern w:val="2"/>
          <w:sz w:val="32"/>
          <w:szCs w:val="24"/>
          <w:lang w:val="en-US" w:eastAsia="zh-CN" w:bidi="ar-SA"/>
        </w:rPr>
      </w:pPr>
      <w:r>
        <w:rPr>
          <w:rFonts w:hint="eastAsia" w:ascii="黑体" w:hAnsi="黑体" w:eastAsia="黑体" w:cs="黑体"/>
          <w:kern w:val="2"/>
          <w:sz w:val="32"/>
          <w:szCs w:val="24"/>
          <w:lang w:val="en-US" w:eastAsia="zh-CN" w:bidi="ar-SA"/>
        </w:rPr>
        <w:t>四、规划范围</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博罗县行政辖区范围，总面积2858平方公里。</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包括：</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2个街道（罗阳街道、龙溪街道）</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15个镇（石湾、杨村、园洲、福田、长宁、龙华、湖镇、柏塘、泰美、公庄、杨侨、麻陂、石坝、观音阁、横河）</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1个管委会（罗浮山管委会）。</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本次公告内容仅为重点规划区域即博罗县县城建成区——罗阳街道、龙溪街道。 </w:t>
      </w:r>
    </w:p>
    <w:p>
      <w:pPr>
        <w:pStyle w:val="3"/>
        <w:pageBreakBefore w:val="0"/>
        <w:widowControl w:val="0"/>
        <w:numPr>
          <w:ilvl w:val="0"/>
          <w:numId w:val="0"/>
        </w:numPr>
        <w:kinsoku/>
        <w:wordWrap/>
        <w:overflowPunct/>
        <w:topLinePunct w:val="0"/>
        <w:autoSpaceDE/>
        <w:autoSpaceDN/>
        <w:bidi w:val="0"/>
        <w:adjustRightInd/>
        <w:snapToGrid/>
        <w:spacing w:line="590" w:lineRule="exact"/>
        <w:ind w:left="0" w:leftChars="0" w:firstLine="640" w:firstLineChars="200"/>
        <w:textAlignment w:val="auto"/>
        <w:rPr>
          <w:rFonts w:hint="eastAsia" w:ascii="黑体" w:hAnsi="黑体" w:eastAsia="黑体" w:cs="黑体"/>
          <w:kern w:val="2"/>
          <w:sz w:val="32"/>
          <w:szCs w:val="24"/>
          <w:lang w:val="en-US" w:eastAsia="zh-CN" w:bidi="ar-SA"/>
        </w:rPr>
      </w:pPr>
      <w:r>
        <w:rPr>
          <w:rFonts w:hint="eastAsia" w:ascii="黑体" w:hAnsi="黑体" w:eastAsia="黑体" w:cs="黑体"/>
          <w:kern w:val="2"/>
          <w:sz w:val="32"/>
          <w:szCs w:val="24"/>
          <w:lang w:val="en-US" w:eastAsia="zh-CN" w:bidi="ar-SA"/>
        </w:rPr>
        <w:t>五、规划对象</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《惠州市户外广告和招牌设置管理办法》</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户外广告: 利用户外场地、建(构)筑物设置的商业性广告和公益性广告。</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注：根据《惠州市户外广告和招牌设置管理办法》要求，规划对象为利用户外场地、建（构）筑物设置的商业性广告和公益性广告，同时对规划范围内的户外招牌进行规范。其中对博罗县县城（建成区）的户外广告进行重点管控和图则规范。</w:t>
      </w:r>
    </w:p>
    <w:p>
      <w:pPr>
        <w:pStyle w:val="3"/>
        <w:pageBreakBefore w:val="0"/>
        <w:widowControl w:val="0"/>
        <w:numPr>
          <w:ilvl w:val="0"/>
          <w:numId w:val="0"/>
        </w:numPr>
        <w:kinsoku/>
        <w:wordWrap/>
        <w:overflowPunct/>
        <w:topLinePunct w:val="0"/>
        <w:autoSpaceDE/>
        <w:autoSpaceDN/>
        <w:bidi w:val="0"/>
        <w:adjustRightInd/>
        <w:snapToGrid/>
        <w:spacing w:line="590" w:lineRule="exact"/>
        <w:ind w:left="0" w:leftChars="0" w:firstLine="640" w:firstLineChars="200"/>
        <w:textAlignment w:val="auto"/>
        <w:rPr>
          <w:rFonts w:hint="eastAsia" w:ascii="黑体" w:hAnsi="黑体" w:eastAsia="黑体" w:cs="黑体"/>
          <w:kern w:val="2"/>
          <w:sz w:val="32"/>
          <w:szCs w:val="24"/>
          <w:lang w:val="en-US" w:eastAsia="zh-CN" w:bidi="ar-SA"/>
        </w:rPr>
      </w:pPr>
      <w:r>
        <w:rPr>
          <w:rFonts w:hint="eastAsia" w:ascii="黑体" w:hAnsi="黑体" w:eastAsia="黑体" w:cs="黑体"/>
          <w:kern w:val="2"/>
          <w:sz w:val="32"/>
          <w:szCs w:val="24"/>
          <w:lang w:val="en-US" w:eastAsia="zh-CN" w:bidi="ar-SA"/>
        </w:rPr>
        <w:t>六、依据期限</w:t>
      </w:r>
    </w:p>
    <w:p>
      <w:pPr>
        <w:pageBreakBefore w:val="0"/>
        <w:widowControl w:val="0"/>
        <w:kinsoku/>
        <w:wordWrap/>
        <w:overflowPunct/>
        <w:topLinePunct w:val="0"/>
        <w:autoSpaceDE/>
        <w:autoSpaceDN/>
        <w:bidi w:val="0"/>
        <w:adjustRightInd/>
        <w:snapToGrid/>
        <w:spacing w:line="590" w:lineRule="exact"/>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（一）规划依据</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法律法规依据:</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《中华人民共和国城乡规划法》 (2019年第二次修正)</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《中华人民共和国广告法》 (2021年修正)</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《广东省公益广告促进和管理暂行办法》</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《惠州市公益广告促进和管理暂行办法》</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《惠州市市容和环境卫生管理条例》</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《惠州市户外广告和招牌设置管理办法》</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技术标准依据:</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《国土空间调查、规划、用途管制用地用海分类指南》 (自然资源部2020年)</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《城市户外广告和招牌设施技术标准(CJJ/T149-2021)》</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《城市容貌标准(GB50449-2008)》</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《广东省交通运输厅关于公路路政管理的实施细则》</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上层规划和相关规划:</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《惠州市户外广告专项规划 (2021-2035)》</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《博罗县国土空间总体规划（2020-2035）》</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《惠州市博罗县国民经济和社会发展第十四个五年规划和2035年远景目标纲要》</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《博罗县综合交通运输体系规划（2020-2035年）》</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《博罗县县城总体规划(2011-2035年)》</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《博罗县沿东江经济带发展规划（2020-2030年）》</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《2023年博罗县政府工作报告》</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其他与博罗县户外广告设施设置及管理活动相关的法律法规规划等</w:t>
      </w:r>
    </w:p>
    <w:p>
      <w:pPr>
        <w:pageBreakBefore w:val="0"/>
        <w:widowControl w:val="0"/>
        <w:kinsoku/>
        <w:wordWrap/>
        <w:overflowPunct/>
        <w:topLinePunct w:val="0"/>
        <w:autoSpaceDE/>
        <w:autoSpaceDN/>
        <w:bidi w:val="0"/>
        <w:adjustRightInd/>
        <w:snapToGrid/>
        <w:spacing w:line="590" w:lineRule="exact"/>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（二）规划期限</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本规划期限为：2022-2035年</w:t>
      </w:r>
    </w:p>
    <w:p>
      <w:pPr>
        <w:pStyle w:val="3"/>
        <w:pageBreakBefore w:val="0"/>
        <w:widowControl w:val="0"/>
        <w:numPr>
          <w:ilvl w:val="0"/>
          <w:numId w:val="0"/>
        </w:numPr>
        <w:kinsoku/>
        <w:wordWrap/>
        <w:overflowPunct/>
        <w:topLinePunct w:val="0"/>
        <w:autoSpaceDE/>
        <w:autoSpaceDN/>
        <w:bidi w:val="0"/>
        <w:adjustRightInd/>
        <w:snapToGrid/>
        <w:spacing w:line="590" w:lineRule="exact"/>
        <w:ind w:left="0" w:leftChars="0" w:firstLine="640" w:firstLineChars="200"/>
        <w:textAlignment w:val="auto"/>
        <w:rPr>
          <w:rFonts w:hint="eastAsia" w:ascii="黑体" w:hAnsi="黑体" w:eastAsia="黑体" w:cs="黑体"/>
          <w:kern w:val="2"/>
          <w:sz w:val="32"/>
          <w:szCs w:val="24"/>
          <w:lang w:val="en-US" w:eastAsia="zh-CN" w:bidi="ar-SA"/>
        </w:rPr>
      </w:pPr>
      <w:r>
        <w:rPr>
          <w:rFonts w:hint="eastAsia" w:ascii="黑体" w:hAnsi="黑体" w:eastAsia="黑体" w:cs="黑体"/>
          <w:kern w:val="2"/>
          <w:sz w:val="32"/>
          <w:szCs w:val="24"/>
          <w:lang w:val="en-US" w:eastAsia="zh-CN" w:bidi="ar-SA"/>
        </w:rPr>
        <w:t>七、指导思想</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以“打造具有博罗特色的户外广告设置管理示范城市”为目标，在严格遵循上位专项规划和设置规范的基础上，针对博罗县城区现状广告设置特征及空间特征，充分挖掘博罗特色属性，科学合理规划布局户外广告设施，推动户外广告设施品质升级，为实现2035年远景目标，高质量建成国内一流城市组团，形成沿东江城市带，提供良好的环境保障。</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lang w:val="en-US" w:eastAsia="zh-CN"/>
        </w:rPr>
      </w:pPr>
    </w:p>
    <w:p>
      <w:pPr>
        <w:pageBreakBefore w:val="0"/>
        <w:widowControl w:val="0"/>
        <w:kinsoku/>
        <w:wordWrap w:val="0"/>
        <w:overflowPunct/>
        <w:topLinePunct w:val="0"/>
        <w:autoSpaceDE/>
        <w:autoSpaceDN/>
        <w:bidi w:val="0"/>
        <w:adjustRightInd/>
        <w:snapToGrid/>
        <w:spacing w:line="590" w:lineRule="exact"/>
        <w:jc w:val="right"/>
        <w:textAlignment w:val="auto"/>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博罗县城乡管理和综合执法局</w:t>
      </w:r>
      <w:r>
        <w:rPr>
          <w:rFonts w:hint="default" w:ascii="仿宋_GB2312" w:hAnsi="仿宋_GB2312" w:eastAsia="仿宋_GB2312" w:cs="仿宋_GB2312"/>
          <w:lang w:val="en-US" w:eastAsia="zh-CN"/>
        </w:rPr>
        <w:t xml:space="preserve">    </w:t>
      </w:r>
    </w:p>
    <w:p>
      <w:pPr>
        <w:pageBreakBefore w:val="0"/>
        <w:widowControl w:val="0"/>
        <w:kinsoku/>
        <w:wordWrap w:val="0"/>
        <w:overflowPunct/>
        <w:topLinePunct w:val="0"/>
        <w:autoSpaceDE/>
        <w:autoSpaceDN/>
        <w:bidi w:val="0"/>
        <w:adjustRightInd/>
        <w:snapToGrid/>
        <w:spacing w:line="590" w:lineRule="exact"/>
        <w:ind w:left="0" w:leftChars="0" w:firstLine="0" w:firstLineChars="0"/>
        <w:jc w:val="right"/>
        <w:textAlignment w:val="auto"/>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2023年11月23日</w:t>
      </w:r>
      <w:r>
        <w:rPr>
          <w:rFonts w:hint="default" w:ascii="仿宋_GB2312" w:hAnsi="仿宋_GB2312" w:eastAsia="仿宋_GB2312" w:cs="仿宋_GB2312"/>
          <w:lang w:val="en-US" w:eastAsia="zh-CN"/>
        </w:rPr>
        <w:t xml:space="preserve">        </w:t>
      </w:r>
    </w:p>
    <w:sectPr>
      <w:footerReference r:id="rId5" w:type="default"/>
      <w:pgSz w:w="11906" w:h="16838"/>
      <w:pgMar w:top="2154" w:right="1417" w:bottom="1587" w:left="1417"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5"/>
                            <w:rPr>
                              <w:rFonts w:hint="eastAsia" w:eastAsia="方正仿宋_GBK"/>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NJWO7QAAAABQEAAA8A&#10;AAAAAAAAAQAgAAAAIgAAAGRycy9kb3ducmV2LnhtbFBLAQIUABQAAAAIAIdO4kDuVCfm5gEAAMcD&#10;AAAOAAAAAAAAAAEAIAAAAB8BAABkcnMvZTJvRG9jLnhtbFBLBQYAAAAABgAGAFkBAAB3BQAAAAA=&#10;">
              <v:fill on="f" focussize="0,0"/>
              <v:stroke on="f" weight="0.5pt"/>
              <v:imagedata o:title=""/>
              <o:lock v:ext="edit" aspectratio="f"/>
              <v:textbox inset="0mm,0mm,0mm,0mm" style="mso-fit-shape-to-text:t;">
                <w:txbxContent>
                  <w:p>
                    <w:pPr>
                      <w:pStyle w:val="5"/>
                      <w:rPr>
                        <w:rFonts w:hint="eastAsia" w:eastAsia="方正仿宋_GBK"/>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8"/>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1MTYxOTViOTMyMDZiMjY1ODJhNDkxMTM1MWM0YjUifQ=="/>
  </w:docVars>
  <w:rsids>
    <w:rsidRoot w:val="636408D2"/>
    <w:rsid w:val="00F26436"/>
    <w:rsid w:val="03526F82"/>
    <w:rsid w:val="0AB57E84"/>
    <w:rsid w:val="0CF0703E"/>
    <w:rsid w:val="0DDC4E28"/>
    <w:rsid w:val="0EA1237B"/>
    <w:rsid w:val="0EFD3811"/>
    <w:rsid w:val="159C7751"/>
    <w:rsid w:val="18632CC9"/>
    <w:rsid w:val="1E8D5A5D"/>
    <w:rsid w:val="2320282F"/>
    <w:rsid w:val="23662181"/>
    <w:rsid w:val="2BB5488E"/>
    <w:rsid w:val="2C2630A2"/>
    <w:rsid w:val="2EBD45C7"/>
    <w:rsid w:val="2F653F64"/>
    <w:rsid w:val="301079F7"/>
    <w:rsid w:val="304A0A9B"/>
    <w:rsid w:val="32075D42"/>
    <w:rsid w:val="33801542"/>
    <w:rsid w:val="37D540A1"/>
    <w:rsid w:val="3A623F7D"/>
    <w:rsid w:val="412F3FB1"/>
    <w:rsid w:val="47BE7B90"/>
    <w:rsid w:val="4C4B79CF"/>
    <w:rsid w:val="4DA5688F"/>
    <w:rsid w:val="4ECD3CCE"/>
    <w:rsid w:val="514254E4"/>
    <w:rsid w:val="556779D5"/>
    <w:rsid w:val="55F434AD"/>
    <w:rsid w:val="5CD86620"/>
    <w:rsid w:val="60FE1513"/>
    <w:rsid w:val="632953AA"/>
    <w:rsid w:val="636408D2"/>
    <w:rsid w:val="638129AC"/>
    <w:rsid w:val="679C416D"/>
    <w:rsid w:val="68480C45"/>
    <w:rsid w:val="6A2350F6"/>
    <w:rsid w:val="729F7DB9"/>
    <w:rsid w:val="773B7C4E"/>
    <w:rsid w:val="78F9577F"/>
    <w:rsid w:val="7E0774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0"/>
    <w:pPr>
      <w:spacing w:beforeAutospacing="0" w:afterAutospacing="0"/>
      <w:ind w:firstLine="0" w:firstLineChars="0"/>
      <w:jc w:val="center"/>
      <w:outlineLvl w:val="0"/>
    </w:pPr>
    <w:rPr>
      <w:rFonts w:hint="eastAsia" w:ascii="方正小标宋_GBK" w:hAnsi="方正小标宋_GBK" w:eastAsia="方正小标宋_GBK" w:cs="宋体"/>
      <w:kern w:val="44"/>
      <w:sz w:val="44"/>
      <w:szCs w:val="48"/>
      <w:lang w:bidi="ar"/>
    </w:rPr>
  </w:style>
  <w:style w:type="paragraph" w:styleId="3">
    <w:name w:val="heading 2"/>
    <w:basedOn w:val="1"/>
    <w:next w:val="1"/>
    <w:unhideWhenUsed/>
    <w:qFormat/>
    <w:uiPriority w:val="0"/>
    <w:pPr>
      <w:keepNext/>
      <w:keepLines/>
      <w:spacing w:beforeLines="0" w:beforeAutospacing="0" w:afterLines="0" w:afterAutospacing="0" w:line="560" w:lineRule="exact"/>
      <w:outlineLvl w:val="1"/>
    </w:pPr>
    <w:rPr>
      <w:rFonts w:ascii="Times New Roman" w:hAnsi="Times New Roman" w:eastAsia="方正黑体_GBK"/>
    </w:rPr>
  </w:style>
  <w:style w:type="paragraph" w:styleId="4">
    <w:name w:val="heading 3"/>
    <w:basedOn w:val="1"/>
    <w:next w:val="1"/>
    <w:unhideWhenUsed/>
    <w:qFormat/>
    <w:uiPriority w:val="0"/>
    <w:pPr>
      <w:keepNext/>
      <w:keepLines/>
      <w:spacing w:beforeLines="0" w:beforeAutospacing="0" w:afterLines="0" w:afterAutospacing="0" w:line="560" w:lineRule="exact"/>
      <w:ind w:firstLine="880" w:firstLineChars="200"/>
      <w:outlineLvl w:val="2"/>
    </w:pPr>
    <w:rPr>
      <w:rFonts w:ascii="Times New Roman" w:hAnsi="Times New Roman" w:eastAsia="方正楷体_GBK" w:cs="方正楷体_GBK"/>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21439;&#22996;&#32452;&#32455;&#37096;&#25991;&#20214;&#26684;&#24335;&#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县委组织部文件格式模板.wpt</Template>
  <Pages>1</Pages>
  <Words>0</Words>
  <Characters>0</Characters>
  <Lines>0</Lines>
  <Paragraphs>0</Paragraphs>
  <TotalTime>88</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2023-11-10T08:20:00Z</dcterms:created>
  <dc:creator>kororo</dc:creator>
  <cp:lastModifiedBy>贤大</cp:lastModifiedBy>
  <cp:lastPrinted>2023-11-15T02:25:00Z</cp:lastPrinted>
  <dcterms:modified xsi:type="dcterms:W3CDTF">2023-12-25T03:47:36Z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E593775398CF4C4EA4BC7B06A946CCBD</vt:lpwstr>
  </property>
</Properties>
</file>