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附 录 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eastAsia" w:ascii="Times New Roman" w:hAnsi="Times New Roman" w:eastAsia="楷体_GB2312" w:cs="楷体_GB2312"/>
          <w:color w:val="000000"/>
          <w:sz w:val="32"/>
          <w:szCs w:val="32"/>
        </w:rPr>
      </w:pPr>
      <w:r>
        <w:rPr>
          <w:rFonts w:hint="eastAsia" w:ascii="Times New Roman" w:hAnsi="Times New Roman" w:eastAsia="楷体_GB2312" w:cs="楷体_GB2312"/>
          <w:color w:val="000000"/>
          <w:sz w:val="32"/>
          <w:szCs w:val="32"/>
        </w:rPr>
        <w:t>（资料性）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实验室常规设备设施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167"/>
        <w:gridCol w:w="2268"/>
        <w:gridCol w:w="4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tblHeader/>
          <w:jc w:val="center"/>
        </w:trPr>
        <w:tc>
          <w:tcPr>
            <w:tcW w:w="69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分类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常规设施设备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主要功能或参数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94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6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基础设备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电脑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用于数据记录、处理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打印机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打印数据、文书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温湿度计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用于环境温度和湿度的测量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给排水系统</w:t>
            </w:r>
          </w:p>
        </w:tc>
        <w:tc>
          <w:tcPr>
            <w:tcW w:w="4779" w:type="dxa"/>
            <w:noWrap w:val="0"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提供水源和排水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4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6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前处理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水池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用于试验器皿的清洗等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冰箱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存放样品、试剂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离心机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水产品及其他食品检测过程中污染物的提取分离，转速至少达到4000 rpm，兼容50 mL和15 mL离心管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试剂柜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用于存放试剂、耗材等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移液设备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量程20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eastAsia="en-US" w:bidi="ar"/>
              </w:rPr>
              <w:t>μ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eastAsia="en-US" w:bidi="ar"/>
              </w:rPr>
              <w:t>L~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200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eastAsia="en-US" w:bidi="ar"/>
              </w:rPr>
              <w:t>μ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eastAsia="en-US" w:bidi="ar"/>
              </w:rPr>
              <w:t xml:space="preserve">L,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100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eastAsia="en-US" w:bidi="ar"/>
              </w:rPr>
              <w:t>μ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eastAsia="en-US" w:bidi="ar"/>
              </w:rPr>
              <w:t>L~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1000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eastAsia="en-US" w:bidi="ar"/>
              </w:rPr>
              <w:t>μ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eastAsia="en-US" w:bidi="ar"/>
              </w:rPr>
              <w:t>L, 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eastAsia="en-US" w:bidi="ar"/>
              </w:rPr>
              <w:t>mL~5 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样品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浓缩仪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样品浓缩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电子计时器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实验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反应时间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pH计/酸度计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用于测定溶液的酸碱度，测量范围0~14 pH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搅拌机/均质器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样品的加工粉碎或破壁处理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分析天平/电子天平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食品检测用试剂、样品的精确称量，精度百分之一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firstLine="352" w:firstLineChars="20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18"/>
                <w:szCs w:val="18"/>
                <w:lang w:bidi="ar"/>
              </w:rPr>
              <w:t>可调式涡旋混匀仪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18"/>
                <w:szCs w:val="18"/>
                <w:lang w:bidi="ar"/>
              </w:rPr>
              <w:t>用于水产品及其他食品检验过程中的混匀，提取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水浴锅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样品的恒温加热处理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694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  <w:p>
            <w:pPr>
              <w:adjustRightInd w:val="0"/>
              <w:snapToGrid w:val="0"/>
              <w:spacing w:line="240" w:lineRule="atLeas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理化检测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通风橱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防止实验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过程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中的污染物扩散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快检试剂盒</w:t>
            </w:r>
          </w:p>
        </w:tc>
        <w:tc>
          <w:tcPr>
            <w:tcW w:w="477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用于对农兽药残留、非法添加项目的快速定性判定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食品中心温度计</w:t>
            </w:r>
          </w:p>
        </w:tc>
        <w:tc>
          <w:tcPr>
            <w:tcW w:w="4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用于对餐饮食品中心温度测定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食品安全快速测试仪</w:t>
            </w:r>
          </w:p>
        </w:tc>
        <w:tc>
          <w:tcPr>
            <w:tcW w:w="47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用于蔬菜水果农药残留项目的酶抑制率测定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94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16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微生物检验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放大镜</w:t>
            </w:r>
          </w:p>
        </w:tc>
        <w:tc>
          <w:tcPr>
            <w:tcW w:w="477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用于镜检计数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干烤/干燥设备</w:t>
            </w:r>
          </w:p>
        </w:tc>
        <w:tc>
          <w:tcPr>
            <w:tcW w:w="477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用于消毒灭菌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高压灭菌设备</w:t>
            </w:r>
          </w:p>
        </w:tc>
        <w:tc>
          <w:tcPr>
            <w:tcW w:w="477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紫外线设备</w:t>
            </w:r>
          </w:p>
        </w:tc>
        <w:tc>
          <w:tcPr>
            <w:tcW w:w="477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恒温培养箱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用于微生物培养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超净工作台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用于实验操作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ATP检测仪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用于食品接触表面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清洗消毒效果的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菌落总数、大肠菌群检验用培养基和试剂</w:t>
            </w:r>
          </w:p>
        </w:tc>
        <w:tc>
          <w:tcPr>
            <w:tcW w:w="4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平板计数琼脂培养基、菌落总数测试片、结晶紫中性红胆盐琼脂（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VRBA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）、煌绿乳糖胆盐（B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GLB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）肉汤、大肠菌群快速检验纸片、无菌磷酸盐缓冲液、无菌生理盐水、1 mol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/L NaOH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溶液、1 mol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/L HCl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溶液等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890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注：本表所列为对应附录B能力所需的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常规设备设施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，实验室可根据实际情况调整或增加相应设备。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附 录B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eastAsia" w:ascii="Times New Roman" w:hAnsi="Times New Roman" w:eastAsia="楷体_GB2312" w:cs="楷体_GB2312"/>
          <w:color w:val="000000"/>
          <w:sz w:val="32"/>
          <w:szCs w:val="32"/>
        </w:rPr>
      </w:pPr>
      <w:r>
        <w:rPr>
          <w:rFonts w:hint="eastAsia" w:ascii="Times New Roman" w:hAnsi="Times New Roman" w:eastAsia="楷体_GB2312" w:cs="楷体_GB2312"/>
          <w:color w:val="000000"/>
          <w:sz w:val="32"/>
          <w:szCs w:val="32"/>
        </w:rPr>
        <w:t>（资料性）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实验室常规项目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567"/>
        <w:gridCol w:w="1276"/>
        <w:gridCol w:w="1418"/>
        <w:gridCol w:w="3685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tblHeader/>
          <w:jc w:val="center"/>
        </w:trPr>
        <w:tc>
          <w:tcPr>
            <w:tcW w:w="45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大类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主要品种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常规项目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检验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检测方法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或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判定依据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18"/>
                <w:szCs w:val="18"/>
              </w:rPr>
              <w:t>食品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原料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蔬菜、水果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感官（色泽、气味、性状）</w:t>
            </w:r>
          </w:p>
        </w:tc>
        <w:tc>
          <w:tcPr>
            <w:tcW w:w="3685" w:type="dxa"/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《蔬菜水果感官性状与检验方法》（化学工业出版社）</w:t>
            </w:r>
          </w:p>
        </w:tc>
        <w:tc>
          <w:tcPr>
            <w:tcW w:w="1809" w:type="dxa"/>
            <w:noWrap w:val="0"/>
            <w:vAlign w:val="top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农药残留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KJ 201710《蔬菜中敌百虫、丙溴磷、灭多威、克百威、敌敌畏残留的快速检测》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油菜、菠菜、芹菜、韭菜等蔬菜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KJ 202204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ab/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《蔬菜水果中水胺硫磷的快速检测 胶体金免疫层析法》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仁果类、柑橘类、豆类、叶菜类等蔬菜水果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KJ 202210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ab/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《蔬菜水果中灭蝇胺的快速检测 胶体金免疫层析法》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葱、叶用莴苣、结球莴苣、油麦菜、茎用莴苣叶 、芹菜 、黄瓜、西葫芦、丝瓜、豇豆、扁豆 、荷兰豆、茎用莴苣、姜、哈密瓜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畜肉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感官（色泽、气味、状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2707 《食品安全国家标准 鲜（冻）畜、禽产品》之3.2 感官要求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取适量样品置于白色盘（瓷盘或同类容器）中，在自然光下观察色泽和状态，嗅其气味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克伦特罗、莱克多巴胺、沙丁胺醇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KJ 201706《动物源性食品中克伦特罗、莱克多巴胺及沙丁胺醇的快速检测 胶体金免疫层析法》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猪肉、牛肉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禽肉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感官（色泽、气味、状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2707 《食品安全国家标准 鲜（冻）畜、禽产品》之3.2 感官要求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取适量样品置于白色盘（瓷盘或同类容器）中，在自然光下观察色泽和状态，嗅其气味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氯霉素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KJ 201905《水产品中氯霉素的快速检测 胶体金免疫层析法》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水产品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动物性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水产品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感官（色泽、气味、状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2733《食品安全国家标准 鲜、冻动物性水产品》之2.1 感官要求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取适量样品置于白色瓷盘上，在自然光下观察色泽和状态，嗅其气味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孔雀石绿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KJ 201701《水产品中孔雀石绿的快速检测胶体金免疫层析法》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鱼肉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呋喃唑酮代谢物（AOZ）、呋喃它酮代谢物（AMOZ）、呋喃西林代谢物（SEM）、呋喃妥因代谢物（AHD）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KJ 201705《水产品中硝基呋喃类代谢物的快速检测胶体金免疫层析法》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鱼肉、虾肉、蟹肉等水产品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氯霉素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KJ 201905《水产品中氯霉素的快速检测 胶体金免疫层析法》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水产品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鲜蛋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（含鸡蛋液）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蛋壳、气室、蛋白、蛋黄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NY/T 1758-2009《鲜蛋等级规格》、SB/T 10277-1997《鲜鸡蛋》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食用油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黄曲霉毒素B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1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KJ201708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《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食用油中黄曲霉毒素B1的快速检测胶体金免疫层析法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花生油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酸价、过氧化值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KJ201911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ab/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《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食用植物油酸价、过氧化值的快速检测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50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成品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主食、荤菜、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汤品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a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素菜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包装外观、色泽、形态、气味、滋味、杂质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按照企业成品检验标准要求进行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标签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31654《餐饮服务通用卫生规范》、《餐饮服务食品安全操作规范》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中心温度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31654《餐饮服务通用卫生规范》、《餐饮服务食品安全操作规范》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菌落总数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4789.2《食品安全国家标准 食品微生物学检验 菌落总数测定》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判定依据按照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DBS 44/006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《食品安全地方标准 非预包装即食食品微生物限量》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大肠菌群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4789.3《食品安全国家标准 食品微生物学检验 大肠菌群计数》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第二法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判定依据可参考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DBS 44/006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《食品安全地方标准 非预包装即食食品微生物限量》中大肠埃希氏菌指标限量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50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餐用具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熟食容器、饭盒、勺子、筷子、汤桶、饭桶等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污渍、异物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按照企业餐用具检验标准要求进行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大肠菌群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14934《食品安全国家标准 消毒餐（饮）具》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50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加工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环境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专间空气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沉降菌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（静态）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参照G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B/T 18204.3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《公共场所卫生检验方法 第3部分：空气微生物》之3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.3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自然沉降法，平皿暴露时间3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min以上</w:t>
            </w:r>
          </w:p>
        </w:tc>
        <w:tc>
          <w:tcPr>
            <w:tcW w:w="180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结合生产实际情况确定监控指标限值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专间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操作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台面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表面清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洗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消毒效果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GB/T 36004《食品接触表面清洗消毒效果试验方法 三磷酸腺苷生物发光法》</w:t>
            </w:r>
          </w:p>
        </w:tc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菌落总数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15979《一次性使用卫生用品卫生标准》</w:t>
            </w:r>
          </w:p>
        </w:tc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大肠菌群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15979《一次性使用卫生用品卫生标准》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或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14934《食品安全国家标准 消毒餐（饮）具》</w:t>
            </w:r>
          </w:p>
        </w:tc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专间人员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手部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表面清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洗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消毒效果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GB/T 36004《食品接触表面清洗消毒效果试验方法 三磷酸腺苷生物发光法》</w:t>
            </w:r>
          </w:p>
        </w:tc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菌落总数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15979《一次性使用卫生用品卫生标准》</w:t>
            </w:r>
          </w:p>
        </w:tc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大肠菌群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15979《一次性使用卫生用品卫生标准》</w:t>
            </w:r>
          </w:p>
        </w:tc>
        <w:tc>
          <w:tcPr>
            <w:tcW w:w="180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9205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ind w:left="360" w:hanging="352" w:hangingChars="20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注：1.a.</w:t>
            </w:r>
            <w:r>
              <w:rPr>
                <w:rFonts w:hint="eastAsia" w:ascii="Times New Roman" w:hAnsi="Times New Roman" w:eastAsia="仿宋_GB2312"/>
                <w:color w:val="000000"/>
                <w:sz w:val="18"/>
                <w:szCs w:val="18"/>
              </w:rPr>
              <w:t>素菜和汤品不作菌落总数和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大肠菌群</w:t>
            </w:r>
            <w:r>
              <w:rPr>
                <w:rFonts w:hint="eastAsia" w:ascii="Times New Roman" w:hAnsi="Times New Roman" w:eastAsia="仿宋_GB2312"/>
                <w:color w:val="000000"/>
                <w:sz w:val="18"/>
                <w:szCs w:val="18"/>
              </w:rPr>
              <w:t>检验强制要求；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b.</w:t>
            </w:r>
            <w:r>
              <w:rPr>
                <w:rFonts w:hint="eastAsia" w:ascii="Times New Roman" w:hAnsi="Times New Roman" w:eastAsia="仿宋_GB2312"/>
                <w:color w:val="000000"/>
                <w:sz w:val="18"/>
                <w:szCs w:val="18"/>
              </w:rPr>
              <w:t>对专间空气、操作台面、人员手部的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取样</w:t>
            </w:r>
            <w:r>
              <w:rPr>
                <w:rFonts w:hint="eastAsia" w:ascii="Times New Roman" w:hAnsi="Times New Roman" w:eastAsia="仿宋_GB2312"/>
                <w:color w:val="000000"/>
                <w:sz w:val="18"/>
                <w:szCs w:val="18"/>
              </w:rPr>
              <w:t>，可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根据加工过程实际</w:t>
            </w:r>
            <w:r>
              <w:rPr>
                <w:rFonts w:hint="eastAsia" w:ascii="Times New Roman" w:hAnsi="Times New Roman" w:eastAsia="仿宋_GB2312"/>
                <w:color w:val="000000"/>
                <w:sz w:val="18"/>
                <w:szCs w:val="18"/>
              </w:rPr>
              <w:t>情况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选择</w:t>
            </w:r>
            <w:r>
              <w:rPr>
                <w:rFonts w:hint="eastAsia" w:ascii="Times New Roman" w:hAnsi="Times New Roman" w:eastAsia="仿宋_GB2312"/>
                <w:color w:val="000000"/>
                <w:sz w:val="18"/>
                <w:szCs w:val="18"/>
              </w:rPr>
              <w:t>取样点。对应的常规项目，可根据需要选择一个或多个实施监控。</w:t>
            </w:r>
          </w:p>
          <w:p>
            <w:pPr>
              <w:widowControl/>
              <w:adjustRightInd w:val="0"/>
              <w:snapToGrid w:val="0"/>
              <w:ind w:firstLine="352" w:firstLineChars="20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2.本表中所列标准，以其最新版本（包括标准修改单）为准。</w:t>
            </w:r>
          </w:p>
          <w:p>
            <w:pPr>
              <w:widowControl/>
              <w:adjustRightInd w:val="0"/>
              <w:snapToGrid w:val="0"/>
              <w:ind w:firstLine="352" w:firstLineChars="20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3.自检品种、检验项目、检验检测方法可根据食品安全风险进行动态调整。</w:t>
            </w:r>
          </w:p>
        </w:tc>
      </w:tr>
    </w:tbl>
    <w:p>
      <w:pPr>
        <w:adjustRightInd w:val="0"/>
        <w:snapToGrid w:val="0"/>
        <w:spacing w:line="360" w:lineRule="auto"/>
        <w:rPr>
          <w:rFonts w:ascii="Times New Roman" w:hAnsi="Times New Roman" w:eastAsia="仿宋_GB2312"/>
          <w:color w:val="000000"/>
          <w:sz w:val="28"/>
          <w:szCs w:val="28"/>
        </w:rPr>
        <w:sectPr>
          <w:pgSz w:w="11906" w:h="16838"/>
          <w:pgMar w:top="2098" w:right="1531" w:bottom="1701" w:left="1531" w:header="851" w:footer="1191" w:gutter="0"/>
          <w:cols w:space="720" w:num="1"/>
          <w:rtlGutter w:val="0"/>
          <w:docGrid w:type="linesAndChars" w:linePitch="592" w:charSpace="-849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附 录 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eastAsia" w:ascii="Times New Roman" w:hAnsi="Times New Roman" w:eastAsia="楷体_GB2312" w:cs="楷体_GB2312"/>
          <w:color w:val="000000"/>
          <w:sz w:val="32"/>
          <w:szCs w:val="32"/>
        </w:rPr>
      </w:pPr>
      <w:r>
        <w:rPr>
          <w:rFonts w:hint="eastAsia" w:ascii="Times New Roman" w:hAnsi="Times New Roman" w:eastAsia="楷体_GB2312" w:cs="楷体_GB2312"/>
          <w:color w:val="000000"/>
          <w:sz w:val="32"/>
          <w:szCs w:val="32"/>
        </w:rPr>
        <w:t>（资料性）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重点品种和重点检验项目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864"/>
        <w:gridCol w:w="1037"/>
        <w:gridCol w:w="2384"/>
        <w:gridCol w:w="3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tblHeader/>
          <w:jc w:val="center"/>
        </w:trPr>
        <w:tc>
          <w:tcPr>
            <w:tcW w:w="53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大类</w:t>
            </w:r>
          </w:p>
        </w:tc>
        <w:tc>
          <w:tcPr>
            <w:tcW w:w="342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重点品种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重点检验项目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532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64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18"/>
                <w:szCs w:val="18"/>
              </w:rPr>
              <w:t>食品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原料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大米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镉、黄曲霉毒素B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vertAlign w:val="subscript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蛋类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鲜蛋（含鸡蛋液）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氟苯尼考、甲硝唑、氯霉素、恩诺沙星、甲氧苄啶、甲砜霉素、磺胺类(总量)、地美硝唑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乳制品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灭菌乳、调制乳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蛋白质、商业无菌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畜、禽肉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畜肉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恩诺沙星、甲氧苄啶、磺胺类（总量）、克伦特罗、莱克多巴胺、沙丁胺醇、氯霉素、呋喃唑酮代谢物、呋喃西林代谢物、五氯酚酸钠、氧氟沙星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、挥发性盐基氮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禽肉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尼卡巴嗪、恩诺沙星、甲氧苄啶、氯霉素、金刚烷胺、呋喃唑酮代谢物、呋喃西林代谢物、多西环素、磺胺类(总量)、五氯酚酸钠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、挥发性盐基氮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蔬菜、水果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叶菜类蔬菜（菠菜、普通白菜、芹菜）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毒死蜱、阿维菌素、氟虫腈、噻虫胺、克百威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鳞茎类蔬菜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（韭菜、葱）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毒死蜱、克百威、水胺硫磷、镉、腐霉利、甲基异柳磷、氯氟氰菊酯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豆类蔬菜（豇豆）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水胺硫磷、克百威、灭蝇胺、噻虫嗪、毒死蜱、三唑磷、倍硫磷、氧乐果、乙酰甲胺磷、噻虫胺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根茎类蔬菜（姜）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铅、镉、噻虫胺、噻虫嗪、吡虫啉、毒死蜱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芸薹属类蔬菜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（花椰菜）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乙酰甲胺磷、氧乐果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茄果类蔬菜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（辣椒、茄子）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镉、噻虫胺、克百威、毒死蜱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芽菜类蔬菜（豆芽）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4-氯苯氧乙酸钠、6-苄基腺嘌呤、铅、甲基汞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热带和亚热带类水果（香蕉）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吡虫啉、腈苯唑、噻虫胺、噻虫嗪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柑橘类水果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（柑、橘、橙）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克百威、丙溴磷、三唑磷、2,4-滴和2,4-滴钠盐、联苯菊酯、苯醚甲环唑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动物性水产品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鱼类（泥猛鱼、泥鳅、黄颡鱼/黄骨鱼、大菱鲆/多宝鱼、乌鳢/生鱼、花鲈/海鲈、大口黑鲈/加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州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鲈、金鲳鱼）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孔雀石绿、氯霉素、恩诺沙星、磺胺总量、呋喃唑酮代谢物、氧氟沙星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虾类（南美白对虾/白对虾、斑节对虾/草虾/竹节虾、罗氏沼虾/大头虾、虾蛄/皮皮虾）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呋喃唑酮代谢物、呋喃西林代谢物、氯霉素、恩诺沙星、镉、四环素/金霉素/土霉素(组合含量)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食用油、油脂及其制品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食用油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黄曲霉毒素B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18"/>
                <w:vertAlign w:val="subscript"/>
              </w:rPr>
              <w:t>1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煎炸用油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过氧化值、酸价、极性组分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532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64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成品</w:t>
            </w:r>
          </w:p>
        </w:tc>
        <w:tc>
          <w:tcPr>
            <w:tcW w:w="103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主食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馒头、花卷、包子等发酵面制品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  <w:lang w:bidi="ar"/>
              </w:rPr>
              <w:t>铝的残留量、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苯甲酸及其钠盐、山梨酸及其钾盐、糖精钠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糕点、面包等烘焙食品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酸价、过氧化值、山梨酸及其钾盐、脱氢乙酸及其钠盐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米饭、米粉、面条、粥、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饺子等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大肠埃希氏菌、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沙门氏菌、金黄色葡萄球菌、蜡样芽孢杆菌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荤菜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熟肉制品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山梨酸及其钾盐、胭脂红、亚硝酸盐、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大肠埃希氏菌、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沙门氏菌、单核细胞增生李斯特氏菌、金黄色葡萄球菌、大肠埃希氏菌O157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熟制水产品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大肠埃希氏菌、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沙门氏菌、副溶血性弧菌、大肠埃希氏菌O157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3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餐用具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餐用具</w:t>
            </w:r>
          </w:p>
        </w:tc>
        <w:tc>
          <w:tcPr>
            <w:tcW w:w="23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熟食容器、饭盒、勺子、筷子、汤桶、饭桶等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阴离子合成洗涤剂、沙门氏菌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75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18"/>
              </w:rPr>
              <w:t>注：重点品种和重点检验项目根据食品安全风险进行动态调整，检验项目应采用食品安全国家标准、行业标准、地方标准等进行检验。</w:t>
            </w:r>
          </w:p>
        </w:tc>
      </w:tr>
    </w:tbl>
    <w:p>
      <w:pPr>
        <w:adjustRightInd w:val="0"/>
        <w:snapToGrid w:val="0"/>
        <w:spacing w:line="580" w:lineRule="exact"/>
        <w:rPr>
          <w:rFonts w:ascii="Times New Roman" w:hAnsi="Times New Roman" w:eastAsia="仿宋_GB2312"/>
          <w:color w:val="000000"/>
          <w:sz w:val="28"/>
          <w:szCs w:val="28"/>
        </w:rPr>
        <w:sectPr>
          <w:pgSz w:w="11906" w:h="16838"/>
          <w:pgMar w:top="2098" w:right="1531" w:bottom="1701" w:left="1531" w:header="851" w:footer="1191" w:gutter="0"/>
          <w:cols w:space="720" w:num="1"/>
          <w:rtlGutter w:val="0"/>
          <w:docGrid w:type="linesAndChars" w:linePitch="592" w:charSpace="-849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附录D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eastAsia" w:ascii="Times New Roman" w:hAnsi="Times New Roman" w:eastAsia="楷体_GB2312" w:cs="楷体_GB2312"/>
          <w:color w:val="000000"/>
          <w:sz w:val="32"/>
          <w:szCs w:val="32"/>
        </w:rPr>
      </w:pPr>
      <w:r>
        <w:rPr>
          <w:rFonts w:hint="eastAsia" w:ascii="Times New Roman" w:hAnsi="Times New Roman" w:eastAsia="楷体_GB2312" w:cs="楷体_GB2312"/>
          <w:color w:val="000000"/>
          <w:sz w:val="32"/>
          <w:szCs w:val="32"/>
        </w:rPr>
        <w:t>（资料性）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1" w:beforeLines="20" w:line="460" w:lineRule="exact"/>
        <w:jc w:val="center"/>
        <w:textAlignment w:val="auto"/>
        <w:rPr>
          <w:rFonts w:hint="eastAsia" w:ascii="Times New Roman" w:hAnsi="Times New Roman" w:eastAsia="微软雅黑" w:cs="微软雅黑"/>
          <w:color w:val="000000"/>
          <w:sz w:val="44"/>
          <w:szCs w:val="44"/>
        </w:rPr>
      </w:pPr>
      <w:r>
        <w:rPr>
          <w:rFonts w:hint="eastAsia" w:ascii="Times New Roman" w:hAnsi="Times New Roman" w:eastAsia="微软雅黑" w:cs="微软雅黑"/>
          <w:color w:val="000000"/>
          <w:sz w:val="44"/>
          <w:szCs w:val="44"/>
        </w:rPr>
        <w:t>（</w:t>
      </w:r>
      <w:r>
        <w:rPr>
          <w:rFonts w:hint="eastAsia" w:ascii="Times New Roman" w:hAnsi="Times New Roman" w:eastAsia="楷体" w:cs="楷体"/>
          <w:color w:val="000000"/>
          <w:sz w:val="44"/>
          <w:szCs w:val="44"/>
        </w:rPr>
        <w:t>企业名称</w:t>
      </w:r>
      <w:r>
        <w:rPr>
          <w:rFonts w:hint="eastAsia" w:ascii="Times New Roman" w:hAnsi="Times New Roman" w:eastAsia="微软雅黑" w:cs="微软雅黑"/>
          <w:color w:val="000000"/>
          <w:sz w:val="44"/>
          <w:szCs w:val="44"/>
        </w:rPr>
        <w:t>）成品检验报告（模板）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58" w:beforeLines="60" w:after="62" w:afterLines="10" w:line="240" w:lineRule="exact"/>
        <w:jc w:val="center"/>
        <w:textAlignment w:val="auto"/>
        <w:rPr>
          <w:rFonts w:hint="eastAsia" w:ascii="Times New Roman" w:hAnsi="Times New Roman" w:eastAsia="仿宋_GB2312" w:cs="方正仿宋简体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方正仿宋简体"/>
          <w:color w:val="000000"/>
          <w:sz w:val="28"/>
          <w:szCs w:val="28"/>
        </w:rPr>
        <w:t xml:space="preserve">                          №：   </w:t>
      </w:r>
    </w:p>
    <w:tbl>
      <w:tblPr>
        <w:tblStyle w:val="4"/>
        <w:tblW w:w="94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442"/>
        <w:gridCol w:w="1109"/>
        <w:gridCol w:w="1845"/>
        <w:gridCol w:w="564"/>
        <w:gridCol w:w="1806"/>
        <w:gridCol w:w="417"/>
        <w:gridCol w:w="543"/>
        <w:gridCol w:w="600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6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样 品 名 称</w:t>
            </w:r>
          </w:p>
        </w:tc>
        <w:tc>
          <w:tcPr>
            <w:tcW w:w="2409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样 品 编 号</w:t>
            </w:r>
          </w:p>
        </w:tc>
        <w:tc>
          <w:tcPr>
            <w:tcW w:w="2838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96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规  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    格</w:t>
            </w:r>
          </w:p>
        </w:tc>
        <w:tc>
          <w:tcPr>
            <w:tcW w:w="2409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加工日期/批号</w:t>
            </w:r>
          </w:p>
        </w:tc>
        <w:tc>
          <w:tcPr>
            <w:tcW w:w="2838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96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抽 样 地 点</w:t>
            </w:r>
          </w:p>
        </w:tc>
        <w:tc>
          <w:tcPr>
            <w:tcW w:w="2409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检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验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日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期</w:t>
            </w:r>
          </w:p>
        </w:tc>
        <w:tc>
          <w:tcPr>
            <w:tcW w:w="2838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55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项目名称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检验检测方法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要求/限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</w:rPr>
              <w:t>量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值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检验结果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单项结论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41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44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感官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包装外观</w:t>
            </w:r>
          </w:p>
        </w:tc>
        <w:tc>
          <w:tcPr>
            <w:tcW w:w="184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目测、鼻嗅、口尝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包装整洁，无破损，无饭菜外溢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自检，每餐抽检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1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4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色泽</w:t>
            </w:r>
          </w:p>
        </w:tc>
        <w:tc>
          <w:tcPr>
            <w:tcW w:w="184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具有菜肴和主食正常的色泽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41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4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形态</w:t>
            </w:r>
          </w:p>
        </w:tc>
        <w:tc>
          <w:tcPr>
            <w:tcW w:w="184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具有菜肴和主食正常的形态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4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气味、滋味</w:t>
            </w:r>
          </w:p>
        </w:tc>
        <w:tc>
          <w:tcPr>
            <w:tcW w:w="184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具有菜肴和主食正常的气味、滋味，无异味 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1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4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杂质</w:t>
            </w:r>
          </w:p>
        </w:tc>
        <w:tc>
          <w:tcPr>
            <w:tcW w:w="184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无正常视力下可见的杂质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标签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目测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集送单位信息、加工时间和食用时限等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自检，每餐抽检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55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中心温度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（食用前）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食品中心温度计测量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≥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60 ℃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自检，每餐抽检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菌落总数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4789.2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＜1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6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 CFU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（熟肉制品、熟制水产品）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自检，每周抽检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5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大肠菌群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4789.3第二法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≤1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00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CFU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自检，每周抽检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55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大肠埃希氏菌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4789.38第二法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≤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100 CFU/g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自检或送检，每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半年（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学期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）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55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沙门氏菌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GB 4789.4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不得检出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自检或送检，每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半年（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学期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）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55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金黄色葡萄球菌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GB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789.10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第二法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＜10⁴CFU/g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自检或送检，每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半年（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学期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）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5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9" w:type="dxa"/>
            <w:gridSpan w:val="10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检验结论：</w:t>
            </w:r>
          </w:p>
          <w:p>
            <w:pPr>
              <w:spacing w:line="240" w:lineRule="exact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                                </w:t>
            </w: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</w:rPr>
              <w:t>企业名称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：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                                    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（盖章）</w:t>
            </w:r>
          </w:p>
          <w:p>
            <w:pPr>
              <w:spacing w:line="240" w:lineRule="exact"/>
              <w:ind w:firstLine="5632" w:firstLineChars="320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报告日期：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/>
          <w:b/>
          <w:bCs/>
          <w:color w:val="000000"/>
          <w:sz w:val="18"/>
          <w:szCs w:val="18"/>
        </w:rPr>
      </w:pPr>
      <w:r>
        <w:rPr>
          <w:rFonts w:hint="eastAsia" w:ascii="Times New Roman" w:hAnsi="Times New Roman"/>
          <w:b/>
          <w:bCs/>
          <w:color w:val="000000"/>
          <w:sz w:val="18"/>
          <w:szCs w:val="18"/>
        </w:rPr>
        <w:t>检验人：                      审核人：                     批准人：</w:t>
      </w:r>
    </w:p>
    <w:p>
      <w:pPr>
        <w:rPr>
          <w:rFonts w:hint="eastAsia" w:ascii="Times New Roman" w:hAnsi="Times New Roman"/>
          <w:color w:val="000000"/>
          <w:sz w:val="18"/>
          <w:szCs w:val="18"/>
        </w:rPr>
      </w:pPr>
      <w:r>
        <w:rPr>
          <w:rFonts w:hint="eastAsia" w:ascii="Times New Roman" w:hAnsi="Times New Roman"/>
          <w:color w:val="000000"/>
          <w:sz w:val="18"/>
          <w:szCs w:val="18"/>
        </w:rPr>
        <w:t>注：以上为填写示例，请根据实际填写检验项目、检验方法、要求或限量值。</w:t>
      </w:r>
    </w:p>
    <w:p>
      <w:pPr>
        <w:rPr>
          <w:rFonts w:hint="eastAsia" w:ascii="Times New Roman" w:hAnsi="Times New Roman"/>
          <w:color w:val="000000"/>
          <w:sz w:val="18"/>
          <w:szCs w:val="1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531" w:bottom="1701" w:left="1531" w:header="851" w:footer="1191" w:gutter="0"/>
          <w:cols w:space="720" w:num="1"/>
          <w:rtlGutter w:val="0"/>
          <w:docGrid w:type="linesAndChars" w:linePitch="592" w:charSpace="-849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 w:right="320" w:rightChars="100"/>
      <w:rPr>
        <w:rStyle w:val="6"/>
        <w:rFonts w:ascii="宋体" w:hAnsi="宋体"/>
        <w:sz w:val="28"/>
      </w:rPr>
    </w:pPr>
    <w:r>
      <w:rPr>
        <w:rStyle w:val="6"/>
        <w:rFonts w:hint="eastAsia" w:ascii="宋体" w:hAnsi="宋体"/>
        <w:sz w:val="28"/>
      </w:rPr>
      <w:t xml:space="preserve">— </w:t>
    </w:r>
    <w:r>
      <w:rPr>
        <w:rFonts w:hint="eastAsia" w:ascii="宋体" w:hAnsi="宋体"/>
        <w:sz w:val="28"/>
      </w:rPr>
      <w:fldChar w:fldCharType="begin"/>
    </w:r>
    <w:r>
      <w:rPr>
        <w:rStyle w:val="6"/>
        <w:rFonts w:hint="eastAsia"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6"/>
        <w:rFonts w:ascii="宋体" w:hAnsi="宋体"/>
        <w:sz w:val="28"/>
      </w:rPr>
      <w:t>1</w:t>
    </w:r>
    <w:r>
      <w:rPr>
        <w:rFonts w:hint="eastAsia" w:ascii="宋体" w:hAnsi="宋体"/>
        <w:sz w:val="28"/>
      </w:rPr>
      <w:fldChar w:fldCharType="end"/>
    </w:r>
    <w:r>
      <w:rPr>
        <w:rStyle w:val="6"/>
        <w:rFonts w:hint="eastAsia" w:ascii="宋体" w:hAnsi="宋体"/>
        <w:sz w:val="28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 w:right="320" w:rightChars="100"/>
      <w:rPr>
        <w:rStyle w:val="6"/>
        <w:rFonts w:ascii="宋体" w:hAnsi="宋体"/>
        <w:sz w:val="28"/>
      </w:rPr>
    </w:pPr>
    <w:r>
      <w:rPr>
        <w:rStyle w:val="6"/>
        <w:rFonts w:hint="eastAsia" w:ascii="宋体" w:hAnsi="宋体"/>
        <w:sz w:val="28"/>
      </w:rPr>
      <w:t xml:space="preserve">— </w:t>
    </w:r>
    <w:r>
      <w:rPr>
        <w:rFonts w:hint="eastAsia" w:ascii="宋体" w:hAnsi="宋体"/>
        <w:sz w:val="28"/>
      </w:rPr>
      <w:fldChar w:fldCharType="begin"/>
    </w:r>
    <w:r>
      <w:rPr>
        <w:rStyle w:val="6"/>
        <w:rFonts w:hint="eastAsia"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6"/>
        <w:rFonts w:ascii="宋体" w:hAnsi="宋体"/>
        <w:sz w:val="28"/>
      </w:rPr>
      <w:t>2</w:t>
    </w:r>
    <w:r>
      <w:rPr>
        <w:rFonts w:hint="eastAsia" w:ascii="宋体" w:hAnsi="宋体"/>
        <w:sz w:val="28"/>
      </w:rPr>
      <w:fldChar w:fldCharType="end"/>
    </w:r>
    <w:r>
      <w:rPr>
        <w:rStyle w:val="6"/>
        <w:rFonts w:hint="eastAsia" w:ascii="宋体" w:hAnsi="宋体"/>
        <w:sz w:val="28"/>
      </w:rPr>
      <w:t xml:space="preserve"> —</w:t>
    </w:r>
  </w:p>
  <w:p>
    <w:pPr>
      <w:pStyle w:val="2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NTY3Zjg3MDRkZTUxYmY0ODYwMzExMGJjZmYwNjYifQ=="/>
  </w:docVars>
  <w:rsids>
    <w:rsidRoot w:val="7769148A"/>
    <w:rsid w:val="776914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2023-11-13T12:24:00Z</dcterms:created>
  <dc:creator>胡翌婧</dc:creator>
  <cp:lastModifiedBy>胡翌婧</cp:lastModifiedBy>
  <dcterms:modified xsi:type="dcterms:W3CDTF">2023-11-13T12:25:11Z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F97E6FE5C4FC4A2D97C477CC7B7A2F7A_11</vt:lpwstr>
  </property>
</Properties>
</file>