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_GB2312"/>
          <w:color w:val="000000"/>
          <w:sz w:val="32"/>
          <w:szCs w:val="32"/>
          <w:u w:val="none"/>
          <w:lang w:val="en-US" w:eastAsia="zh-CN"/>
        </w:rPr>
      </w:pPr>
      <w:r>
        <w:rPr>
          <w:rFonts w:hint="eastAsia" w:ascii="宋体" w:hAnsi="宋体" w:eastAsia="宋体"/>
          <w:sz w:val="28"/>
          <w:szCs w:val="28"/>
        </w:rPr>
        <w:t>甲方（承包方）：</w:t>
      </w:r>
      <w:r>
        <w:rPr>
          <w:rFonts w:hint="eastAsia" w:ascii="宋体" w:hAnsi="宋体" w:eastAsia="宋体"/>
          <w:sz w:val="24"/>
          <w:szCs w:val="24"/>
          <w:lang w:val="en-US" w:eastAsia="zh-CN"/>
        </w:rPr>
        <w:t>龙华镇竹园股份经济合作联合社</w:t>
      </w:r>
      <w:r>
        <w:rPr>
          <w:rFonts w:hint="eastAsia" w:ascii="宋体" w:hAnsi="宋体" w:eastAsia="宋体"/>
          <w:sz w:val="28"/>
          <w:szCs w:val="28"/>
          <w:lang w:val="en-US" w:eastAsia="zh-CN"/>
        </w:rPr>
        <w:t xml:space="preserve"> </w:t>
      </w:r>
      <w:r>
        <w:rPr>
          <w:rFonts w:hint="eastAsia" w:ascii="仿宋" w:hAnsi="仿宋" w:eastAsia="仿宋" w:cs="仿宋_GB2312"/>
          <w:color w:val="000000"/>
          <w:sz w:val="32"/>
          <w:szCs w:val="32"/>
          <w:u w:val="none"/>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账号：                           身份证号码：</w:t>
      </w:r>
      <w:r>
        <w:rPr>
          <w:rFonts w:hint="eastAsia" w:eastAsia="宋体"/>
          <w:sz w:val="24"/>
          <w:szCs w:val="24"/>
          <w:vertAlign w:val="baseline"/>
          <w:lang w:val="en-US" w:eastAsia="zh-CN"/>
        </w:rPr>
        <w:t xml:space="preserve"> </w:t>
      </w:r>
    </w:p>
    <w:p>
      <w:pPr>
        <w:rPr>
          <w:rFonts w:hint="eastAsia" w:ascii="宋体" w:hAnsi="宋体" w:eastAsia="宋体"/>
          <w:sz w:val="28"/>
          <w:szCs w:val="28"/>
          <w:lang w:val="en-US" w:eastAsia="zh-CN"/>
        </w:rPr>
      </w:pPr>
      <w:r>
        <w:rPr>
          <w:rFonts w:hint="eastAsia" w:ascii="宋体" w:hAnsi="宋体" w:eastAsia="宋体"/>
          <w:sz w:val="28"/>
          <w:szCs w:val="28"/>
        </w:rPr>
        <w:t>乙方（受让方）：</w:t>
      </w:r>
      <w:r>
        <w:rPr>
          <w:rFonts w:hint="eastAsia"/>
          <w:sz w:val="26"/>
          <w:szCs w:val="26"/>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联系电话：   </w:t>
      </w:r>
      <w:r>
        <w:rPr>
          <w:rFonts w:hint="eastAsia" w:ascii="宋体" w:hAnsi="宋体" w:eastAsia="宋体"/>
          <w:sz w:val="24"/>
          <w:szCs w:val="24"/>
          <w:lang w:val="en-US" w:eastAsia="zh-CN"/>
        </w:rPr>
        <w:t xml:space="preserve">                          </w:t>
      </w:r>
      <w:r>
        <w:rPr>
          <w:rFonts w:hint="eastAsia" w:ascii="宋体" w:hAnsi="宋体" w:eastAsia="宋体"/>
          <w:sz w:val="28"/>
          <w:szCs w:val="28"/>
        </w:rPr>
        <w:t>身</w:t>
      </w:r>
      <w:r>
        <w:rPr>
          <w:rFonts w:hint="eastAsia" w:ascii="宋体" w:hAnsi="宋体" w:eastAsia="宋体"/>
          <w:sz w:val="28"/>
          <w:szCs w:val="28"/>
          <w:lang w:val="en-US" w:eastAsia="zh-CN"/>
        </w:rPr>
        <w:t>份证号码</w:t>
      </w:r>
      <w:r>
        <w:rPr>
          <w:rFonts w:hint="eastAsia" w:ascii="宋体" w:hAnsi="宋体" w:eastAsia="宋体"/>
          <w:sz w:val="28"/>
          <w:szCs w:val="28"/>
        </w:rPr>
        <w:t>：</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石头岗、四方</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的农村鱼塘（地块的详细信息见下表）共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5.5</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365" w:tblpY="241"/>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735"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349" w:type="dxa"/>
            <w:vAlign w:val="center"/>
          </w:tcPr>
          <w:p>
            <w:pPr>
              <w:jc w:val="center"/>
              <w:rPr>
                <w:rFonts w:hint="default" w:ascii="宋体" w:hAnsi="宋体" w:eastAsia="宋体"/>
                <w:sz w:val="28"/>
                <w:szCs w:val="28"/>
                <w:lang w:val="en-US" w:eastAsia="zh-CN"/>
              </w:rPr>
            </w:pPr>
            <w:r>
              <w:rPr>
                <w:rFonts w:hint="default" w:ascii="宋体" w:hAnsi="宋体" w:eastAsia="宋体"/>
                <w:sz w:val="28"/>
                <w:szCs w:val="28"/>
                <w:lang w:val="en-US" w:eastAsia="zh-CN"/>
              </w:rPr>
              <w:t>石头岗、四方</w:t>
            </w:r>
          </w:p>
        </w:tc>
        <w:tc>
          <w:tcPr>
            <w:tcW w:w="1365" w:type="dxa"/>
          </w:tcPr>
          <w:p>
            <w:pPr>
              <w:jc w:val="center"/>
              <w:rPr>
                <w:rFonts w:ascii="宋体" w:hAnsi="宋体" w:eastAsia="宋体"/>
                <w:sz w:val="28"/>
                <w:szCs w:val="28"/>
              </w:rPr>
            </w:pPr>
          </w:p>
        </w:tc>
        <w:tc>
          <w:tcPr>
            <w:tcW w:w="1275" w:type="dxa"/>
          </w:tcPr>
          <w:p>
            <w:pPr>
              <w:jc w:val="center"/>
              <w:rPr>
                <w:rFonts w:hint="default" w:ascii="宋体" w:hAnsi="宋体" w:eastAsia="宋体"/>
                <w:sz w:val="28"/>
                <w:szCs w:val="28"/>
                <w:lang w:val="en-US"/>
              </w:rPr>
            </w:pPr>
            <w:r>
              <w:rPr>
                <w:rFonts w:hint="eastAsia" w:ascii="宋体" w:hAnsi="宋体" w:eastAsia="宋体"/>
                <w:sz w:val="28"/>
                <w:szCs w:val="28"/>
                <w:lang w:val="en-US" w:eastAsia="zh-CN"/>
              </w:rPr>
              <w:t>6.5亩</w:t>
            </w:r>
          </w:p>
        </w:tc>
        <w:tc>
          <w:tcPr>
            <w:tcW w:w="780" w:type="dxa"/>
          </w:tcPr>
          <w:p>
            <w:pPr>
              <w:rPr>
                <w:rFonts w:ascii="宋体" w:hAnsi="宋体" w:eastAsia="宋体"/>
                <w:sz w:val="28"/>
                <w:szCs w:val="28"/>
              </w:rPr>
            </w:pPr>
          </w:p>
        </w:tc>
        <w:tc>
          <w:tcPr>
            <w:tcW w:w="4735"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 xml:space="preserve">北排渠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 xml:space="preserve">石头岗果园 </w:t>
            </w:r>
          </w:p>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14:textFill>
                  <w14:solidFill>
                    <w14:schemeClr w14:val="tx1"/>
                  </w14:solidFill>
                </w14:textFill>
              </w:rPr>
              <w:t>西</w:t>
            </w:r>
            <w:r>
              <w:rPr>
                <w:rFonts w:hint="eastAsia" w:ascii="宋体" w:hAnsi="宋体" w:eastAsia="宋体"/>
                <w:color w:val="000000" w:themeColor="text1"/>
                <w:sz w:val="24"/>
                <w:szCs w:val="24"/>
                <w:lang w:val="en-US" w:eastAsia="zh-CN"/>
                <w14:textFill>
                  <w14:solidFill>
                    <w14:schemeClr w14:val="tx1"/>
                  </w14:solidFill>
                </w14:textFill>
              </w:rPr>
              <w:t>至</w:t>
            </w:r>
            <w:r>
              <w:rPr>
                <w:rFonts w:hint="eastAsia" w:ascii="宋体" w:hAnsi="宋体" w:eastAsia="宋体"/>
                <w:color w:val="000000" w:themeColor="text1"/>
                <w:sz w:val="24"/>
                <w:szCs w:val="24"/>
                <w14:textFill>
                  <w14:solidFill>
                    <w14:schemeClr w14:val="tx1"/>
                  </w14:solidFill>
                </w14:textFill>
              </w:rPr>
              <w:t>：</w:t>
            </w:r>
            <w:r>
              <w:rPr>
                <w:rFonts w:hint="eastAsia" w:ascii="宋体" w:hAnsi="宋体" w:eastAsia="宋体"/>
                <w:color w:val="000000" w:themeColor="text1"/>
                <w:sz w:val="24"/>
                <w:szCs w:val="24"/>
                <w:lang w:val="en-US" w:eastAsia="zh-CN"/>
                <w14:textFill>
                  <w14:solidFill>
                    <w14:schemeClr w14:val="tx1"/>
                  </w14:solidFill>
                </w14:textFill>
              </w:rPr>
              <w:t>杨关锡鱼塘</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杨均成耕地</w:t>
            </w:r>
          </w:p>
          <w:p>
            <w:pPr>
              <w:rPr>
                <w:rFonts w:hint="eastAsia"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lang w:val="en-US" w:eastAsia="zh-CN"/>
                <w14:textFill>
                  <w14:solidFill>
                    <w14:schemeClr w14:val="tx1"/>
                  </w14:solidFill>
                </w14:textFill>
              </w:rPr>
              <w:t>东至：机耕路        南至：杨关锡鱼塘</w:t>
            </w:r>
          </w:p>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color w:val="000000" w:themeColor="text1"/>
                <w:sz w:val="24"/>
                <w:szCs w:val="24"/>
                <w:lang w:val="en-US" w:eastAsia="zh-CN"/>
                <w14:textFill>
                  <w14:solidFill>
                    <w14:schemeClr w14:val="tx1"/>
                  </w14:solidFill>
                </w14:textFill>
              </w:rPr>
              <w:t>西至：杨照成鱼塘    北至：杨润河鱼塘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50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 陆点伍亩 </w:t>
            </w:r>
            <w:r>
              <w:rPr>
                <w:rFonts w:hint="eastAsia" w:ascii="宋体" w:hAnsi="宋体" w:eastAsia="宋体"/>
                <w:sz w:val="28"/>
                <w:szCs w:val="28"/>
              </w:rPr>
              <w:t>（小写）</w:t>
            </w:r>
            <w:r>
              <w:rPr>
                <w:rFonts w:hint="eastAsia" w:ascii="宋体" w:hAnsi="宋体" w:eastAsia="宋体"/>
                <w:sz w:val="28"/>
                <w:szCs w:val="28"/>
                <w:u w:val="single"/>
                <w:lang w:val="en-US" w:eastAsia="zh-CN"/>
              </w:rPr>
              <w:t xml:space="preserve"> 6.5 </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4</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34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10</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4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lang w:val="en-US" w:eastAsia="zh-CN"/>
        </w:rPr>
        <w:t>无</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w:t>
      </w:r>
    </w:p>
    <w:p>
      <w:pPr>
        <w:pStyle w:val="9"/>
        <w:numPr>
          <w:ilvl w:val="0"/>
          <w:numId w:val="2"/>
        </w:numPr>
        <w:ind w:firstLineChars="0"/>
        <w:rPr>
          <w:rFonts w:ascii="宋体" w:hAnsi="宋体" w:eastAsia="宋体"/>
          <w:sz w:val="28"/>
          <w:szCs w:val="28"/>
        </w:rPr>
      </w:pPr>
      <w:bookmarkStart w:id="0" w:name="_GoBack"/>
      <w:bookmarkEnd w:id="0"/>
      <w:r>
        <w:rPr>
          <w:rFonts w:hint="eastAsia" w:ascii="宋体" w:hAnsi="宋体" w:eastAsia="宋体"/>
          <w:sz w:val="28"/>
          <w:szCs w:val="28"/>
          <w:lang w:val="en-US" w:eastAsia="zh-CN"/>
        </w:rPr>
        <w:t xml:space="preserve"> </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w:t>
      </w:r>
      <w:r>
        <w:rPr>
          <w:rFonts w:hint="eastAsia" w:ascii="宋体" w:hAnsi="宋体" w:eastAsia="宋体"/>
          <w:sz w:val="28"/>
          <w:szCs w:val="28"/>
          <w:lang w:val="en-US" w:eastAsia="zh-CN"/>
        </w:rPr>
        <w:t>按实际测绘面积结算。</w:t>
      </w:r>
      <w:r>
        <w:rPr>
          <w:rFonts w:hint="eastAsia" w:ascii="宋体" w:hAnsi="宋体" w:eastAsia="宋体"/>
          <w:sz w:val="28"/>
          <w:szCs w:val="28"/>
        </w:rPr>
        <w:t>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（一年流转金） </w:t>
      </w:r>
      <w:r>
        <w:rPr>
          <w:rFonts w:hint="eastAsia" w:ascii="宋体" w:hAnsi="宋体" w:eastAsia="宋体"/>
          <w:sz w:val="28"/>
          <w:szCs w:val="28"/>
        </w:rPr>
        <w:t>元人民币作为押金，乙方对鱼塘无损害的情况下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lang w:val="en-US" w:eastAsia="zh-CN"/>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四</w:t>
      </w:r>
      <w:r>
        <w:rPr>
          <w:rFonts w:hint="eastAsia" w:ascii="宋体" w:hAnsi="宋体" w:eastAsia="宋体"/>
          <w:sz w:val="28"/>
          <w:szCs w:val="28"/>
          <w:u w:val="single"/>
        </w:rPr>
        <w:t xml:space="preserve"> </w:t>
      </w:r>
      <w:r>
        <w:rPr>
          <w:rFonts w:hint="eastAsia" w:ascii="宋体" w:hAnsi="宋体" w:eastAsia="宋体"/>
          <w:sz w:val="28"/>
          <w:szCs w:val="28"/>
        </w:rPr>
        <w:t>份，甲</w:t>
      </w:r>
      <w:r>
        <w:rPr>
          <w:rFonts w:hint="eastAsia" w:ascii="宋体" w:hAnsi="宋体" w:eastAsia="宋体"/>
          <w:sz w:val="28"/>
          <w:szCs w:val="28"/>
          <w:lang w:val="en-US" w:eastAsia="zh-CN"/>
        </w:rPr>
        <w:t>乙双</w:t>
      </w:r>
      <w:r>
        <w:rPr>
          <w:rFonts w:hint="eastAsia" w:ascii="宋体" w:hAnsi="宋体" w:eastAsia="宋体"/>
          <w:sz w:val="28"/>
          <w:szCs w:val="28"/>
        </w:rPr>
        <w:t>方</w:t>
      </w:r>
      <w:r>
        <w:rPr>
          <w:rFonts w:hint="eastAsia" w:ascii="宋体" w:hAnsi="宋体" w:eastAsia="宋体"/>
          <w:sz w:val="28"/>
          <w:szCs w:val="28"/>
          <w:lang w:eastAsia="zh-CN"/>
        </w:rPr>
        <w:t>、</w:t>
      </w:r>
      <w:r>
        <w:rPr>
          <w:rFonts w:hint="eastAsia" w:ascii="宋体" w:hAnsi="宋体" w:eastAsia="宋体"/>
          <w:sz w:val="28"/>
          <w:szCs w:val="28"/>
        </w:rPr>
        <w:t>镇</w:t>
      </w:r>
      <w:r>
        <w:rPr>
          <w:rFonts w:hint="eastAsia" w:ascii="宋体" w:hAnsi="宋体" w:eastAsia="宋体"/>
          <w:sz w:val="28"/>
          <w:szCs w:val="28"/>
          <w:lang w:val="en-US" w:eastAsia="zh-CN"/>
        </w:rPr>
        <w:t>农村产权流转</w:t>
      </w:r>
      <w:r>
        <w:rPr>
          <w:rFonts w:hint="eastAsia" w:ascii="宋体" w:hAnsi="宋体" w:eastAsia="宋体"/>
          <w:sz w:val="28"/>
          <w:szCs w:val="28"/>
        </w:rPr>
        <w:t>交易中心和镇</w:t>
      </w:r>
      <w:r>
        <w:rPr>
          <w:rFonts w:hint="eastAsia" w:ascii="宋体" w:hAnsi="宋体" w:eastAsia="宋体"/>
          <w:sz w:val="28"/>
          <w:szCs w:val="28"/>
          <w:lang w:val="en-US" w:eastAsia="zh-CN"/>
        </w:rPr>
        <w:t>财经事务</w:t>
      </w:r>
      <w:r>
        <w:rPr>
          <w:rFonts w:hint="eastAsia" w:ascii="宋体" w:hAnsi="宋体" w:eastAsia="宋体"/>
          <w:sz w:val="28"/>
          <w:szCs w:val="28"/>
        </w:rPr>
        <w:t>中心各执一份</w:t>
      </w:r>
    </w:p>
    <w:sectPr>
      <w:footerReference r:id="rId3" w:type="default"/>
      <w:pgSz w:w="11906" w:h="16838"/>
      <w:pgMar w:top="986" w:right="1080" w:bottom="986"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58F7F4F"/>
    <w:rsid w:val="065E001E"/>
    <w:rsid w:val="06F55595"/>
    <w:rsid w:val="0895702F"/>
    <w:rsid w:val="09C56FCF"/>
    <w:rsid w:val="0C7A7E4F"/>
    <w:rsid w:val="0DAB1125"/>
    <w:rsid w:val="10AC44CF"/>
    <w:rsid w:val="12AE0207"/>
    <w:rsid w:val="12F12BDC"/>
    <w:rsid w:val="14AC33BB"/>
    <w:rsid w:val="14D07514"/>
    <w:rsid w:val="19EA390E"/>
    <w:rsid w:val="1B0B2643"/>
    <w:rsid w:val="1B7A3B2C"/>
    <w:rsid w:val="1C393ED1"/>
    <w:rsid w:val="1CE53331"/>
    <w:rsid w:val="1DF85899"/>
    <w:rsid w:val="1E0D0403"/>
    <w:rsid w:val="1EFB2F73"/>
    <w:rsid w:val="28CC0B00"/>
    <w:rsid w:val="2B865A44"/>
    <w:rsid w:val="2C805523"/>
    <w:rsid w:val="2DBB47CE"/>
    <w:rsid w:val="32541BB8"/>
    <w:rsid w:val="378D52CC"/>
    <w:rsid w:val="37965A30"/>
    <w:rsid w:val="385B4FD1"/>
    <w:rsid w:val="3AEC0481"/>
    <w:rsid w:val="3D281ADC"/>
    <w:rsid w:val="3DA00CE9"/>
    <w:rsid w:val="3DF6333A"/>
    <w:rsid w:val="3E46434D"/>
    <w:rsid w:val="3E6612DC"/>
    <w:rsid w:val="3EC755F9"/>
    <w:rsid w:val="3F4C2114"/>
    <w:rsid w:val="3F834914"/>
    <w:rsid w:val="40D91AFA"/>
    <w:rsid w:val="42A72228"/>
    <w:rsid w:val="42E4647F"/>
    <w:rsid w:val="45E47BF4"/>
    <w:rsid w:val="46222FA9"/>
    <w:rsid w:val="47350368"/>
    <w:rsid w:val="4DED2594"/>
    <w:rsid w:val="4E0260E0"/>
    <w:rsid w:val="4ED95ECC"/>
    <w:rsid w:val="4F135B85"/>
    <w:rsid w:val="4FA56C62"/>
    <w:rsid w:val="53A136FD"/>
    <w:rsid w:val="53E01B54"/>
    <w:rsid w:val="53EA30FF"/>
    <w:rsid w:val="543D0FE2"/>
    <w:rsid w:val="548D1844"/>
    <w:rsid w:val="55A35789"/>
    <w:rsid w:val="5AEE74A6"/>
    <w:rsid w:val="5EF24C19"/>
    <w:rsid w:val="60CD46E6"/>
    <w:rsid w:val="66EE4C87"/>
    <w:rsid w:val="682E47D3"/>
    <w:rsid w:val="69FA19C4"/>
    <w:rsid w:val="6A7D43A3"/>
    <w:rsid w:val="6A9036DD"/>
    <w:rsid w:val="6AAD3C64"/>
    <w:rsid w:val="6B80239C"/>
    <w:rsid w:val="6C956735"/>
    <w:rsid w:val="6E8468F5"/>
    <w:rsid w:val="6EDA3C49"/>
    <w:rsid w:val="6FD8102E"/>
    <w:rsid w:val="70791ADF"/>
    <w:rsid w:val="70875F7B"/>
    <w:rsid w:val="70D07922"/>
    <w:rsid w:val="739A479B"/>
    <w:rsid w:val="759D2A53"/>
    <w:rsid w:val="75CA0DE4"/>
    <w:rsid w:val="76E86E4B"/>
    <w:rsid w:val="777348FC"/>
    <w:rsid w:val="795E5303"/>
    <w:rsid w:val="79E87A8A"/>
    <w:rsid w:val="7AB16CF9"/>
    <w:rsid w:val="7CB13ECE"/>
    <w:rsid w:val="7CBA145A"/>
    <w:rsid w:val="7D441714"/>
    <w:rsid w:val="7DE67EDB"/>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22</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2024-02-29T08:08:00Z</cp:lastPrinted>
  <dcterms:modified xsi:type="dcterms:W3CDTF">2024-03-01T01:20:40Z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