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rPr>
        <w:t>博罗县支持全国供销</w:t>
      </w:r>
      <w:r>
        <w:rPr>
          <w:rFonts w:hint="eastAsia" w:ascii="方正小标宋简体" w:hAnsi="方正小标宋简体" w:eastAsia="方正小标宋简体" w:cs="方正小标宋简体"/>
          <w:color w:val="000000"/>
          <w:sz w:val="44"/>
          <w:szCs w:val="44"/>
          <w:lang w:val="en-US" w:eastAsia="zh-CN"/>
        </w:rPr>
        <w:t>合作社</w:t>
      </w:r>
      <w:r>
        <w:rPr>
          <w:rFonts w:hint="eastAsia" w:ascii="方正小标宋简体" w:hAnsi="方正小标宋简体" w:eastAsia="方正小标宋简体" w:cs="方正小标宋简体"/>
          <w:color w:val="000000"/>
          <w:sz w:val="44"/>
          <w:szCs w:val="44"/>
        </w:rPr>
        <w:t>农产品供应链创新中心建设</w:t>
      </w:r>
      <w:r>
        <w:rPr>
          <w:rFonts w:hint="eastAsia" w:ascii="方正小标宋简体" w:hAnsi="方正小标宋简体" w:eastAsia="方正小标宋简体" w:cs="方正小标宋简体"/>
          <w:color w:val="000000"/>
          <w:sz w:val="44"/>
          <w:szCs w:val="44"/>
          <w:lang w:val="en-US" w:eastAsia="zh-CN"/>
        </w:rPr>
        <w:t>奖补办法</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sz w:val="32"/>
          <w:szCs w:val="32"/>
        </w:rPr>
        <w:t>（</w:t>
      </w:r>
      <w:r>
        <w:rPr>
          <w:rFonts w:hint="eastAsia" w:ascii="楷体_GB2312" w:hAnsi="楷体_GB2312" w:eastAsia="楷体_GB2312" w:cs="楷体_GB2312"/>
          <w:b/>
          <w:bCs/>
          <w:color w:val="000000"/>
          <w:sz w:val="32"/>
          <w:szCs w:val="32"/>
          <w:lang w:val="en-US" w:eastAsia="zh-CN"/>
        </w:rPr>
        <w:t>征求意见</w:t>
      </w:r>
      <w:r>
        <w:rPr>
          <w:rFonts w:hint="eastAsia" w:ascii="楷体_GB2312" w:hAnsi="楷体_GB2312" w:eastAsia="楷体_GB2312" w:cs="楷体_GB2312"/>
          <w:b/>
          <w:bCs/>
          <w:color w:val="000000"/>
          <w:sz w:val="32"/>
          <w:szCs w:val="32"/>
        </w:rPr>
        <w:t>稿）</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20"/>
        </w:rPr>
      </w:pPr>
    </w:p>
    <w:p>
      <w:pPr>
        <w:spacing w:line="590" w:lineRule="exact"/>
        <w:ind w:firstLine="640" w:firstLineChars="200"/>
        <w:rPr>
          <w:rFonts w:hint="eastAsia" w:ascii="仿宋_GB2312" w:hAnsi="仿宋_GB2312" w:eastAsia="仿宋_GB2312" w:cs="仿宋_GB2312"/>
          <w:color w:val="000000"/>
          <w:sz w:val="32"/>
          <w:szCs w:val="20"/>
          <w:highlight w:val="none"/>
        </w:rPr>
      </w:pPr>
      <w:bookmarkStart w:id="0" w:name="_GoBack"/>
      <w:r>
        <w:rPr>
          <w:rFonts w:hint="eastAsia" w:ascii="仿宋_GB2312" w:hAnsi="仿宋_GB2312" w:eastAsia="仿宋_GB2312" w:cs="仿宋_GB2312"/>
          <w:color w:val="000000"/>
          <w:sz w:val="32"/>
          <w:szCs w:val="20"/>
          <w:highlight w:val="none"/>
        </w:rPr>
        <w:t>为贯彻落实省委“1310”具体部署，</w:t>
      </w:r>
      <w:r>
        <w:rPr>
          <w:rFonts w:hint="eastAsia" w:ascii="仿宋_GB2312" w:hAnsi="仿宋_GB2312" w:eastAsia="仿宋_GB2312" w:cs="仿宋_GB2312"/>
          <w:color w:val="000000"/>
          <w:sz w:val="32"/>
          <w:szCs w:val="20"/>
          <w:highlight w:val="none"/>
          <w:lang w:val="en-US" w:eastAsia="zh-CN"/>
        </w:rPr>
        <w:t>深入实施</w:t>
      </w:r>
      <w:r>
        <w:rPr>
          <w:rFonts w:hint="eastAsia" w:ascii="仿宋_GB2312" w:hAnsi="仿宋_GB2312" w:eastAsia="仿宋_GB2312" w:cs="仿宋_GB2312"/>
          <w:color w:val="000000"/>
          <w:kern w:val="0"/>
          <w:sz w:val="32"/>
          <w:szCs w:val="22"/>
          <w:highlight w:val="none"/>
        </w:rPr>
        <w:t>广东省委、省政府“百千万工程”</w:t>
      </w:r>
      <w:r>
        <w:rPr>
          <w:rFonts w:hint="eastAsia" w:ascii="仿宋_GB2312" w:hAnsi="仿宋_GB2312" w:eastAsia="仿宋_GB2312" w:cs="仿宋_GB2312"/>
          <w:color w:val="000000"/>
          <w:sz w:val="32"/>
          <w:szCs w:val="20"/>
          <w:highlight w:val="none"/>
        </w:rPr>
        <w:t>，</w:t>
      </w:r>
      <w:r>
        <w:rPr>
          <w:rFonts w:hint="eastAsia" w:ascii="仿宋_GB2312" w:hAnsi="仿宋_GB2312" w:eastAsia="仿宋_GB2312" w:cs="仿宋_GB2312"/>
          <w:color w:val="000000"/>
          <w:sz w:val="32"/>
          <w:szCs w:val="20"/>
          <w:highlight w:val="none"/>
          <w:lang w:val="en-US" w:eastAsia="zh-CN"/>
        </w:rPr>
        <w:t>推动</w:t>
      </w:r>
      <w:r>
        <w:rPr>
          <w:rFonts w:hint="eastAsia" w:ascii="仿宋_GB2312" w:hAnsi="仿宋_GB2312" w:eastAsia="仿宋_GB2312" w:cs="仿宋_GB2312"/>
          <w:color w:val="000000"/>
          <w:sz w:val="32"/>
          <w:szCs w:val="20"/>
          <w:highlight w:val="none"/>
        </w:rPr>
        <w:t>博罗县</w:t>
      </w:r>
      <w:r>
        <w:rPr>
          <w:rFonts w:hint="eastAsia" w:ascii="仿宋_GB2312" w:hAnsi="仿宋_GB2312" w:eastAsia="仿宋_GB2312" w:cs="仿宋_GB2312"/>
          <w:color w:val="000000"/>
          <w:sz w:val="32"/>
          <w:szCs w:val="20"/>
          <w:highlight w:val="none"/>
          <w:lang w:val="en-US" w:eastAsia="zh-CN"/>
        </w:rPr>
        <w:t>食材</w:t>
      </w:r>
      <w:r>
        <w:rPr>
          <w:rFonts w:hint="eastAsia" w:ascii="仿宋_GB2312" w:hAnsi="仿宋_GB2312" w:eastAsia="仿宋_GB2312" w:cs="仿宋_GB2312"/>
          <w:color w:val="000000"/>
          <w:sz w:val="32"/>
          <w:szCs w:val="20"/>
          <w:highlight w:val="none"/>
        </w:rPr>
        <w:t>产业链高质量发展，</w:t>
      </w:r>
      <w:r>
        <w:rPr>
          <w:rFonts w:hint="eastAsia" w:ascii="仿宋_GB2312" w:hAnsi="仿宋_GB2312" w:eastAsia="仿宋_GB2312" w:cs="仿宋_GB2312"/>
          <w:color w:val="000000"/>
          <w:sz w:val="32"/>
          <w:szCs w:val="20"/>
          <w:highlight w:val="none"/>
          <w:lang w:val="en-US" w:eastAsia="zh-CN"/>
        </w:rPr>
        <w:t>助力</w:t>
      </w:r>
      <w:r>
        <w:rPr>
          <w:rFonts w:hint="eastAsia" w:ascii="仿宋_GB2312" w:hAnsi="仿宋_GB2312" w:eastAsia="仿宋_GB2312" w:cs="仿宋_GB2312"/>
          <w:color w:val="000000"/>
          <w:sz w:val="32"/>
          <w:szCs w:val="20"/>
          <w:highlight w:val="none"/>
        </w:rPr>
        <w:t>农业提质增效、农民</w:t>
      </w:r>
      <w:r>
        <w:rPr>
          <w:rFonts w:hint="eastAsia" w:ascii="仿宋_GB2312" w:hAnsi="仿宋_GB2312" w:eastAsia="仿宋_GB2312" w:cs="仿宋_GB2312"/>
          <w:color w:val="000000"/>
          <w:sz w:val="32"/>
          <w:szCs w:val="20"/>
          <w:highlight w:val="none"/>
          <w:lang w:val="en-US" w:eastAsia="zh-CN"/>
        </w:rPr>
        <w:t>降本</w:t>
      </w:r>
      <w:r>
        <w:rPr>
          <w:rFonts w:hint="eastAsia" w:ascii="仿宋_GB2312" w:hAnsi="仿宋_GB2312" w:eastAsia="仿宋_GB2312" w:cs="仿宋_GB2312"/>
          <w:color w:val="000000"/>
          <w:sz w:val="32"/>
          <w:szCs w:val="20"/>
          <w:highlight w:val="none"/>
        </w:rPr>
        <w:t>增收，</w:t>
      </w:r>
      <w:r>
        <w:rPr>
          <w:rFonts w:hint="eastAsia" w:ascii="仿宋_GB2312" w:hAnsi="仿宋_GB2312" w:eastAsia="仿宋_GB2312" w:cs="仿宋_GB2312"/>
          <w:color w:val="000000"/>
          <w:sz w:val="32"/>
          <w:szCs w:val="20"/>
          <w:highlight w:val="none"/>
          <w:lang w:val="en-US" w:eastAsia="zh-CN"/>
        </w:rPr>
        <w:t>拟</w:t>
      </w:r>
      <w:r>
        <w:rPr>
          <w:rFonts w:hint="eastAsia" w:ascii="仿宋_GB2312" w:hAnsi="仿宋_GB2312" w:eastAsia="仿宋_GB2312" w:cs="仿宋_GB2312"/>
          <w:color w:val="000000"/>
          <w:sz w:val="32"/>
          <w:szCs w:val="20"/>
          <w:highlight w:val="none"/>
        </w:rPr>
        <w:t>依托粤港澳大湾区绿色农产品生产供应基地项目</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sz w:val="32"/>
          <w:szCs w:val="32"/>
          <w:highlight w:val="none"/>
          <w:lang w:val="en-US" w:eastAsia="zh-CN"/>
        </w:rPr>
        <w:t>打造全国供销合作社</w:t>
      </w:r>
      <w:r>
        <w:rPr>
          <w:rFonts w:hint="eastAsia" w:ascii="仿宋_GB2312" w:hAnsi="仿宋_GB2312" w:eastAsia="仿宋_GB2312" w:cs="仿宋_GB2312"/>
          <w:sz w:val="32"/>
          <w:szCs w:val="32"/>
          <w:highlight w:val="none"/>
        </w:rPr>
        <w:t>农产品供应链创新</w:t>
      </w:r>
      <w:r>
        <w:rPr>
          <w:rFonts w:hint="eastAsia" w:ascii="仿宋_GB2312" w:hAnsi="仿宋_GB2312" w:eastAsia="仿宋_GB2312" w:cs="仿宋_GB2312"/>
          <w:sz w:val="32"/>
          <w:szCs w:val="32"/>
          <w:highlight w:val="none"/>
          <w:lang w:val="en-US" w:eastAsia="zh-CN"/>
        </w:rPr>
        <w:t>中心（以下简称创新中心）</w:t>
      </w:r>
      <w:r>
        <w:rPr>
          <w:rFonts w:hint="eastAsia" w:ascii="仿宋_GB2312" w:hAnsi="仿宋_GB2312" w:eastAsia="仿宋_GB2312" w:cs="仿宋_GB2312"/>
          <w:sz w:val="32"/>
          <w:szCs w:val="32"/>
          <w:highlight w:val="none"/>
        </w:rPr>
        <w:t>，依托供销系统组织体系和服务网络</w:t>
      </w:r>
      <w:r>
        <w:rPr>
          <w:rFonts w:hint="eastAsia" w:ascii="仿宋_GB2312" w:hAnsi="仿宋_GB2312" w:eastAsia="仿宋_GB2312" w:cs="仿宋_GB2312"/>
          <w:sz w:val="32"/>
          <w:szCs w:val="32"/>
          <w:highlight w:val="none"/>
          <w:lang w:val="en-US" w:eastAsia="zh-CN"/>
        </w:rPr>
        <w:t>优势</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创新“多一多”交易模式，</w:t>
      </w:r>
      <w:r>
        <w:rPr>
          <w:rFonts w:hint="eastAsia" w:ascii="仿宋_GB2312" w:hAnsi="仿宋_GB2312" w:eastAsia="仿宋_GB2312" w:cs="仿宋_GB2312"/>
          <w:sz w:val="32"/>
          <w:szCs w:val="32"/>
          <w:highlight w:val="none"/>
        </w:rPr>
        <w:t>集成</w:t>
      </w:r>
      <w:r>
        <w:rPr>
          <w:rFonts w:hint="eastAsia" w:ascii="仿宋_GB2312" w:hAnsi="仿宋_GB2312" w:eastAsia="仿宋_GB2312" w:cs="仿宋_GB2312"/>
          <w:sz w:val="32"/>
          <w:szCs w:val="32"/>
          <w:highlight w:val="none"/>
          <w:lang w:val="en-US" w:eastAsia="zh-CN"/>
        </w:rPr>
        <w:t>数字供销服务能力，促进产销对接</w:t>
      </w:r>
      <w:r>
        <w:rPr>
          <w:rFonts w:hint="eastAsia" w:ascii="仿宋_GB2312" w:hAnsi="仿宋_GB2312" w:eastAsia="仿宋_GB2312" w:cs="仿宋_GB2312"/>
          <w:sz w:val="32"/>
          <w:szCs w:val="32"/>
          <w:highlight w:val="none"/>
        </w:rPr>
        <w:t>，推动全国</w:t>
      </w:r>
      <w:r>
        <w:rPr>
          <w:rFonts w:hint="eastAsia" w:ascii="仿宋_GB2312" w:hAnsi="仿宋_GB2312" w:eastAsia="仿宋_GB2312" w:cs="仿宋_GB2312"/>
          <w:sz w:val="32"/>
          <w:szCs w:val="32"/>
          <w:highlight w:val="none"/>
          <w:lang w:val="en-US" w:eastAsia="zh-CN"/>
        </w:rPr>
        <w:t>优势</w:t>
      </w:r>
      <w:r>
        <w:rPr>
          <w:rFonts w:hint="eastAsia" w:ascii="仿宋_GB2312" w:hAnsi="仿宋_GB2312" w:eastAsia="仿宋_GB2312" w:cs="仿宋_GB2312"/>
          <w:sz w:val="32"/>
          <w:szCs w:val="32"/>
          <w:highlight w:val="none"/>
        </w:rPr>
        <w:t>农产品</w:t>
      </w:r>
      <w:r>
        <w:rPr>
          <w:rFonts w:hint="eastAsia" w:ascii="仿宋_GB2312" w:hAnsi="仿宋_GB2312" w:eastAsia="仿宋_GB2312" w:cs="仿宋_GB2312"/>
          <w:sz w:val="32"/>
          <w:szCs w:val="32"/>
          <w:highlight w:val="none"/>
          <w:lang w:val="en-US" w:eastAsia="zh-CN"/>
        </w:rPr>
        <w:t>入湾出海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形成以博罗为轴心的“买全国、卖全国”的战略格局。</w:t>
      </w:r>
      <w:r>
        <w:rPr>
          <w:rFonts w:hint="eastAsia" w:ascii="仿宋_GB2312" w:hAnsi="仿宋_GB2312" w:eastAsia="仿宋_GB2312" w:cs="仿宋_GB2312"/>
          <w:color w:val="auto"/>
          <w:sz w:val="32"/>
          <w:szCs w:val="32"/>
          <w:highlight w:val="none"/>
        </w:rPr>
        <w:t>为</w:t>
      </w:r>
      <w:r>
        <w:rPr>
          <w:rFonts w:hint="eastAsia" w:ascii="仿宋_GB2312" w:hAnsi="仿宋_GB2312" w:eastAsia="仿宋_GB2312" w:cs="仿宋_GB2312"/>
          <w:color w:val="auto"/>
          <w:sz w:val="32"/>
          <w:szCs w:val="32"/>
          <w:highlight w:val="none"/>
          <w:lang w:val="en-US" w:eastAsia="zh-CN"/>
        </w:rPr>
        <w:t>支持创新中心建设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结合本县工作实际</w:t>
      </w:r>
      <w:r>
        <w:rPr>
          <w:rFonts w:hint="eastAsia" w:ascii="仿宋_GB2312" w:hAnsi="仿宋_GB2312" w:eastAsia="仿宋_GB2312" w:cs="仿宋_GB2312"/>
          <w:color w:val="000000"/>
          <w:sz w:val="32"/>
          <w:szCs w:val="20"/>
          <w:highlight w:val="none"/>
        </w:rPr>
        <w:t>，制定以下</w:t>
      </w:r>
      <w:r>
        <w:rPr>
          <w:rFonts w:hint="eastAsia" w:ascii="仿宋_GB2312" w:hAnsi="仿宋_GB2312" w:eastAsia="仿宋_GB2312" w:cs="仿宋_GB2312"/>
          <w:color w:val="000000"/>
          <w:sz w:val="32"/>
          <w:szCs w:val="20"/>
          <w:highlight w:val="none"/>
          <w:lang w:val="en-US" w:eastAsia="zh-CN"/>
        </w:rPr>
        <w:t>奖补办法</w:t>
      </w:r>
      <w:r>
        <w:rPr>
          <w:rFonts w:hint="eastAsia" w:ascii="仿宋_GB2312" w:hAnsi="仿宋_GB2312" w:eastAsia="仿宋_GB2312" w:cs="仿宋_GB2312"/>
          <w:color w:val="000000"/>
          <w:sz w:val="32"/>
          <w:szCs w:val="20"/>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lang w:val="en-US" w:eastAsia="zh-CN"/>
        </w:rPr>
        <w:t>一、</w:t>
      </w:r>
      <w:r>
        <w:rPr>
          <w:rFonts w:hint="eastAsia" w:ascii="黑体" w:hAnsi="黑体" w:eastAsia="黑体" w:cs="黑体"/>
          <w:color w:val="000000"/>
          <w:sz w:val="32"/>
          <w:szCs w:val="32"/>
          <w:highlight w:val="none"/>
        </w:rPr>
        <w:t>设立专项</w:t>
      </w:r>
      <w:r>
        <w:rPr>
          <w:rFonts w:hint="eastAsia" w:ascii="黑体" w:hAnsi="黑体" w:eastAsia="黑体" w:cs="黑体"/>
          <w:color w:val="000000"/>
          <w:sz w:val="32"/>
          <w:szCs w:val="32"/>
          <w:highlight w:val="none"/>
          <w:lang w:val="en-US" w:eastAsia="zh-CN"/>
        </w:rPr>
        <w:t>资金</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bCs/>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博罗县财政统筹安排3000万元奖补资金，专项用于支持创新中心建设。包括全国31个省（市、区）供销系统企业的进驻、</w:t>
      </w:r>
      <w:r>
        <w:rPr>
          <w:rFonts w:hint="eastAsia" w:ascii="仿宋_GB2312" w:hAnsi="仿宋_GB2312" w:eastAsia="仿宋_GB2312" w:cs="仿宋_GB2312"/>
          <w:color w:val="000000"/>
          <w:sz w:val="32"/>
          <w:szCs w:val="32"/>
          <w:highlight w:val="none"/>
          <w:lang w:val="en-US" w:eastAsia="zh-CN"/>
        </w:rPr>
        <w:t>展销场地的建设、数字化运营和农产品供应链业务等方面。</w:t>
      </w:r>
      <w:r>
        <w:rPr>
          <w:rFonts w:hint="eastAsia" w:ascii="仿宋_GB2312" w:hAnsi="仿宋_GB2312" w:eastAsia="仿宋_GB2312" w:cs="仿宋_GB2312"/>
          <w:b/>
          <w:bCs/>
          <w:color w:val="000000"/>
          <w:sz w:val="32"/>
          <w:szCs w:val="32"/>
          <w:highlight w:val="none"/>
          <w:lang w:val="en-US" w:eastAsia="zh-CN"/>
        </w:rPr>
        <w:t>（责任单位：县财政局）</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rPr>
          <w:rFonts w:hint="eastAsia" w:ascii="黑体" w:hAnsi="黑体" w:eastAsia="黑体" w:cs="黑体"/>
          <w:color w:val="000000"/>
          <w:sz w:val="32"/>
          <w:szCs w:val="32"/>
          <w:highlight w:val="none"/>
          <w:lang w:eastAsia="zh-CN"/>
        </w:rPr>
      </w:pPr>
      <w:r>
        <w:rPr>
          <w:rFonts w:hint="eastAsia" w:ascii="黑体" w:hAnsi="黑体" w:eastAsia="黑体" w:cs="黑体"/>
          <w:color w:val="000000"/>
          <w:sz w:val="32"/>
          <w:szCs w:val="32"/>
          <w:highlight w:val="none"/>
          <w:lang w:val="en-US" w:eastAsia="zh-CN"/>
        </w:rPr>
        <w:t>二、奖补对象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全国31个省（市、区）供销合作社的社有企业，并满足以下条件：（一）在创新中心注册登记的法人主体；（二）</w:t>
      </w:r>
      <w:r>
        <w:rPr>
          <w:rFonts w:hint="eastAsia" w:ascii="仿宋_GB2312" w:hAnsi="仿宋_GB2312" w:eastAsia="仿宋_GB2312" w:cs="仿宋_GB2312"/>
          <w:i w:val="0"/>
          <w:iCs w:val="0"/>
          <w:caps w:val="0"/>
          <w:color w:val="000000"/>
          <w:spacing w:val="0"/>
          <w:sz w:val="32"/>
          <w:szCs w:val="32"/>
          <w:highlight w:val="none"/>
          <w:shd w:val="clear" w:fill="auto"/>
        </w:rPr>
        <w:t>供销合作社</w:t>
      </w:r>
      <w:r>
        <w:rPr>
          <w:rFonts w:hint="eastAsia" w:ascii="仿宋_GB2312" w:hAnsi="仿宋_GB2312" w:eastAsia="仿宋_GB2312" w:cs="仿宋_GB2312"/>
          <w:i w:val="0"/>
          <w:iCs w:val="0"/>
          <w:caps w:val="0"/>
          <w:color w:val="000000"/>
          <w:spacing w:val="0"/>
          <w:sz w:val="32"/>
          <w:szCs w:val="32"/>
          <w:highlight w:val="none"/>
          <w:shd w:val="clear"/>
          <w:lang w:val="en-US" w:eastAsia="zh-CN"/>
        </w:rPr>
        <w:t>作为</w:t>
      </w:r>
      <w:r>
        <w:rPr>
          <w:rFonts w:hint="eastAsia" w:ascii="仿宋_GB2312" w:hAnsi="仿宋_GB2312" w:eastAsia="仿宋_GB2312" w:cs="仿宋_GB2312"/>
          <w:color w:val="000000"/>
          <w:sz w:val="32"/>
          <w:szCs w:val="32"/>
          <w:highlight w:val="none"/>
          <w:lang w:val="en-US" w:eastAsia="zh-CN"/>
        </w:rPr>
        <w:t>单一大股东，</w:t>
      </w:r>
      <w:r>
        <w:rPr>
          <w:rFonts w:hint="eastAsia" w:ascii="仿宋_GB2312" w:hAnsi="仿宋_GB2312" w:eastAsia="仿宋_GB2312" w:cs="仿宋_GB2312"/>
          <w:i w:val="0"/>
          <w:iCs w:val="0"/>
          <w:caps w:val="0"/>
          <w:color w:val="000000"/>
          <w:spacing w:val="0"/>
          <w:sz w:val="32"/>
          <w:szCs w:val="32"/>
          <w:highlight w:val="none"/>
          <w:shd w:val="clear" w:fill="auto"/>
        </w:rPr>
        <w:t>持股</w:t>
      </w:r>
      <w:r>
        <w:rPr>
          <w:rFonts w:hint="eastAsia" w:ascii="仿宋_GB2312" w:hAnsi="仿宋_GB2312" w:eastAsia="仿宋_GB2312" w:cs="仿宋_GB2312"/>
          <w:i w:val="0"/>
          <w:iCs w:val="0"/>
          <w:caps w:val="0"/>
          <w:color w:val="000000"/>
          <w:spacing w:val="0"/>
          <w:sz w:val="32"/>
          <w:szCs w:val="32"/>
          <w:highlight w:val="none"/>
          <w:shd w:val="clear"/>
          <w:lang w:val="en-US" w:eastAsia="zh-CN"/>
        </w:rPr>
        <w:t>比例不低于</w:t>
      </w:r>
      <w:r>
        <w:rPr>
          <w:rFonts w:hint="eastAsia" w:ascii="仿宋_GB2312" w:hAnsi="仿宋_GB2312" w:eastAsia="仿宋_GB2312" w:cs="仿宋_GB2312"/>
          <w:i w:val="0"/>
          <w:iCs w:val="0"/>
          <w:caps w:val="0"/>
          <w:color w:val="000000"/>
          <w:spacing w:val="0"/>
          <w:sz w:val="32"/>
          <w:szCs w:val="32"/>
          <w:highlight w:val="none"/>
          <w:shd w:val="clear" w:fill="auto"/>
        </w:rPr>
        <w:t>34％</w:t>
      </w:r>
      <w:r>
        <w:rPr>
          <w:rFonts w:hint="eastAsia" w:ascii="仿宋_GB2312" w:hAnsi="仿宋_GB2312" w:eastAsia="仿宋_GB2312" w:cs="仿宋_GB2312"/>
          <w:i w:val="0"/>
          <w:iCs w:val="0"/>
          <w:caps w:val="0"/>
          <w:color w:val="000000"/>
          <w:spacing w:val="0"/>
          <w:sz w:val="32"/>
          <w:szCs w:val="32"/>
          <w:highlight w:val="none"/>
          <w:shd w:val="clear"/>
          <w:lang w:eastAsia="zh-CN"/>
        </w:rPr>
        <w:t>；</w:t>
      </w:r>
      <w:r>
        <w:rPr>
          <w:rFonts w:hint="eastAsia" w:ascii="仿宋_GB2312" w:hAnsi="仿宋_GB2312" w:eastAsia="仿宋_GB2312" w:cs="仿宋_GB2312"/>
          <w:color w:val="000000"/>
          <w:sz w:val="32"/>
          <w:szCs w:val="32"/>
          <w:highlight w:val="none"/>
          <w:lang w:val="en-US" w:eastAsia="zh-CN"/>
        </w:rPr>
        <w:t>（三）在创新中心有独立的办公或经营场所；（四）有独立的财务人员及运营团队；（五）依托创新中心依法依规开展农产品供应链业务。</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ind w:firstLine="640" w:firstLineChars="200"/>
        <w:jc w:val="both"/>
        <w:outlineLvl w:val="2"/>
        <w:rPr>
          <w:rFonts w:hint="eastAsia" w:ascii="黑体" w:hAnsi="黑体" w:eastAsia="黑体" w:cs="黑体"/>
          <w:b w:val="0"/>
          <w:bCs/>
          <w:kern w:val="2"/>
          <w:sz w:val="32"/>
          <w:highlight w:val="none"/>
          <w:lang w:val="en-US" w:eastAsia="zh-CN" w:bidi="ar-SA"/>
        </w:rPr>
      </w:pPr>
      <w:r>
        <w:rPr>
          <w:rFonts w:hint="eastAsia" w:ascii="黑体" w:hAnsi="黑体" w:eastAsia="黑体" w:cs="黑体"/>
          <w:b w:val="0"/>
          <w:bCs/>
          <w:kern w:val="2"/>
          <w:sz w:val="32"/>
          <w:highlight w:val="none"/>
          <w:lang w:val="en-US" w:eastAsia="zh-CN" w:bidi="ar-SA"/>
        </w:rPr>
        <w:t>三、重点支持方向</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ind w:firstLine="643" w:firstLineChars="200"/>
        <w:jc w:val="both"/>
        <w:outlineLvl w:val="2"/>
        <w:rPr>
          <w:rFonts w:hint="default" w:ascii="楷体_GB2312" w:hAnsi="楷体_GB2312" w:eastAsia="楷体_GB2312" w:cs="楷体_GB2312"/>
          <w:b/>
          <w:kern w:val="2"/>
          <w:sz w:val="32"/>
          <w:highlight w:val="none"/>
          <w:lang w:val="en-US" w:eastAsia="zh-CN" w:bidi="ar-SA"/>
        </w:rPr>
      </w:pPr>
      <w:r>
        <w:rPr>
          <w:rFonts w:hint="eastAsia" w:ascii="楷体_GB2312" w:hAnsi="楷体_GB2312" w:eastAsia="楷体_GB2312" w:cs="楷体_GB2312"/>
          <w:b/>
          <w:kern w:val="2"/>
          <w:sz w:val="32"/>
          <w:highlight w:val="none"/>
          <w:lang w:val="en-US" w:eastAsia="zh-CN" w:bidi="ar-SA"/>
        </w:rPr>
        <w:t>（一）支持企业进驻</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支持全国供销合作社社有企业入驻中心，其中</w:t>
      </w:r>
      <w:r>
        <w:rPr>
          <w:rStyle w:val="8"/>
          <w:rFonts w:hint="eastAsia" w:ascii="仿宋_GB2312" w:hAnsi="仿宋_GB2312" w:eastAsia="仿宋_GB2312" w:cs="仿宋_GB2312"/>
          <w:color w:val="000000"/>
          <w:sz w:val="32"/>
          <w:szCs w:val="32"/>
          <w:highlight w:val="none"/>
          <w:u w:val="none"/>
        </w:rPr>
        <w:t>新疆、西藏、黑龙江、广西、贵州</w:t>
      </w:r>
      <w:r>
        <w:rPr>
          <w:rStyle w:val="8"/>
          <w:rFonts w:hint="eastAsia" w:ascii="仿宋_GB2312" w:hAnsi="仿宋_GB2312" w:eastAsia="仿宋_GB2312" w:cs="仿宋_GB2312"/>
          <w:color w:val="000000"/>
          <w:sz w:val="32"/>
          <w:szCs w:val="32"/>
          <w:highlight w:val="none"/>
          <w:u w:val="none"/>
          <w:lang w:eastAsia="zh-CN"/>
        </w:rPr>
        <w:t>的</w:t>
      </w:r>
      <w:r>
        <w:rPr>
          <w:rStyle w:val="8"/>
          <w:rFonts w:hint="eastAsia" w:ascii="仿宋_GB2312" w:hAnsi="仿宋_GB2312" w:eastAsia="仿宋_GB2312" w:cs="仿宋_GB2312"/>
          <w:color w:val="000000"/>
          <w:sz w:val="32"/>
          <w:szCs w:val="32"/>
          <w:highlight w:val="none"/>
          <w:lang w:val="en-US" w:eastAsia="zh-CN"/>
        </w:rPr>
        <w:t>社有</w:t>
      </w:r>
      <w:r>
        <w:rPr>
          <w:rFonts w:hint="eastAsia" w:ascii="仿宋_GB2312" w:hAnsi="仿宋_GB2312" w:eastAsia="仿宋_GB2312" w:cs="仿宋_GB2312"/>
          <w:color w:val="000000"/>
          <w:sz w:val="32"/>
          <w:szCs w:val="32"/>
          <w:highlight w:val="none"/>
          <w:lang w:val="en-US" w:eastAsia="zh-CN"/>
        </w:rPr>
        <w:t>企业，登记注册后，一次性奖补人民币50万元，其它省（市、区）供销社一次性奖补人民币30万元</w:t>
      </w:r>
      <w:r>
        <w:rPr>
          <w:rFonts w:hint="eastAsia" w:ascii="仿宋_GB2312" w:hAnsi="仿宋_GB2312" w:eastAsia="仿宋_GB2312" w:cs="仿宋_GB2312"/>
          <w:color w:val="000000"/>
          <w:kern w:val="2"/>
          <w:sz w:val="32"/>
          <w:szCs w:val="32"/>
          <w:highlight w:val="none"/>
          <w:lang w:val="en-US" w:eastAsia="zh-CN" w:bidi="ar-SA"/>
        </w:rPr>
        <w:t>，</w:t>
      </w:r>
      <w:r>
        <w:rPr>
          <w:rFonts w:hint="eastAsia" w:ascii="仿宋_GB2312" w:hAnsi="仿宋_GB2312" w:eastAsia="仿宋_GB2312" w:cs="仿宋_GB2312"/>
          <w:color w:val="000000"/>
          <w:kern w:val="2"/>
          <w:sz w:val="32"/>
          <w:szCs w:val="32"/>
          <w:highlight w:val="none"/>
          <w:lang w:val="en-US" w:eastAsia="zh-CN" w:bidi="ar-SA"/>
        </w:rPr>
        <w:t>每个省（市、区）供销社奖补企业限一家，具体名单由县供销社进行核定。奖补资金主要用于场馆租金、展馆建设和开办费用等方面</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b/>
          <w:bCs/>
          <w:color w:val="000000"/>
          <w:sz w:val="32"/>
          <w:szCs w:val="32"/>
          <w:highlight w:val="none"/>
          <w:lang w:val="en-US" w:eastAsia="zh-CN"/>
        </w:rPr>
        <w:t>（责任单位：县供销社、县农业农村局、泰美镇政府、县科工信局、县市场监管局）</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val="0"/>
          <w:bCs w:val="0"/>
          <w:color w:val="000000"/>
          <w:sz w:val="32"/>
          <w:szCs w:val="32"/>
          <w:highlight w:val="none"/>
          <w:lang w:val="en-US" w:eastAsia="zh-CN"/>
        </w:rPr>
      </w:pPr>
      <w:r>
        <w:rPr>
          <w:rFonts w:hint="eastAsia" w:ascii="楷体_GB2312" w:hAnsi="楷体_GB2312" w:eastAsia="楷体_GB2312" w:cs="楷体_GB2312"/>
          <w:b/>
          <w:bCs/>
          <w:color w:val="000000"/>
          <w:sz w:val="32"/>
          <w:szCs w:val="32"/>
          <w:highlight w:val="none"/>
          <w:lang w:eastAsia="zh-CN"/>
        </w:rPr>
        <w:t>（</w:t>
      </w:r>
      <w:r>
        <w:rPr>
          <w:rFonts w:hint="eastAsia" w:ascii="楷体_GB2312" w:hAnsi="楷体_GB2312" w:eastAsia="楷体_GB2312" w:cs="楷体_GB2312"/>
          <w:b/>
          <w:bCs/>
          <w:color w:val="000000"/>
          <w:sz w:val="32"/>
          <w:szCs w:val="32"/>
          <w:highlight w:val="none"/>
          <w:lang w:val="en-US" w:eastAsia="zh-CN"/>
        </w:rPr>
        <w:t>二</w:t>
      </w:r>
      <w:r>
        <w:rPr>
          <w:rFonts w:hint="eastAsia" w:ascii="楷体_GB2312" w:hAnsi="楷体_GB2312" w:eastAsia="楷体_GB2312" w:cs="楷体_GB2312"/>
          <w:b/>
          <w:bCs/>
          <w:color w:val="000000"/>
          <w:sz w:val="32"/>
          <w:szCs w:val="32"/>
          <w:highlight w:val="none"/>
          <w:lang w:eastAsia="zh-CN"/>
        </w:rPr>
        <w:t>）</w:t>
      </w:r>
      <w:r>
        <w:rPr>
          <w:rFonts w:hint="eastAsia" w:ascii="楷体" w:hAnsi="楷体" w:eastAsia="楷体" w:cs="楷体"/>
          <w:b/>
          <w:bCs/>
          <w:color w:val="000000"/>
          <w:sz w:val="32"/>
          <w:szCs w:val="32"/>
          <w:highlight w:val="none"/>
          <w:lang w:val="en-US" w:eastAsia="zh-CN"/>
        </w:rPr>
        <w:t>支持打造</w:t>
      </w:r>
      <w:r>
        <w:rPr>
          <w:rFonts w:hint="eastAsia" w:ascii="楷体" w:hAnsi="楷体" w:eastAsia="楷体" w:cs="楷体"/>
          <w:b/>
          <w:bCs/>
          <w:sz w:val="32"/>
          <w:szCs w:val="32"/>
          <w:highlight w:val="none"/>
          <w:lang w:val="en-US" w:eastAsia="zh-CN"/>
        </w:rPr>
        <w:t>数字化运营平台</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kern w:val="2"/>
          <w:sz w:val="32"/>
          <w:szCs w:val="32"/>
          <w:highlight w:val="none"/>
          <w:lang w:val="en-US" w:eastAsia="zh-CN" w:bidi="ar-SA"/>
        </w:rPr>
        <w:t>专项安排500万元，</w:t>
      </w:r>
      <w:r>
        <w:rPr>
          <w:rFonts w:hint="eastAsia" w:ascii="仿宋_GB2312" w:hAnsi="仿宋_GB2312" w:eastAsia="仿宋_GB2312" w:cs="仿宋_GB2312"/>
          <w:color w:val="000000"/>
          <w:sz w:val="32"/>
          <w:szCs w:val="32"/>
          <w:highlight w:val="none"/>
          <w:lang w:val="en-US" w:eastAsia="zh-CN"/>
        </w:rPr>
        <w:t>支持创新中心建设统一的大宗</w:t>
      </w:r>
      <w:r>
        <w:rPr>
          <w:rFonts w:hint="eastAsia" w:ascii="仿宋_GB2312" w:hAnsi="仿宋_GB2312" w:eastAsia="仿宋_GB2312" w:cs="仿宋_GB2312"/>
          <w:b w:val="0"/>
          <w:bCs w:val="0"/>
          <w:color w:val="000000"/>
          <w:sz w:val="32"/>
          <w:szCs w:val="32"/>
          <w:highlight w:val="none"/>
          <w:lang w:val="en-US" w:eastAsia="zh-CN"/>
        </w:rPr>
        <w:t>农产品数字化交易平台，</w:t>
      </w:r>
      <w:r>
        <w:rPr>
          <w:rFonts w:hint="eastAsia" w:ascii="仿宋_GB2312" w:hAnsi="仿宋_GB2312" w:eastAsia="仿宋_GB2312" w:cs="仿宋_GB2312"/>
          <w:color w:val="auto"/>
          <w:sz w:val="32"/>
          <w:szCs w:val="32"/>
          <w:highlight w:val="none"/>
          <w:lang w:val="en-US" w:eastAsia="zh-CN"/>
        </w:rPr>
        <w:t>平台充分</w:t>
      </w:r>
      <w:r>
        <w:rPr>
          <w:rFonts w:hint="eastAsia" w:ascii="仿宋_GB2312" w:hAnsi="仿宋_GB2312" w:eastAsia="仿宋_GB2312" w:cs="仿宋_GB2312"/>
          <w:color w:val="auto"/>
          <w:sz w:val="32"/>
          <w:szCs w:val="32"/>
          <w:highlight w:val="none"/>
        </w:rPr>
        <w:t>应用区块链、5G、大数据、物联网、人工智能等数字化技术，推动线上线下融合发展。</w:t>
      </w:r>
      <w:r>
        <w:rPr>
          <w:rFonts w:hint="eastAsia" w:ascii="仿宋_GB2312" w:hAnsi="仿宋_GB2312" w:eastAsia="仿宋_GB2312" w:cs="仿宋_GB2312"/>
          <w:sz w:val="32"/>
          <w:szCs w:val="32"/>
          <w:highlight w:val="none"/>
        </w:rPr>
        <w:t>支持农户、生产基地与买家交易撮合，提升交易效率；支持预拍卖、仓单、集中团购等多种交易模式；支持代理、分销等业态的线上交易清算</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结算服务</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创新</w:t>
      </w:r>
      <w:r>
        <w:rPr>
          <w:rFonts w:hint="eastAsia" w:ascii="仿宋_GB2312" w:hAnsi="仿宋_GB2312" w:eastAsia="仿宋_GB2312" w:cs="仿宋_GB2312"/>
          <w:sz w:val="32"/>
          <w:szCs w:val="32"/>
          <w:highlight w:val="none"/>
        </w:rPr>
        <w:t>平台</w:t>
      </w:r>
      <w:r>
        <w:rPr>
          <w:rFonts w:hint="eastAsia" w:ascii="仿宋_GB2312" w:hAnsi="仿宋_GB2312" w:eastAsia="仿宋_GB2312" w:cs="仿宋_GB2312"/>
          <w:sz w:val="32"/>
          <w:szCs w:val="32"/>
          <w:highlight w:val="none"/>
          <w:lang w:val="en-US" w:eastAsia="zh-CN"/>
        </w:rPr>
        <w:t>服务功能</w:t>
      </w:r>
      <w:r>
        <w:rPr>
          <w:rFonts w:hint="eastAsia" w:ascii="仿宋_GB2312" w:hAnsi="仿宋_GB2312" w:eastAsia="仿宋_GB2312" w:cs="仿宋_GB2312"/>
          <w:sz w:val="32"/>
          <w:szCs w:val="32"/>
          <w:highlight w:val="none"/>
        </w:rPr>
        <w:t>，整合提供生产及供销端商机信息、产品种植“物候期”信息、区域市场农产品价格、农产品交易需求、冷链仓储运输需求、信用贷款需求、交易价格指数、趋势分析、每日交易分析、供需分析等数据服务，</w:t>
      </w:r>
      <w:r>
        <w:rPr>
          <w:rFonts w:hint="eastAsia" w:ascii="仿宋_GB2312" w:hAnsi="仿宋_GB2312" w:eastAsia="仿宋_GB2312" w:cs="仿宋_GB2312"/>
          <w:sz w:val="32"/>
          <w:szCs w:val="32"/>
          <w:highlight w:val="none"/>
          <w:lang w:val="en-US" w:eastAsia="zh-CN"/>
        </w:rPr>
        <w:t>支撑创新中心商流、物流和资金流高效运转</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具体金额经报县政府同意后从专项资金中列支。</w:t>
      </w:r>
      <w:r>
        <w:rPr>
          <w:rFonts w:hint="eastAsia" w:ascii="仿宋_GB2312" w:hAnsi="仿宋_GB2312" w:eastAsia="仿宋_GB2312" w:cs="仿宋_GB2312"/>
          <w:b/>
          <w:bCs/>
          <w:color w:val="000000"/>
          <w:sz w:val="32"/>
          <w:szCs w:val="32"/>
          <w:highlight w:val="none"/>
          <w:lang w:val="en-US" w:eastAsia="zh-CN"/>
        </w:rPr>
        <w:t>（责任单位：县供销社、县农业农村局、泰美镇政府）</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ind w:firstLine="643" w:firstLineChars="200"/>
        <w:jc w:val="both"/>
        <w:textAlignment w:val="auto"/>
        <w:outlineLvl w:val="2"/>
        <w:rPr>
          <w:rFonts w:hint="default" w:ascii="楷体_GB2312" w:hAnsi="楷体_GB2312" w:eastAsia="楷体_GB2312" w:cs="楷体_GB2312"/>
          <w:b/>
          <w:color w:val="000000"/>
          <w:kern w:val="2"/>
          <w:sz w:val="32"/>
          <w:szCs w:val="32"/>
          <w:highlight w:val="none"/>
          <w:lang w:val="en-US" w:eastAsia="zh-CN" w:bidi="ar-SA"/>
        </w:rPr>
      </w:pPr>
      <w:r>
        <w:rPr>
          <w:rFonts w:hint="eastAsia" w:ascii="楷体_GB2312" w:hAnsi="楷体_GB2312" w:eastAsia="楷体_GB2312" w:cs="楷体_GB2312"/>
          <w:b/>
          <w:color w:val="000000"/>
          <w:kern w:val="2"/>
          <w:sz w:val="32"/>
          <w:szCs w:val="32"/>
          <w:highlight w:val="none"/>
          <w:lang w:val="en-US" w:eastAsia="zh-CN" w:bidi="ar-SA"/>
        </w:rPr>
        <w:t>（三）支持做大优势农产品供应链业务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b/>
          <w:bCs/>
          <w:color w:val="000000"/>
          <w:kern w:val="2"/>
          <w:sz w:val="32"/>
          <w:szCs w:val="32"/>
          <w:highlight w:val="none"/>
          <w:lang w:val="en-US" w:eastAsia="zh-CN" w:bidi="ar-SA"/>
        </w:rPr>
      </w:pPr>
      <w:r>
        <w:rPr>
          <w:rFonts w:hint="eastAsia" w:ascii="仿宋_GB2312" w:hAnsi="仿宋_GB2312" w:eastAsia="仿宋_GB2312" w:cs="仿宋_GB2312"/>
          <w:color w:val="000000"/>
          <w:sz w:val="32"/>
          <w:szCs w:val="32"/>
          <w:highlight w:val="none"/>
          <w:lang w:val="en-US" w:eastAsia="zh-CN"/>
        </w:rPr>
        <w:t>支持各省（区、市）进驻企业依托数字化运营平台，与广东省供销合作社系统</w:t>
      </w:r>
      <w:r>
        <w:rPr>
          <w:rFonts w:hint="eastAsia" w:ascii="仿宋_GB2312" w:hAnsi="仿宋_GB2312" w:eastAsia="仿宋_GB2312" w:cs="仿宋_GB2312"/>
          <w:color w:val="000000"/>
          <w:sz w:val="32"/>
          <w:szCs w:val="32"/>
          <w:highlight w:val="none"/>
          <w:u w:val="none"/>
          <w:lang w:val="en-US" w:eastAsia="zh-CN"/>
        </w:rPr>
        <w:t>链主</w:t>
      </w:r>
      <w:r>
        <w:rPr>
          <w:rFonts w:hint="eastAsia" w:ascii="仿宋_GB2312" w:hAnsi="仿宋_GB2312" w:eastAsia="仿宋_GB2312" w:cs="仿宋_GB2312"/>
          <w:color w:val="000000"/>
          <w:sz w:val="32"/>
          <w:szCs w:val="32"/>
          <w:highlight w:val="none"/>
          <w:lang w:val="en-US" w:eastAsia="zh-CN"/>
        </w:rPr>
        <w:t>企业或基地入园企业线上开展农产品供应链业务，以自然年度计算，</w:t>
      </w:r>
      <w:r>
        <w:rPr>
          <w:rFonts w:hint="eastAsia" w:ascii="仿宋_GB2312" w:hAnsi="仿宋_GB2312" w:eastAsia="仿宋_GB2312" w:cs="仿宋_GB2312"/>
          <w:color w:val="000000"/>
          <w:sz w:val="32"/>
          <w:szCs w:val="32"/>
          <w:highlight w:val="none"/>
          <w:u w:val="none"/>
          <w:lang w:val="en-US" w:eastAsia="zh-CN"/>
        </w:rPr>
        <w:t>按照当年度在统计局</w:t>
      </w:r>
      <w:r>
        <w:rPr>
          <w:rFonts w:hint="eastAsia" w:ascii="仿宋_GB2312" w:hAnsi="仿宋_GB2312" w:eastAsia="仿宋_GB2312" w:cs="仿宋_GB2312"/>
          <w:color w:val="000000"/>
          <w:sz w:val="32"/>
          <w:szCs w:val="32"/>
          <w:highlight w:val="none"/>
          <w:lang w:val="en-US" w:eastAsia="zh-CN"/>
        </w:rPr>
        <w:t>联网直报平台上的营业收入</w:t>
      </w:r>
      <w:r>
        <w:rPr>
          <w:rFonts w:hint="eastAsia" w:ascii="仿宋_GB2312" w:hAnsi="仿宋_GB2312" w:eastAsia="仿宋_GB2312" w:cs="仿宋_GB2312"/>
          <w:color w:val="000000"/>
          <w:sz w:val="32"/>
          <w:szCs w:val="32"/>
          <w:highlight w:val="none"/>
          <w:u w:val="none"/>
          <w:lang w:val="en-US" w:eastAsia="zh-CN"/>
        </w:rPr>
        <w:t>的0.5%给予奖补支持，该项奖补最低营收收入3000万元，每家入驻企业每年最高奖补不超过50万元。</w:t>
      </w:r>
      <w:r>
        <w:rPr>
          <w:rFonts w:hint="eastAsia" w:ascii="仿宋_GB2312" w:hAnsi="仿宋_GB2312" w:eastAsia="仿宋_GB2312" w:cs="仿宋_GB2312"/>
          <w:color w:val="000000"/>
          <w:sz w:val="32"/>
          <w:szCs w:val="32"/>
          <w:highlight w:val="none"/>
          <w:lang w:val="en-US" w:eastAsia="zh-CN"/>
        </w:rPr>
        <w:t>该</w:t>
      </w:r>
      <w:r>
        <w:rPr>
          <w:rFonts w:hint="eastAsia" w:ascii="仿宋_GB2312" w:hAnsi="仿宋_GB2312" w:eastAsia="仿宋_GB2312" w:cs="仿宋_GB2312"/>
          <w:color w:val="000000"/>
          <w:kern w:val="2"/>
          <w:sz w:val="32"/>
          <w:szCs w:val="32"/>
          <w:highlight w:val="none"/>
          <w:lang w:val="en-US" w:eastAsia="zh-CN" w:bidi="ar-SA"/>
        </w:rPr>
        <w:t>专项奖补资金</w:t>
      </w:r>
      <w:r>
        <w:rPr>
          <w:rFonts w:hint="eastAsia" w:ascii="仿宋_GB2312" w:hAnsi="仿宋_GB2312" w:eastAsia="仿宋_GB2312" w:cs="仿宋_GB2312"/>
          <w:color w:val="000000"/>
          <w:sz w:val="32"/>
          <w:szCs w:val="32"/>
          <w:highlight w:val="none"/>
          <w:lang w:val="en-US" w:eastAsia="zh-CN"/>
        </w:rPr>
        <w:t>用于降低企业开展供应链业务的仓储、物流、贴息等经营成本，分</w:t>
      </w:r>
      <w:r>
        <w:rPr>
          <w:rFonts w:hint="eastAsia" w:ascii="仿宋_GB2312" w:hAnsi="仿宋_GB2312" w:eastAsia="仿宋_GB2312" w:cs="仿宋_GB2312"/>
          <w:color w:val="000000"/>
          <w:kern w:val="2"/>
          <w:sz w:val="32"/>
          <w:szCs w:val="32"/>
          <w:highlight w:val="none"/>
          <w:lang w:val="en-US" w:eastAsia="zh-CN" w:bidi="ar-SA"/>
        </w:rPr>
        <w:t>2024-2026年三个年度实施，先报先得，用完即止。</w:t>
      </w:r>
      <w:r>
        <w:rPr>
          <w:rFonts w:hint="eastAsia" w:ascii="仿宋_GB2312" w:hAnsi="仿宋_GB2312" w:eastAsia="仿宋_GB2312" w:cs="仿宋_GB2312"/>
          <w:b/>
          <w:bCs/>
          <w:color w:val="000000"/>
          <w:sz w:val="32"/>
          <w:szCs w:val="32"/>
          <w:highlight w:val="none"/>
          <w:lang w:val="en-US" w:eastAsia="zh-CN"/>
        </w:rPr>
        <w:t>（责任单位：县科工信局、县农业农村局、县统计局、县供销社、泰美镇政府）</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ind w:firstLine="640" w:firstLineChars="200"/>
        <w:jc w:val="both"/>
        <w:textAlignment w:val="auto"/>
        <w:outlineLvl w:val="2"/>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四、奖补资金申报</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ind w:firstLine="643" w:firstLineChars="200"/>
        <w:jc w:val="both"/>
        <w:textAlignment w:val="auto"/>
        <w:outlineLvl w:val="2"/>
        <w:rPr>
          <w:rFonts w:hint="eastAsia" w:ascii="楷体_GB2312" w:hAnsi="楷体_GB2312" w:eastAsia="楷体_GB2312" w:cs="楷体_GB2312"/>
          <w:b/>
          <w:bCs w:val="0"/>
          <w:kern w:val="2"/>
          <w:sz w:val="32"/>
          <w:szCs w:val="32"/>
          <w:highlight w:val="none"/>
          <w:lang w:val="en-US" w:eastAsia="zh-CN" w:bidi="ar-SA"/>
        </w:rPr>
      </w:pPr>
      <w:r>
        <w:rPr>
          <w:rFonts w:hint="eastAsia" w:ascii="楷体_GB2312" w:hAnsi="楷体_GB2312" w:eastAsia="楷体_GB2312" w:cs="楷体_GB2312"/>
          <w:b/>
          <w:bCs w:val="0"/>
          <w:kern w:val="2"/>
          <w:sz w:val="32"/>
          <w:szCs w:val="32"/>
          <w:highlight w:val="none"/>
          <w:lang w:val="en-US" w:eastAsia="zh-CN" w:bidi="ar-SA"/>
        </w:rPr>
        <w:t>（一）申报材料</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符合以上支持条件的企业向牵头责任单位（责任单位中的第一位）提出申报，企业应提交如下材料：</w:t>
      </w:r>
    </w:p>
    <w:p>
      <w:pPr>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宋体" w:cs="Times New Roman"/>
          <w:szCs w:val="20"/>
          <w:highlight w:val="none"/>
          <w:lang w:val="en-US" w:eastAsia="zh-CN"/>
        </w:rPr>
      </w:pPr>
      <w:r>
        <w:rPr>
          <w:rFonts w:hint="eastAsia" w:ascii="仿宋_GB2312" w:hAnsi="仿宋_GB2312" w:eastAsia="仿宋_GB2312" w:cs="仿宋_GB2312"/>
          <w:b w:val="0"/>
          <w:bCs/>
          <w:sz w:val="32"/>
          <w:szCs w:val="32"/>
          <w:highlight w:val="none"/>
          <w:lang w:val="en-US" w:eastAsia="zh-CN"/>
        </w:rPr>
        <w:t>1、</w:t>
      </w:r>
      <w:r>
        <w:rPr>
          <w:rFonts w:hint="eastAsia" w:ascii="仿宋_GB2312" w:hAnsi="仿宋_GB2312" w:eastAsia="仿宋_GB2312" w:cs="仿宋_GB2312"/>
          <w:b w:val="0"/>
          <w:bCs/>
          <w:sz w:val="32"/>
          <w:szCs w:val="32"/>
          <w:highlight w:val="none"/>
          <w:lang w:val="en-US" w:eastAsia="zh-CN"/>
        </w:rPr>
        <w:t>资金奖补申请书；</w:t>
      </w:r>
    </w:p>
    <w:p>
      <w:pPr>
        <w:keepNext/>
        <w:keepLines/>
        <w:pageBreakBefore w:val="0"/>
        <w:widowControl w:val="0"/>
        <w:kinsoku/>
        <w:wordWrap/>
        <w:overflowPunct/>
        <w:topLinePunct w:val="0"/>
        <w:autoSpaceDE/>
        <w:autoSpaceDN/>
        <w:bidi w:val="0"/>
        <w:adjustRightInd/>
        <w:snapToGrid/>
        <w:spacing w:beforeAutospacing="0" w:afterAutospacing="0" w:line="240" w:lineRule="auto"/>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2、企业单位法人身份证件及营业执照复印件；</w:t>
      </w:r>
    </w:p>
    <w:p>
      <w:pPr>
        <w:pStyle w:val="2"/>
        <w:pageBreakBefore w:val="0"/>
        <w:widowControl w:val="0"/>
        <w:kinsoku/>
        <w:wordWrap/>
        <w:overflowPunct/>
        <w:topLinePunct w:val="0"/>
        <w:autoSpaceDE/>
        <w:autoSpaceDN/>
        <w:bidi w:val="0"/>
        <w:adjustRightInd/>
        <w:snapToGrid/>
        <w:spacing w:before="0" w:after="0" w:line="240" w:lineRule="auto"/>
        <w:ind w:firstLine="640" w:firstLineChars="200"/>
        <w:textAlignment w:val="auto"/>
        <w:rPr>
          <w:rFonts w:hint="default"/>
          <w:highlight w:val="none"/>
          <w:lang w:val="en-US" w:eastAsia="zh-CN"/>
        </w:rPr>
      </w:pPr>
      <w:r>
        <w:rPr>
          <w:rFonts w:hint="eastAsia" w:ascii="仿宋_GB2312" w:hAnsi="仿宋_GB2312" w:eastAsia="仿宋_GB2312" w:cs="仿宋_GB2312"/>
          <w:b w:val="0"/>
          <w:bCs/>
          <w:kern w:val="2"/>
          <w:sz w:val="32"/>
          <w:szCs w:val="32"/>
          <w:highlight w:val="none"/>
          <w:lang w:val="en-US" w:eastAsia="zh-CN" w:bidi="ar-SA"/>
        </w:rPr>
        <w:t>3、企业信用报告；</w:t>
      </w:r>
    </w:p>
    <w:p>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highlight w:val="none"/>
          <w:lang w:val="en-US" w:eastAsia="zh-CN"/>
        </w:rPr>
        <w:t>4、</w:t>
      </w:r>
      <w:r>
        <w:rPr>
          <w:rFonts w:hint="eastAsia" w:ascii="仿宋_GB2312" w:hAnsi="仿宋_GB2312" w:eastAsia="仿宋_GB2312" w:cs="仿宋_GB2312"/>
          <w:b w:val="0"/>
          <w:bCs/>
          <w:sz w:val="32"/>
          <w:szCs w:val="32"/>
          <w:highlight w:val="none"/>
          <w:lang w:val="en-US" w:eastAsia="zh-CN"/>
        </w:rPr>
        <w:t>佐证材料，包括但不限于合同、发票、付款凭证等资料；</w:t>
      </w:r>
    </w:p>
    <w:p>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5、材料真实性、合法性和有效性承诺书；</w:t>
      </w:r>
    </w:p>
    <w:p>
      <w:pPr>
        <w:pStyle w:val="2"/>
        <w:pageBreakBefore w:val="0"/>
        <w:widowControl w:val="0"/>
        <w:kinsoku/>
        <w:wordWrap/>
        <w:overflowPunct/>
        <w:topLinePunct w:val="0"/>
        <w:autoSpaceDE/>
        <w:autoSpaceDN/>
        <w:bidi w:val="0"/>
        <w:adjustRightInd/>
        <w:snapToGrid/>
        <w:spacing w:before="0" w:after="0" w:line="240" w:lineRule="auto"/>
        <w:textAlignment w:val="auto"/>
        <w:rPr>
          <w:rFonts w:hint="default"/>
          <w:highlight w:val="none"/>
          <w:lang w:val="en-US" w:eastAsia="zh-CN"/>
        </w:rPr>
      </w:pPr>
      <w:r>
        <w:rPr>
          <w:rFonts w:hint="eastAsia" w:ascii="仿宋_GB2312" w:hAnsi="仿宋_GB2312" w:eastAsia="仿宋_GB2312" w:cs="仿宋_GB2312"/>
          <w:b w:val="0"/>
          <w:bCs/>
          <w:kern w:val="2"/>
          <w:sz w:val="32"/>
          <w:szCs w:val="32"/>
          <w:highlight w:val="none"/>
          <w:lang w:val="en-US" w:eastAsia="zh-CN" w:bidi="ar-SA"/>
        </w:rPr>
        <w:t xml:space="preserve">    6、具体事项的补充材料。</w:t>
      </w:r>
    </w:p>
    <w:p>
      <w:pPr>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_GB2312" w:hAnsi="楷体_GB2312" w:eastAsia="楷体_GB2312" w:cs="楷体_GB2312"/>
          <w:b/>
          <w:bCs w:val="0"/>
          <w:kern w:val="2"/>
          <w:sz w:val="32"/>
          <w:szCs w:val="32"/>
          <w:highlight w:val="none"/>
          <w:lang w:val="en-US" w:eastAsia="zh-CN" w:bidi="ar-SA"/>
        </w:rPr>
      </w:pPr>
      <w:r>
        <w:rPr>
          <w:rFonts w:hint="eastAsia" w:ascii="楷体_GB2312" w:hAnsi="楷体_GB2312" w:eastAsia="楷体_GB2312" w:cs="楷体_GB2312"/>
          <w:b/>
          <w:bCs w:val="0"/>
          <w:kern w:val="2"/>
          <w:sz w:val="32"/>
          <w:szCs w:val="32"/>
          <w:highlight w:val="none"/>
          <w:lang w:val="en-US" w:eastAsia="zh-CN" w:bidi="ar-SA"/>
        </w:rPr>
        <w:t>（二）申报时间</w:t>
      </w:r>
    </w:p>
    <w:p>
      <w:pPr>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color w:val="000000"/>
          <w:sz w:val="32"/>
          <w:szCs w:val="32"/>
          <w:highlight w:val="none"/>
          <w:lang w:val="en-US" w:eastAsia="zh-CN"/>
        </w:rPr>
        <w:t>企业入驻落户、数字化平台建设补贴，实际完成后第二月申请奖补；其他费用</w:t>
      </w:r>
      <w:r>
        <w:rPr>
          <w:rFonts w:hint="eastAsia" w:ascii="仿宋_GB2312" w:hAnsi="仿宋_GB2312" w:eastAsia="仿宋_GB2312" w:cs="仿宋_GB2312"/>
          <w:b w:val="0"/>
          <w:bCs/>
          <w:kern w:val="2"/>
          <w:sz w:val="32"/>
          <w:szCs w:val="32"/>
          <w:highlight w:val="none"/>
          <w:lang w:val="en-US" w:eastAsia="zh-CN" w:bidi="ar-SA"/>
        </w:rPr>
        <w:t>每年3月1日-3月31日申报上一年度的奖补。</w:t>
      </w:r>
    </w:p>
    <w:p>
      <w:pPr>
        <w:pageBreakBefore w:val="0"/>
        <w:widowControl w:val="0"/>
        <w:numPr>
          <w:ilvl w:val="0"/>
          <w:numId w:val="0"/>
        </w:numPr>
        <w:kinsoku/>
        <w:wordWrap/>
        <w:overflowPunct/>
        <w:topLinePunct w:val="0"/>
        <w:autoSpaceDE/>
        <w:autoSpaceDN/>
        <w:bidi w:val="0"/>
        <w:adjustRightInd/>
        <w:snapToGrid/>
        <w:spacing w:line="576" w:lineRule="exact"/>
        <w:ind w:firstLine="643" w:firstLineChars="200"/>
        <w:textAlignment w:val="auto"/>
        <w:rPr>
          <w:rFonts w:hint="eastAsia" w:ascii="楷体_GB2312" w:hAnsi="楷体_GB2312" w:eastAsia="楷体_GB2312" w:cs="楷体_GB2312"/>
          <w:b/>
          <w:bCs w:val="0"/>
          <w:kern w:val="2"/>
          <w:sz w:val="32"/>
          <w:szCs w:val="32"/>
          <w:highlight w:val="none"/>
          <w:lang w:val="en-US" w:eastAsia="zh-CN" w:bidi="ar-SA"/>
        </w:rPr>
      </w:pPr>
      <w:r>
        <w:rPr>
          <w:rFonts w:hint="eastAsia" w:ascii="楷体_GB2312" w:hAnsi="楷体_GB2312" w:eastAsia="楷体_GB2312" w:cs="楷体_GB2312"/>
          <w:b/>
          <w:bCs w:val="0"/>
          <w:kern w:val="2"/>
          <w:sz w:val="32"/>
          <w:szCs w:val="32"/>
          <w:highlight w:val="none"/>
          <w:lang w:val="en-US" w:eastAsia="zh-CN" w:bidi="ar-SA"/>
        </w:rPr>
        <w:t>（三）申报要求</w:t>
      </w:r>
    </w:p>
    <w:p>
      <w:pPr>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1、</w:t>
      </w:r>
      <w:r>
        <w:rPr>
          <w:rFonts w:hint="default" w:ascii="仿宋_GB2312" w:hAnsi="仿宋_GB2312" w:eastAsia="仿宋_GB2312" w:cs="仿宋_GB2312"/>
          <w:b w:val="0"/>
          <w:bCs/>
          <w:kern w:val="2"/>
          <w:sz w:val="32"/>
          <w:szCs w:val="32"/>
          <w:highlight w:val="none"/>
          <w:lang w:val="en-US" w:eastAsia="zh-CN" w:bidi="ar-SA"/>
        </w:rPr>
        <w:t>申报企业应如实填写申报材料，对申报材料的真实性、合法性和有效性负责，并作出书面承诺。</w:t>
      </w:r>
    </w:p>
    <w:p>
      <w:pPr>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w:t>
      </w:r>
      <w:r>
        <w:rPr>
          <w:rFonts w:hint="default" w:ascii="仿宋_GB2312" w:hAnsi="仿宋_GB2312" w:eastAsia="仿宋_GB2312" w:cs="仿宋_GB2312"/>
          <w:b w:val="0"/>
          <w:bCs/>
          <w:kern w:val="2"/>
          <w:sz w:val="32"/>
          <w:szCs w:val="32"/>
          <w:highlight w:val="none"/>
          <w:lang w:val="en-US" w:eastAsia="zh-CN" w:bidi="ar-SA"/>
        </w:rPr>
        <w:t>申报材料的复印件均需加盖企业公章，如有必要需提供原件进行核查</w:t>
      </w:r>
      <w:r>
        <w:rPr>
          <w:rFonts w:hint="eastAsia" w:ascii="仿宋_GB2312" w:hAnsi="仿宋_GB2312" w:eastAsia="仿宋_GB2312" w:cs="仿宋_GB2312"/>
          <w:b w:val="0"/>
          <w:bCs/>
          <w:kern w:val="2"/>
          <w:sz w:val="32"/>
          <w:szCs w:val="32"/>
          <w:highlight w:val="none"/>
          <w:lang w:val="en-US" w:eastAsia="zh-CN" w:bidi="ar-SA"/>
        </w:rPr>
        <w:t>。</w:t>
      </w:r>
    </w:p>
    <w:p>
      <w:pPr>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3、申报材料一式三份，用A4 纸装订成册，报送至牵头责任单位。</w:t>
      </w:r>
    </w:p>
    <w:p>
      <w:pPr>
        <w:pageBreakBefore w:val="0"/>
        <w:widowControl w:val="0"/>
        <w:numPr>
          <w:ilvl w:val="0"/>
          <w:numId w:val="0"/>
        </w:numPr>
        <w:kinsoku/>
        <w:wordWrap/>
        <w:overflowPunct/>
        <w:topLinePunct w:val="0"/>
        <w:autoSpaceDE/>
        <w:autoSpaceDN/>
        <w:bidi w:val="0"/>
        <w:adjustRightInd/>
        <w:snapToGrid/>
        <w:spacing w:line="576" w:lineRule="exact"/>
        <w:ind w:firstLine="643" w:firstLineChars="200"/>
        <w:textAlignment w:val="auto"/>
        <w:rPr>
          <w:rFonts w:hint="eastAsia" w:ascii="楷体_GB2312" w:hAnsi="楷体_GB2312" w:eastAsia="楷体_GB2312" w:cs="楷体_GB2312"/>
          <w:b/>
          <w:bCs w:val="0"/>
          <w:kern w:val="2"/>
          <w:sz w:val="32"/>
          <w:szCs w:val="32"/>
          <w:highlight w:val="none"/>
          <w:lang w:val="en-US" w:eastAsia="zh-CN" w:bidi="ar-SA"/>
        </w:rPr>
      </w:pPr>
      <w:r>
        <w:rPr>
          <w:rFonts w:hint="eastAsia" w:ascii="楷体_GB2312" w:hAnsi="楷体_GB2312" w:eastAsia="楷体_GB2312" w:cs="楷体_GB2312"/>
          <w:b/>
          <w:bCs w:val="0"/>
          <w:kern w:val="2"/>
          <w:sz w:val="32"/>
          <w:szCs w:val="32"/>
          <w:highlight w:val="none"/>
          <w:lang w:val="en-US" w:eastAsia="zh-CN" w:bidi="ar-SA"/>
        </w:rPr>
        <w:t>（四）奖补审批</w:t>
      </w:r>
    </w:p>
    <w:p>
      <w:pPr>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1、牵头责任单位对申报材料进行审核，对通过审核的企业应在博罗县政府网公示不少于7个工作日，经公示无异议，由牵头责任单位按规定报批后，向县财政局申请奖补资金。</w:t>
      </w:r>
    </w:p>
    <w:p>
      <w:pPr>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2、对骗取、截留、挪用专项奖励资金的，依照 《财政违法行为处罚处分条例》(国务院令第588号)的有关规定处理，涉嫌犯罪的，移交司法机关处理。</w:t>
      </w:r>
    </w:p>
    <w:p>
      <w:pPr>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3、当年度因偷税漏税被税务部门处罚、发生安全生产事故、被市场监管部门列入严重违法失信企业名单（“黑名单”）、因环保污染被行政处罚的企业，不能申报相关奖补。</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五、附则</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1、本办法由县财政局、县供销社、县科工信局联合负责解释。</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2、本办法自发布之日起施行，有效期至2026年12月31 日。</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3、专项奖励资金在有效日期前提前用完则由县财政局组织实施终止本办法，不再进行奖励。有效期内如遇法律、法规或有关政策调整变化的，从其规定。</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highlight w:val="none"/>
          <w:lang w:val="en-US" w:eastAsia="zh-CN" w:bidi="ar-SA"/>
        </w:rPr>
      </w:pPr>
    </w:p>
    <w:bookmarkEnd w:id="0"/>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ind w:firstLine="640" w:firstLineChars="200"/>
        <w:jc w:val="both"/>
        <w:textAlignment w:val="auto"/>
        <w:outlineLvl w:val="2"/>
        <w:rPr>
          <w:rFonts w:hint="eastAsia" w:ascii="仿宋_GB2312" w:hAnsi="仿宋_GB2312" w:eastAsia="仿宋_GB2312" w:cs="仿宋_GB2312"/>
          <w:b w:val="0"/>
          <w:bCs/>
          <w:kern w:val="2"/>
          <w:sz w:val="32"/>
          <w:szCs w:val="32"/>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jc w:val="center"/>
        <w:textAlignment w:val="auto"/>
        <w:outlineLvl w:val="2"/>
        <w:rPr>
          <w:rFonts w:hint="eastAsia" w:ascii="Arial Unicode MS" w:hAnsi="Arial Unicode MS" w:eastAsia="Arial Unicode MS" w:cs="Arial Unicode MS"/>
          <w:b w:val="0"/>
          <w:bCs/>
          <w:kern w:val="2"/>
          <w:sz w:val="32"/>
          <w:szCs w:val="32"/>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jc w:val="center"/>
        <w:textAlignment w:val="auto"/>
        <w:outlineLvl w:val="2"/>
        <w:rPr>
          <w:rFonts w:hint="eastAsia" w:ascii="Arial Unicode MS" w:hAnsi="Arial Unicode MS" w:eastAsia="Arial Unicode MS" w:cs="Arial Unicode MS"/>
          <w:b w:val="0"/>
          <w:bCs/>
          <w:kern w:val="2"/>
          <w:sz w:val="32"/>
          <w:szCs w:val="32"/>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96" w:lineRule="exact"/>
        <w:jc w:val="center"/>
        <w:textAlignment w:val="auto"/>
        <w:outlineLvl w:val="2"/>
        <w:rPr>
          <w:rFonts w:hint="eastAsia" w:ascii="Arial Unicode MS" w:hAnsi="Arial Unicode MS" w:eastAsia="Arial Unicode MS" w:cs="Arial Unicode MS"/>
          <w:b w:val="0"/>
          <w:bCs/>
          <w:kern w:val="2"/>
          <w:sz w:val="32"/>
          <w:szCs w:val="32"/>
          <w:lang w:val="en-US" w:eastAsia="zh-CN" w:bidi="ar-SA"/>
        </w:rPr>
      </w:pPr>
    </w:p>
    <w:p/>
    <w:sectPr>
      <w:footerReference r:id="rId3" w:type="default"/>
      <w:pgSz w:w="11906" w:h="16838"/>
      <w:pgMar w:top="2098" w:right="1587" w:bottom="1984"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DA2A3C-0C7C-42A5-BC51-E560FFA0211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7DECAF5F-5924-4983-9DB1-C076BDAFC6E0}"/>
  </w:font>
  <w:font w:name="楷体_GB2312">
    <w:panose1 w:val="02010609030101010101"/>
    <w:charset w:val="86"/>
    <w:family w:val="auto"/>
    <w:pitch w:val="default"/>
    <w:sig w:usb0="00000001" w:usb1="080E0000" w:usb2="00000000" w:usb3="00000000" w:csb0="00040000" w:csb1="00000000"/>
    <w:embedRegular r:id="rId3" w:fontKey="{F8660539-9DCC-4524-8F4A-4AF97EF03E80}"/>
  </w:font>
  <w:font w:name="仿宋_GB2312">
    <w:panose1 w:val="02010609030101010101"/>
    <w:charset w:val="86"/>
    <w:family w:val="modern"/>
    <w:pitch w:val="default"/>
    <w:sig w:usb0="00000001" w:usb1="080E0000" w:usb2="00000000" w:usb3="00000000" w:csb0="00040000" w:csb1="00000000"/>
    <w:embedRegular r:id="rId4" w:fontKey="{6DF1E987-8197-4936-8BEF-61DFF07EFB3C}"/>
  </w:font>
  <w:font w:name="楷体">
    <w:panose1 w:val="02010609060101010101"/>
    <w:charset w:val="86"/>
    <w:family w:val="auto"/>
    <w:pitch w:val="default"/>
    <w:sig w:usb0="800002BF" w:usb1="38CF7CFA" w:usb2="00000016" w:usb3="00000000" w:csb0="00040001" w:csb1="00000000"/>
    <w:embedRegular r:id="rId5" w:fontKey="{CEF87824-0DC1-4A19-8A93-4453C5A328A1}"/>
  </w:font>
  <w:font w:name="Arial Unicode MS">
    <w:panose1 w:val="020B0604020202020204"/>
    <w:charset w:val="86"/>
    <w:family w:val="auto"/>
    <w:pitch w:val="default"/>
    <w:sig w:usb0="FFFFFFFF" w:usb1="E9FFFFFF" w:usb2="0000003F" w:usb3="00000000" w:csb0="603F01FF" w:csb1="FFFF0000"/>
    <w:embedRegular r:id="rId6" w:fontKey="{86F2C403-3C71-43DC-83C6-2B1EB3BE6D5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2ZTgyYmU3ZWI0NzEzZGRmZTI4NDFlNTdlOWE5MmMifQ=="/>
  </w:docVars>
  <w:rsids>
    <w:rsidRoot w:val="00000000"/>
    <w:rsid w:val="02806DAA"/>
    <w:rsid w:val="03EF2618"/>
    <w:rsid w:val="068D65E5"/>
    <w:rsid w:val="13F26052"/>
    <w:rsid w:val="19BE3EF7"/>
    <w:rsid w:val="1D4F2794"/>
    <w:rsid w:val="25604B23"/>
    <w:rsid w:val="27A57ECA"/>
    <w:rsid w:val="2CA27EC8"/>
    <w:rsid w:val="2CEA5388"/>
    <w:rsid w:val="2EEF4918"/>
    <w:rsid w:val="2F9B0E37"/>
    <w:rsid w:val="31A437F4"/>
    <w:rsid w:val="3F7B2EF9"/>
    <w:rsid w:val="47FC0F1A"/>
    <w:rsid w:val="4AFC0A85"/>
    <w:rsid w:val="4B324E43"/>
    <w:rsid w:val="50912162"/>
    <w:rsid w:val="51BC675E"/>
    <w:rsid w:val="574A3A1A"/>
    <w:rsid w:val="59E631E3"/>
    <w:rsid w:val="5B4B6BBA"/>
    <w:rsid w:val="5C9F36A5"/>
    <w:rsid w:val="626E1E86"/>
    <w:rsid w:val="66DB09CF"/>
    <w:rsid w:val="68B6677D"/>
    <w:rsid w:val="6BDB7193"/>
    <w:rsid w:val="6E59211A"/>
    <w:rsid w:val="70511E83"/>
    <w:rsid w:val="779F3000"/>
    <w:rsid w:val="7C9E6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rFonts w:ascii="Times New Roman" w:hAnsi="Times New Roman" w:eastAsia="宋体" w:cs="宋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8">
    <w:name w:val="NormalCharacter"/>
    <w:link w:val="9"/>
    <w:qFormat/>
    <w:uiPriority w:val="0"/>
  </w:style>
  <w:style w:type="paragraph" w:customStyle="1" w:styleId="9">
    <w:name w:val="UserStyle_0"/>
    <w:basedOn w:val="10"/>
    <w:link w:val="8"/>
    <w:qFormat/>
    <w:uiPriority w:val="0"/>
    <w:pPr>
      <w:spacing w:after="160" w:afterLines="0" w:line="240" w:lineRule="exact"/>
      <w:jc w:val="left"/>
    </w:pPr>
  </w:style>
  <w:style w:type="paragraph" w:customStyle="1" w:styleId="10">
    <w:name w:val="UserStyle_1"/>
    <w:qFormat/>
    <w:uiPriority w:val="0"/>
    <w:pPr>
      <w:jc w:val="both"/>
      <w:textAlignment w:val="baseline"/>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1758</Words>
  <Characters>1825</Characters>
  <Lines>0</Lines>
  <Paragraphs>0</Paragraphs>
  <TotalTime>1</TotalTime>
  <ScaleCrop>false</ScaleCrop>
  <LinksUpToDate>false</LinksUpToDate>
  <CharactersWithSpaces>1837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2024-03-07T13:24:00Z</dcterms:created>
  <dc:creator>HUAWEI</dc:creator>
  <cp:lastModifiedBy>刘相妤</cp:lastModifiedBy>
  <cp:lastPrinted>2024-04-09T02:24:00Z</cp:lastPrinted>
  <dcterms:modified xsi:type="dcterms:W3CDTF">2024-04-09T03:02:57Z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C7E1D8091A75419AA128A54B75E33ED5</vt:lpwstr>
  </property>
</Properties>
</file>