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w:t>
      </w:r>
    </w:p>
    <w:p>
      <w:pPr>
        <w:jc w:val="center"/>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项目需求表</w:t>
      </w:r>
    </w:p>
    <w:tbl>
      <w:tblPr>
        <w:tblStyle w:val="5"/>
        <w:tblW w:w="0" w:type="auto"/>
        <w:tblInd w:w="-1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6980"/>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911"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szCs w:val="24"/>
                <w:lang w:eastAsia="zh-CN"/>
              </w:rPr>
            </w:pPr>
            <w:r>
              <w:rPr>
                <w:rFonts w:hint="default" w:ascii="Times New Roman" w:hAnsi="Times New Roman" w:cs="Times New Roman"/>
                <w:kern w:val="0"/>
                <w:sz w:val="24"/>
                <w:szCs w:val="24"/>
                <w:lang w:eastAsia="zh-CN"/>
              </w:rPr>
              <w:t>服务</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项目</w:t>
            </w:r>
          </w:p>
        </w:tc>
        <w:tc>
          <w:tcPr>
            <w:tcW w:w="698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技术和服务要求</w:t>
            </w:r>
          </w:p>
        </w:tc>
        <w:tc>
          <w:tcPr>
            <w:tcW w:w="820"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kern w:val="0"/>
                <w:sz w:val="24"/>
                <w:szCs w:val="24"/>
              </w:rPr>
            </w:pPr>
            <w:r>
              <w:rPr>
                <w:rFonts w:hint="default" w:ascii="Times New Roman" w:hAnsi="Times New Roman" w:cs="Times New Roman"/>
                <w:kern w:val="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11" w:type="dxa"/>
            <w:tcBorders>
              <w:tl2br w:val="nil"/>
              <w:tr2bl w:val="nil"/>
            </w:tcBorders>
            <w:noWrap w:val="0"/>
            <w:vAlign w:val="center"/>
          </w:tcPr>
          <w:p>
            <w:pPr>
              <w:pStyle w:val="4"/>
              <w:keepNext w:val="0"/>
              <w:keepLines w:val="0"/>
              <w:suppressLineNumbers w:val="0"/>
              <w:spacing w:before="0" w:beforeAutospacing="0" w:after="0" w:afterAutospacing="0"/>
              <w:ind w:left="0" w:right="0"/>
              <w:jc w:val="center"/>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w:t>
            </w:r>
          </w:p>
        </w:tc>
        <w:tc>
          <w:tcPr>
            <w:tcW w:w="6980" w:type="dxa"/>
            <w:tcBorders>
              <w:tl2br w:val="nil"/>
              <w:tr2bl w:val="nil"/>
            </w:tcBorders>
            <w:noWrap w:val="0"/>
            <w:vAlign w:val="center"/>
          </w:tcPr>
          <w:p>
            <w:pPr>
              <w:pStyle w:val="4"/>
              <w:keepNext w:val="0"/>
              <w:keepLines w:val="0"/>
              <w:numPr>
                <w:ilvl w:val="0"/>
                <w:numId w:val="0"/>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对博罗县6000台PC终端提供1年的终端安全防护服务。具体技术和服务要求如下：</w:t>
            </w:r>
            <w:bookmarkStart w:id="0" w:name="_GoBack"/>
            <w:bookmarkEnd w:id="0"/>
          </w:p>
          <w:p>
            <w:pPr>
              <w:pStyle w:val="4"/>
              <w:keepNext w:val="0"/>
              <w:keepLines w:val="0"/>
              <w:numPr>
                <w:ilvl w:val="0"/>
                <w:numId w:val="1"/>
              </w:numPr>
              <w:suppressLineNumbers w:val="0"/>
              <w:spacing w:before="0" w:beforeAutospacing="0" w:after="0" w:afterAutospacing="0"/>
              <w:ind w:left="0" w:right="0"/>
              <w:jc w:val="both"/>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需具备接入惠州市云网安全运营管理平台的能力。通过数据对接规范将终端侧采集的资产信息、终端安全告警、网端联动日志和终端安全事件上报惠州市云网安全运营管理平台，其中终端安全事件需具备详细上下文关联信息。</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需具备VPT漏洞排序的能力，采用SSVC决策树的模优先级排序模型，结合漏洞自身属性、外部漏洞情报以及资产暴露面等多个维度，对发现的漏洞进行优先级排序，包含响应、关注、观察3种结果，辅助用户快速聚焦应该优先关注的漏洞威胁。</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终端安全防护服务需支持对攻击事件深度分析，展示每步关键进程相关的文件行为、域名访问行为、进程操作行为、命令行参数等攻击相关的关键行为，帮助用户快速了解攻击者操作，洞悉目的和危害面。</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终端安全防护服务支持以可视化形式展现攻击故事，提供可视化的进程树溯源，可直观看出攻击入口、相关操作行为、高危实体文件等信息，协助客户进行事件攻击溯源和研判分析。</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不同攻击阶段的主要攻击手法检测，对包括但不仅限于以下攻击手法精准检测，执行、持久化、权限提升、防御逃逸、凭证窃取、横向移动等攻击手法检测记录。显示事件详情，展示攻击手法对应的高危操作和威胁实体。</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基于终端侧采集记录的行为数据，对文件变更、进程变更、网络连接、DNS查询等多种行为，在全网中搜索命中指定条件的端点和行为，进行高级威胁的狩猎对全网终端发起威胁狩猎，挖掘潜伏攻击。</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终端安全防护服务支持流行Windows高危漏洞的轻补丁免疫防御，支持Windows补丁批量一键修复。</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终端安全防护服务支持基于高级威胁检测的高确信web入侵事件、钓鱼攻击事件，提供实时自动化进程阻断防御功能，即在检测到web入侵事件、钓鱼攻击事件时，支持自动结束恶意进程。</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终端安全防护服务支持显示攻击事件命中的ATT&amp;CK相关技术，并对此技术做简要说明。便于用户了解攻击者的操作行为和目的，评估整体影响面。</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终端安全防护服务支持网端深度联动（与SaaS安全检测响应平台、上网行为管理、防火墙等安全设备）的能力，全网威胁定位、一键遏制、一键根除。</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网端联动杀毒（与SaaS安全检测响应平台、上网行为管理、防火墙等安全设备）的能力，自动定位恶意程序，自动化遏制恶意程序的外连通信与横向扩散行为，支持外联类快速遏制、支持自动化清除风险项，清除后相关进程无法被创建、执行，抑制感染事件复发。</w:t>
            </w:r>
          </w:p>
          <w:p>
            <w:pPr>
              <w:pStyle w:val="4"/>
              <w:keepNext w:val="0"/>
              <w:keepLines w:val="0"/>
              <w:numPr>
                <w:ilvl w:val="0"/>
                <w:numId w:val="1"/>
              </w:numPr>
              <w:suppressLineNumbers w:val="0"/>
              <w:spacing w:before="0" w:beforeAutospacing="0" w:after="0" w:afterAutospacing="0"/>
              <w:ind w:left="0" w:right="0"/>
              <w:rPr>
                <w:rFonts w:hint="default"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bidi="ar-SA"/>
              </w:rPr>
              <w:t>终端安全防护服务支持网端联动溯源的能力，即检测到僵木蠕毒的恶意域名访问时，会共享事件信息给防火墙，并且可以在防火墙侧进行威胁事件的溯源分析。</w:t>
            </w:r>
          </w:p>
        </w:tc>
        <w:tc>
          <w:tcPr>
            <w:tcW w:w="82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6000点/年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9" w:hRule="atLeast"/>
        </w:trPr>
        <w:tc>
          <w:tcPr>
            <w:tcW w:w="911"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cs="Times New Roman"/>
                <w:color w:val="000000"/>
                <w:kern w:val="0"/>
                <w:sz w:val="24"/>
                <w:szCs w:val="24"/>
                <w:lang w:val="en-US" w:eastAsia="zh-CN" w:bidi="ar"/>
              </w:rPr>
              <w:t>重保安全托管服务</w:t>
            </w:r>
          </w:p>
        </w:tc>
        <w:tc>
          <w:tcPr>
            <w:tcW w:w="6980" w:type="dxa"/>
            <w:tcBorders>
              <w:tl2br w:val="nil"/>
              <w:tr2bl w:val="nil"/>
            </w:tcBorders>
            <w:noWrap w:val="0"/>
            <w:vAlign w:val="center"/>
          </w:tcPr>
          <w:p>
            <w:pPr>
              <w:keepNext w:val="0"/>
              <w:keepLines w:val="0"/>
              <w:widowControl/>
              <w:numPr>
                <w:ilvl w:val="0"/>
                <w:numId w:val="0"/>
              </w:numPr>
              <w:suppressLineNumbers w:val="0"/>
              <w:spacing w:before="0" w:beforeAutospacing="0" w:after="0" w:afterAutospacing="0"/>
              <w:ind w:left="0" w:right="0"/>
              <w:jc w:val="both"/>
              <w:textAlignment w:val="center"/>
              <w:rPr>
                <w:rFonts w:hint="default" w:ascii="Times New Roman" w:hAnsi="Times New Roman" w:cs="Times New Roman"/>
                <w:kern w:val="0"/>
                <w:sz w:val="24"/>
                <w:szCs w:val="24"/>
                <w:vertAlign w:val="baseline"/>
                <w:lang w:val="en-US" w:eastAsia="zh-CN" w:bidi="ar-SA"/>
              </w:rPr>
            </w:pPr>
            <w:r>
              <w:rPr>
                <w:rFonts w:hint="default" w:ascii="Times New Roman" w:hAnsi="Times New Roman" w:eastAsia="宋体" w:cs="Times New Roman"/>
                <w:i w:val="0"/>
                <w:color w:val="000000"/>
                <w:kern w:val="2"/>
                <w:sz w:val="24"/>
                <w:szCs w:val="24"/>
                <w:u w:val="none"/>
                <w:lang w:val="en-US" w:eastAsia="zh-CN" w:bidi="ar-SA"/>
              </w:rPr>
              <w:t>对博罗县提供</w:t>
            </w:r>
            <w:r>
              <w:rPr>
                <w:rFonts w:hint="eastAsia" w:cs="Times New Roman"/>
                <w:i w:val="0"/>
                <w:color w:val="000000"/>
                <w:kern w:val="2"/>
                <w:sz w:val="24"/>
                <w:szCs w:val="24"/>
                <w:u w:val="none"/>
                <w:lang w:val="en-US" w:eastAsia="zh-CN" w:bidi="ar-SA"/>
              </w:rPr>
              <w:t>约</w:t>
            </w:r>
            <w:r>
              <w:rPr>
                <w:rFonts w:hint="default" w:ascii="Times New Roman" w:hAnsi="Times New Roman" w:eastAsia="宋体" w:cs="Times New Roman"/>
                <w:i w:val="0"/>
                <w:color w:val="000000"/>
                <w:kern w:val="2"/>
                <w:sz w:val="24"/>
                <w:szCs w:val="24"/>
                <w:u w:val="none"/>
                <w:lang w:val="en-US" w:eastAsia="zh-CN" w:bidi="ar-SA"/>
              </w:rPr>
              <w:t>1个月的重保安全托管服务，服务内容需具备SaaS安全检测响应能力，7*24小时安全托管能力和4人/天重保值守能力。</w:t>
            </w:r>
            <w:r>
              <w:rPr>
                <w:rFonts w:hint="default" w:ascii="Times New Roman" w:hAnsi="Times New Roman" w:cs="Times New Roman"/>
                <w:kern w:val="0"/>
                <w:sz w:val="24"/>
                <w:szCs w:val="24"/>
                <w:vertAlign w:val="baseline"/>
                <w:lang w:val="en-US" w:eastAsia="zh-CN" w:bidi="ar-SA"/>
              </w:rPr>
              <w:t>具体技术和服务要求如下：</w:t>
            </w:r>
          </w:p>
          <w:p>
            <w:pPr>
              <w:keepNext w:val="0"/>
              <w:keepLines w:val="0"/>
              <w:suppressLineNumbers w:val="0"/>
              <w:bidi w:val="0"/>
              <w:spacing w:before="0" w:beforeAutospacing="0" w:after="0" w:afterAutospacing="0"/>
              <w:ind w:left="0" w:right="0"/>
              <w:rPr>
                <w:rFonts w:hint="default" w:ascii="Times New Roman" w:hAnsi="Times New Roman" w:cs="Times New Roman"/>
                <w:b/>
                <w:bCs/>
                <w:lang w:val="en-US" w:eastAsia="zh-CN"/>
              </w:rPr>
            </w:pPr>
            <w:r>
              <w:rPr>
                <w:rFonts w:hint="default" w:ascii="Times New Roman" w:hAnsi="Times New Roman" w:eastAsia="宋体" w:cs="Times New Roman"/>
                <w:b/>
                <w:bCs/>
                <w:i w:val="0"/>
                <w:color w:val="000000"/>
                <w:kern w:val="2"/>
                <w:sz w:val="24"/>
                <w:szCs w:val="24"/>
                <w:u w:val="none"/>
                <w:lang w:val="en-US" w:eastAsia="zh-CN" w:bidi="ar-SA"/>
              </w:rPr>
              <w:t>一、SaaS安全检测响应能力</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lang w:val="en-US" w:eastAsia="zh-CN"/>
              </w:rPr>
            </w:pPr>
            <w:r>
              <w:rPr>
                <w:rFonts w:hint="default" w:ascii="Times New Roman" w:hAnsi="Times New Roman" w:eastAsia="宋体" w:cs="Times New Roman"/>
                <w:i w:val="0"/>
                <w:color w:val="000000"/>
                <w:kern w:val="2"/>
                <w:sz w:val="24"/>
                <w:szCs w:val="24"/>
                <w:u w:val="none"/>
                <w:lang w:val="en-US" w:eastAsia="zh-CN" w:bidi="ar-SA"/>
              </w:rPr>
              <w:t>SaaS安全检测响应能力支持对安全事件推送处置和响应建议，响应建议包括原理介绍、危害影响、处置建议。通过建议描述、业务影响标签和安全效果标签清晰明确指导下一步响应动作，可一键封禁IP、隔离主机等。</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lang w:val="en-US" w:eastAsia="zh-CN"/>
              </w:rPr>
            </w:pPr>
            <w:r>
              <w:rPr>
                <w:rFonts w:hint="default" w:ascii="Times New Roman" w:hAnsi="Times New Roman" w:eastAsia="宋体" w:cs="Times New Roman"/>
                <w:i w:val="0"/>
                <w:color w:val="000000"/>
                <w:kern w:val="2"/>
                <w:sz w:val="24"/>
                <w:szCs w:val="24"/>
                <w:u w:val="none"/>
                <w:lang w:val="en-US" w:eastAsia="zh-CN" w:bidi="ar-SA"/>
              </w:rPr>
              <w:t>SaaS安全检测响应能力支持告警智能定性分析，通过分析告警的上下文关联、时序关系、历史告警发生的频率规律性，结合威胁情报与安全专家经验对当前的安全告警进行目的性确认、从而确认安全告警的优先级顺序，帮助安全人员高效的完成攻击告警的运营工作，可归类人工渗透攻击，包括定向攻击、攻防演练、内部测试。程序自动化攻击，包括监管通报、病毒、扫描器攻击。业务风险相关，包括脆弱性风险、业务不规范，和其他威胁。</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lang w:val="en-US" w:eastAsia="zh-CN"/>
              </w:rPr>
            </w:pPr>
            <w:r>
              <w:rPr>
                <w:rFonts w:hint="default" w:ascii="Times New Roman" w:hAnsi="Times New Roman" w:eastAsia="宋体" w:cs="Times New Roman"/>
                <w:i w:val="0"/>
                <w:color w:val="000000"/>
                <w:kern w:val="2"/>
                <w:sz w:val="24"/>
                <w:szCs w:val="24"/>
                <w:u w:val="none"/>
                <w:lang w:val="en-US" w:eastAsia="zh-CN" w:bidi="ar-SA"/>
              </w:rPr>
              <w:t>SaaS安全检测响应能力支持通过开放端口、应用软件、数据库、web服务、web框架、web应用、web站点、账号信息、运行进程、运行服务、启动项、计划任务、注册表维度进行资产清点。清点可展示相关资产列表及资产责任人、数据源。</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lang w:val="en-US" w:eastAsia="zh-CN"/>
              </w:rPr>
            </w:pPr>
            <w:r>
              <w:rPr>
                <w:rFonts w:hint="default" w:ascii="Times New Roman" w:hAnsi="Times New Roman" w:eastAsia="宋体" w:cs="Times New Roman"/>
                <w:sz w:val="24"/>
                <w:szCs w:val="24"/>
                <w:lang w:val="en-US" w:eastAsia="zh-CN"/>
              </w:rPr>
              <w:t>SaaS安全检测响应能力支持查看ATT&amp;CK攻击矩阵攻击命中全景图并匹配对应告警，可清晰了解安全事件中被黑客技战术利用的情况，提升研判效率。同时可查阅命中技术ID、命中次数、技术描述和参考来源。</w:t>
            </w:r>
          </w:p>
          <w:p>
            <w:pPr>
              <w:keepNext w:val="0"/>
              <w:keepLines w:val="0"/>
              <w:suppressLineNumbers w:val="0"/>
              <w:bidi w:val="0"/>
              <w:spacing w:before="0" w:beforeAutospacing="0" w:after="0" w:afterAutospacing="0"/>
              <w:ind w:left="0" w:right="0"/>
              <w:rPr>
                <w:rFonts w:hint="default" w:ascii="Times New Roman" w:hAnsi="Times New Roman" w:cs="Times New Roman"/>
                <w:lang w:val="en-US" w:eastAsia="zh-CN"/>
              </w:rPr>
            </w:pPr>
            <w:r>
              <w:rPr>
                <w:rFonts w:hint="default" w:ascii="Times New Roman" w:hAnsi="Times New Roman" w:eastAsia="宋体" w:cs="Times New Roman"/>
                <w:b/>
                <w:bCs/>
                <w:i w:val="0"/>
                <w:color w:val="000000"/>
                <w:kern w:val="2"/>
                <w:sz w:val="24"/>
                <w:szCs w:val="24"/>
                <w:u w:val="none"/>
                <w:lang w:val="en-US" w:eastAsia="zh-CN" w:bidi="ar-SA"/>
              </w:rPr>
              <w:t>二、7*24小时安全托管能力</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lang w:val="en-US" w:eastAsia="zh-CN"/>
              </w:rPr>
            </w:pPr>
            <w:r>
              <w:rPr>
                <w:rFonts w:hint="default" w:ascii="Times New Roman" w:hAnsi="Times New Roman" w:eastAsia="宋体" w:cs="Times New Roman"/>
                <w:i w:val="0"/>
                <w:color w:val="000000"/>
                <w:kern w:val="2"/>
                <w:sz w:val="24"/>
                <w:szCs w:val="24"/>
                <w:u w:val="none"/>
                <w:lang w:val="en-US" w:eastAsia="zh-CN" w:bidi="ar-SA"/>
              </w:rPr>
              <w:t>7*24小时安全托管能力支持</w:t>
            </w:r>
            <w:r>
              <w:rPr>
                <w:rFonts w:hint="default" w:ascii="Times New Roman" w:hAnsi="Times New Roman" w:eastAsia="宋体" w:cs="Times New Roman"/>
                <w:color w:val="000000"/>
                <w:kern w:val="0"/>
                <w:sz w:val="24"/>
                <w:szCs w:val="24"/>
                <w:lang w:val="en-US" w:eastAsia="zh-CN" w:bidi="ar"/>
              </w:rPr>
              <w:t>资产指纹信息梳理，需提供服务工具辅助梳理信息化资产详情（含操作系统、中间件、数据库、</w:t>
            </w:r>
            <w:r>
              <w:rPr>
                <w:rFonts w:hint="default" w:ascii="Times New Roman" w:hAnsi="Times New Roman" w:cs="Times New Roman"/>
                <w:color w:val="000000"/>
                <w:kern w:val="0"/>
                <w:sz w:val="24"/>
                <w:szCs w:val="24"/>
                <w:lang w:val="en-US" w:eastAsia="zh-CN" w:bidi="ar"/>
              </w:rPr>
              <w:t>开发</w:t>
            </w:r>
            <w:r>
              <w:rPr>
                <w:rFonts w:hint="default" w:ascii="Times New Roman" w:hAnsi="Times New Roman" w:eastAsia="宋体" w:cs="Times New Roman"/>
                <w:color w:val="000000"/>
                <w:kern w:val="0"/>
                <w:sz w:val="24"/>
                <w:szCs w:val="24"/>
                <w:lang w:val="en-US" w:eastAsia="zh-CN" w:bidi="ar"/>
              </w:rPr>
              <w:t>框架，开发语言等指纹信息），并将梳理的信息录入安全运营</w:t>
            </w:r>
            <w:r>
              <w:rPr>
                <w:rFonts w:hint="default" w:ascii="Times New Roman" w:hAnsi="Times New Roman" w:cs="Times New Roman"/>
                <w:color w:val="000000"/>
                <w:kern w:val="0"/>
                <w:sz w:val="24"/>
                <w:szCs w:val="24"/>
                <w:lang w:val="en-US" w:eastAsia="zh-CN" w:bidi="ar"/>
              </w:rPr>
              <w:t>服务</w:t>
            </w:r>
            <w:r>
              <w:rPr>
                <w:rFonts w:hint="default" w:ascii="Times New Roman" w:hAnsi="Times New Roman" w:eastAsia="宋体" w:cs="Times New Roman"/>
                <w:color w:val="000000"/>
                <w:kern w:val="0"/>
                <w:sz w:val="24"/>
                <w:szCs w:val="24"/>
                <w:lang w:val="en-US" w:eastAsia="zh-CN" w:bidi="ar"/>
              </w:rPr>
              <w:t>平台</w:t>
            </w:r>
            <w:r>
              <w:rPr>
                <w:rFonts w:hint="default" w:ascii="Times New Roman" w:hAnsi="Times New Roman" w:cs="Times New Roman"/>
                <w:color w:val="000000"/>
                <w:kern w:val="0"/>
                <w:sz w:val="24"/>
                <w:szCs w:val="24"/>
                <w:lang w:val="en-US" w:eastAsia="zh-CN" w:bidi="ar"/>
              </w:rPr>
              <w:t>。</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攻防演习期间，提供安全运营服务平台，对攻击事件自动化生成工单，及时进行分析与预警。攻击事件包含境外黑客攻击事件、暴力破解攻击事件、持续攻击事件、高级威胁事件等。</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高级安全专家威胁狩猎，提供高级安全攻防专家在线值守服务，在安全运营服务平台自动生成安全威胁工单的基础上每两个小时进行一次人工威胁狩猎，主动全面的分析全网安全日志信息，提高有效攻击事件的检出率，服务方须承诺安全攻击事件产生到发现时间</w:t>
            </w:r>
            <w:r>
              <w:rPr>
                <w:rFonts w:hint="eastAsia" w:cs="Times New Roman"/>
                <w:sz w:val="24"/>
                <w:szCs w:val="24"/>
                <w:lang w:val="en-US" w:eastAsia="zh-CN"/>
              </w:rPr>
              <w:t>≤</w:t>
            </w:r>
            <w:r>
              <w:rPr>
                <w:rFonts w:hint="default" w:ascii="Times New Roman" w:hAnsi="Times New Roman" w:cs="Times New Roman"/>
                <w:sz w:val="24"/>
                <w:szCs w:val="24"/>
                <w:lang w:val="en-US" w:eastAsia="zh-CN"/>
              </w:rPr>
              <w:t>30分钟。</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为了降低因网络安全事件造成的损失和影响，应当按照以下服务指标和要求提供服务：</w:t>
            </w:r>
          </w:p>
          <w:p>
            <w:pPr>
              <w:keepNext w:val="0"/>
              <w:keepLines w:val="0"/>
              <w:numPr>
                <w:ilvl w:val="0"/>
                <w:numId w:val="3"/>
              </w:numPr>
              <w:suppressLineNumbers w:val="0"/>
              <w:bidi w:val="0"/>
              <w:spacing w:before="0" w:beforeAutospacing="0" w:after="0" w:afterAutospacing="0"/>
              <w:ind w:left="0" w:right="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从安全日志产生到事件通告的时间方面，按照国家标准对安全事件的分类分级指南，重大安全事件通告时间小于30分钟，一般事件的通告时间少于1小时；</w:t>
            </w:r>
          </w:p>
          <w:p>
            <w:pPr>
              <w:keepNext w:val="0"/>
              <w:keepLines w:val="0"/>
              <w:numPr>
                <w:ilvl w:val="0"/>
                <w:numId w:val="3"/>
              </w:numPr>
              <w:suppressLineNumbers w:val="0"/>
              <w:bidi w:val="0"/>
              <w:spacing w:before="0" w:beforeAutospacing="0" w:after="0" w:afterAutospacing="0"/>
              <w:ind w:left="0" w:right="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在配备边界防护服务组件和终端防护服务组件的情况下，高级威胁的处置完成时间少于1小时，一般威胁的处置完成时间少于4小时；</w:t>
            </w:r>
          </w:p>
          <w:p>
            <w:pPr>
              <w:keepNext w:val="0"/>
              <w:keepLines w:val="0"/>
              <w:numPr>
                <w:ilvl w:val="0"/>
                <w:numId w:val="3"/>
              </w:numPr>
              <w:suppressLineNumbers w:val="0"/>
              <w:bidi w:val="0"/>
              <w:spacing w:before="0" w:beforeAutospacing="0" w:after="0" w:afterAutospacing="0"/>
              <w:ind w:left="0" w:right="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安全事件经过服务人员的确认后，通告各类安全事件的准确率不低于99%（即误报不能超过1%）；</w:t>
            </w:r>
          </w:p>
          <w:p>
            <w:pPr>
              <w:keepNext w:val="0"/>
              <w:keepLines w:val="0"/>
              <w:numPr>
                <w:ilvl w:val="0"/>
                <w:numId w:val="3"/>
              </w:numPr>
              <w:suppressLineNumbers w:val="0"/>
              <w:bidi w:val="0"/>
              <w:spacing w:before="0" w:beforeAutospacing="0" w:after="0" w:afterAutospacing="0"/>
              <w:ind w:left="0" w:right="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应当承诺，服务范围内的所有安全事件的闭环处置比例达到100%；</w:t>
            </w:r>
          </w:p>
          <w:p>
            <w:pPr>
              <w:keepNext w:val="0"/>
              <w:keepLines w:val="0"/>
              <w:numPr>
                <w:ilvl w:val="0"/>
                <w:numId w:val="3"/>
              </w:numPr>
              <w:suppressLineNumbers w:val="0"/>
              <w:bidi w:val="0"/>
              <w:spacing w:before="0" w:beforeAutospacing="0" w:after="0" w:afterAutospacing="0"/>
              <w:ind w:left="0" w:right="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应当满足重大事故应启动应急响应机制，工作时间15分钟之内云端专家进行响应，非工作时间30分钟之内云端专家进行响应</w:t>
            </w:r>
            <w:r>
              <w:rPr>
                <w:rFonts w:hint="eastAsia" w:cs="Times New Roman"/>
                <w:sz w:val="24"/>
                <w:szCs w:val="24"/>
                <w:lang w:val="en-US" w:eastAsia="zh-CN"/>
              </w:rPr>
              <w:t>；如有需要，根据业主要求3</w:t>
            </w:r>
            <w:r>
              <w:rPr>
                <w:rFonts w:hint="default" w:ascii="Times New Roman" w:hAnsi="Times New Roman" w:cs="Times New Roman"/>
                <w:sz w:val="24"/>
                <w:szCs w:val="24"/>
                <w:lang w:eastAsia="zh-CN"/>
              </w:rPr>
              <w:t>小时</w:t>
            </w:r>
            <w:r>
              <w:rPr>
                <w:rFonts w:hint="eastAsia" w:cs="Times New Roman"/>
                <w:sz w:val="24"/>
                <w:szCs w:val="24"/>
                <w:lang w:val="en-US" w:eastAsia="zh-CN"/>
              </w:rPr>
              <w:t>内</w:t>
            </w:r>
            <w:r>
              <w:rPr>
                <w:rFonts w:hint="default" w:ascii="Times New Roman" w:hAnsi="Times New Roman" w:cs="Times New Roman"/>
                <w:sz w:val="24"/>
                <w:szCs w:val="24"/>
                <w:lang w:eastAsia="zh-CN"/>
              </w:rPr>
              <w:t>上门处置；</w:t>
            </w:r>
          </w:p>
          <w:p>
            <w:pPr>
              <w:keepNext w:val="0"/>
              <w:keepLines w:val="0"/>
              <w:numPr>
                <w:ilvl w:val="0"/>
                <w:numId w:val="3"/>
              </w:numPr>
              <w:suppressLineNumbers w:val="0"/>
              <w:bidi w:val="0"/>
              <w:spacing w:before="0" w:beforeAutospacing="0" w:after="0" w:afterAutospacing="0"/>
              <w:ind w:left="0" w:right="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在具备边界防护组件的情况下，要求可以对服务范围内发现的每一个高危可利用漏洞提供防护规则，并且承诺防护率达到99%。</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应承诺7*24小时持续专家服务，威胁发现及时响应。</w:t>
            </w:r>
          </w:p>
          <w:p>
            <w:pPr>
              <w:keepNext w:val="0"/>
              <w:keepLines w:val="0"/>
              <w:numPr>
                <w:ilvl w:val="0"/>
                <w:numId w:val="2"/>
              </w:numPr>
              <w:suppressLineNumbers w:val="0"/>
              <w:bidi w:val="0"/>
              <w:spacing w:before="0" w:beforeAutospacing="0" w:after="0" w:afterAutospacing="0"/>
              <w:ind w:left="0" w:leftChars="0" w:right="0" w:firstLine="0" w:firstLine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监测结果的通告频率不低于每2小时1次。</w:t>
            </w:r>
          </w:p>
          <w:p>
            <w:pPr>
              <w:keepNext w:val="0"/>
              <w:keepLines w:val="0"/>
              <w:suppressLineNumbers w:val="0"/>
              <w:bidi w:val="0"/>
              <w:spacing w:before="0" w:beforeAutospacing="0" w:after="0" w:afterAutospacing="0"/>
              <w:ind w:left="0" w:right="0"/>
              <w:rPr>
                <w:rFonts w:hint="default" w:ascii="Times New Roman" w:hAnsi="Times New Roman" w:cs="Times New Roman"/>
                <w:lang w:val="en-US" w:eastAsia="zh-CN"/>
              </w:rPr>
            </w:pPr>
            <w:r>
              <w:rPr>
                <w:rFonts w:hint="default" w:ascii="Times New Roman" w:hAnsi="Times New Roman" w:eastAsia="宋体" w:cs="Times New Roman"/>
                <w:b/>
                <w:bCs/>
                <w:i w:val="0"/>
                <w:color w:val="000000"/>
                <w:kern w:val="2"/>
                <w:sz w:val="24"/>
                <w:szCs w:val="24"/>
                <w:u w:val="none"/>
                <w:lang w:val="en-US" w:eastAsia="zh-CN" w:bidi="ar-SA"/>
              </w:rPr>
              <w:t>三、重保值守能力</w:t>
            </w:r>
          </w:p>
          <w:p>
            <w:pPr>
              <w:keepNext w:val="0"/>
              <w:keepLines w:val="0"/>
              <w:suppressLineNumbers w:val="0"/>
              <w:bidi w:val="0"/>
              <w:spacing w:before="0" w:beforeAutospacing="0" w:after="0" w:afterAutospacing="0"/>
              <w:ind w:left="0" w:right="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 在攻防演练期间，安服工程师提供每天8小时的值守服务，值守工作内容包括态势感知等安全流量设备日志分析与研判，每天输出值守报告。</w:t>
            </w:r>
          </w:p>
          <w:p>
            <w:pPr>
              <w:keepNext w:val="0"/>
              <w:keepLines w:val="0"/>
              <w:suppressLineNumbers w:val="0"/>
              <w:bidi w:val="0"/>
              <w:spacing w:before="0" w:beforeAutospacing="0" w:after="0" w:afterAutospacing="0"/>
              <w:ind w:left="0" w:right="0"/>
              <w:rPr>
                <w:rFonts w:hint="default" w:ascii="Times New Roman" w:hAnsi="Times New Roman" w:cs="Times New Roman"/>
                <w:kern w:val="0"/>
                <w:sz w:val="24"/>
                <w:szCs w:val="24"/>
              </w:rPr>
            </w:pPr>
            <w:r>
              <w:rPr>
                <w:rFonts w:hint="default" w:ascii="Times New Roman" w:hAnsi="Times New Roman" w:cs="Times New Roman"/>
                <w:sz w:val="24"/>
                <w:szCs w:val="24"/>
                <w:lang w:val="en-US" w:eastAsia="zh-CN"/>
              </w:rPr>
              <w:t>12. 在攻防演练期间，</w:t>
            </w:r>
            <w:r>
              <w:rPr>
                <w:rFonts w:hint="default" w:ascii="Times New Roman" w:hAnsi="Times New Roman" w:cs="Times New Roman"/>
                <w:kern w:val="0"/>
                <w:sz w:val="24"/>
                <w:szCs w:val="24"/>
              </w:rPr>
              <w:t>现场值守人员作为分析组成员对监控组上报的报警日志和可疑日志进行分析误判确认和安全事件确认，对各安全系统发现的事件进行分析，对攻击样本进行分析，对攻击相关系统、设备的日志进行分析研判。</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 xml:space="preserve">13. </w:t>
            </w:r>
            <w:r>
              <w:rPr>
                <w:rFonts w:hint="default" w:ascii="Times New Roman" w:hAnsi="Times New Roman" w:cs="Times New Roman"/>
                <w:sz w:val="24"/>
                <w:szCs w:val="24"/>
                <w:lang w:val="en-US" w:eastAsia="zh-CN"/>
              </w:rPr>
              <w:t>在攻防演练期间，</w:t>
            </w:r>
            <w:r>
              <w:rPr>
                <w:rFonts w:hint="default" w:ascii="Times New Roman" w:hAnsi="Times New Roman" w:cs="Times New Roman"/>
                <w:kern w:val="0"/>
                <w:sz w:val="24"/>
                <w:szCs w:val="24"/>
              </w:rPr>
              <w:t>现场值守人员对入侵的网络安全攻击成功事件进行深度分析，并对攻击方法、攻击方式、攻击路径进行分析，分析被入侵根因以及后门程序，并且按需撰写应急响应报告</w:t>
            </w:r>
            <w:r>
              <w:rPr>
                <w:rFonts w:hint="default" w:ascii="Times New Roman" w:hAnsi="Times New Roman" w:cs="Times New Roman"/>
                <w:kern w:val="0"/>
                <w:sz w:val="24"/>
                <w:szCs w:val="24"/>
                <w:lang w:eastAsia="zh-CN"/>
              </w:rPr>
              <w:t>。</w:t>
            </w:r>
          </w:p>
        </w:tc>
        <w:tc>
          <w:tcPr>
            <w:tcW w:w="82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1</w:t>
            </w:r>
          </w:p>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个</w:t>
            </w:r>
          </w:p>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月</w:t>
            </w:r>
          </w:p>
        </w:tc>
      </w:tr>
    </w:tbl>
    <w:p>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02"/>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E9BA1"/>
    <w:multiLevelType w:val="singleLevel"/>
    <w:tmpl w:val="E00E9BA1"/>
    <w:lvl w:ilvl="0" w:tentative="0">
      <w:start w:val="1"/>
      <w:numFmt w:val="decimal"/>
      <w:suff w:val="space"/>
      <w:lvlText w:val="%1."/>
      <w:lvlJc w:val="left"/>
    </w:lvl>
  </w:abstractNum>
  <w:abstractNum w:abstractNumId="1">
    <w:nsid w:val="22573A8A"/>
    <w:multiLevelType w:val="singleLevel"/>
    <w:tmpl w:val="22573A8A"/>
    <w:lvl w:ilvl="0" w:tentative="0">
      <w:start w:val="1"/>
      <w:numFmt w:val="decimal"/>
      <w:suff w:val="space"/>
      <w:lvlText w:val="%1."/>
      <w:lvlJc w:val="left"/>
    </w:lvl>
  </w:abstractNum>
  <w:abstractNum w:abstractNumId="2">
    <w:nsid w:val="3629E402"/>
    <w:multiLevelType w:val="singleLevel"/>
    <w:tmpl w:val="3629E40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hMTBjMzg3M2Q1Zjc4ODkwNDE1NGI2NGZhMTFjZTkifQ=="/>
  </w:docVars>
  <w:rsids>
    <w:rsidRoot w:val="6C0D5552"/>
    <w:rsid w:val="088A7D29"/>
    <w:rsid w:val="292E501E"/>
    <w:rsid w:val="35361A19"/>
    <w:rsid w:val="383252C1"/>
    <w:rsid w:val="6C0D5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afterLines="0" w:afterAutospacing="0"/>
      <w:ind w:left="420" w:leftChars="200"/>
    </w:pPr>
  </w:style>
  <w:style w:type="paragraph" w:styleId="4">
    <w:name w:val="Normal Indent"/>
    <w:basedOn w:val="1"/>
    <w:next w:val="1"/>
    <w:autoRedefine/>
    <w:qFormat/>
    <w:uiPriority w:val="0"/>
    <w:pPr>
      <w:autoSpaceDE w:val="0"/>
      <w:autoSpaceDN w:val="0"/>
      <w:adjustRightInd w:val="0"/>
      <w:jc w:val="left"/>
    </w:pPr>
    <w:rPr>
      <w:kern w:val="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2024-04-17T08:41:00Z</dcterms:created>
  <dc:creator>wzsheng</dc:creator>
  <cp:lastModifiedBy>齐齐爸爸</cp:lastModifiedBy>
  <cp:lastPrinted>2024-04-22T09:31:08Z</cp:lastPrinted>
  <dcterms:modified xsi:type="dcterms:W3CDTF">2024-04-22T09:31:26Z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D10D18BEE48348E089CE85B97A7B3912_11</vt:lpwstr>
  </property>
</Properties>
</file>