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contextualSpacing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8"/>
          <w:szCs w:val="28"/>
          <w:lang w:val="en-US" w:eastAsia="zh-CN"/>
        </w:rPr>
        <w:t>附件：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contextualSpacing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博罗电力供应环境可持续性关键绩效指标体系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160" w:firstLineChars="1400"/>
        <w:contextualSpacing/>
        <w:jc w:val="both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（试行）</w:t>
      </w:r>
    </w:p>
    <w:p>
      <w:pPr>
        <w:pStyle w:val="4"/>
        <w:ind w:left="0" w:leftChars="0" w:firstLine="0" w:firstLineChars="0"/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</w:pPr>
    </w:p>
    <w:tbl>
      <w:tblPr>
        <w:tblStyle w:val="6"/>
        <w:tblW w:w="15862" w:type="dxa"/>
        <w:tblInd w:w="-10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5"/>
        <w:gridCol w:w="1905"/>
        <w:gridCol w:w="2355"/>
        <w:gridCol w:w="9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评价维度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二级指标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三级指标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指标含义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87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供需形势</w:t>
            </w: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ind w:firstLine="560" w:firstLineChars="200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电力供需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最高负荷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电力系统中最大瞬时用电功率，单位：万千瓦。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最高发电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sz w:val="28"/>
                <w:szCs w:val="28"/>
                <w:vertAlign w:val="baseline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电力系统中最大瞬时发电功率，单位：万千瓦。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最大峰谷差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电力系统某一时间周期内最高负荷与最低负荷之差，单位：万千瓦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ind w:firstLine="280" w:firstLineChars="100"/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电量供需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eastAsia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年用电量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全年全社会累计用电电量，单位：亿千瓦时。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年发电量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本地电源累计发电电量，单位：亿千瓦时。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年受电量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市外来电累计受电电量，单位：亿千瓦时。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发电领域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能源效率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供电煤耗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火力发电厂每向外提供1千瓦时电能平均耗用的标准煤量，单位：克/千瓦时。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清洁能源</w:t>
            </w: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使用率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清洁能源消费电量占比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一个区域电力系统中，气电、核电、水电、风电、光伏和生物质等清洁能源消纳电量占全社会用电量的比重，单位：%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非水清洁能源消费电量占比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一个区域电力系统中，气电、核电、风电、光伏和生物质等清洁能源消纳电量占全社会用电量的比重，单位：%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本地清洁能源装机占比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一个区域电力系统中，气电、核电、水电、风电、光伏和生物质等清洁能源装机容量占本地电源总装机容量的比重，单位：%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本地清洁能源发电量占比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一个区域电力系统中，气电、核电、水电、风电、光伏和生物质等清洁能源发电量占本地电源总发电量的比重，单位：%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新能源消纳率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本地新能源实际发电量与理论可发电量之间的比率，单位：%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化石燃料工程排污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二氧化硫排放量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一个区域电力系统中，火力发电厂年度二氧化硫的总排放量，单位：吨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氮氧化物排放量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一个区域电力系统中，火力发电厂年度氮氧化物的总排放量，单位：吨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颗粒物排放量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一个区域电力系统中，火力发电厂年度颗粒物的总排放量，单位：吨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restart"/>
            <w:noWrap w:val="0"/>
            <w:vAlign w:val="top"/>
          </w:tcPr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输配电领域</w:t>
            </w: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输配电效率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线损率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电力网络中损耗的电能占向电力网络供应电能的百分比，单位：%。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变电站噪声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噪声监测率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110KV以上变电站当年度开展噪声监测的比例，单位：%。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减少臭氧物质排放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六氟化硫回收率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一个区域电力系统中，六氟化硫气体回收率，单位：%。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restart"/>
            <w:noWrap w:val="0"/>
            <w:vAlign w:val="top"/>
          </w:tcPr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both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both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both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用电领域</w:t>
            </w:r>
          </w:p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需求侧管理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需求响应签约容量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签约用户通过市场化方式，参与负荷调节的最大允许容量，单位：万千瓦。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年度需求响应电量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签约用户通过市场化方式，年度累计参与负荷调节的电量，单位：万千瓦时。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单次最大需求响应电力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签约用户通过市场化方式，参与负荷调节的最大响应电力，单位：万千瓦。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1875" w:type="dxa"/>
            <w:vMerge w:val="continue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年度需求响应次数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签约用户通过市场化方式，参与负荷调节的次数，单位：次。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905" w:type="dxa"/>
            <w:vMerge w:val="restart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推广智能电表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智能电表覆盖率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用户计量装置智能电表的覆盖率，单位：%。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智能电表采集成功率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用户计量装置智能电表的采集成功率，单位：%。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905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智能电表采集频次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智能电表电量数据的采集频次，单位：分钟/次。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75" w:type="dxa"/>
            <w:vMerge w:val="continue"/>
            <w:noWrap w:val="0"/>
            <w:vAlign w:val="top"/>
          </w:tcPr>
          <w:p>
            <w:pPr>
              <w:rPr>
                <w:vertAlign w:val="baseline"/>
              </w:rPr>
            </w:pPr>
          </w:p>
        </w:tc>
        <w:tc>
          <w:tcPr>
            <w:tcW w:w="190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电量节约</w:t>
            </w:r>
          </w:p>
        </w:tc>
        <w:tc>
          <w:tcPr>
            <w:tcW w:w="2355" w:type="dxa"/>
            <w:noWrap w:val="0"/>
            <w:vAlign w:val="top"/>
          </w:tcPr>
          <w:p>
            <w:pPr>
              <w:jc w:val="center"/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年节约电量</w:t>
            </w:r>
          </w:p>
        </w:tc>
        <w:tc>
          <w:tcPr>
            <w:tcW w:w="9727" w:type="dxa"/>
            <w:noWrap w:val="0"/>
            <w:vAlign w:val="top"/>
          </w:tcPr>
          <w:p>
            <w:pPr>
              <w:rPr>
                <w:rFonts w:hint="default" w:eastAsia="宋体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sz w:val="28"/>
                <w:szCs w:val="28"/>
                <w:vertAlign w:val="baseline"/>
                <w:lang w:val="en-US" w:eastAsia="zh-CN"/>
              </w:rPr>
              <w:t>电网企业当年节约电量与上一年度最大售电量之比，单位：%。</w:t>
            </w:r>
          </w:p>
        </w:tc>
      </w:tr>
    </w:tbl>
    <w:p/>
    <w:p>
      <w:pPr>
        <w:pStyle w:val="3"/>
      </w:pPr>
    </w:p>
    <w:p/>
    <w:p/>
    <w:p/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kMzlmOGQ1NjM1NmNlOWFiZmE0YWFjNTNiYjBmYTUifQ=="/>
  </w:docVars>
  <w:rsids>
    <w:rsidRoot w:val="00000000"/>
    <w:rsid w:val="238F65F9"/>
    <w:rsid w:val="269936F1"/>
    <w:rsid w:val="2E4E3193"/>
    <w:rsid w:val="2EA41299"/>
    <w:rsid w:val="44841585"/>
    <w:rsid w:val="477D670E"/>
    <w:rsid w:val="4CC522CF"/>
    <w:rsid w:val="52AA6BFA"/>
    <w:rsid w:val="547219C8"/>
    <w:rsid w:val="55110F0E"/>
    <w:rsid w:val="60166658"/>
    <w:rsid w:val="65C326DB"/>
    <w:rsid w:val="6C9E42BF"/>
    <w:rsid w:val="7F0B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after="260" w:line="412" w:lineRule="auto"/>
      <w:outlineLvl w:val="2"/>
    </w:pPr>
    <w:rPr>
      <w:b/>
      <w:sz w:val="32"/>
      <w:szCs w:val="20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Calibri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autoRedefine/>
    <w:qFormat/>
    <w:uiPriority w:val="0"/>
    <w:pPr>
      <w:ind w:firstLine="200" w:firstLineChars="200"/>
    </w:p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 New New"/>
    <w:next w:val="9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样式1"/>
    <w:basedOn w:val="10"/>
    <w:next w:val="1"/>
    <w:autoRedefine/>
    <w:qFormat/>
    <w:uiPriority w:val="99"/>
  </w:style>
  <w:style w:type="paragraph" w:customStyle="1" w:styleId="10">
    <w:name w:val="正文1"/>
    <w:basedOn w:val="8"/>
    <w:autoRedefine/>
    <w:qFormat/>
    <w:uiPriority w:val="99"/>
    <w:pPr>
      <w:ind w:firstLine="708" w:firstLineChars="236"/>
    </w:pPr>
    <w:rPr>
      <w:rFonts w:ascii="仿宋_GB2312" w:eastAsia="仿宋_GB2312" w:cs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17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2023-05-26T01:57:00Z</dcterms:created>
  <dc:creator>lenovo</dc:creator>
  <cp:lastModifiedBy>jee</cp:lastModifiedBy>
  <cp:lastPrinted>2024-05-15T01:48:00Z</cp:lastPrinted>
  <dcterms:modified xsi:type="dcterms:W3CDTF">2024-05-22T03:14:26Z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14B70D4D7E7D41F4BEB94688CD644D95</vt:lpwstr>
  </property>
</Properties>
</file>