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70A7A9">
      <w:pPr>
        <w:bidi w:val="0"/>
        <w:rPr>
          <w:rFonts w:hint="eastAsia"/>
          <w:lang w:val="en-US" w:eastAsia="zh-CN"/>
        </w:rPr>
      </w:pPr>
      <w:r>
        <w:rPr>
          <w:rFonts w:hint="eastAsia"/>
          <w:lang w:val="en-US" w:eastAsia="zh-CN"/>
        </w:rPr>
        <w:t>附件：</w:t>
      </w:r>
    </w:p>
    <w:p w14:paraId="749A3F13">
      <w:pPr>
        <w:spacing w:line="52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博罗县政府门户网站运维服务项目采购</w:t>
      </w:r>
    </w:p>
    <w:p w14:paraId="323983C2">
      <w:pPr>
        <w:spacing w:line="52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需求书</w:t>
      </w:r>
    </w:p>
    <w:p w14:paraId="34412739">
      <w:pPr>
        <w:pStyle w:val="2"/>
        <w:rPr>
          <w:rFonts w:hint="eastAsia"/>
        </w:rPr>
      </w:pPr>
    </w:p>
    <w:p w14:paraId="4632D82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黑体_GBK" w:hAnsi="方正黑体_GBK" w:eastAsia="方正黑体_GBK" w:cs="方正黑体_GBK"/>
        </w:rPr>
      </w:pPr>
      <w:r>
        <w:rPr>
          <w:rFonts w:hint="eastAsia" w:ascii="方正黑体_GBK" w:hAnsi="方正黑体_GBK" w:eastAsia="方正黑体_GBK" w:cs="方正黑体_GBK"/>
        </w:rPr>
        <w:t>一、项目名称</w:t>
      </w:r>
    </w:p>
    <w:p w14:paraId="7A2FDFD5">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博罗县政府门户网站运维服务项目</w:t>
      </w:r>
    </w:p>
    <w:p w14:paraId="4B20064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黑体_GBK" w:hAnsi="方正黑体_GBK" w:eastAsia="方正黑体_GBK" w:cs="方正黑体_GBK"/>
        </w:rPr>
      </w:pPr>
      <w:r>
        <w:rPr>
          <w:rFonts w:hint="eastAsia" w:ascii="方正黑体_GBK" w:hAnsi="方正黑体_GBK" w:eastAsia="方正黑体_GBK" w:cs="方正黑体_GBK"/>
        </w:rPr>
        <w:t>二、采购方式</w:t>
      </w:r>
    </w:p>
    <w:p w14:paraId="67CC426B">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lang w:val="en-US" w:eastAsia="zh-CN"/>
        </w:rPr>
        <w:t>自行</w:t>
      </w:r>
      <w:r>
        <w:rPr>
          <w:rFonts w:hint="eastAsia"/>
        </w:rPr>
        <w:t>采购</w:t>
      </w:r>
    </w:p>
    <w:p w14:paraId="1AC9999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黑体_GBK" w:hAnsi="方正黑体_GBK" w:eastAsia="方正黑体_GBK" w:cs="方正黑体_GBK"/>
        </w:rPr>
      </w:pPr>
      <w:r>
        <w:rPr>
          <w:rFonts w:hint="eastAsia" w:ascii="方正黑体_GBK" w:hAnsi="方正黑体_GBK" w:eastAsia="方正黑体_GBK" w:cs="方正黑体_GBK"/>
        </w:rPr>
        <w:t>三、供应商资格要求</w:t>
      </w:r>
      <w:bookmarkStart w:id="1" w:name="_GoBack"/>
      <w:bookmarkEnd w:id="1"/>
    </w:p>
    <w:p w14:paraId="3DED03E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lang w:val="en-US" w:eastAsia="zh-CN"/>
        </w:rPr>
      </w:pPr>
      <w:r>
        <w:rPr>
          <w:rFonts w:hint="eastAsia"/>
          <w:lang w:val="en-US" w:eastAsia="zh-CN"/>
        </w:rPr>
        <w:t>1.供应商应具备《政府采购法》第二十二条规定的条件。</w:t>
      </w:r>
    </w:p>
    <w:p w14:paraId="595D9F9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lang w:val="en-US" w:eastAsia="zh-CN"/>
        </w:rPr>
      </w:pPr>
      <w:r>
        <w:rPr>
          <w:rFonts w:hint="eastAsia"/>
          <w:lang w:val="en-US" w:eastAsia="zh-CN"/>
        </w:rPr>
        <w:t>2.具有独立承担民事责任的在中华人民共和国境内注册的法人。</w:t>
      </w:r>
    </w:p>
    <w:p w14:paraId="15162FE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lang w:val="en-US" w:eastAsia="zh-CN"/>
        </w:rPr>
      </w:pPr>
      <w:r>
        <w:rPr>
          <w:rFonts w:hint="eastAsia"/>
          <w:lang w:val="en-US" w:eastAsia="zh-CN"/>
        </w:rPr>
        <w:t>3.供应商的经营范围必须满足本次项目范围以及供货和售后维护保障能力。</w:t>
      </w:r>
    </w:p>
    <w:p w14:paraId="3B23071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lang w:val="en-US" w:eastAsia="zh-CN"/>
        </w:rPr>
      </w:pPr>
      <w:r>
        <w:rPr>
          <w:rFonts w:hint="eastAsia"/>
          <w:lang w:val="en-US" w:eastAsia="zh-CN"/>
        </w:rPr>
        <w:t>4.参加本项目前3年内在经营活动中没有重大违法记录。</w:t>
      </w:r>
    </w:p>
    <w:p w14:paraId="68037CC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lang w:val="en-US" w:eastAsia="zh-CN"/>
        </w:rPr>
      </w:pPr>
      <w:r>
        <w:rPr>
          <w:rFonts w:hint="eastAsia"/>
          <w:lang w:val="en-US" w:eastAsia="zh-CN"/>
        </w:rPr>
        <w:t>5.本项目不接受联合体投标，不允许投标人对本项目货物及其相关服务进行分包和转包。</w:t>
      </w:r>
    </w:p>
    <w:p w14:paraId="14BB3DE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rPr>
      </w:pPr>
      <w:r>
        <w:rPr>
          <w:rFonts w:hint="eastAsia"/>
          <w:lang w:val="en-US" w:eastAsia="zh-CN"/>
        </w:rPr>
        <w:t>6.法律、法规规定的其他条件。</w:t>
      </w:r>
    </w:p>
    <w:p w14:paraId="50A98C4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黑体_GBK" w:hAnsi="方正黑体_GBK" w:eastAsia="方正黑体_GBK" w:cs="方正黑体_GBK"/>
        </w:rPr>
      </w:pPr>
      <w:r>
        <w:rPr>
          <w:rFonts w:hint="eastAsia" w:ascii="方正黑体_GBK" w:hAnsi="方正黑体_GBK" w:eastAsia="方正黑体_GBK" w:cs="方正黑体_GBK"/>
        </w:rPr>
        <w:t>四、采购项目需求清单</w:t>
      </w:r>
    </w:p>
    <w:p w14:paraId="43CBCEDD">
      <w:pPr>
        <w:pStyle w:val="2"/>
        <w:rPr>
          <w:rFonts w:hint="eastAsia" w:ascii="方正黑体_GBK" w:hAnsi="方正黑体_GBK" w:eastAsia="方正黑体_GBK" w:cs="方正黑体_GBK"/>
        </w:rPr>
      </w:pPr>
    </w:p>
    <w:p w14:paraId="0AB4AECC">
      <w:pPr>
        <w:rPr>
          <w:rFonts w:hint="eastAsia"/>
        </w:rPr>
      </w:pPr>
    </w:p>
    <w:tbl>
      <w:tblPr>
        <w:tblStyle w:val="9"/>
        <w:tblW w:w="96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2"/>
        <w:gridCol w:w="2513"/>
        <w:gridCol w:w="1724"/>
        <w:gridCol w:w="1300"/>
        <w:gridCol w:w="1409"/>
        <w:gridCol w:w="2146"/>
      </w:tblGrid>
      <w:tr w14:paraId="30030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0" w:hRule="atLeast"/>
          <w:jc w:val="center"/>
        </w:trPr>
        <w:tc>
          <w:tcPr>
            <w:tcW w:w="542" w:type="dxa"/>
            <w:vAlign w:val="center"/>
          </w:tcPr>
          <w:p w14:paraId="6E7333C9">
            <w:pPr>
              <w:adjustRightInd w:val="0"/>
              <w:spacing w:line="520" w:lineRule="exact"/>
              <w:jc w:val="center"/>
              <w:rPr>
                <w:rFonts w:hint="eastAsia"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序号</w:t>
            </w:r>
          </w:p>
        </w:tc>
        <w:tc>
          <w:tcPr>
            <w:tcW w:w="2513" w:type="dxa"/>
            <w:vAlign w:val="center"/>
          </w:tcPr>
          <w:p w14:paraId="1ACE60CC">
            <w:pPr>
              <w:adjustRightInd w:val="0"/>
              <w:spacing w:line="520" w:lineRule="exact"/>
              <w:jc w:val="center"/>
              <w:rPr>
                <w:rFonts w:hint="eastAsia"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采购内容</w:t>
            </w:r>
          </w:p>
        </w:tc>
        <w:tc>
          <w:tcPr>
            <w:tcW w:w="1724" w:type="dxa"/>
            <w:vAlign w:val="center"/>
          </w:tcPr>
          <w:p w14:paraId="1C443F4B">
            <w:pPr>
              <w:adjustRightInd w:val="0"/>
              <w:spacing w:line="520" w:lineRule="exact"/>
              <w:jc w:val="center"/>
              <w:rPr>
                <w:rFonts w:hint="eastAsia"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服务范围</w:t>
            </w:r>
          </w:p>
        </w:tc>
        <w:tc>
          <w:tcPr>
            <w:tcW w:w="1300" w:type="dxa"/>
            <w:vAlign w:val="center"/>
          </w:tcPr>
          <w:p w14:paraId="7556DDD2">
            <w:pPr>
              <w:adjustRightInd w:val="0"/>
              <w:spacing w:line="520" w:lineRule="exact"/>
              <w:jc w:val="center"/>
              <w:rPr>
                <w:rFonts w:hint="eastAsia"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单位</w:t>
            </w:r>
          </w:p>
        </w:tc>
        <w:tc>
          <w:tcPr>
            <w:tcW w:w="1409" w:type="dxa"/>
            <w:vAlign w:val="center"/>
          </w:tcPr>
          <w:p w14:paraId="6D12B089">
            <w:pPr>
              <w:adjustRightInd w:val="0"/>
              <w:spacing w:line="520" w:lineRule="exact"/>
              <w:jc w:val="center"/>
              <w:rPr>
                <w:rFonts w:hint="eastAsia"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预算金额(万元)</w:t>
            </w:r>
          </w:p>
        </w:tc>
        <w:tc>
          <w:tcPr>
            <w:tcW w:w="2146" w:type="dxa"/>
            <w:vAlign w:val="center"/>
          </w:tcPr>
          <w:p w14:paraId="5C310D52">
            <w:pPr>
              <w:adjustRightInd w:val="0"/>
              <w:spacing w:line="520" w:lineRule="exact"/>
              <w:jc w:val="center"/>
              <w:rPr>
                <w:rFonts w:hint="eastAsia"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备注</w:t>
            </w:r>
          </w:p>
        </w:tc>
      </w:tr>
      <w:tr w14:paraId="52FA4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2" w:hRule="atLeast"/>
          <w:jc w:val="center"/>
        </w:trPr>
        <w:tc>
          <w:tcPr>
            <w:tcW w:w="542" w:type="dxa"/>
            <w:vAlign w:val="center"/>
          </w:tcPr>
          <w:p w14:paraId="0A96E1A2">
            <w:pPr>
              <w:adjustRightInd w:val="0"/>
              <w:spacing w:line="520" w:lineRule="exact"/>
              <w:jc w:val="center"/>
              <w:rPr>
                <w:rFonts w:ascii="仿宋" w:hAnsi="仿宋" w:eastAsia="仿宋" w:cs="仿宋"/>
                <w:sz w:val="28"/>
                <w:szCs w:val="28"/>
              </w:rPr>
            </w:pPr>
            <w:r>
              <w:rPr>
                <w:rFonts w:hint="default" w:ascii="Times New Roman" w:hAnsi="Times New Roman" w:eastAsia="仿宋" w:cs="Times New Roman"/>
                <w:sz w:val="28"/>
                <w:szCs w:val="28"/>
              </w:rPr>
              <w:t>1</w:t>
            </w:r>
          </w:p>
        </w:tc>
        <w:tc>
          <w:tcPr>
            <w:tcW w:w="2513" w:type="dxa"/>
            <w:vAlign w:val="center"/>
          </w:tcPr>
          <w:p w14:paraId="33B5456C">
            <w:pPr>
              <w:adjustRightInd w:val="0"/>
              <w:spacing w:line="520" w:lineRule="exact"/>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博罗县政府门户网站运维服务项目</w:t>
            </w:r>
          </w:p>
        </w:tc>
        <w:tc>
          <w:tcPr>
            <w:tcW w:w="1724" w:type="dxa"/>
            <w:vAlign w:val="center"/>
          </w:tcPr>
          <w:p w14:paraId="4C244F14">
            <w:pPr>
              <w:adjustRightInd w:val="0"/>
              <w:spacing w:line="520" w:lineRule="exact"/>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博罗县政府门户网站运维服务</w:t>
            </w:r>
          </w:p>
        </w:tc>
        <w:tc>
          <w:tcPr>
            <w:tcW w:w="1300" w:type="dxa"/>
            <w:vAlign w:val="center"/>
          </w:tcPr>
          <w:p w14:paraId="216B6001">
            <w:pPr>
              <w:adjustRightInd w:val="0"/>
              <w:spacing w:line="520" w:lineRule="exact"/>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项</w:t>
            </w:r>
          </w:p>
        </w:tc>
        <w:tc>
          <w:tcPr>
            <w:tcW w:w="1409" w:type="dxa"/>
            <w:vAlign w:val="center"/>
          </w:tcPr>
          <w:p w14:paraId="220911A0">
            <w:pPr>
              <w:adjustRightInd w:val="0"/>
              <w:spacing w:line="520" w:lineRule="exact"/>
              <w:jc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44</w:t>
            </w:r>
          </w:p>
        </w:tc>
        <w:tc>
          <w:tcPr>
            <w:tcW w:w="2146" w:type="dxa"/>
            <w:vAlign w:val="center"/>
          </w:tcPr>
          <w:p w14:paraId="58AE74FB">
            <w:pPr>
              <w:adjustRightInd w:val="0"/>
              <w:spacing w:line="520" w:lineRule="exact"/>
              <w:jc w:val="center"/>
              <w:rPr>
                <w:rFonts w:ascii="仿宋" w:hAnsi="仿宋" w:eastAsia="仿宋" w:cs="仿宋"/>
                <w:sz w:val="28"/>
                <w:szCs w:val="28"/>
              </w:rPr>
            </w:pPr>
            <w:r>
              <w:rPr>
                <w:rFonts w:hint="eastAsia" w:ascii="方正仿宋_GBK" w:hAnsi="方正仿宋_GBK" w:eastAsia="方正仿宋_GBK" w:cs="方正仿宋_GBK"/>
                <w:sz w:val="28"/>
                <w:szCs w:val="28"/>
              </w:rPr>
              <w:t>报价为一次性包干价（包括税金等所有费用）</w:t>
            </w:r>
          </w:p>
        </w:tc>
      </w:tr>
    </w:tbl>
    <w:p w14:paraId="4EC66EBC">
      <w:pPr>
        <w:spacing w:line="520" w:lineRule="exact"/>
      </w:pPr>
    </w:p>
    <w:p w14:paraId="148D992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黑体_GBK" w:hAnsi="方正黑体_GBK" w:eastAsia="方正黑体_GBK" w:cs="方正黑体_GBK"/>
        </w:rPr>
      </w:pPr>
      <w:r>
        <w:rPr>
          <w:rFonts w:hint="eastAsia" w:ascii="方正黑体_GBK" w:hAnsi="方正黑体_GBK" w:eastAsia="方正黑体_GBK" w:cs="方正黑体_GBK"/>
        </w:rPr>
        <w:t>五、采购项目内容和要求</w:t>
      </w:r>
    </w:p>
    <w:p w14:paraId="4F58E31E">
      <w:pPr>
        <w:keepNext w:val="0"/>
        <w:keepLines w:val="0"/>
        <w:pageBreakBefore w:val="0"/>
        <w:widowControl w:val="0"/>
        <w:kinsoku/>
        <w:wordWrap/>
        <w:overflowPunct/>
        <w:topLinePunct w:val="0"/>
        <w:autoSpaceDE/>
        <w:autoSpaceDN/>
        <w:bidi w:val="0"/>
        <w:adjustRightInd/>
        <w:snapToGrid/>
        <w:ind w:firstLine="640" w:firstLineChars="200"/>
        <w:textAlignment w:val="auto"/>
      </w:pPr>
      <w:bookmarkStart w:id="0" w:name="_Toc93582683"/>
      <w:r>
        <w:rPr>
          <w:rFonts w:hint="eastAsia"/>
        </w:rPr>
        <w:t>供应商需要根据采购人的需求，制定运维服务方案，其中包括以下内容：</w:t>
      </w:r>
      <w:bookmarkEnd w:id="0"/>
    </w:p>
    <w:p w14:paraId="03C87EE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eastAsia="方正楷体_GBK"/>
          <w:lang w:val="en-US" w:eastAsia="zh-CN"/>
        </w:rPr>
      </w:pPr>
      <w:r>
        <w:rPr>
          <w:rFonts w:hint="eastAsia" w:ascii="方正楷体_GBK" w:hAnsi="方正楷体_GBK" w:eastAsia="方正楷体_GBK" w:cs="方正楷体_GBK"/>
        </w:rPr>
        <w:t>（一）</w:t>
      </w:r>
      <w:r>
        <w:rPr>
          <w:rFonts w:hint="eastAsia" w:ascii="方正楷体_GBK" w:hAnsi="方正楷体_GBK" w:eastAsia="方正楷体_GBK" w:cs="方正楷体_GBK"/>
          <w:lang w:val="en-US" w:eastAsia="zh-CN"/>
        </w:rPr>
        <w:t>门户网站日常维护</w:t>
      </w:r>
    </w:p>
    <w:p w14:paraId="119716D5">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default" w:ascii="Times New Roman" w:hAnsi="Times New Roman" w:eastAsia="方正仿宋_GBK"/>
          <w:b/>
          <w:bCs/>
          <w:lang w:val="en-US" w:eastAsia="zh-CN"/>
        </w:rPr>
      </w:pPr>
      <w:r>
        <w:rPr>
          <w:rFonts w:ascii="Times New Roman" w:hAnsi="Times New Roman"/>
          <w:b/>
          <w:bCs/>
        </w:rPr>
        <w:t>1</w:t>
      </w:r>
      <w:r>
        <w:rPr>
          <w:rFonts w:hint="eastAsia" w:ascii="Times New Roman" w:hAnsi="Times New Roman"/>
          <w:b/>
          <w:bCs/>
          <w:lang w:val="en-US" w:eastAsia="zh-CN"/>
        </w:rPr>
        <w:t>.</w:t>
      </w:r>
      <w:r>
        <w:rPr>
          <w:rFonts w:hint="eastAsia" w:ascii="Times New Roman" w:hAnsi="Times New Roman"/>
          <w:b/>
          <w:bCs/>
        </w:rPr>
        <w:t>门户网站</w:t>
      </w:r>
      <w:r>
        <w:rPr>
          <w:rFonts w:hint="eastAsia"/>
          <w:b/>
          <w:bCs/>
          <w:lang w:val="en-US" w:eastAsia="zh-CN"/>
        </w:rPr>
        <w:t>界面风格、栏目等的维护</w:t>
      </w:r>
    </w:p>
    <w:p w14:paraId="6F81F42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rPr>
      </w:pPr>
      <w:r>
        <w:rPr>
          <w:rFonts w:hint="eastAsia"/>
        </w:rPr>
        <w:t>需提供包括首页风格调整、图文修改制作及内容链接维护、网站栏目信息内容</w:t>
      </w:r>
      <w:r>
        <w:rPr>
          <w:rFonts w:hint="eastAsia"/>
          <w:lang w:val="en-US" w:eastAsia="zh-CN"/>
        </w:rPr>
        <w:t>等进行</w:t>
      </w:r>
      <w:r>
        <w:rPr>
          <w:rFonts w:hint="eastAsia"/>
        </w:rPr>
        <w:t>维护。</w:t>
      </w:r>
    </w:p>
    <w:p w14:paraId="461481C0">
      <w:pPr>
        <w:keepNext w:val="0"/>
        <w:keepLines w:val="0"/>
        <w:pageBreakBefore w:val="0"/>
        <w:widowControl w:val="0"/>
        <w:kinsoku/>
        <w:wordWrap/>
        <w:overflowPunct/>
        <w:topLinePunct w:val="0"/>
        <w:autoSpaceDE/>
        <w:autoSpaceDN/>
        <w:bidi w:val="0"/>
        <w:adjustRightInd/>
        <w:snapToGrid/>
        <w:ind w:firstLine="643" w:firstLineChars="200"/>
        <w:textAlignment w:val="auto"/>
        <w:rPr>
          <w:rFonts w:ascii="Times New Roman" w:hAnsi="Times New Roman"/>
          <w:b/>
          <w:bCs/>
        </w:rPr>
      </w:pPr>
      <w:r>
        <w:rPr>
          <w:rFonts w:ascii="Times New Roman" w:hAnsi="Times New Roman"/>
          <w:b/>
          <w:bCs/>
        </w:rPr>
        <w:t>2</w:t>
      </w:r>
      <w:r>
        <w:rPr>
          <w:rFonts w:hint="eastAsia" w:ascii="Times New Roman" w:hAnsi="Times New Roman"/>
          <w:b/>
          <w:bCs/>
          <w:lang w:val="en-US" w:eastAsia="zh-CN"/>
        </w:rPr>
        <w:t>.</w:t>
      </w:r>
      <w:r>
        <w:rPr>
          <w:rFonts w:hint="eastAsia"/>
          <w:b/>
          <w:bCs/>
          <w:lang w:val="en-US" w:eastAsia="zh-CN"/>
        </w:rPr>
        <w:t>门户</w:t>
      </w:r>
      <w:r>
        <w:rPr>
          <w:rFonts w:hint="eastAsia" w:ascii="Times New Roman" w:hAnsi="Times New Roman"/>
          <w:b/>
          <w:bCs/>
        </w:rPr>
        <w:t>网站应用功能维护</w:t>
      </w:r>
    </w:p>
    <w:p w14:paraId="036991D6">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对门户网站前端应用功能组件(省平台统一应用功能除外）进行维护，及时发现和修改已有的功能组件问题，保证其能正常</w:t>
      </w:r>
      <w:r>
        <w:rPr>
          <w:rFonts w:hint="eastAsia"/>
          <w:lang w:val="en-US" w:eastAsia="zh-CN"/>
        </w:rPr>
        <w:t>地</w:t>
      </w:r>
      <w:r>
        <w:rPr>
          <w:rFonts w:hint="eastAsia"/>
        </w:rPr>
        <w:t>运行。</w:t>
      </w:r>
      <w:r>
        <w:rPr>
          <w:rFonts w:hint="eastAsia"/>
          <w:lang w:val="en-US" w:eastAsia="zh-CN"/>
        </w:rPr>
        <w:t>包括</w:t>
      </w:r>
      <w:r>
        <w:rPr>
          <w:rFonts w:hint="eastAsia"/>
        </w:rPr>
        <w:t>及时增加或调整网站交互式功能组件（</w:t>
      </w:r>
      <w:r>
        <w:rPr>
          <w:rFonts w:hint="eastAsia"/>
          <w:lang w:val="en-US" w:eastAsia="zh-CN"/>
        </w:rPr>
        <w:t>如</w:t>
      </w:r>
      <w:r>
        <w:rPr>
          <w:rFonts w:hint="eastAsia"/>
        </w:rPr>
        <w:t>：视频、政府热线、咨询投诉、网上调查、问卷、领导信箱等组件）；网页动态模块维护（例：图片新闻、查询、系统登录链接等功能的修改和维护）等</w:t>
      </w:r>
      <w:r>
        <w:rPr>
          <w:rFonts w:hint="eastAsia"/>
          <w:lang w:eastAsia="zh-CN"/>
        </w:rPr>
        <w:t>、</w:t>
      </w:r>
      <w:r>
        <w:rPr>
          <w:rFonts w:hint="eastAsia"/>
        </w:rPr>
        <w:t>在线访谈图文直播等配合工作。</w:t>
      </w:r>
    </w:p>
    <w:p w14:paraId="17C83B08">
      <w:pPr>
        <w:keepNext w:val="0"/>
        <w:keepLines w:val="0"/>
        <w:pageBreakBefore w:val="0"/>
        <w:widowControl w:val="0"/>
        <w:kinsoku/>
        <w:wordWrap/>
        <w:overflowPunct/>
        <w:topLinePunct w:val="0"/>
        <w:autoSpaceDE/>
        <w:autoSpaceDN/>
        <w:bidi w:val="0"/>
        <w:adjustRightInd/>
        <w:snapToGrid/>
        <w:ind w:firstLine="643" w:firstLineChars="200"/>
        <w:textAlignment w:val="auto"/>
        <w:rPr>
          <w:rFonts w:ascii="Times New Roman" w:hAnsi="Times New Roman"/>
          <w:b/>
          <w:bCs/>
        </w:rPr>
      </w:pPr>
      <w:r>
        <w:rPr>
          <w:rFonts w:ascii="Times New Roman" w:hAnsi="Times New Roman"/>
          <w:b/>
          <w:bCs/>
        </w:rPr>
        <w:t>3</w:t>
      </w:r>
      <w:r>
        <w:rPr>
          <w:rFonts w:hint="eastAsia" w:ascii="Times New Roman" w:hAnsi="Times New Roman"/>
          <w:b/>
          <w:bCs/>
          <w:lang w:val="en-US" w:eastAsia="zh-CN"/>
        </w:rPr>
        <w:t>.</w:t>
      </w:r>
      <w:r>
        <w:rPr>
          <w:rFonts w:hint="eastAsia" w:ascii="Times New Roman" w:hAnsi="Times New Roman"/>
          <w:b/>
          <w:bCs/>
        </w:rPr>
        <w:t>部门频道、专题栏目维护</w:t>
      </w:r>
    </w:p>
    <w:p w14:paraId="67F3307F">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根据部门频道、专题栏目的目录、页面模板、图片、多媒体、应用功能(省平台统一应用功能除外）等进行更新、修改维护。</w:t>
      </w:r>
    </w:p>
    <w:p w14:paraId="7AECA539">
      <w:pPr>
        <w:keepNext w:val="0"/>
        <w:keepLines w:val="0"/>
        <w:pageBreakBefore w:val="0"/>
        <w:widowControl w:val="0"/>
        <w:kinsoku/>
        <w:wordWrap/>
        <w:overflowPunct/>
        <w:topLinePunct w:val="0"/>
        <w:autoSpaceDE/>
        <w:autoSpaceDN/>
        <w:bidi w:val="0"/>
        <w:adjustRightInd/>
        <w:snapToGrid/>
        <w:ind w:firstLine="643" w:firstLineChars="200"/>
        <w:textAlignment w:val="auto"/>
        <w:rPr>
          <w:rFonts w:ascii="Times New Roman" w:hAnsi="Times New Roman"/>
          <w:b/>
          <w:bCs/>
        </w:rPr>
      </w:pPr>
      <w:r>
        <w:rPr>
          <w:rFonts w:ascii="Times New Roman" w:hAnsi="Times New Roman"/>
          <w:b/>
          <w:bCs/>
        </w:rPr>
        <w:t>4</w:t>
      </w:r>
      <w:r>
        <w:rPr>
          <w:rFonts w:hint="eastAsia" w:ascii="Times New Roman" w:hAnsi="Times New Roman"/>
          <w:b/>
          <w:bCs/>
          <w:lang w:val="en-US" w:eastAsia="zh-CN"/>
        </w:rPr>
        <w:t>.</w:t>
      </w:r>
      <w:r>
        <w:rPr>
          <w:rFonts w:hint="eastAsia" w:ascii="Times New Roman" w:hAnsi="Times New Roman"/>
          <w:b/>
          <w:bCs/>
        </w:rPr>
        <w:t>信息公开目录维护</w:t>
      </w:r>
    </w:p>
    <w:p w14:paraId="20DD0768">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（1）日常维护：包括电话咨询、日常运行状况监控；</w:t>
      </w:r>
    </w:p>
    <w:p w14:paraId="3063C282">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（2）信息公开目录调整、版面格式调整；</w:t>
      </w:r>
    </w:p>
    <w:p w14:paraId="067DAABF">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w:t>
      </w:r>
      <w:r>
        <w:t>3</w:t>
      </w:r>
      <w:r>
        <w:rPr>
          <w:rFonts w:hint="eastAsia"/>
        </w:rPr>
        <w:t>）信息维护：对目录信息局部图片、文字、链接等</w:t>
      </w:r>
      <w:r>
        <w:rPr>
          <w:rFonts w:hint="eastAsia"/>
          <w:lang w:val="en-US" w:eastAsia="zh-CN"/>
        </w:rPr>
        <w:t>进行</w:t>
      </w:r>
      <w:r>
        <w:rPr>
          <w:rFonts w:hint="eastAsia"/>
        </w:rPr>
        <w:t>修改等维护工作；</w:t>
      </w:r>
    </w:p>
    <w:p w14:paraId="4DB24A69">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w:t>
      </w:r>
      <w:r>
        <w:t>4</w:t>
      </w:r>
      <w:r>
        <w:rPr>
          <w:rFonts w:hint="eastAsia"/>
        </w:rPr>
        <w:t>）协助处理突发性的灾难修复等。</w:t>
      </w:r>
    </w:p>
    <w:p w14:paraId="53817CE2">
      <w:pPr>
        <w:keepNext w:val="0"/>
        <w:keepLines w:val="0"/>
        <w:pageBreakBefore w:val="0"/>
        <w:widowControl w:val="0"/>
        <w:kinsoku/>
        <w:wordWrap/>
        <w:overflowPunct/>
        <w:topLinePunct w:val="0"/>
        <w:autoSpaceDE/>
        <w:autoSpaceDN/>
        <w:bidi w:val="0"/>
        <w:adjustRightInd/>
        <w:snapToGrid/>
        <w:ind w:firstLine="643" w:firstLineChars="200"/>
        <w:textAlignment w:val="auto"/>
        <w:rPr>
          <w:b/>
          <w:bCs/>
        </w:rPr>
      </w:pPr>
      <w:r>
        <w:rPr>
          <w:b/>
          <w:bCs/>
        </w:rPr>
        <w:t>5</w:t>
      </w:r>
      <w:r>
        <w:rPr>
          <w:rFonts w:hint="eastAsia"/>
          <w:b/>
          <w:bCs/>
          <w:lang w:val="en-US" w:eastAsia="zh-CN"/>
        </w:rPr>
        <w:t>.</w:t>
      </w:r>
      <w:r>
        <w:rPr>
          <w:rFonts w:hint="eastAsia"/>
          <w:b/>
          <w:bCs/>
        </w:rPr>
        <w:t>新增特色专题专栏</w:t>
      </w:r>
    </w:p>
    <w:p w14:paraId="71694088">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需新增的特色专题专栏，</w:t>
      </w:r>
      <w:r>
        <w:rPr>
          <w:rFonts w:hint="eastAsia"/>
          <w:lang w:val="en-US" w:eastAsia="zh-CN"/>
        </w:rPr>
        <w:t>每服务年度</w:t>
      </w:r>
      <w:r>
        <w:rPr>
          <w:rFonts w:hint="eastAsia"/>
        </w:rPr>
        <w:t>预设不超过4个（每个特色专题专栏不超过5个栏目）。</w:t>
      </w:r>
    </w:p>
    <w:p w14:paraId="7C156A71">
      <w:pPr>
        <w:keepNext w:val="0"/>
        <w:keepLines w:val="0"/>
        <w:pageBreakBefore w:val="0"/>
        <w:widowControl w:val="0"/>
        <w:kinsoku/>
        <w:wordWrap/>
        <w:overflowPunct/>
        <w:topLinePunct w:val="0"/>
        <w:autoSpaceDE/>
        <w:autoSpaceDN/>
        <w:bidi w:val="0"/>
        <w:adjustRightInd/>
        <w:snapToGrid/>
        <w:ind w:firstLine="643" w:firstLineChars="200"/>
        <w:textAlignment w:val="auto"/>
        <w:rPr>
          <w:rFonts w:ascii="Times New Roman" w:hAnsi="Times New Roman"/>
          <w:b/>
          <w:bCs/>
        </w:rPr>
      </w:pPr>
      <w:r>
        <w:rPr>
          <w:rFonts w:ascii="Times New Roman" w:hAnsi="Times New Roman"/>
          <w:b/>
          <w:bCs/>
        </w:rPr>
        <w:t>6</w:t>
      </w:r>
      <w:r>
        <w:rPr>
          <w:rFonts w:hint="eastAsia" w:ascii="Times New Roman" w:hAnsi="Times New Roman"/>
          <w:b/>
          <w:bCs/>
          <w:lang w:val="en-US" w:eastAsia="zh-CN"/>
        </w:rPr>
        <w:t>.</w:t>
      </w:r>
      <w:r>
        <w:rPr>
          <w:rFonts w:hint="eastAsia" w:ascii="Times New Roman" w:hAnsi="Times New Roman"/>
          <w:b/>
          <w:bCs/>
        </w:rPr>
        <w:t>规范性文件图解</w:t>
      </w:r>
    </w:p>
    <w:p w14:paraId="04E970F2">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由政策发布部门提供规范性政策文件解读材料，需根据材料将解读内容制作成图文</w:t>
      </w:r>
      <w:r>
        <w:rPr>
          <w:rFonts w:hint="eastAsia"/>
          <w:lang w:eastAsia="zh-CN"/>
        </w:rPr>
        <w:t>、</w:t>
      </w:r>
      <w:r>
        <w:rPr>
          <w:rFonts w:hint="eastAsia"/>
          <w:lang w:val="en-US" w:eastAsia="zh-CN"/>
        </w:rPr>
        <w:t>动画、视频等</w:t>
      </w:r>
      <w:r>
        <w:rPr>
          <w:rFonts w:hint="eastAsia"/>
        </w:rPr>
        <w:t>形式进行解读。</w:t>
      </w:r>
      <w:r>
        <w:rPr>
          <w:rFonts w:hint="eastAsia"/>
          <w:lang w:val="en-US" w:eastAsia="zh-CN"/>
        </w:rPr>
        <w:t>每服务年度</w:t>
      </w:r>
      <w:r>
        <w:rPr>
          <w:rFonts w:hint="eastAsia"/>
        </w:rPr>
        <w:t>预设不</w:t>
      </w:r>
      <w:r>
        <w:rPr>
          <w:rFonts w:hint="eastAsia"/>
          <w:lang w:val="en-US" w:eastAsia="zh-CN"/>
        </w:rPr>
        <w:t>超过8</w:t>
      </w:r>
      <w:r>
        <w:rPr>
          <w:rFonts w:hint="eastAsia"/>
        </w:rPr>
        <w:t>个专题解读素材制作。</w:t>
      </w:r>
    </w:p>
    <w:p w14:paraId="6E1D692A">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Times New Roman" w:hAnsi="Times New Roman"/>
          <w:b/>
          <w:bCs/>
        </w:rPr>
      </w:pPr>
      <w:r>
        <w:rPr>
          <w:rFonts w:ascii="Times New Roman" w:hAnsi="Times New Roman"/>
          <w:b/>
          <w:bCs/>
        </w:rPr>
        <w:t>7</w:t>
      </w:r>
      <w:r>
        <w:rPr>
          <w:rFonts w:hint="eastAsia" w:ascii="Times New Roman" w:hAnsi="Times New Roman"/>
          <w:b/>
          <w:bCs/>
          <w:lang w:val="en-US" w:eastAsia="zh-CN"/>
        </w:rPr>
        <w:t>.</w:t>
      </w:r>
      <w:r>
        <w:rPr>
          <w:rFonts w:hint="eastAsia" w:ascii="Times New Roman" w:hAnsi="Times New Roman"/>
          <w:b/>
          <w:bCs/>
        </w:rPr>
        <w:t>网络问政</w:t>
      </w:r>
    </w:p>
    <w:p w14:paraId="55EF9045">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提供网络问政系统正常运行和技术维护工作。</w:t>
      </w:r>
    </w:p>
    <w:p w14:paraId="02893455">
      <w:pPr>
        <w:keepNext w:val="0"/>
        <w:keepLines w:val="0"/>
        <w:pageBreakBefore w:val="0"/>
        <w:widowControl w:val="0"/>
        <w:kinsoku/>
        <w:wordWrap/>
        <w:overflowPunct/>
        <w:topLinePunct w:val="0"/>
        <w:autoSpaceDE/>
        <w:autoSpaceDN/>
        <w:bidi w:val="0"/>
        <w:adjustRightInd/>
        <w:snapToGrid/>
        <w:ind w:firstLine="643" w:firstLineChars="200"/>
        <w:textAlignment w:val="auto"/>
        <w:rPr>
          <w:rFonts w:ascii="Times New Roman" w:hAnsi="Times New Roman"/>
          <w:b/>
          <w:bCs/>
        </w:rPr>
      </w:pPr>
      <w:r>
        <w:rPr>
          <w:rFonts w:ascii="Times New Roman" w:hAnsi="Times New Roman"/>
          <w:b/>
          <w:bCs/>
        </w:rPr>
        <w:t>8</w:t>
      </w:r>
      <w:r>
        <w:rPr>
          <w:rFonts w:hint="eastAsia" w:ascii="Times New Roman" w:hAnsi="Times New Roman"/>
          <w:b/>
          <w:bCs/>
          <w:lang w:val="en-US" w:eastAsia="zh-CN"/>
        </w:rPr>
        <w:t>.</w:t>
      </w:r>
      <w:r>
        <w:rPr>
          <w:rFonts w:hint="eastAsia" w:ascii="Times New Roman" w:hAnsi="Times New Roman"/>
          <w:b/>
          <w:bCs/>
        </w:rPr>
        <w:t>移动端维护服务</w:t>
      </w:r>
    </w:p>
    <w:p w14:paraId="2CFCA13A">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对博罗县政府门户网站的移动端进行维护，确保网站电脑端与移动端内容</w:t>
      </w:r>
      <w:r>
        <w:rPr>
          <w:rFonts w:hint="eastAsia"/>
          <w:lang w:eastAsia="zh-CN"/>
        </w:rPr>
        <w:t>、</w:t>
      </w:r>
      <w:r>
        <w:rPr>
          <w:rFonts w:hint="eastAsia"/>
        </w:rPr>
        <w:t>栏目、功能同步更新。</w:t>
      </w:r>
    </w:p>
    <w:p w14:paraId="49BA6EB6">
      <w:pPr>
        <w:keepNext w:val="0"/>
        <w:keepLines w:val="0"/>
        <w:pageBreakBefore w:val="0"/>
        <w:widowControl w:val="0"/>
        <w:kinsoku/>
        <w:wordWrap/>
        <w:overflowPunct/>
        <w:topLinePunct w:val="0"/>
        <w:autoSpaceDE/>
        <w:autoSpaceDN/>
        <w:bidi w:val="0"/>
        <w:adjustRightInd/>
        <w:snapToGrid/>
        <w:ind w:firstLine="643" w:firstLineChars="200"/>
        <w:textAlignment w:val="auto"/>
        <w:rPr>
          <w:rFonts w:ascii="Times New Roman" w:hAnsi="Times New Roman"/>
          <w:b/>
          <w:bCs/>
        </w:rPr>
      </w:pPr>
      <w:r>
        <w:rPr>
          <w:rFonts w:ascii="Times New Roman" w:hAnsi="Times New Roman"/>
          <w:b/>
          <w:bCs/>
        </w:rPr>
        <w:t>9</w:t>
      </w:r>
      <w:r>
        <w:rPr>
          <w:rFonts w:hint="eastAsia" w:ascii="Times New Roman" w:hAnsi="Times New Roman"/>
          <w:b/>
          <w:bCs/>
          <w:lang w:val="en-US" w:eastAsia="zh-CN"/>
        </w:rPr>
        <w:t>.</w:t>
      </w:r>
      <w:r>
        <w:rPr>
          <w:rFonts w:ascii="Times New Roman" w:hAnsi="Times New Roman"/>
          <w:b/>
          <w:bCs/>
        </w:rPr>
        <w:t>提供平台账号管理服务</w:t>
      </w:r>
    </w:p>
    <w:p w14:paraId="2F21F32E">
      <w:pPr>
        <w:keepNext w:val="0"/>
        <w:keepLines w:val="0"/>
        <w:pageBreakBefore w:val="0"/>
        <w:widowControl w:val="0"/>
        <w:kinsoku/>
        <w:wordWrap/>
        <w:overflowPunct/>
        <w:topLinePunct w:val="0"/>
        <w:autoSpaceDE/>
        <w:autoSpaceDN/>
        <w:bidi w:val="0"/>
        <w:adjustRightInd/>
        <w:snapToGrid/>
        <w:ind w:firstLine="640" w:firstLineChars="200"/>
        <w:textAlignment w:val="auto"/>
      </w:pPr>
      <w:r>
        <w:t>为博罗县</w:t>
      </w:r>
      <w:r>
        <w:rPr>
          <w:rFonts w:hint="eastAsia"/>
          <w:lang w:val="en-US" w:eastAsia="zh-CN"/>
        </w:rPr>
        <w:t>政府门户网站</w:t>
      </w:r>
      <w:r>
        <w:t>集约化平台开设权限提供</w:t>
      </w:r>
      <w:r>
        <w:rPr>
          <w:rFonts w:hint="eastAsia"/>
          <w:lang w:eastAsia="zh-CN"/>
        </w:rPr>
        <w:t>“</w:t>
      </w:r>
      <w:r>
        <w:t>一对一</w:t>
      </w:r>
      <w:r>
        <w:rPr>
          <w:rFonts w:hint="eastAsia"/>
          <w:lang w:eastAsia="zh-CN"/>
        </w:rPr>
        <w:t>”</w:t>
      </w:r>
      <w:r>
        <w:t>服务，包括用户登录帐号的添加、开通，权限配置修改等。</w:t>
      </w:r>
    </w:p>
    <w:p w14:paraId="33D9046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楷体_GBK" w:hAnsi="方正楷体_GBK" w:eastAsia="方正楷体_GBK" w:cs="方正楷体_GBK"/>
        </w:rPr>
      </w:pPr>
      <w:r>
        <w:rPr>
          <w:rFonts w:hint="eastAsia" w:ascii="方正楷体_GBK" w:hAnsi="方正楷体_GBK" w:eastAsia="方正楷体_GBK" w:cs="方正楷体_GBK"/>
        </w:rPr>
        <w:t>（二）增值服务要求</w:t>
      </w:r>
    </w:p>
    <w:p w14:paraId="75ABC3A8">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b/>
          <w:bCs/>
        </w:rPr>
      </w:pPr>
      <w:r>
        <w:rPr>
          <w:rFonts w:hint="eastAsia"/>
          <w:b/>
          <w:bCs/>
        </w:rPr>
        <w:t>1</w:t>
      </w:r>
      <w:r>
        <w:rPr>
          <w:rFonts w:hint="eastAsia"/>
          <w:b/>
          <w:bCs/>
          <w:lang w:val="en-US" w:eastAsia="zh-CN"/>
        </w:rPr>
        <w:t>.</w:t>
      </w:r>
      <w:r>
        <w:rPr>
          <w:rFonts w:hint="eastAsia"/>
          <w:b/>
          <w:bCs/>
        </w:rPr>
        <w:t>定期服务</w:t>
      </w:r>
    </w:p>
    <w:p w14:paraId="60C9E354">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定期检查：每月派一名技术人员（维护人员中的1人）对系统进行运行状况检查，提供运行状况必要的汇报，提供预警信息。</w:t>
      </w:r>
    </w:p>
    <w:p w14:paraId="533C2E47">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Times New Roman" w:hAnsi="Times New Roman"/>
          <w:b/>
          <w:bCs/>
        </w:rPr>
      </w:pPr>
      <w:r>
        <w:rPr>
          <w:rFonts w:hint="eastAsia" w:ascii="Times New Roman" w:hAnsi="Times New Roman"/>
          <w:b/>
          <w:bCs/>
        </w:rPr>
        <w:t>2</w:t>
      </w:r>
      <w:r>
        <w:rPr>
          <w:rFonts w:hint="eastAsia" w:ascii="Times New Roman" w:hAnsi="Times New Roman"/>
          <w:b/>
          <w:bCs/>
          <w:lang w:val="en-US" w:eastAsia="zh-CN"/>
        </w:rPr>
        <w:t>.</w:t>
      </w:r>
      <w:r>
        <w:rPr>
          <w:rFonts w:hint="eastAsia" w:ascii="Times New Roman" w:hAnsi="Times New Roman"/>
          <w:b/>
          <w:bCs/>
        </w:rPr>
        <w:t>问题跟踪服务</w:t>
      </w:r>
    </w:p>
    <w:p w14:paraId="6D780FF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b/>
          <w:bCs/>
        </w:rPr>
      </w:pPr>
      <w:r>
        <w:rPr>
          <w:rFonts w:hint="eastAsia"/>
        </w:rPr>
        <w:t>根据维护的内容形成《问题跟踪表》，并制定解决方案，以合理解决跟踪表中出现的问题。问题解决完后，要形成具体文档。</w:t>
      </w:r>
    </w:p>
    <w:p w14:paraId="2E0C43E1">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Times New Roman" w:hAnsi="Times New Roman"/>
          <w:b/>
          <w:bCs/>
        </w:rPr>
      </w:pPr>
      <w:r>
        <w:rPr>
          <w:rFonts w:hint="eastAsia" w:ascii="Times New Roman" w:hAnsi="Times New Roman"/>
          <w:b/>
          <w:bCs/>
        </w:rPr>
        <w:t>3</w:t>
      </w:r>
      <w:r>
        <w:rPr>
          <w:rFonts w:hint="eastAsia" w:ascii="Times New Roman" w:hAnsi="Times New Roman"/>
          <w:b/>
          <w:bCs/>
          <w:lang w:val="en-US" w:eastAsia="zh-CN"/>
        </w:rPr>
        <w:t>.</w:t>
      </w:r>
      <w:r>
        <w:rPr>
          <w:rFonts w:hint="eastAsia" w:ascii="Times New Roman" w:hAnsi="Times New Roman"/>
          <w:b/>
          <w:bCs/>
        </w:rPr>
        <w:t>监测整改服务</w:t>
      </w:r>
    </w:p>
    <w:p w14:paraId="74A5E2B4">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按照日常监测报告内容，对死链、错链、空白栏目等内容协助进行整改工作。</w:t>
      </w:r>
    </w:p>
    <w:p w14:paraId="756B4BAB">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Times New Roman" w:hAnsi="Times New Roman"/>
          <w:b/>
          <w:bCs/>
        </w:rPr>
      </w:pPr>
      <w:r>
        <w:rPr>
          <w:rFonts w:hint="eastAsia" w:ascii="Times New Roman" w:hAnsi="Times New Roman"/>
          <w:b/>
          <w:bCs/>
        </w:rPr>
        <w:t>4</w:t>
      </w:r>
      <w:r>
        <w:rPr>
          <w:rFonts w:hint="eastAsia" w:ascii="Times New Roman" w:hAnsi="Times New Roman"/>
          <w:b/>
          <w:bCs/>
          <w:lang w:val="en-US" w:eastAsia="zh-CN"/>
        </w:rPr>
        <w:t>.</w:t>
      </w:r>
      <w:r>
        <w:rPr>
          <w:rFonts w:hint="eastAsia" w:ascii="Times New Roman" w:hAnsi="Times New Roman"/>
          <w:b/>
          <w:bCs/>
        </w:rPr>
        <w:t>提供考评解决方案</w:t>
      </w:r>
    </w:p>
    <w:p w14:paraId="4CBDA170">
      <w:pPr>
        <w:keepNext w:val="0"/>
        <w:keepLines w:val="0"/>
        <w:pageBreakBefore w:val="0"/>
        <w:widowControl w:val="0"/>
        <w:kinsoku/>
        <w:wordWrap/>
        <w:overflowPunct/>
        <w:topLinePunct w:val="0"/>
        <w:autoSpaceDE/>
        <w:autoSpaceDN/>
        <w:bidi w:val="0"/>
        <w:adjustRightInd/>
        <w:snapToGrid/>
        <w:ind w:firstLine="640" w:firstLineChars="200"/>
        <w:textAlignment w:val="auto"/>
      </w:pPr>
      <w:r>
        <w:t>针对政府网站考评办法，为博罗县政府提供“一对一”咨询服务，提供问题解决方案并整改。</w:t>
      </w:r>
    </w:p>
    <w:p w14:paraId="0E3486B0">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Times New Roman" w:hAnsi="Times New Roman"/>
          <w:b/>
          <w:bCs/>
        </w:rPr>
      </w:pPr>
      <w:r>
        <w:rPr>
          <w:rFonts w:hint="eastAsia" w:ascii="Times New Roman" w:hAnsi="Times New Roman"/>
          <w:b/>
          <w:bCs/>
        </w:rPr>
        <w:t>5</w:t>
      </w:r>
      <w:r>
        <w:rPr>
          <w:rFonts w:hint="eastAsia" w:ascii="Times New Roman" w:hAnsi="Times New Roman"/>
          <w:b/>
          <w:bCs/>
          <w:lang w:val="en-US" w:eastAsia="zh-CN"/>
        </w:rPr>
        <w:t>.</w:t>
      </w:r>
      <w:r>
        <w:rPr>
          <w:rFonts w:hint="eastAsia" w:ascii="Times New Roman" w:hAnsi="Times New Roman"/>
          <w:b/>
          <w:bCs/>
        </w:rPr>
        <w:t>网站安全</w:t>
      </w:r>
    </w:p>
    <w:p w14:paraId="7AC07C78">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提供网站漏洞修复，制定安全应急响应方案，协助做好网站安全演练等工作。</w:t>
      </w:r>
      <w:r>
        <w:rPr>
          <w:rFonts w:hint="default"/>
          <w:lang w:val="en-US" w:eastAsia="zh-CN"/>
        </w:rPr>
        <w:t>提供网站24小时值班监测服务，全年365天7*24小时不间断对采购方网站首页进行监测。发现问题及时响应网站各类突发情况。技术支撑团队需提供7×24小时电话咨询服务，对于日常运维需求，须15分钟内响应，2小时完成或给出解决方案；若出现一般故障，经采购方同意可通过远程服务完成相应要求；若出现重大故障，须需到现场服务的，技术支持团队成员应于2小时赶到现场提供技术服务。</w:t>
      </w:r>
    </w:p>
    <w:p w14:paraId="55B2CEF6">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Times New Roman" w:hAnsi="Times New Roman"/>
          <w:b/>
          <w:bCs/>
        </w:rPr>
      </w:pPr>
      <w:r>
        <w:rPr>
          <w:rFonts w:hint="eastAsia" w:ascii="Times New Roman" w:hAnsi="Times New Roman"/>
          <w:b/>
          <w:bCs/>
        </w:rPr>
        <w:t>6</w:t>
      </w:r>
      <w:r>
        <w:rPr>
          <w:rFonts w:hint="eastAsia" w:ascii="Times New Roman" w:hAnsi="Times New Roman"/>
          <w:b/>
          <w:bCs/>
          <w:lang w:val="en-US" w:eastAsia="zh-CN"/>
        </w:rPr>
        <w:t>.</w:t>
      </w:r>
      <w:r>
        <w:rPr>
          <w:rFonts w:hint="eastAsia" w:ascii="Times New Roman" w:hAnsi="Times New Roman"/>
          <w:b/>
          <w:bCs/>
        </w:rPr>
        <w:t>培训服务</w:t>
      </w:r>
    </w:p>
    <w:p w14:paraId="12FBFB9F">
      <w:pPr>
        <w:keepNext w:val="0"/>
        <w:keepLines w:val="0"/>
        <w:pageBreakBefore w:val="0"/>
        <w:widowControl w:val="0"/>
        <w:kinsoku/>
        <w:wordWrap/>
        <w:overflowPunct/>
        <w:topLinePunct w:val="0"/>
        <w:autoSpaceDE/>
        <w:autoSpaceDN/>
        <w:bidi w:val="0"/>
        <w:adjustRightInd/>
        <w:snapToGrid/>
        <w:ind w:firstLine="640" w:firstLineChars="200"/>
        <w:textAlignment w:val="auto"/>
      </w:pPr>
      <w:r>
        <w:t>为博罗县网站用户</w:t>
      </w:r>
      <w:r>
        <w:rPr>
          <w:rFonts w:hint="eastAsia"/>
          <w:lang w:val="en-US" w:eastAsia="zh-CN"/>
        </w:rPr>
        <w:t>按实际需求提供政府网站集约化平台操作使用培训，不限线上线下培训</w:t>
      </w:r>
      <w:r>
        <w:t>。</w:t>
      </w:r>
    </w:p>
    <w:p w14:paraId="6D91683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楷体_GBK" w:hAnsi="方正楷体_GBK" w:eastAsia="方正楷体_GBK" w:cs="方正楷体_GBK"/>
          <w:lang w:val="en-US" w:eastAsia="zh-CN"/>
        </w:rPr>
      </w:pPr>
      <w:r>
        <w:rPr>
          <w:rFonts w:hint="eastAsia" w:ascii="方正楷体_GBK" w:hAnsi="方正楷体_GBK" w:eastAsia="方正楷体_GBK" w:cs="方正楷体_GBK"/>
        </w:rPr>
        <w:t>（三）</w:t>
      </w:r>
      <w:r>
        <w:rPr>
          <w:rFonts w:hint="eastAsia" w:ascii="方正楷体_GBK" w:hAnsi="方正楷体_GBK" w:eastAsia="方正楷体_GBK" w:cs="方正楷体_GBK"/>
          <w:lang w:val="en-US" w:eastAsia="zh-CN"/>
        </w:rPr>
        <w:t>驻场</w:t>
      </w:r>
      <w:r>
        <w:rPr>
          <w:rFonts w:hint="eastAsia" w:ascii="方正楷体_GBK" w:hAnsi="方正楷体_GBK" w:eastAsia="方正楷体_GBK" w:cs="方正楷体_GBK"/>
        </w:rPr>
        <w:t>人员服务</w:t>
      </w:r>
      <w:r>
        <w:rPr>
          <w:rFonts w:hint="eastAsia" w:ascii="方正楷体_GBK" w:hAnsi="方正楷体_GBK" w:eastAsia="方正楷体_GBK" w:cs="方正楷体_GBK"/>
          <w:lang w:val="en-US" w:eastAsia="zh-CN"/>
        </w:rPr>
        <w:t>要求</w:t>
      </w:r>
    </w:p>
    <w:p w14:paraId="29A91FF7">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需为本项目提供人员驻场服务，要求如下：</w:t>
      </w:r>
    </w:p>
    <w:p w14:paraId="008EC4E7">
      <w:pPr>
        <w:keepNext w:val="0"/>
        <w:keepLines w:val="0"/>
        <w:pageBreakBefore w:val="0"/>
        <w:widowControl w:val="0"/>
        <w:kinsoku/>
        <w:wordWrap/>
        <w:overflowPunct/>
        <w:topLinePunct w:val="0"/>
        <w:autoSpaceDE/>
        <w:autoSpaceDN/>
        <w:bidi w:val="0"/>
        <w:adjustRightInd/>
        <w:snapToGrid/>
        <w:ind w:firstLine="640" w:firstLineChars="200"/>
        <w:textAlignment w:val="auto"/>
      </w:pPr>
      <w:r>
        <w:t>（1）提供</w:t>
      </w:r>
      <w:r>
        <w:rPr>
          <w:rFonts w:hint="eastAsia"/>
        </w:rPr>
        <w:t>1人</w:t>
      </w:r>
      <w:r>
        <w:rPr>
          <w:rFonts w:hint="eastAsia"/>
          <w:lang w:val="en-US" w:eastAsia="zh-CN"/>
        </w:rPr>
        <w:t>2</w:t>
      </w:r>
      <w:r>
        <w:rPr>
          <w:rFonts w:hint="eastAsia"/>
        </w:rPr>
        <w:t>年的现场驻场服务；</w:t>
      </w:r>
    </w:p>
    <w:p w14:paraId="68CEE252">
      <w:pPr>
        <w:keepNext w:val="0"/>
        <w:keepLines w:val="0"/>
        <w:pageBreakBefore w:val="0"/>
        <w:widowControl w:val="0"/>
        <w:kinsoku/>
        <w:wordWrap/>
        <w:overflowPunct/>
        <w:topLinePunct w:val="0"/>
        <w:autoSpaceDE/>
        <w:autoSpaceDN/>
        <w:bidi w:val="0"/>
        <w:adjustRightInd/>
        <w:snapToGrid/>
        <w:ind w:firstLine="640" w:firstLineChars="200"/>
        <w:textAlignment w:val="auto"/>
      </w:pPr>
      <w:r>
        <w:t>（</w:t>
      </w:r>
      <w:r>
        <w:rPr>
          <w:rFonts w:hint="eastAsia"/>
        </w:rPr>
        <w:t>2）包含驻场人员的工资、奖金、5险1金、税费、管理费等相关的费用；</w:t>
      </w:r>
    </w:p>
    <w:p w14:paraId="194A339C">
      <w:pPr>
        <w:keepNext w:val="0"/>
        <w:keepLines w:val="0"/>
        <w:pageBreakBefore w:val="0"/>
        <w:widowControl w:val="0"/>
        <w:kinsoku/>
        <w:wordWrap/>
        <w:overflowPunct/>
        <w:topLinePunct w:val="0"/>
        <w:autoSpaceDE/>
        <w:autoSpaceDN/>
        <w:bidi w:val="0"/>
        <w:adjustRightInd/>
        <w:snapToGrid/>
        <w:ind w:firstLine="640" w:firstLineChars="200"/>
        <w:textAlignment w:val="auto"/>
      </w:pPr>
      <w:r>
        <w:t>（</w:t>
      </w:r>
      <w:r>
        <w:rPr>
          <w:rFonts w:hint="eastAsia"/>
        </w:rPr>
        <w:t>3）按甲方规定的上下班时间进行考勤，现场支撑网站日常维护与汇报总结工作，及时响应网站维护任务；</w:t>
      </w:r>
    </w:p>
    <w:p w14:paraId="48046E2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rPr>
      </w:pPr>
      <w:r>
        <w:t>（</w:t>
      </w:r>
      <w:r>
        <w:rPr>
          <w:rFonts w:hint="eastAsia"/>
        </w:rPr>
        <w:t>4）</w:t>
      </w:r>
      <w:r>
        <w:t>协助组织网站维护工作研讨、问题收集、应急演练等会</w:t>
      </w:r>
      <w:r>
        <w:rPr>
          <w:rFonts w:hint="eastAsia"/>
          <w:lang w:val="en-US" w:eastAsia="zh-CN"/>
        </w:rPr>
        <w:t>务</w:t>
      </w:r>
      <w:r>
        <w:t>工作。</w:t>
      </w:r>
    </w:p>
    <w:p w14:paraId="43D17C2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黑体_GBK" w:hAnsi="方正黑体_GBK" w:eastAsia="方正黑体_GBK" w:cs="方正黑体_GBK"/>
        </w:rPr>
      </w:pPr>
      <w:r>
        <w:rPr>
          <w:rFonts w:hint="eastAsia" w:ascii="方正黑体_GBK" w:hAnsi="方正黑体_GBK" w:eastAsia="方正黑体_GBK" w:cs="方正黑体_GBK"/>
        </w:rPr>
        <w:t>六、服务期限</w:t>
      </w:r>
    </w:p>
    <w:p w14:paraId="45F70847">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服务期限：</w:t>
      </w:r>
      <w:r>
        <w:rPr>
          <w:rFonts w:hint="eastAsia"/>
          <w:lang w:val="en-US" w:eastAsia="zh-CN"/>
        </w:rPr>
        <w:t>二</w:t>
      </w:r>
      <w:r>
        <w:rPr>
          <w:rFonts w:hint="eastAsia"/>
        </w:rPr>
        <w:t>年，具体履行时间以合同签订为准。</w:t>
      </w:r>
    </w:p>
    <w:p w14:paraId="42D6524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黑体_GBK" w:hAnsi="方正黑体_GBK" w:eastAsia="方正黑体_GBK" w:cs="方正黑体_GBK"/>
        </w:rPr>
      </w:pPr>
      <w:r>
        <w:rPr>
          <w:rFonts w:hint="eastAsia" w:ascii="方正黑体_GBK" w:hAnsi="方正黑体_GBK" w:eastAsia="方正黑体_GBK" w:cs="方正黑体_GBK"/>
        </w:rPr>
        <w:t>七、付款方式</w:t>
      </w:r>
    </w:p>
    <w:p w14:paraId="68E7C9E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eastAsia="方正仿宋_GBK"/>
          <w:lang w:eastAsia="zh-CN"/>
        </w:rPr>
      </w:pPr>
      <w:r>
        <w:rPr>
          <w:rFonts w:hint="eastAsia"/>
        </w:rPr>
        <w:t>合同签订之日起</w:t>
      </w:r>
      <w:r>
        <w:rPr>
          <w:rFonts w:hint="eastAsia"/>
          <w:lang w:eastAsia="zh-CN"/>
        </w:rPr>
        <w:t>，</w:t>
      </w:r>
      <w:r>
        <w:rPr>
          <w:rFonts w:hint="eastAsia"/>
        </w:rPr>
        <w:t>服务期</w:t>
      </w:r>
      <w:r>
        <w:rPr>
          <w:rFonts w:hint="eastAsia"/>
          <w:lang w:val="en-US" w:eastAsia="zh-CN"/>
        </w:rPr>
        <w:t>每</w:t>
      </w:r>
      <w:r>
        <w:rPr>
          <w:rFonts w:hint="eastAsia"/>
        </w:rPr>
        <w:t>满半年支付合同总</w:t>
      </w:r>
      <w:r>
        <w:rPr>
          <w:rFonts w:hint="eastAsia"/>
          <w:lang w:val="en-US" w:eastAsia="zh-CN"/>
        </w:rPr>
        <w:t>金</w:t>
      </w:r>
      <w:r>
        <w:rPr>
          <w:rFonts w:hint="eastAsia"/>
        </w:rPr>
        <w:t>额</w:t>
      </w:r>
      <w:r>
        <w:rPr>
          <w:rFonts w:hint="eastAsia"/>
          <w:lang w:val="en-US" w:eastAsia="zh-CN"/>
        </w:rPr>
        <w:t>25</w:t>
      </w:r>
      <w:r>
        <w:rPr>
          <w:rFonts w:hint="eastAsia"/>
        </w:rPr>
        <w:t>%</w:t>
      </w:r>
      <w:r>
        <w:rPr>
          <w:rFonts w:hint="eastAsia"/>
          <w:lang w:eastAsia="zh-CN"/>
        </w:rPr>
        <w:t>。</w:t>
      </w:r>
    </w:p>
    <w:p w14:paraId="356BEA6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黑体_GBK" w:hAnsi="方正黑体_GBK" w:eastAsia="方正黑体_GBK" w:cs="方正黑体_GBK"/>
        </w:rPr>
      </w:pPr>
      <w:r>
        <w:rPr>
          <w:rFonts w:hint="eastAsia" w:ascii="方正黑体_GBK" w:hAnsi="方正黑体_GBK" w:eastAsia="方正黑体_GBK" w:cs="方正黑体_GBK"/>
        </w:rPr>
        <w:t>八、报价要求</w:t>
      </w:r>
    </w:p>
    <w:p w14:paraId="55549E16">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1.报价方式：总价报价（格式可参见本询价文件附件），不得超出最高限价。</w:t>
      </w:r>
    </w:p>
    <w:p w14:paraId="61E605C5">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2.供应商必须承诺本次报价包括了与本项目相关的全部费用，不另向</w:t>
      </w:r>
      <w:r>
        <w:rPr>
          <w:rFonts w:hint="eastAsia"/>
          <w:lang w:val="en-US" w:eastAsia="zh-CN"/>
        </w:rPr>
        <w:t>博罗县政务服务和数据管理局</w:t>
      </w:r>
      <w:r>
        <w:rPr>
          <w:rFonts w:hint="eastAsia"/>
        </w:rPr>
        <w:t>收费。响应报价包含合同期内的磋商文件要求所有服务范围。</w:t>
      </w:r>
    </w:p>
    <w:p w14:paraId="3BCBA67D">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3.响应报价低于采购预算85%以上的，供应商需提供详细的成本分析报告</w:t>
      </w:r>
      <w:r>
        <w:rPr>
          <w:rFonts w:hint="eastAsia"/>
          <w:lang w:eastAsia="zh-CN"/>
        </w:rPr>
        <w:t>（</w:t>
      </w:r>
      <w:r>
        <w:rPr>
          <w:rFonts w:hint="eastAsia"/>
        </w:rPr>
        <w:t>包含各项成本明细、项目实施成本、人工、税费、利润等的详细说明</w:t>
      </w:r>
      <w:r>
        <w:rPr>
          <w:rFonts w:hint="eastAsia"/>
          <w:lang w:eastAsia="zh-CN"/>
        </w:rPr>
        <w:t>）</w:t>
      </w:r>
      <w:r>
        <w:rPr>
          <w:rFonts w:hint="eastAsia"/>
        </w:rPr>
        <w:t>。如未提供成本分析报告或</w:t>
      </w:r>
      <w:r>
        <w:rPr>
          <w:rFonts w:hint="eastAsia"/>
          <w:lang w:val="en-US" w:eastAsia="zh-CN"/>
        </w:rPr>
        <w:t>博罗县政务服务和数据管理局</w:t>
      </w:r>
      <w:r>
        <w:rPr>
          <w:rFonts w:hint="eastAsia"/>
        </w:rPr>
        <w:t>认为其成本分析报告不合理的，则按无效投标响应处理。</w:t>
      </w:r>
    </w:p>
    <w:p w14:paraId="036BC7BF">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4.报价文件递交时间及地点：各潜在供应商统一在</w:t>
      </w:r>
      <w:r>
        <w:rPr>
          <w:rFonts w:hint="eastAsia"/>
          <w:color w:val="auto"/>
          <w:lang w:val="en-US" w:eastAsia="zh-CN"/>
        </w:rPr>
        <w:t>2024</w:t>
      </w:r>
      <w:r>
        <w:rPr>
          <w:rFonts w:hint="eastAsia"/>
          <w:color w:val="auto"/>
        </w:rPr>
        <w:t>年</w:t>
      </w:r>
      <w:r>
        <w:rPr>
          <w:rFonts w:hint="eastAsia"/>
          <w:color w:val="auto"/>
          <w:lang w:val="en-US" w:eastAsia="zh-CN"/>
        </w:rPr>
        <w:t>6</w:t>
      </w:r>
      <w:r>
        <w:rPr>
          <w:rFonts w:hint="eastAsia"/>
          <w:color w:val="auto"/>
        </w:rPr>
        <w:t>月</w:t>
      </w:r>
      <w:r>
        <w:rPr>
          <w:rFonts w:hint="eastAsia"/>
          <w:color w:val="auto"/>
          <w:lang w:val="en-US" w:eastAsia="zh-CN"/>
        </w:rPr>
        <w:t>28</w:t>
      </w:r>
      <w:r>
        <w:rPr>
          <w:rFonts w:hint="eastAsia"/>
          <w:color w:val="auto"/>
        </w:rPr>
        <w:t>日下午</w:t>
      </w:r>
      <w:r>
        <w:rPr>
          <w:rFonts w:hint="eastAsia"/>
          <w:color w:val="auto"/>
          <w:lang w:val="en-US" w:eastAsia="zh-CN"/>
        </w:rPr>
        <w:t>17</w:t>
      </w:r>
      <w:r>
        <w:rPr>
          <w:rFonts w:hint="eastAsia"/>
          <w:color w:val="auto"/>
        </w:rPr>
        <w:t>:</w:t>
      </w:r>
      <w:r>
        <w:rPr>
          <w:rFonts w:hint="eastAsia"/>
          <w:color w:val="auto"/>
          <w:lang w:val="en-US" w:eastAsia="zh-CN"/>
        </w:rPr>
        <w:t>30</w:t>
      </w:r>
      <w:r>
        <w:rPr>
          <w:rFonts w:hint="eastAsia"/>
        </w:rPr>
        <w:t>前提交报价文件至博罗县罗阳街道商业西街155号1号楼</w:t>
      </w:r>
      <w:r>
        <w:rPr>
          <w:rFonts w:hint="eastAsia"/>
          <w:lang w:eastAsia="zh-CN"/>
        </w:rPr>
        <w:t>博罗县政务服务和数据管理局</w:t>
      </w:r>
      <w:r>
        <w:rPr>
          <w:rFonts w:hint="eastAsia"/>
        </w:rPr>
        <w:t>办公室。项目方案必须在截止时间前送达，逾期送达不予接受。</w:t>
      </w:r>
    </w:p>
    <w:p w14:paraId="37A94090">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5.报价文件要求：报价文件包括报价单、营业执照副本复印件、法人或负责人身份证复印件、服务方案及满足服务要求的相关证明材料，所有文件均需盖章，盖章后一并密封装袋，并在封口处加盖公章，否则视为无效投标。</w:t>
      </w:r>
    </w:p>
    <w:p w14:paraId="0415C47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黑体_GBK" w:hAnsi="方正黑体_GBK" w:eastAsia="方正黑体_GBK" w:cs="方正黑体_GBK"/>
        </w:rPr>
      </w:pPr>
      <w:r>
        <w:rPr>
          <w:rFonts w:hint="eastAsia" w:ascii="方正黑体_GBK" w:hAnsi="方正黑体_GBK" w:eastAsia="方正黑体_GBK" w:cs="方正黑体_GBK"/>
        </w:rPr>
        <w:t>九、其他说明</w:t>
      </w:r>
    </w:p>
    <w:p w14:paraId="7A5A071E">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1</w:t>
      </w:r>
      <w:r>
        <w:rPr>
          <w:rFonts w:hint="eastAsia"/>
          <w:lang w:val="en-US" w:eastAsia="zh-CN"/>
        </w:rPr>
        <w:t>.</w:t>
      </w:r>
      <w:r>
        <w:rPr>
          <w:rFonts w:hint="eastAsia"/>
        </w:rPr>
        <w:t>我局将结合供应商报价、服务方案、类似项目实施经验、服务人员专业能力等进行综合评审，选择最优者为项目的中选供应商。</w:t>
      </w:r>
    </w:p>
    <w:p w14:paraId="6E102E6B">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2</w:t>
      </w:r>
      <w:r>
        <w:rPr>
          <w:rFonts w:hint="eastAsia"/>
          <w:lang w:val="en-US" w:eastAsia="zh-CN"/>
        </w:rPr>
        <w:t>.</w:t>
      </w:r>
      <w:r>
        <w:rPr>
          <w:rFonts w:hint="eastAsia"/>
        </w:rPr>
        <w:t>无论报价结果如何，报价人都自行承担与报价有关的所有费用。</w:t>
      </w:r>
    </w:p>
    <w:p w14:paraId="2580A9DF">
      <w:pPr>
        <w:widowControl/>
        <w:jc w:val="left"/>
        <w:rPr>
          <w:rFonts w:ascii="仿宋" w:hAnsi="仿宋" w:eastAsia="仿宋"/>
          <w:sz w:val="32"/>
          <w:szCs w:val="32"/>
        </w:rPr>
      </w:pPr>
      <w:r>
        <w:rPr>
          <w:rFonts w:ascii="仿宋" w:hAnsi="仿宋" w:eastAsia="仿宋"/>
          <w:sz w:val="32"/>
          <w:szCs w:val="32"/>
        </w:rPr>
        <w:br w:type="page"/>
      </w:r>
    </w:p>
    <w:p w14:paraId="2C9E7E4C">
      <w:pPr>
        <w:pStyle w:val="15"/>
        <w:spacing w:line="600" w:lineRule="exact"/>
        <w:ind w:firstLine="0" w:firstLineChars="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kern w:val="2"/>
          <w:sz w:val="44"/>
          <w:szCs w:val="44"/>
        </w:rPr>
        <w:t>博罗县政府门户网站运维服务项目</w:t>
      </w:r>
      <w:r>
        <w:rPr>
          <w:rFonts w:hint="eastAsia" w:ascii="方正小标宋简体" w:hAnsi="方正小标宋简体" w:eastAsia="方正小标宋简体" w:cs="方正小标宋简体"/>
          <w:sz w:val="44"/>
          <w:szCs w:val="44"/>
        </w:rPr>
        <w:t>报价表</w:t>
      </w:r>
    </w:p>
    <w:p w14:paraId="6E258A2D">
      <w:pPr>
        <w:pStyle w:val="15"/>
        <w:spacing w:line="600" w:lineRule="exact"/>
        <w:ind w:firstLine="0" w:firstLineChars="0"/>
        <w:jc w:val="center"/>
        <w:rPr>
          <w:rFonts w:hint="eastAsia" w:ascii="方正小标宋简体" w:hAnsi="方正小标宋简体" w:eastAsia="方正小标宋简体" w:cs="方正小标宋简体"/>
          <w:sz w:val="44"/>
          <w:szCs w:val="44"/>
        </w:rPr>
      </w:pPr>
    </w:p>
    <w:p w14:paraId="1741F861">
      <w:pPr>
        <w:jc w:val="left"/>
        <w:rPr>
          <w:rFonts w:hint="eastAsia" w:ascii="方正仿宋_GBK" w:hAnsi="方正仿宋_GBK" w:eastAsia="方正仿宋_GBK" w:cs="方正仿宋_GBK"/>
          <w:sz w:val="32"/>
          <w:szCs w:val="32"/>
        </w:rPr>
      </w:pPr>
      <w:r>
        <w:rPr>
          <w:rFonts w:hint="eastAsia" w:ascii="方正仿宋_GBK" w:hAnsi="方正仿宋_GBK" w:cs="方正仿宋_GBK"/>
          <w:sz w:val="32"/>
          <w:szCs w:val="32"/>
          <w:lang w:val="en-US" w:eastAsia="zh-CN"/>
        </w:rPr>
        <w:t>博罗县政务服务和数据管理局</w:t>
      </w:r>
      <w:r>
        <w:rPr>
          <w:rFonts w:hint="eastAsia" w:ascii="方正仿宋_GBK" w:hAnsi="方正仿宋_GBK" w:eastAsia="方正仿宋_GBK" w:cs="方正仿宋_GBK"/>
          <w:sz w:val="32"/>
          <w:szCs w:val="32"/>
        </w:rPr>
        <w:t>：</w:t>
      </w:r>
    </w:p>
    <w:p w14:paraId="0A6B1447">
      <w:pPr>
        <w:pStyle w:val="15"/>
        <w:spacing w:line="600" w:lineRule="exact"/>
        <w:ind w:firstLine="56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《博罗县政府门户网站运维服务项目采购询价函》我单位已知悉，经研究，报价如下：</w:t>
      </w:r>
    </w:p>
    <w:tbl>
      <w:tblPr>
        <w:tblStyle w:val="9"/>
        <w:tblW w:w="875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916"/>
        <w:gridCol w:w="1361"/>
        <w:gridCol w:w="1555"/>
        <w:gridCol w:w="2918"/>
      </w:tblGrid>
      <w:tr w14:paraId="4CFBE7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4277" w:type="dxa"/>
            <w:gridSpan w:val="2"/>
            <w:tcBorders>
              <w:top w:val="single" w:color="000000" w:sz="4" w:space="0"/>
              <w:left w:val="single" w:color="000000" w:sz="4" w:space="0"/>
              <w:bottom w:val="single" w:color="000000" w:sz="4" w:space="0"/>
              <w:right w:val="single" w:color="000000" w:sz="4" w:space="0"/>
            </w:tcBorders>
            <w:vAlign w:val="center"/>
          </w:tcPr>
          <w:p w14:paraId="4865F571">
            <w:pPr>
              <w:spacing w:line="360" w:lineRule="auto"/>
              <w:jc w:val="center"/>
              <w:rPr>
                <w:rStyle w:val="17"/>
                <w:rFonts w:hint="eastAsia" w:ascii="方正仿宋_GBK" w:hAnsi="方正仿宋_GBK" w:eastAsia="方正仿宋_GBK" w:cs="方正仿宋_GBK"/>
                <w:b/>
                <w:bCs/>
                <w:sz w:val="24"/>
              </w:rPr>
            </w:pPr>
            <w:r>
              <w:rPr>
                <w:rStyle w:val="17"/>
                <w:rFonts w:hint="eastAsia" w:ascii="方正仿宋_GBK" w:hAnsi="方正仿宋_GBK" w:eastAsia="方正仿宋_GBK" w:cs="方正仿宋_GBK"/>
                <w:b/>
                <w:bCs/>
                <w:sz w:val="24"/>
              </w:rPr>
              <w:t>项目名称</w:t>
            </w:r>
          </w:p>
        </w:tc>
        <w:tc>
          <w:tcPr>
            <w:tcW w:w="4473" w:type="dxa"/>
            <w:gridSpan w:val="2"/>
            <w:tcBorders>
              <w:top w:val="single" w:color="000000" w:sz="4" w:space="0"/>
              <w:left w:val="single" w:color="000000" w:sz="4" w:space="0"/>
              <w:bottom w:val="single" w:color="000000" w:sz="4" w:space="0"/>
              <w:right w:val="single" w:color="000000" w:sz="4" w:space="0"/>
            </w:tcBorders>
            <w:vAlign w:val="center"/>
          </w:tcPr>
          <w:p w14:paraId="6FE992B2">
            <w:pPr>
              <w:spacing w:line="360" w:lineRule="auto"/>
              <w:jc w:val="center"/>
              <w:rPr>
                <w:rStyle w:val="17"/>
                <w:rFonts w:hint="eastAsia" w:ascii="方正仿宋_GBK" w:hAnsi="方正仿宋_GBK" w:eastAsia="方正仿宋_GBK" w:cs="方正仿宋_GBK"/>
                <w:b/>
                <w:bCs/>
                <w:sz w:val="24"/>
              </w:rPr>
            </w:pPr>
            <w:r>
              <w:rPr>
                <w:rStyle w:val="17"/>
                <w:rFonts w:hint="eastAsia" w:ascii="方正仿宋_GBK" w:hAnsi="方正仿宋_GBK" w:eastAsia="方正仿宋_GBK" w:cs="方正仿宋_GBK"/>
                <w:b/>
                <w:bCs/>
                <w:sz w:val="24"/>
              </w:rPr>
              <w:t>报价（元）</w:t>
            </w:r>
          </w:p>
        </w:tc>
      </w:tr>
      <w:tr w14:paraId="67CBDC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50" w:hRule="atLeast"/>
          <w:jc w:val="center"/>
        </w:trPr>
        <w:tc>
          <w:tcPr>
            <w:tcW w:w="4277" w:type="dxa"/>
            <w:gridSpan w:val="2"/>
            <w:tcBorders>
              <w:top w:val="single" w:color="000000" w:sz="4" w:space="0"/>
              <w:left w:val="single" w:color="000000" w:sz="4" w:space="0"/>
              <w:bottom w:val="single" w:color="000000" w:sz="4" w:space="0"/>
              <w:right w:val="single" w:color="000000" w:sz="4" w:space="0"/>
            </w:tcBorders>
            <w:vAlign w:val="center"/>
          </w:tcPr>
          <w:p w14:paraId="64F2621A">
            <w:pPr>
              <w:pStyle w:val="15"/>
              <w:spacing w:line="600" w:lineRule="exact"/>
              <w:ind w:firstLine="0" w:firstLineChars="0"/>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博罗县政府门户网站运维服务项目</w:t>
            </w:r>
          </w:p>
          <w:p w14:paraId="4D887161">
            <w:pPr>
              <w:spacing w:line="360" w:lineRule="auto"/>
              <w:jc w:val="center"/>
              <w:rPr>
                <w:rStyle w:val="17"/>
                <w:rFonts w:hint="eastAsia" w:ascii="方正仿宋_GBK" w:hAnsi="方正仿宋_GBK" w:eastAsia="方正仿宋_GBK" w:cs="方正仿宋_GBK"/>
                <w:sz w:val="24"/>
              </w:rPr>
            </w:pPr>
          </w:p>
        </w:tc>
        <w:tc>
          <w:tcPr>
            <w:tcW w:w="4473" w:type="dxa"/>
            <w:gridSpan w:val="2"/>
            <w:tcBorders>
              <w:top w:val="single" w:color="000000" w:sz="4" w:space="0"/>
              <w:left w:val="single" w:color="000000" w:sz="4" w:space="0"/>
              <w:bottom w:val="single" w:color="000000" w:sz="4" w:space="0"/>
              <w:right w:val="single" w:color="000000" w:sz="4" w:space="0"/>
            </w:tcBorders>
            <w:vAlign w:val="center"/>
          </w:tcPr>
          <w:p w14:paraId="034128C0">
            <w:pPr>
              <w:spacing w:line="360" w:lineRule="auto"/>
              <w:ind w:firstLine="480" w:firstLineChars="200"/>
              <w:jc w:val="left"/>
              <w:rPr>
                <w:rStyle w:val="17"/>
                <w:rFonts w:hint="eastAsia" w:ascii="方正仿宋_GBK" w:hAnsi="方正仿宋_GBK" w:eastAsia="方正仿宋_GBK" w:cs="方正仿宋_GBK"/>
                <w:sz w:val="24"/>
              </w:rPr>
            </w:pPr>
            <w:r>
              <w:rPr>
                <w:rStyle w:val="17"/>
                <w:rFonts w:hint="eastAsia" w:ascii="方正仿宋_GBK" w:hAnsi="方正仿宋_GBK" w:eastAsia="方正仿宋_GBK" w:cs="方正仿宋_GBK"/>
                <w:sz w:val="24"/>
              </w:rPr>
              <w:t>小写：</w:t>
            </w:r>
          </w:p>
          <w:p w14:paraId="13442C6B">
            <w:pPr>
              <w:spacing w:line="360" w:lineRule="auto"/>
              <w:ind w:firstLine="480" w:firstLineChars="200"/>
              <w:jc w:val="left"/>
              <w:rPr>
                <w:rStyle w:val="17"/>
                <w:rFonts w:hint="eastAsia" w:ascii="方正仿宋_GBK" w:hAnsi="方正仿宋_GBK" w:eastAsia="方正仿宋_GBK" w:cs="方正仿宋_GBK"/>
                <w:sz w:val="24"/>
              </w:rPr>
            </w:pPr>
            <w:r>
              <w:rPr>
                <w:rStyle w:val="17"/>
                <w:rFonts w:hint="eastAsia" w:ascii="方正仿宋_GBK" w:hAnsi="方正仿宋_GBK" w:eastAsia="方正仿宋_GBK" w:cs="方正仿宋_GBK"/>
                <w:sz w:val="24"/>
              </w:rPr>
              <w:t>（大写：          ）</w:t>
            </w:r>
          </w:p>
        </w:tc>
      </w:tr>
      <w:tr w14:paraId="7CEAA7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0" w:hRule="atLeast"/>
          <w:jc w:val="center"/>
        </w:trPr>
        <w:tc>
          <w:tcPr>
            <w:tcW w:w="8750" w:type="dxa"/>
            <w:gridSpan w:val="4"/>
            <w:tcBorders>
              <w:top w:val="single" w:color="000000" w:sz="4" w:space="0"/>
              <w:left w:val="single" w:color="000000" w:sz="4" w:space="0"/>
              <w:bottom w:val="single" w:color="000000" w:sz="4" w:space="0"/>
              <w:right w:val="single" w:color="000000" w:sz="4" w:space="0"/>
            </w:tcBorders>
            <w:vAlign w:val="center"/>
          </w:tcPr>
          <w:p w14:paraId="49A2D826">
            <w:pPr>
              <w:spacing w:line="360" w:lineRule="auto"/>
              <w:jc w:val="center"/>
              <w:rPr>
                <w:rStyle w:val="17"/>
                <w:rFonts w:ascii="仿宋" w:hAnsi="仿宋" w:eastAsia="仿宋"/>
                <w:sz w:val="24"/>
              </w:rPr>
            </w:pPr>
            <w:r>
              <w:rPr>
                <w:rStyle w:val="17"/>
                <w:rFonts w:hint="eastAsia" w:ascii="方正仿宋_GBK" w:hAnsi="方正仿宋_GBK" w:eastAsia="方正仿宋_GBK" w:cs="方正仿宋_GBK"/>
                <w:sz w:val="24"/>
              </w:rPr>
              <w:t>服务承诺内容</w:t>
            </w:r>
          </w:p>
        </w:tc>
      </w:tr>
      <w:tr w14:paraId="2C53A8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jc w:val="center"/>
        </w:trPr>
        <w:tc>
          <w:tcPr>
            <w:tcW w:w="2916" w:type="dxa"/>
            <w:tcBorders>
              <w:top w:val="single" w:color="000000" w:sz="4" w:space="0"/>
              <w:left w:val="single" w:color="000000" w:sz="4" w:space="0"/>
              <w:bottom w:val="single" w:color="000000" w:sz="4" w:space="0"/>
              <w:right w:val="single" w:color="000000" w:sz="4" w:space="0"/>
            </w:tcBorders>
            <w:vAlign w:val="center"/>
          </w:tcPr>
          <w:p w14:paraId="056F5520">
            <w:pPr>
              <w:spacing w:line="360" w:lineRule="auto"/>
              <w:jc w:val="center"/>
              <w:rPr>
                <w:rStyle w:val="17"/>
                <w:rFonts w:hint="default" w:ascii="Times New Roman" w:hAnsi="Times New Roman" w:eastAsia="仿宋" w:cs="Times New Roman"/>
                <w:sz w:val="24"/>
              </w:rPr>
            </w:pPr>
            <w:r>
              <w:rPr>
                <w:rStyle w:val="17"/>
                <w:rFonts w:hint="default" w:ascii="Times New Roman" w:hAnsi="Times New Roman" w:eastAsia="仿宋" w:cs="Times New Roman"/>
                <w:sz w:val="24"/>
              </w:rPr>
              <w:t>1</w:t>
            </w:r>
          </w:p>
        </w:tc>
        <w:tc>
          <w:tcPr>
            <w:tcW w:w="2916" w:type="dxa"/>
            <w:gridSpan w:val="2"/>
            <w:tcBorders>
              <w:top w:val="single" w:color="000000" w:sz="4" w:space="0"/>
              <w:left w:val="single" w:color="000000" w:sz="4" w:space="0"/>
              <w:bottom w:val="single" w:color="000000" w:sz="4" w:space="0"/>
              <w:right w:val="single" w:color="000000" w:sz="4" w:space="0"/>
            </w:tcBorders>
            <w:vAlign w:val="center"/>
          </w:tcPr>
          <w:p w14:paraId="28CC5B34">
            <w:pPr>
              <w:spacing w:line="360" w:lineRule="auto"/>
              <w:jc w:val="center"/>
              <w:rPr>
                <w:rStyle w:val="17"/>
                <w:rFonts w:hint="eastAsia" w:ascii="方正仿宋_GBK" w:hAnsi="方正仿宋_GBK" w:eastAsia="方正仿宋_GBK" w:cs="方正仿宋_GBK"/>
                <w:sz w:val="24"/>
              </w:rPr>
            </w:pPr>
            <w:r>
              <w:rPr>
                <w:rStyle w:val="17"/>
                <w:rFonts w:hint="eastAsia" w:ascii="方正仿宋_GBK" w:hAnsi="方正仿宋_GBK" w:eastAsia="方正仿宋_GBK" w:cs="方正仿宋_GBK"/>
                <w:sz w:val="24"/>
              </w:rPr>
              <w:t>日常系统维护</w:t>
            </w:r>
          </w:p>
        </w:tc>
        <w:tc>
          <w:tcPr>
            <w:tcW w:w="2918" w:type="dxa"/>
            <w:tcBorders>
              <w:top w:val="single" w:color="000000" w:sz="4" w:space="0"/>
              <w:left w:val="single" w:color="000000" w:sz="4" w:space="0"/>
              <w:bottom w:val="single" w:color="000000" w:sz="4" w:space="0"/>
              <w:right w:val="single" w:color="000000" w:sz="4" w:space="0"/>
            </w:tcBorders>
            <w:vAlign w:val="center"/>
          </w:tcPr>
          <w:p w14:paraId="471B9293">
            <w:pPr>
              <w:spacing w:line="360" w:lineRule="auto"/>
              <w:jc w:val="center"/>
              <w:rPr>
                <w:rStyle w:val="17"/>
                <w:rFonts w:hint="eastAsia" w:ascii="方正仿宋_GBK" w:hAnsi="方正仿宋_GBK" w:eastAsia="方正仿宋_GBK" w:cs="方正仿宋_GBK"/>
                <w:sz w:val="24"/>
              </w:rPr>
            </w:pPr>
            <w:r>
              <w:rPr>
                <w:rStyle w:val="17"/>
                <w:rFonts w:hint="eastAsia" w:ascii="方正仿宋_GBK" w:hAnsi="方正仿宋_GBK" w:eastAsia="方正仿宋_GBK" w:cs="方正仿宋_GBK"/>
                <w:sz w:val="24"/>
              </w:rPr>
              <w:t>必备</w:t>
            </w:r>
          </w:p>
        </w:tc>
      </w:tr>
      <w:tr w14:paraId="2310C7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jc w:val="center"/>
        </w:trPr>
        <w:tc>
          <w:tcPr>
            <w:tcW w:w="2916" w:type="dxa"/>
            <w:tcBorders>
              <w:top w:val="single" w:color="000000" w:sz="4" w:space="0"/>
              <w:left w:val="single" w:color="000000" w:sz="4" w:space="0"/>
              <w:bottom w:val="single" w:color="000000" w:sz="4" w:space="0"/>
              <w:right w:val="single" w:color="000000" w:sz="4" w:space="0"/>
            </w:tcBorders>
            <w:vAlign w:val="center"/>
          </w:tcPr>
          <w:p w14:paraId="225874E4">
            <w:pPr>
              <w:spacing w:line="360" w:lineRule="auto"/>
              <w:jc w:val="center"/>
              <w:rPr>
                <w:rStyle w:val="17"/>
                <w:rFonts w:hint="default" w:ascii="Times New Roman" w:hAnsi="Times New Roman" w:eastAsia="仿宋" w:cs="Times New Roman"/>
                <w:sz w:val="24"/>
              </w:rPr>
            </w:pPr>
            <w:r>
              <w:rPr>
                <w:rStyle w:val="17"/>
                <w:rFonts w:hint="default" w:ascii="Times New Roman" w:hAnsi="Times New Roman" w:eastAsia="仿宋" w:cs="Times New Roman"/>
                <w:sz w:val="24"/>
              </w:rPr>
              <w:t>2</w:t>
            </w:r>
          </w:p>
        </w:tc>
        <w:tc>
          <w:tcPr>
            <w:tcW w:w="2916" w:type="dxa"/>
            <w:gridSpan w:val="2"/>
            <w:tcBorders>
              <w:top w:val="single" w:color="000000" w:sz="4" w:space="0"/>
              <w:left w:val="single" w:color="000000" w:sz="4" w:space="0"/>
              <w:bottom w:val="single" w:color="000000" w:sz="4" w:space="0"/>
              <w:right w:val="single" w:color="000000" w:sz="4" w:space="0"/>
            </w:tcBorders>
            <w:vAlign w:val="center"/>
          </w:tcPr>
          <w:p w14:paraId="2F17D0E3">
            <w:pPr>
              <w:spacing w:line="360" w:lineRule="auto"/>
              <w:jc w:val="center"/>
              <w:rPr>
                <w:rStyle w:val="17"/>
                <w:rFonts w:hint="eastAsia" w:ascii="方正仿宋_GBK" w:hAnsi="方正仿宋_GBK" w:eastAsia="方正仿宋_GBK" w:cs="方正仿宋_GBK"/>
                <w:sz w:val="24"/>
              </w:rPr>
            </w:pPr>
            <w:r>
              <w:rPr>
                <w:rStyle w:val="17"/>
                <w:rFonts w:hint="eastAsia" w:ascii="方正仿宋_GBK" w:hAnsi="方正仿宋_GBK" w:eastAsia="方正仿宋_GBK" w:cs="方正仿宋_GBK"/>
                <w:sz w:val="24"/>
              </w:rPr>
              <w:t>增值服务</w:t>
            </w:r>
          </w:p>
        </w:tc>
        <w:tc>
          <w:tcPr>
            <w:tcW w:w="2918" w:type="dxa"/>
            <w:tcBorders>
              <w:top w:val="single" w:color="000000" w:sz="4" w:space="0"/>
              <w:left w:val="single" w:color="000000" w:sz="4" w:space="0"/>
              <w:bottom w:val="single" w:color="000000" w:sz="4" w:space="0"/>
              <w:right w:val="single" w:color="000000" w:sz="4" w:space="0"/>
            </w:tcBorders>
            <w:vAlign w:val="center"/>
          </w:tcPr>
          <w:p w14:paraId="1D21BFAB">
            <w:pPr>
              <w:spacing w:line="360" w:lineRule="auto"/>
              <w:jc w:val="center"/>
              <w:rPr>
                <w:rStyle w:val="17"/>
                <w:rFonts w:hint="eastAsia" w:ascii="方正仿宋_GBK" w:hAnsi="方正仿宋_GBK" w:eastAsia="方正仿宋_GBK" w:cs="方正仿宋_GBK"/>
                <w:sz w:val="24"/>
              </w:rPr>
            </w:pPr>
            <w:r>
              <w:rPr>
                <w:rStyle w:val="17"/>
                <w:rFonts w:hint="eastAsia" w:ascii="方正仿宋_GBK" w:hAnsi="方正仿宋_GBK" w:eastAsia="方正仿宋_GBK" w:cs="方正仿宋_GBK"/>
                <w:sz w:val="24"/>
              </w:rPr>
              <w:t>必备</w:t>
            </w:r>
          </w:p>
        </w:tc>
      </w:tr>
      <w:tr w14:paraId="0DD8D8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jc w:val="center"/>
        </w:trPr>
        <w:tc>
          <w:tcPr>
            <w:tcW w:w="2916" w:type="dxa"/>
            <w:tcBorders>
              <w:top w:val="single" w:color="000000" w:sz="4" w:space="0"/>
              <w:left w:val="single" w:color="000000" w:sz="4" w:space="0"/>
              <w:bottom w:val="single" w:color="000000" w:sz="4" w:space="0"/>
              <w:right w:val="single" w:color="000000" w:sz="4" w:space="0"/>
            </w:tcBorders>
            <w:vAlign w:val="center"/>
          </w:tcPr>
          <w:p w14:paraId="27D8A6A5">
            <w:pPr>
              <w:spacing w:line="360" w:lineRule="auto"/>
              <w:jc w:val="center"/>
              <w:rPr>
                <w:rStyle w:val="17"/>
                <w:rFonts w:hint="default" w:ascii="Times New Roman" w:hAnsi="Times New Roman" w:eastAsia="仿宋" w:cs="Times New Roman"/>
                <w:sz w:val="24"/>
              </w:rPr>
            </w:pPr>
            <w:r>
              <w:rPr>
                <w:rStyle w:val="17"/>
                <w:rFonts w:hint="default" w:ascii="Times New Roman" w:hAnsi="Times New Roman" w:eastAsia="仿宋" w:cs="Times New Roman"/>
                <w:sz w:val="24"/>
              </w:rPr>
              <w:t>3</w:t>
            </w:r>
          </w:p>
        </w:tc>
        <w:tc>
          <w:tcPr>
            <w:tcW w:w="2916" w:type="dxa"/>
            <w:gridSpan w:val="2"/>
            <w:tcBorders>
              <w:top w:val="single" w:color="000000" w:sz="4" w:space="0"/>
              <w:left w:val="single" w:color="000000" w:sz="4" w:space="0"/>
              <w:bottom w:val="single" w:color="000000" w:sz="4" w:space="0"/>
              <w:right w:val="single" w:color="000000" w:sz="4" w:space="0"/>
            </w:tcBorders>
            <w:vAlign w:val="center"/>
          </w:tcPr>
          <w:p w14:paraId="4AB5C01C">
            <w:pPr>
              <w:spacing w:line="360" w:lineRule="auto"/>
              <w:jc w:val="center"/>
              <w:rPr>
                <w:rStyle w:val="17"/>
                <w:rFonts w:hint="eastAsia" w:ascii="方正仿宋_GBK" w:hAnsi="方正仿宋_GBK" w:eastAsia="方正仿宋_GBK" w:cs="方正仿宋_GBK"/>
                <w:sz w:val="24"/>
              </w:rPr>
            </w:pPr>
            <w:r>
              <w:rPr>
                <w:rStyle w:val="17"/>
                <w:rFonts w:hint="eastAsia" w:ascii="方正仿宋_GBK" w:hAnsi="方正仿宋_GBK" w:eastAsia="方正仿宋_GBK" w:cs="方正仿宋_GBK"/>
                <w:sz w:val="24"/>
              </w:rPr>
              <w:t>人员驻场</w:t>
            </w:r>
          </w:p>
        </w:tc>
        <w:tc>
          <w:tcPr>
            <w:tcW w:w="2918" w:type="dxa"/>
            <w:tcBorders>
              <w:top w:val="single" w:color="000000" w:sz="4" w:space="0"/>
              <w:left w:val="single" w:color="000000" w:sz="4" w:space="0"/>
              <w:bottom w:val="single" w:color="000000" w:sz="4" w:space="0"/>
              <w:right w:val="single" w:color="000000" w:sz="4" w:space="0"/>
            </w:tcBorders>
            <w:vAlign w:val="center"/>
          </w:tcPr>
          <w:p w14:paraId="7459A6CD">
            <w:pPr>
              <w:spacing w:line="360" w:lineRule="auto"/>
              <w:jc w:val="center"/>
              <w:rPr>
                <w:rStyle w:val="17"/>
                <w:rFonts w:hint="eastAsia" w:ascii="方正仿宋_GBK" w:hAnsi="方正仿宋_GBK" w:eastAsia="方正仿宋_GBK" w:cs="方正仿宋_GBK"/>
                <w:sz w:val="24"/>
              </w:rPr>
            </w:pPr>
            <w:r>
              <w:rPr>
                <w:rStyle w:val="17"/>
                <w:rFonts w:hint="eastAsia" w:ascii="方正仿宋_GBK" w:hAnsi="方正仿宋_GBK" w:eastAsia="方正仿宋_GBK" w:cs="方正仿宋_GBK"/>
                <w:sz w:val="24"/>
              </w:rPr>
              <w:t>必备</w:t>
            </w:r>
          </w:p>
        </w:tc>
      </w:tr>
      <w:tr w14:paraId="7BCBC2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jc w:val="center"/>
        </w:trPr>
        <w:tc>
          <w:tcPr>
            <w:tcW w:w="2916" w:type="dxa"/>
            <w:tcBorders>
              <w:top w:val="single" w:color="000000" w:sz="4" w:space="0"/>
              <w:left w:val="single" w:color="000000" w:sz="4" w:space="0"/>
              <w:bottom w:val="single" w:color="000000" w:sz="4" w:space="0"/>
              <w:right w:val="single" w:color="000000" w:sz="4" w:space="0"/>
            </w:tcBorders>
            <w:vAlign w:val="center"/>
          </w:tcPr>
          <w:p w14:paraId="3889E94A">
            <w:pPr>
              <w:spacing w:line="360" w:lineRule="auto"/>
              <w:jc w:val="center"/>
              <w:rPr>
                <w:rStyle w:val="17"/>
                <w:rFonts w:hint="default" w:ascii="Times New Roman" w:hAnsi="Times New Roman" w:eastAsia="仿宋" w:cs="Times New Roman"/>
                <w:sz w:val="24"/>
              </w:rPr>
            </w:pPr>
          </w:p>
        </w:tc>
        <w:tc>
          <w:tcPr>
            <w:tcW w:w="2916" w:type="dxa"/>
            <w:gridSpan w:val="2"/>
            <w:tcBorders>
              <w:top w:val="single" w:color="000000" w:sz="4" w:space="0"/>
              <w:left w:val="single" w:color="000000" w:sz="4" w:space="0"/>
              <w:bottom w:val="single" w:color="000000" w:sz="4" w:space="0"/>
              <w:right w:val="single" w:color="000000" w:sz="4" w:space="0"/>
            </w:tcBorders>
            <w:vAlign w:val="center"/>
          </w:tcPr>
          <w:p w14:paraId="4FE477D7">
            <w:pPr>
              <w:spacing w:line="360" w:lineRule="auto"/>
              <w:jc w:val="center"/>
              <w:rPr>
                <w:rStyle w:val="17"/>
                <w:rFonts w:hint="eastAsia" w:ascii="方正仿宋_GBK" w:hAnsi="方正仿宋_GBK" w:eastAsia="方正仿宋_GBK" w:cs="方正仿宋_GBK"/>
                <w:sz w:val="24"/>
              </w:rPr>
            </w:pPr>
            <w:r>
              <w:rPr>
                <w:rStyle w:val="17"/>
                <w:rFonts w:hint="eastAsia" w:ascii="方正仿宋_GBK" w:hAnsi="方正仿宋_GBK" w:eastAsia="方正仿宋_GBK" w:cs="方正仿宋_GBK"/>
                <w:sz w:val="24"/>
              </w:rPr>
              <w:t>以下可根据投标方案自行增加服务承诺</w:t>
            </w:r>
          </w:p>
        </w:tc>
        <w:tc>
          <w:tcPr>
            <w:tcW w:w="2918" w:type="dxa"/>
            <w:tcBorders>
              <w:top w:val="single" w:color="000000" w:sz="4" w:space="0"/>
              <w:left w:val="single" w:color="000000" w:sz="4" w:space="0"/>
              <w:bottom w:val="single" w:color="000000" w:sz="4" w:space="0"/>
              <w:right w:val="single" w:color="000000" w:sz="4" w:space="0"/>
            </w:tcBorders>
            <w:vAlign w:val="center"/>
          </w:tcPr>
          <w:p w14:paraId="5839C0DD">
            <w:pPr>
              <w:spacing w:line="360" w:lineRule="auto"/>
              <w:jc w:val="center"/>
              <w:rPr>
                <w:rStyle w:val="17"/>
                <w:rFonts w:hint="eastAsia" w:ascii="方正仿宋_GBK" w:hAnsi="方正仿宋_GBK" w:eastAsia="方正仿宋_GBK" w:cs="方正仿宋_GBK"/>
                <w:sz w:val="24"/>
              </w:rPr>
            </w:pPr>
          </w:p>
        </w:tc>
      </w:tr>
    </w:tbl>
    <w:p w14:paraId="6844AB43">
      <w:pPr>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报价说明：以上报价为含税综合报价。</w:t>
      </w:r>
    </w:p>
    <w:p w14:paraId="682C53EC">
      <w:pPr>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报价单位联系人及联系方式：</w:t>
      </w:r>
    </w:p>
    <w:p w14:paraId="5E38186A">
      <w:pPr>
        <w:jc w:val="left"/>
        <w:rPr>
          <w:rFonts w:ascii="仿宋" w:hAnsi="仿宋" w:eastAsia="仿宋"/>
          <w:sz w:val="28"/>
          <w:szCs w:val="28"/>
        </w:rPr>
      </w:pPr>
    </w:p>
    <w:p w14:paraId="5BF0A47A">
      <w:pPr>
        <w:ind w:firstLine="4760" w:firstLineChars="1700"/>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报价单位（盖章）：</w:t>
      </w:r>
    </w:p>
    <w:p w14:paraId="5C94C62F">
      <w:pPr>
        <w:ind w:firstLine="4760" w:firstLineChars="1700"/>
        <w:jc w:val="left"/>
        <w:rPr>
          <w:rFonts w:ascii="仿宋" w:hAnsi="仿宋" w:eastAsia="仿宋"/>
          <w:b/>
          <w:bCs/>
          <w:sz w:val="28"/>
          <w:szCs w:val="28"/>
        </w:rPr>
      </w:pPr>
      <w:r>
        <w:rPr>
          <w:rFonts w:hint="eastAsia" w:ascii="方正仿宋_GBK" w:hAnsi="方正仿宋_GBK" w:eastAsia="方正仿宋_GBK" w:cs="方正仿宋_GBK"/>
          <w:sz w:val="28"/>
          <w:szCs w:val="28"/>
        </w:rPr>
        <w:t>日期：</w:t>
      </w:r>
    </w:p>
    <w:p w14:paraId="00C16A72">
      <w:pPr>
        <w:spacing w:line="600" w:lineRule="exact"/>
        <w:jc w:val="left"/>
        <w:rPr>
          <w:rFonts w:hint="eastAsia" w:ascii="方正仿宋_GBK" w:hAnsi="方正仿宋_GBK" w:eastAsia="方正仿宋_GBK" w:cs="方正仿宋_GBK"/>
          <w:b/>
          <w:bCs/>
          <w:sz w:val="28"/>
          <w:szCs w:val="28"/>
        </w:rPr>
      </w:pPr>
      <w:r>
        <w:rPr>
          <w:rFonts w:hint="eastAsia" w:ascii="仿宋" w:hAnsi="仿宋" w:eastAsia="仿宋"/>
          <w:b/>
          <w:bCs/>
          <w:sz w:val="28"/>
          <w:szCs w:val="28"/>
        </w:rPr>
        <w:t>评</w:t>
      </w:r>
      <w:r>
        <w:rPr>
          <w:rFonts w:hint="eastAsia" w:ascii="方正仿宋_GBK" w:hAnsi="方正仿宋_GBK" w:eastAsia="方正仿宋_GBK" w:cs="方正仿宋_GBK"/>
          <w:b/>
          <w:bCs/>
          <w:sz w:val="28"/>
          <w:szCs w:val="28"/>
        </w:rPr>
        <w:t>分细则</w:t>
      </w:r>
    </w:p>
    <w:p w14:paraId="492C6ED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rPr>
      </w:pPr>
      <w:r>
        <w:rPr>
          <w:rFonts w:hint="eastAsia"/>
        </w:rPr>
        <w:t>本次评标采用综合评分法，总分为100分，其中价格部分10分、技术部分50分、资信及商务部分</w:t>
      </w:r>
      <w:r>
        <w:rPr>
          <w:rFonts w:hint="eastAsia"/>
          <w:lang w:val="en-US" w:eastAsia="zh-CN"/>
        </w:rPr>
        <w:t>40</w:t>
      </w:r>
      <w:r>
        <w:rPr>
          <w:rFonts w:hint="eastAsia"/>
        </w:rPr>
        <w:t>分。评分过程中采用四舍五入法，并保留小数2位。</w:t>
      </w:r>
    </w:p>
    <w:p w14:paraId="6288447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rPr>
      </w:pPr>
      <w:r>
        <w:rPr>
          <w:rFonts w:hint="eastAsia"/>
        </w:rPr>
        <w:t>投标人评标综合得分=价格分+技术分+资信及商务分</w:t>
      </w:r>
    </w:p>
    <w:p w14:paraId="400E8F4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rPr>
      </w:pPr>
      <w:r>
        <w:rPr>
          <w:rFonts w:hint="eastAsia"/>
        </w:rPr>
        <w:t>1.技术部分（50分）</w:t>
      </w:r>
    </w:p>
    <w:tbl>
      <w:tblPr>
        <w:tblStyle w:val="9"/>
        <w:tblW w:w="518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54"/>
        <w:gridCol w:w="4559"/>
        <w:gridCol w:w="558"/>
        <w:gridCol w:w="558"/>
        <w:gridCol w:w="558"/>
        <w:gridCol w:w="565"/>
      </w:tblGrid>
      <w:tr w14:paraId="1BCCC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404" w:type="pct"/>
            <w:vMerge w:val="restart"/>
            <w:shd w:val="clear" w:color="auto" w:fill="auto"/>
            <w:vAlign w:val="center"/>
          </w:tcPr>
          <w:p w14:paraId="30265E75">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 w:hAnsi="仿宋" w:eastAsia="仿宋" w:cs="宋体"/>
                <w:b/>
                <w:bCs/>
                <w:color w:val="000000"/>
                <w:kern w:val="0"/>
                <w:sz w:val="28"/>
                <w:szCs w:val="28"/>
              </w:rPr>
            </w:pPr>
            <w:r>
              <w:rPr>
                <w:rFonts w:hint="eastAsia" w:ascii="仿宋" w:hAnsi="仿宋" w:eastAsia="仿宋" w:cs="宋体"/>
                <w:b/>
                <w:bCs/>
                <w:color w:val="000000"/>
                <w:kern w:val="0"/>
                <w:sz w:val="28"/>
                <w:szCs w:val="28"/>
              </w:rPr>
              <w:t>项目</w:t>
            </w:r>
          </w:p>
        </w:tc>
        <w:tc>
          <w:tcPr>
            <w:tcW w:w="2411" w:type="pct"/>
            <w:vMerge w:val="restart"/>
            <w:shd w:val="clear" w:color="auto" w:fill="auto"/>
            <w:vAlign w:val="center"/>
          </w:tcPr>
          <w:p w14:paraId="3A2D7881">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宋体"/>
                <w:b/>
                <w:bCs/>
                <w:color w:val="000000"/>
                <w:kern w:val="0"/>
                <w:sz w:val="28"/>
                <w:szCs w:val="28"/>
              </w:rPr>
            </w:pPr>
            <w:r>
              <w:rPr>
                <w:rFonts w:hint="eastAsia" w:ascii="仿宋" w:hAnsi="仿宋" w:eastAsia="仿宋" w:cs="宋体"/>
                <w:b/>
                <w:bCs/>
                <w:color w:val="000000"/>
                <w:kern w:val="0"/>
                <w:sz w:val="28"/>
                <w:szCs w:val="28"/>
              </w:rPr>
              <w:t>评审内容和标准</w:t>
            </w:r>
          </w:p>
        </w:tc>
        <w:tc>
          <w:tcPr>
            <w:tcW w:w="1184" w:type="pct"/>
            <w:gridSpan w:val="4"/>
            <w:shd w:val="clear" w:color="auto" w:fill="auto"/>
            <w:vAlign w:val="center"/>
          </w:tcPr>
          <w:p w14:paraId="34E5E780">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宋体"/>
                <w:b/>
                <w:bCs/>
                <w:color w:val="000000"/>
                <w:kern w:val="0"/>
                <w:sz w:val="28"/>
                <w:szCs w:val="28"/>
              </w:rPr>
            </w:pPr>
            <w:r>
              <w:rPr>
                <w:rFonts w:hint="eastAsia" w:ascii="仿宋" w:hAnsi="仿宋" w:eastAsia="仿宋" w:cs="宋体"/>
                <w:b/>
                <w:bCs/>
                <w:color w:val="000000"/>
                <w:kern w:val="0"/>
                <w:sz w:val="28"/>
                <w:szCs w:val="28"/>
              </w:rPr>
              <w:t>分值</w:t>
            </w:r>
          </w:p>
        </w:tc>
      </w:tr>
      <w:tr w14:paraId="0C7B07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404" w:type="pct"/>
            <w:vMerge w:val="continue"/>
            <w:vAlign w:val="center"/>
          </w:tcPr>
          <w:p w14:paraId="74B6D57F">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仿宋" w:hAnsi="仿宋" w:eastAsia="仿宋" w:cs="宋体"/>
                <w:b/>
                <w:bCs/>
                <w:color w:val="000000"/>
                <w:kern w:val="0"/>
                <w:sz w:val="28"/>
                <w:szCs w:val="28"/>
              </w:rPr>
            </w:pPr>
          </w:p>
        </w:tc>
        <w:tc>
          <w:tcPr>
            <w:tcW w:w="2411" w:type="pct"/>
            <w:vMerge w:val="continue"/>
            <w:vAlign w:val="center"/>
          </w:tcPr>
          <w:p w14:paraId="119341F0">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仿宋" w:hAnsi="仿宋" w:eastAsia="仿宋" w:cs="宋体"/>
                <w:b/>
                <w:bCs/>
                <w:color w:val="000000"/>
                <w:kern w:val="0"/>
                <w:sz w:val="28"/>
                <w:szCs w:val="28"/>
              </w:rPr>
            </w:pPr>
          </w:p>
        </w:tc>
        <w:tc>
          <w:tcPr>
            <w:tcW w:w="295" w:type="pct"/>
            <w:shd w:val="clear" w:color="auto" w:fill="auto"/>
            <w:vAlign w:val="center"/>
          </w:tcPr>
          <w:p w14:paraId="0A0284E4">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宋体"/>
                <w:b/>
                <w:bCs/>
                <w:color w:val="000000"/>
                <w:kern w:val="0"/>
                <w:sz w:val="28"/>
                <w:szCs w:val="28"/>
              </w:rPr>
            </w:pPr>
            <w:r>
              <w:rPr>
                <w:rFonts w:hint="eastAsia" w:ascii="仿宋" w:hAnsi="仿宋" w:eastAsia="仿宋" w:cs="宋体"/>
                <w:b/>
                <w:bCs/>
                <w:color w:val="000000"/>
                <w:kern w:val="0"/>
                <w:sz w:val="28"/>
                <w:szCs w:val="28"/>
              </w:rPr>
              <w:t>好</w:t>
            </w:r>
          </w:p>
        </w:tc>
        <w:tc>
          <w:tcPr>
            <w:tcW w:w="295" w:type="pct"/>
            <w:shd w:val="clear" w:color="auto" w:fill="auto"/>
            <w:vAlign w:val="center"/>
          </w:tcPr>
          <w:p w14:paraId="4744E443">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宋体"/>
                <w:b/>
                <w:bCs/>
                <w:color w:val="000000"/>
                <w:kern w:val="0"/>
                <w:sz w:val="28"/>
                <w:szCs w:val="28"/>
              </w:rPr>
            </w:pPr>
            <w:r>
              <w:rPr>
                <w:rFonts w:hint="eastAsia" w:ascii="仿宋" w:hAnsi="仿宋" w:eastAsia="仿宋" w:cs="宋体"/>
                <w:b/>
                <w:bCs/>
                <w:color w:val="000000"/>
                <w:kern w:val="0"/>
                <w:sz w:val="28"/>
                <w:szCs w:val="28"/>
              </w:rPr>
              <w:t>较好</w:t>
            </w:r>
          </w:p>
        </w:tc>
        <w:tc>
          <w:tcPr>
            <w:tcW w:w="295" w:type="pct"/>
            <w:shd w:val="clear" w:color="auto" w:fill="auto"/>
            <w:vAlign w:val="center"/>
          </w:tcPr>
          <w:p w14:paraId="46A137A4">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宋体"/>
                <w:b/>
                <w:bCs/>
                <w:color w:val="000000"/>
                <w:kern w:val="0"/>
                <w:sz w:val="28"/>
                <w:szCs w:val="28"/>
              </w:rPr>
            </w:pPr>
            <w:r>
              <w:rPr>
                <w:rFonts w:hint="eastAsia" w:ascii="仿宋" w:hAnsi="仿宋" w:eastAsia="仿宋" w:cs="宋体"/>
                <w:b/>
                <w:bCs/>
                <w:color w:val="000000"/>
                <w:kern w:val="0"/>
                <w:sz w:val="28"/>
                <w:szCs w:val="28"/>
              </w:rPr>
              <w:t>一般</w:t>
            </w:r>
          </w:p>
        </w:tc>
        <w:tc>
          <w:tcPr>
            <w:tcW w:w="298" w:type="pct"/>
            <w:shd w:val="clear" w:color="auto" w:fill="auto"/>
            <w:vAlign w:val="center"/>
          </w:tcPr>
          <w:p w14:paraId="6A737026">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宋体"/>
                <w:b/>
                <w:bCs/>
                <w:color w:val="000000"/>
                <w:kern w:val="0"/>
                <w:sz w:val="28"/>
                <w:szCs w:val="28"/>
              </w:rPr>
            </w:pPr>
            <w:r>
              <w:rPr>
                <w:rFonts w:hint="eastAsia" w:ascii="仿宋" w:hAnsi="仿宋" w:eastAsia="仿宋" w:cs="宋体"/>
                <w:b/>
                <w:bCs/>
                <w:color w:val="000000"/>
                <w:kern w:val="0"/>
                <w:sz w:val="28"/>
                <w:szCs w:val="28"/>
              </w:rPr>
              <w:t>差</w:t>
            </w:r>
          </w:p>
        </w:tc>
      </w:tr>
      <w:tr w14:paraId="60568F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1404" w:type="pct"/>
            <w:shd w:val="clear" w:color="auto" w:fill="auto"/>
            <w:vAlign w:val="center"/>
          </w:tcPr>
          <w:p w14:paraId="7016594C">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投标整体响应情况</w:t>
            </w:r>
          </w:p>
          <w:p w14:paraId="00387394">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w:t>
            </w:r>
            <w:r>
              <w:rPr>
                <w:rFonts w:hint="eastAsia" w:ascii="仿宋" w:hAnsi="仿宋" w:eastAsia="仿宋" w:cs="宋体"/>
                <w:color w:val="000000"/>
                <w:kern w:val="0"/>
                <w:sz w:val="28"/>
                <w:szCs w:val="28"/>
                <w:lang w:val="en-US" w:eastAsia="zh-CN"/>
              </w:rPr>
              <w:t>1</w:t>
            </w:r>
            <w:r>
              <w:rPr>
                <w:rFonts w:hint="eastAsia" w:ascii="仿宋" w:hAnsi="仿宋" w:eastAsia="仿宋" w:cs="宋体"/>
                <w:color w:val="000000"/>
                <w:kern w:val="0"/>
                <w:sz w:val="28"/>
                <w:szCs w:val="28"/>
              </w:rPr>
              <w:t>0分）</w:t>
            </w:r>
          </w:p>
        </w:tc>
        <w:tc>
          <w:tcPr>
            <w:tcW w:w="2411" w:type="pct"/>
            <w:shd w:val="clear" w:color="auto" w:fill="auto"/>
            <w:vAlign w:val="center"/>
          </w:tcPr>
          <w:p w14:paraId="3665664D">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投标方案与需求的吻合程度以及方案的优势情况，包括方案的科学性、可靠性、成熟性、合理性等。</w:t>
            </w:r>
          </w:p>
        </w:tc>
        <w:tc>
          <w:tcPr>
            <w:tcW w:w="295" w:type="pct"/>
            <w:shd w:val="clear" w:color="auto" w:fill="auto"/>
            <w:noWrap/>
            <w:vAlign w:val="center"/>
          </w:tcPr>
          <w:p w14:paraId="4DCE8EDE">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 w:cs="Times New Roman"/>
                <w:color w:val="000000"/>
                <w:kern w:val="0"/>
                <w:sz w:val="28"/>
                <w:szCs w:val="28"/>
              </w:rPr>
            </w:pPr>
            <w:r>
              <w:rPr>
                <w:rFonts w:hint="default" w:ascii="Times New Roman" w:hAnsi="Times New Roman" w:eastAsia="仿宋" w:cs="Times New Roman"/>
                <w:color w:val="000000"/>
                <w:kern w:val="0"/>
                <w:sz w:val="28"/>
                <w:szCs w:val="28"/>
              </w:rPr>
              <w:t>10</w:t>
            </w:r>
          </w:p>
        </w:tc>
        <w:tc>
          <w:tcPr>
            <w:tcW w:w="295" w:type="pct"/>
            <w:shd w:val="clear" w:color="auto" w:fill="auto"/>
            <w:noWrap/>
            <w:vAlign w:val="center"/>
          </w:tcPr>
          <w:p w14:paraId="204AA37A">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 w:cs="Times New Roman"/>
                <w:color w:val="000000"/>
                <w:kern w:val="0"/>
                <w:sz w:val="28"/>
                <w:szCs w:val="28"/>
              </w:rPr>
            </w:pPr>
            <w:r>
              <w:rPr>
                <w:rFonts w:hint="default" w:ascii="Times New Roman" w:hAnsi="Times New Roman" w:eastAsia="仿宋" w:cs="Times New Roman"/>
                <w:color w:val="000000"/>
                <w:kern w:val="0"/>
                <w:sz w:val="28"/>
                <w:szCs w:val="28"/>
              </w:rPr>
              <w:t>7</w:t>
            </w:r>
          </w:p>
        </w:tc>
        <w:tc>
          <w:tcPr>
            <w:tcW w:w="295" w:type="pct"/>
            <w:shd w:val="clear" w:color="auto" w:fill="auto"/>
            <w:noWrap/>
            <w:vAlign w:val="center"/>
          </w:tcPr>
          <w:p w14:paraId="616BE97E">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 w:cs="Times New Roman"/>
                <w:color w:val="000000"/>
                <w:kern w:val="0"/>
                <w:sz w:val="28"/>
                <w:szCs w:val="28"/>
              </w:rPr>
            </w:pPr>
            <w:r>
              <w:rPr>
                <w:rFonts w:hint="default" w:ascii="Times New Roman" w:hAnsi="Times New Roman" w:eastAsia="仿宋" w:cs="Times New Roman"/>
                <w:color w:val="000000"/>
                <w:kern w:val="0"/>
                <w:sz w:val="28"/>
                <w:szCs w:val="28"/>
              </w:rPr>
              <w:t>5</w:t>
            </w:r>
          </w:p>
        </w:tc>
        <w:tc>
          <w:tcPr>
            <w:tcW w:w="298" w:type="pct"/>
            <w:shd w:val="clear" w:color="auto" w:fill="auto"/>
            <w:noWrap/>
            <w:vAlign w:val="center"/>
          </w:tcPr>
          <w:p w14:paraId="140DFBEB">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 w:cs="Times New Roman"/>
                <w:color w:val="000000"/>
                <w:kern w:val="0"/>
                <w:sz w:val="28"/>
                <w:szCs w:val="28"/>
              </w:rPr>
            </w:pPr>
            <w:r>
              <w:rPr>
                <w:rFonts w:hint="default" w:ascii="Times New Roman" w:hAnsi="Times New Roman" w:eastAsia="仿宋" w:cs="Times New Roman"/>
                <w:color w:val="000000"/>
                <w:kern w:val="0"/>
                <w:sz w:val="28"/>
                <w:szCs w:val="28"/>
              </w:rPr>
              <w:t>2</w:t>
            </w:r>
          </w:p>
        </w:tc>
      </w:tr>
      <w:tr w14:paraId="34BD82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1404" w:type="pct"/>
            <w:shd w:val="clear" w:color="auto" w:fill="auto"/>
            <w:vAlign w:val="center"/>
          </w:tcPr>
          <w:p w14:paraId="0158FDBB">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需求的认识和理解</w:t>
            </w:r>
          </w:p>
          <w:p w14:paraId="089ECF1A">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（10</w:t>
            </w:r>
            <w:r>
              <w:rPr>
                <w:rFonts w:hint="eastAsia" w:ascii="仿宋" w:hAnsi="仿宋" w:eastAsia="仿宋" w:cs="宋体"/>
                <w:color w:val="000000"/>
                <w:kern w:val="0"/>
                <w:sz w:val="28"/>
                <w:szCs w:val="28"/>
                <w:lang w:val="en-US" w:eastAsia="zh-CN"/>
              </w:rPr>
              <w:t>分</w:t>
            </w:r>
            <w:r>
              <w:rPr>
                <w:rFonts w:hint="eastAsia" w:ascii="仿宋" w:hAnsi="仿宋" w:eastAsia="仿宋" w:cs="宋体"/>
                <w:color w:val="000000"/>
                <w:kern w:val="0"/>
                <w:sz w:val="28"/>
                <w:szCs w:val="28"/>
              </w:rPr>
              <w:t>）</w:t>
            </w:r>
          </w:p>
        </w:tc>
        <w:tc>
          <w:tcPr>
            <w:tcW w:w="2411" w:type="pct"/>
            <w:shd w:val="clear" w:color="auto" w:fill="auto"/>
            <w:vAlign w:val="center"/>
          </w:tcPr>
          <w:p w14:paraId="46C2BFF4">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投标人对网站运维服务理解及分析情况，包括但不限于运维内容、重点难点分析等。</w:t>
            </w:r>
          </w:p>
        </w:tc>
        <w:tc>
          <w:tcPr>
            <w:tcW w:w="295" w:type="pct"/>
            <w:shd w:val="clear" w:color="auto" w:fill="auto"/>
            <w:noWrap/>
            <w:vAlign w:val="center"/>
          </w:tcPr>
          <w:p w14:paraId="5A1C65D6">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 w:cs="Times New Roman"/>
                <w:color w:val="000000"/>
                <w:kern w:val="0"/>
                <w:sz w:val="28"/>
                <w:szCs w:val="28"/>
              </w:rPr>
            </w:pPr>
            <w:r>
              <w:rPr>
                <w:rFonts w:hint="default" w:ascii="Times New Roman" w:hAnsi="Times New Roman" w:eastAsia="仿宋" w:cs="Times New Roman"/>
                <w:color w:val="000000"/>
                <w:kern w:val="0"/>
                <w:sz w:val="28"/>
                <w:szCs w:val="28"/>
              </w:rPr>
              <w:t>10</w:t>
            </w:r>
          </w:p>
        </w:tc>
        <w:tc>
          <w:tcPr>
            <w:tcW w:w="295" w:type="pct"/>
            <w:shd w:val="clear" w:color="auto" w:fill="auto"/>
            <w:noWrap/>
            <w:vAlign w:val="center"/>
          </w:tcPr>
          <w:p w14:paraId="35408954">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 w:cs="Times New Roman"/>
                <w:color w:val="000000"/>
                <w:kern w:val="0"/>
                <w:sz w:val="28"/>
                <w:szCs w:val="28"/>
              </w:rPr>
            </w:pPr>
            <w:r>
              <w:rPr>
                <w:rFonts w:hint="default" w:ascii="Times New Roman" w:hAnsi="Times New Roman" w:eastAsia="仿宋" w:cs="Times New Roman"/>
                <w:color w:val="000000"/>
                <w:kern w:val="0"/>
                <w:sz w:val="28"/>
                <w:szCs w:val="28"/>
              </w:rPr>
              <w:t>7</w:t>
            </w:r>
          </w:p>
        </w:tc>
        <w:tc>
          <w:tcPr>
            <w:tcW w:w="295" w:type="pct"/>
            <w:shd w:val="clear" w:color="auto" w:fill="auto"/>
            <w:noWrap/>
            <w:vAlign w:val="center"/>
          </w:tcPr>
          <w:p w14:paraId="52946020">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 w:cs="Times New Roman"/>
                <w:color w:val="000000"/>
                <w:kern w:val="0"/>
                <w:sz w:val="28"/>
                <w:szCs w:val="28"/>
              </w:rPr>
            </w:pPr>
            <w:r>
              <w:rPr>
                <w:rFonts w:hint="default" w:ascii="Times New Roman" w:hAnsi="Times New Roman" w:eastAsia="仿宋" w:cs="Times New Roman"/>
                <w:color w:val="000000"/>
                <w:kern w:val="0"/>
                <w:sz w:val="28"/>
                <w:szCs w:val="28"/>
              </w:rPr>
              <w:t>5</w:t>
            </w:r>
          </w:p>
        </w:tc>
        <w:tc>
          <w:tcPr>
            <w:tcW w:w="298" w:type="pct"/>
            <w:shd w:val="clear" w:color="auto" w:fill="auto"/>
            <w:noWrap/>
            <w:vAlign w:val="center"/>
          </w:tcPr>
          <w:p w14:paraId="759B153C">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 w:cs="Times New Roman"/>
                <w:color w:val="000000"/>
                <w:kern w:val="0"/>
                <w:sz w:val="28"/>
                <w:szCs w:val="28"/>
              </w:rPr>
            </w:pPr>
            <w:r>
              <w:rPr>
                <w:rFonts w:hint="default" w:ascii="Times New Roman" w:hAnsi="Times New Roman" w:eastAsia="仿宋" w:cs="Times New Roman"/>
                <w:color w:val="000000"/>
                <w:kern w:val="0"/>
                <w:sz w:val="28"/>
                <w:szCs w:val="28"/>
              </w:rPr>
              <w:t>2</w:t>
            </w:r>
          </w:p>
        </w:tc>
      </w:tr>
      <w:tr w14:paraId="09840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1404" w:type="pct"/>
            <w:shd w:val="clear" w:color="auto" w:fill="auto"/>
            <w:vAlign w:val="center"/>
          </w:tcPr>
          <w:p w14:paraId="4558FDD5">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运维服务方案</w:t>
            </w:r>
          </w:p>
          <w:p w14:paraId="741D5772">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（10</w:t>
            </w:r>
            <w:r>
              <w:rPr>
                <w:rFonts w:hint="eastAsia" w:ascii="仿宋" w:hAnsi="仿宋" w:eastAsia="仿宋" w:cs="宋体"/>
                <w:color w:val="000000"/>
                <w:kern w:val="0"/>
                <w:sz w:val="28"/>
                <w:szCs w:val="28"/>
                <w:lang w:val="en-US" w:eastAsia="zh-CN"/>
              </w:rPr>
              <w:t>分</w:t>
            </w:r>
            <w:r>
              <w:rPr>
                <w:rFonts w:hint="eastAsia" w:ascii="仿宋" w:hAnsi="仿宋" w:eastAsia="仿宋" w:cs="宋体"/>
                <w:color w:val="000000"/>
                <w:kern w:val="0"/>
                <w:sz w:val="28"/>
                <w:szCs w:val="28"/>
              </w:rPr>
              <w:t>）</w:t>
            </w:r>
          </w:p>
        </w:tc>
        <w:tc>
          <w:tcPr>
            <w:tcW w:w="2411" w:type="pct"/>
            <w:shd w:val="clear" w:color="auto" w:fill="auto"/>
            <w:vAlign w:val="center"/>
          </w:tcPr>
          <w:p w14:paraId="2DC19634">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投标人提供运维服务方案，方案基本满足招标要求，内容完整且无重大缺漏，具有全面性和合理性等。</w:t>
            </w:r>
          </w:p>
        </w:tc>
        <w:tc>
          <w:tcPr>
            <w:tcW w:w="295" w:type="pct"/>
            <w:shd w:val="clear" w:color="auto" w:fill="auto"/>
            <w:noWrap/>
            <w:vAlign w:val="center"/>
          </w:tcPr>
          <w:p w14:paraId="6C86EE8F">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 w:cs="Times New Roman"/>
                <w:color w:val="000000"/>
                <w:kern w:val="0"/>
                <w:sz w:val="28"/>
                <w:szCs w:val="28"/>
              </w:rPr>
            </w:pPr>
            <w:r>
              <w:rPr>
                <w:rFonts w:hint="default" w:ascii="Times New Roman" w:hAnsi="Times New Roman" w:eastAsia="仿宋" w:cs="Times New Roman"/>
                <w:color w:val="000000"/>
                <w:kern w:val="0"/>
                <w:sz w:val="28"/>
                <w:szCs w:val="28"/>
              </w:rPr>
              <w:t>10</w:t>
            </w:r>
          </w:p>
        </w:tc>
        <w:tc>
          <w:tcPr>
            <w:tcW w:w="295" w:type="pct"/>
            <w:shd w:val="clear" w:color="auto" w:fill="auto"/>
            <w:noWrap/>
            <w:vAlign w:val="center"/>
          </w:tcPr>
          <w:p w14:paraId="0AB4C24E">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 w:cs="Times New Roman"/>
                <w:color w:val="000000"/>
                <w:kern w:val="0"/>
                <w:sz w:val="28"/>
                <w:szCs w:val="28"/>
              </w:rPr>
            </w:pPr>
            <w:r>
              <w:rPr>
                <w:rFonts w:hint="default" w:ascii="Times New Roman" w:hAnsi="Times New Roman" w:eastAsia="仿宋" w:cs="Times New Roman"/>
                <w:color w:val="000000"/>
                <w:kern w:val="0"/>
                <w:sz w:val="28"/>
                <w:szCs w:val="28"/>
              </w:rPr>
              <w:t>7</w:t>
            </w:r>
          </w:p>
        </w:tc>
        <w:tc>
          <w:tcPr>
            <w:tcW w:w="295" w:type="pct"/>
            <w:shd w:val="clear" w:color="auto" w:fill="auto"/>
            <w:noWrap/>
            <w:vAlign w:val="center"/>
          </w:tcPr>
          <w:p w14:paraId="08A3716A">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 w:cs="Times New Roman"/>
                <w:color w:val="000000"/>
                <w:kern w:val="0"/>
                <w:sz w:val="28"/>
                <w:szCs w:val="28"/>
              </w:rPr>
            </w:pPr>
            <w:r>
              <w:rPr>
                <w:rFonts w:hint="default" w:ascii="Times New Roman" w:hAnsi="Times New Roman" w:eastAsia="仿宋" w:cs="Times New Roman"/>
                <w:color w:val="000000"/>
                <w:kern w:val="0"/>
                <w:sz w:val="28"/>
                <w:szCs w:val="28"/>
              </w:rPr>
              <w:t>5</w:t>
            </w:r>
          </w:p>
        </w:tc>
        <w:tc>
          <w:tcPr>
            <w:tcW w:w="298" w:type="pct"/>
            <w:shd w:val="clear" w:color="auto" w:fill="auto"/>
            <w:noWrap/>
            <w:vAlign w:val="center"/>
          </w:tcPr>
          <w:p w14:paraId="4019F95B">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 w:cs="Times New Roman"/>
                <w:color w:val="000000"/>
                <w:kern w:val="0"/>
                <w:sz w:val="28"/>
                <w:szCs w:val="28"/>
              </w:rPr>
            </w:pPr>
            <w:r>
              <w:rPr>
                <w:rFonts w:hint="default" w:ascii="Times New Roman" w:hAnsi="Times New Roman" w:eastAsia="仿宋" w:cs="Times New Roman"/>
                <w:color w:val="000000"/>
                <w:kern w:val="0"/>
                <w:sz w:val="28"/>
                <w:szCs w:val="28"/>
              </w:rPr>
              <w:t>2</w:t>
            </w:r>
          </w:p>
        </w:tc>
      </w:tr>
      <w:tr w14:paraId="1C1C9E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1404" w:type="pct"/>
            <w:shd w:val="clear" w:color="auto" w:fill="auto"/>
            <w:vAlign w:val="center"/>
          </w:tcPr>
          <w:p w14:paraId="4234BAA1">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项目管理方案</w:t>
            </w:r>
          </w:p>
          <w:p w14:paraId="5B9FA062">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（10</w:t>
            </w:r>
            <w:r>
              <w:rPr>
                <w:rFonts w:hint="eastAsia" w:ascii="仿宋" w:hAnsi="仿宋" w:eastAsia="仿宋" w:cs="宋体"/>
                <w:color w:val="000000"/>
                <w:kern w:val="0"/>
                <w:sz w:val="28"/>
                <w:szCs w:val="28"/>
                <w:lang w:val="en-US" w:eastAsia="zh-CN"/>
              </w:rPr>
              <w:t>分</w:t>
            </w:r>
            <w:r>
              <w:rPr>
                <w:rFonts w:hint="eastAsia" w:ascii="仿宋" w:hAnsi="仿宋" w:eastAsia="仿宋" w:cs="宋体"/>
                <w:color w:val="000000"/>
                <w:kern w:val="0"/>
                <w:sz w:val="28"/>
                <w:szCs w:val="28"/>
              </w:rPr>
              <w:t>）</w:t>
            </w:r>
          </w:p>
        </w:tc>
        <w:tc>
          <w:tcPr>
            <w:tcW w:w="2411" w:type="pct"/>
            <w:shd w:val="clear" w:color="auto" w:fill="auto"/>
            <w:vAlign w:val="center"/>
          </w:tcPr>
          <w:p w14:paraId="6F98FC43">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仿宋" w:hAnsi="仿宋" w:eastAsia="仿宋" w:cs="宋体"/>
                <w:color w:val="000000"/>
                <w:kern w:val="0"/>
                <w:sz w:val="28"/>
                <w:szCs w:val="28"/>
                <w:lang w:eastAsia="zh-CN"/>
              </w:rPr>
            </w:pPr>
            <w:r>
              <w:rPr>
                <w:rFonts w:hint="eastAsia" w:ascii="仿宋" w:hAnsi="仿宋" w:eastAsia="仿宋" w:cs="宋体"/>
                <w:color w:val="000000"/>
                <w:kern w:val="0"/>
                <w:sz w:val="28"/>
                <w:szCs w:val="28"/>
              </w:rPr>
              <w:t>投标人提供项目管理方案，包括项目管理（含运维服务管理制度、工作职责、人员配备等）、实施计划、质量保证、风险规避措施等</w:t>
            </w:r>
            <w:r>
              <w:rPr>
                <w:rFonts w:hint="eastAsia" w:ascii="仿宋" w:hAnsi="仿宋" w:eastAsia="仿宋" w:cs="宋体"/>
                <w:color w:val="000000"/>
                <w:kern w:val="0"/>
                <w:sz w:val="28"/>
                <w:szCs w:val="28"/>
                <w:lang w:eastAsia="zh-CN"/>
              </w:rPr>
              <w:t>。</w:t>
            </w:r>
          </w:p>
        </w:tc>
        <w:tc>
          <w:tcPr>
            <w:tcW w:w="295" w:type="pct"/>
            <w:shd w:val="clear" w:color="auto" w:fill="auto"/>
            <w:noWrap/>
            <w:vAlign w:val="center"/>
          </w:tcPr>
          <w:p w14:paraId="076D9D01">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 w:cs="Times New Roman"/>
                <w:color w:val="000000"/>
                <w:kern w:val="0"/>
                <w:sz w:val="28"/>
                <w:szCs w:val="28"/>
              </w:rPr>
            </w:pPr>
            <w:r>
              <w:rPr>
                <w:rFonts w:hint="default" w:ascii="Times New Roman" w:hAnsi="Times New Roman" w:eastAsia="仿宋" w:cs="Times New Roman"/>
                <w:color w:val="000000"/>
                <w:kern w:val="0"/>
                <w:sz w:val="28"/>
                <w:szCs w:val="28"/>
              </w:rPr>
              <w:t>10</w:t>
            </w:r>
          </w:p>
        </w:tc>
        <w:tc>
          <w:tcPr>
            <w:tcW w:w="295" w:type="pct"/>
            <w:shd w:val="clear" w:color="auto" w:fill="auto"/>
            <w:noWrap/>
            <w:vAlign w:val="center"/>
          </w:tcPr>
          <w:p w14:paraId="33C22E73">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 w:cs="Times New Roman"/>
                <w:color w:val="000000"/>
                <w:kern w:val="0"/>
                <w:sz w:val="28"/>
                <w:szCs w:val="28"/>
              </w:rPr>
            </w:pPr>
            <w:r>
              <w:rPr>
                <w:rFonts w:hint="default" w:ascii="Times New Roman" w:hAnsi="Times New Roman" w:eastAsia="仿宋" w:cs="Times New Roman"/>
                <w:color w:val="000000"/>
                <w:kern w:val="0"/>
                <w:sz w:val="28"/>
                <w:szCs w:val="28"/>
              </w:rPr>
              <w:t>7</w:t>
            </w:r>
          </w:p>
        </w:tc>
        <w:tc>
          <w:tcPr>
            <w:tcW w:w="295" w:type="pct"/>
            <w:shd w:val="clear" w:color="auto" w:fill="auto"/>
            <w:noWrap/>
            <w:vAlign w:val="center"/>
          </w:tcPr>
          <w:p w14:paraId="5BF8B492">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 w:cs="Times New Roman"/>
                <w:color w:val="000000"/>
                <w:kern w:val="0"/>
                <w:sz w:val="28"/>
                <w:szCs w:val="28"/>
              </w:rPr>
            </w:pPr>
            <w:r>
              <w:rPr>
                <w:rFonts w:hint="default" w:ascii="Times New Roman" w:hAnsi="Times New Roman" w:eastAsia="仿宋" w:cs="Times New Roman"/>
                <w:color w:val="000000"/>
                <w:kern w:val="0"/>
                <w:sz w:val="28"/>
                <w:szCs w:val="28"/>
              </w:rPr>
              <w:t>5</w:t>
            </w:r>
          </w:p>
        </w:tc>
        <w:tc>
          <w:tcPr>
            <w:tcW w:w="298" w:type="pct"/>
            <w:shd w:val="clear" w:color="auto" w:fill="auto"/>
            <w:noWrap/>
            <w:vAlign w:val="center"/>
          </w:tcPr>
          <w:p w14:paraId="7ABECD45">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 w:cs="Times New Roman"/>
                <w:color w:val="000000"/>
                <w:kern w:val="0"/>
                <w:sz w:val="28"/>
                <w:szCs w:val="28"/>
              </w:rPr>
            </w:pPr>
            <w:r>
              <w:rPr>
                <w:rFonts w:hint="default" w:ascii="Times New Roman" w:hAnsi="Times New Roman" w:eastAsia="仿宋" w:cs="Times New Roman"/>
                <w:color w:val="000000"/>
                <w:kern w:val="0"/>
                <w:sz w:val="28"/>
                <w:szCs w:val="28"/>
              </w:rPr>
              <w:t>2</w:t>
            </w:r>
          </w:p>
        </w:tc>
      </w:tr>
      <w:tr w14:paraId="3B1358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1404" w:type="pct"/>
            <w:shd w:val="clear" w:color="auto" w:fill="auto"/>
            <w:noWrap/>
            <w:vAlign w:val="center"/>
          </w:tcPr>
          <w:p w14:paraId="2A67A690">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 w:hAnsi="仿宋" w:eastAsia="仿宋" w:cs="宋体"/>
                <w:color w:val="000000"/>
                <w:kern w:val="0"/>
                <w:sz w:val="28"/>
                <w:szCs w:val="28"/>
              </w:rPr>
            </w:pPr>
            <w:r>
              <w:rPr>
                <w:rFonts w:hint="eastAsia" w:ascii="仿宋" w:hAnsi="仿宋" w:eastAsia="仿宋" w:cs="宋体"/>
                <w:color w:val="000000"/>
                <w:kern w:val="0"/>
                <w:sz w:val="28"/>
                <w:szCs w:val="28"/>
              </w:rPr>
              <w:t>应急方案</w:t>
            </w:r>
          </w:p>
          <w:p w14:paraId="1271C942">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（10</w:t>
            </w:r>
            <w:r>
              <w:rPr>
                <w:rFonts w:hint="eastAsia" w:ascii="仿宋" w:hAnsi="仿宋" w:eastAsia="仿宋" w:cs="宋体"/>
                <w:color w:val="000000"/>
                <w:kern w:val="0"/>
                <w:sz w:val="28"/>
                <w:szCs w:val="28"/>
                <w:lang w:val="en-US" w:eastAsia="zh-CN"/>
              </w:rPr>
              <w:t>分</w:t>
            </w:r>
            <w:r>
              <w:rPr>
                <w:rFonts w:hint="eastAsia" w:ascii="仿宋" w:hAnsi="仿宋" w:eastAsia="仿宋" w:cs="宋体"/>
                <w:color w:val="000000"/>
                <w:kern w:val="0"/>
                <w:sz w:val="28"/>
                <w:szCs w:val="28"/>
              </w:rPr>
              <w:t>）</w:t>
            </w:r>
          </w:p>
        </w:tc>
        <w:tc>
          <w:tcPr>
            <w:tcW w:w="2411" w:type="pct"/>
            <w:shd w:val="clear" w:color="auto" w:fill="auto"/>
            <w:vAlign w:val="center"/>
          </w:tcPr>
          <w:p w14:paraId="32B58044">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投标人提供应急方案，具有较完整的运维过程中出现紧急情况（如系统性能下降、系统宕机、数据错误等情况）的应对方案。</w:t>
            </w:r>
          </w:p>
        </w:tc>
        <w:tc>
          <w:tcPr>
            <w:tcW w:w="295" w:type="pct"/>
            <w:shd w:val="clear" w:color="auto" w:fill="auto"/>
            <w:noWrap/>
            <w:vAlign w:val="center"/>
          </w:tcPr>
          <w:p w14:paraId="46E42646">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 w:cs="Times New Roman"/>
                <w:color w:val="000000"/>
                <w:kern w:val="0"/>
                <w:sz w:val="28"/>
                <w:szCs w:val="28"/>
              </w:rPr>
            </w:pPr>
            <w:r>
              <w:rPr>
                <w:rFonts w:hint="default" w:ascii="Times New Roman" w:hAnsi="Times New Roman" w:eastAsia="仿宋" w:cs="Times New Roman"/>
                <w:color w:val="000000"/>
                <w:kern w:val="0"/>
                <w:sz w:val="28"/>
                <w:szCs w:val="28"/>
              </w:rPr>
              <w:t>10</w:t>
            </w:r>
          </w:p>
        </w:tc>
        <w:tc>
          <w:tcPr>
            <w:tcW w:w="295" w:type="pct"/>
            <w:shd w:val="clear" w:color="auto" w:fill="auto"/>
            <w:noWrap/>
            <w:vAlign w:val="center"/>
          </w:tcPr>
          <w:p w14:paraId="087CE490">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 w:cs="Times New Roman"/>
                <w:color w:val="000000"/>
                <w:kern w:val="0"/>
                <w:sz w:val="28"/>
                <w:szCs w:val="28"/>
              </w:rPr>
            </w:pPr>
            <w:r>
              <w:rPr>
                <w:rFonts w:hint="default" w:ascii="Times New Roman" w:hAnsi="Times New Roman" w:eastAsia="仿宋" w:cs="Times New Roman"/>
                <w:color w:val="000000"/>
                <w:kern w:val="0"/>
                <w:sz w:val="28"/>
                <w:szCs w:val="28"/>
              </w:rPr>
              <w:t>7</w:t>
            </w:r>
          </w:p>
        </w:tc>
        <w:tc>
          <w:tcPr>
            <w:tcW w:w="295" w:type="pct"/>
            <w:shd w:val="clear" w:color="auto" w:fill="auto"/>
            <w:noWrap/>
            <w:vAlign w:val="center"/>
          </w:tcPr>
          <w:p w14:paraId="2BA933FC">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 w:cs="Times New Roman"/>
                <w:color w:val="000000"/>
                <w:kern w:val="0"/>
                <w:sz w:val="28"/>
                <w:szCs w:val="28"/>
              </w:rPr>
            </w:pPr>
            <w:r>
              <w:rPr>
                <w:rFonts w:hint="default" w:ascii="Times New Roman" w:hAnsi="Times New Roman" w:eastAsia="仿宋" w:cs="Times New Roman"/>
                <w:color w:val="000000"/>
                <w:kern w:val="0"/>
                <w:sz w:val="28"/>
                <w:szCs w:val="28"/>
              </w:rPr>
              <w:t>5</w:t>
            </w:r>
          </w:p>
        </w:tc>
        <w:tc>
          <w:tcPr>
            <w:tcW w:w="298" w:type="pct"/>
            <w:shd w:val="clear" w:color="auto" w:fill="auto"/>
            <w:noWrap/>
            <w:vAlign w:val="center"/>
          </w:tcPr>
          <w:p w14:paraId="082BF17B">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 w:cs="Times New Roman"/>
                <w:color w:val="000000"/>
                <w:kern w:val="0"/>
                <w:sz w:val="28"/>
                <w:szCs w:val="28"/>
              </w:rPr>
            </w:pPr>
            <w:r>
              <w:rPr>
                <w:rFonts w:hint="default" w:ascii="Times New Roman" w:hAnsi="Times New Roman" w:eastAsia="仿宋" w:cs="Times New Roman"/>
                <w:color w:val="000000"/>
                <w:kern w:val="0"/>
                <w:sz w:val="28"/>
                <w:szCs w:val="28"/>
              </w:rPr>
              <w:t>2</w:t>
            </w:r>
          </w:p>
        </w:tc>
      </w:tr>
    </w:tbl>
    <w:p w14:paraId="6BD76CFB">
      <w:pPr>
        <w:pStyle w:val="4"/>
        <w:snapToGrid w:val="0"/>
        <w:spacing w:line="360" w:lineRule="auto"/>
        <w:ind w:firstLine="0"/>
        <w:rPr>
          <w:rFonts w:ascii="仿宋" w:hAnsi="仿宋" w:eastAsia="仿宋"/>
          <w:sz w:val="28"/>
          <w:szCs w:val="28"/>
        </w:rPr>
      </w:pPr>
    </w:p>
    <w:p w14:paraId="19435843">
      <w:pPr>
        <w:pStyle w:val="4"/>
        <w:snapToGrid w:val="0"/>
        <w:spacing w:line="360" w:lineRule="auto"/>
        <w:ind w:firstLine="0"/>
        <w:rPr>
          <w:rFonts w:ascii="仿宋" w:hAnsi="仿宋" w:eastAsia="仿宋"/>
          <w:sz w:val="28"/>
          <w:szCs w:val="28"/>
        </w:rPr>
      </w:pPr>
    </w:p>
    <w:p w14:paraId="279555C0">
      <w:pPr>
        <w:bidi w:val="0"/>
      </w:pPr>
      <w:r>
        <w:rPr>
          <w:rFonts w:hint="eastAsia"/>
        </w:rPr>
        <w:t>2.</w:t>
      </w:r>
      <w:r>
        <w:t>资信及商务部分（40分）</w:t>
      </w:r>
    </w:p>
    <w:tbl>
      <w:tblPr>
        <w:tblStyle w:val="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9"/>
        <w:gridCol w:w="6092"/>
        <w:gridCol w:w="827"/>
      </w:tblGrid>
      <w:tr w14:paraId="01336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05" w:type="pct"/>
            <w:vMerge w:val="restart"/>
            <w:shd w:val="clear" w:color="auto" w:fill="auto"/>
            <w:vAlign w:val="center"/>
          </w:tcPr>
          <w:p w14:paraId="7D454CFE">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b/>
                <w:bCs/>
                <w:color w:val="000000"/>
                <w:kern w:val="0"/>
                <w:sz w:val="28"/>
                <w:szCs w:val="28"/>
              </w:rPr>
            </w:pPr>
            <w:r>
              <w:rPr>
                <w:rFonts w:hint="eastAsia" w:ascii="方正仿宋_GBK" w:hAnsi="方正仿宋_GBK" w:eastAsia="方正仿宋_GBK" w:cs="方正仿宋_GBK"/>
                <w:b/>
                <w:bCs/>
                <w:color w:val="000000"/>
                <w:kern w:val="0"/>
                <w:sz w:val="28"/>
                <w:szCs w:val="28"/>
              </w:rPr>
              <w:t>项目</w:t>
            </w:r>
          </w:p>
        </w:tc>
        <w:tc>
          <w:tcPr>
            <w:tcW w:w="3340" w:type="pct"/>
            <w:vMerge w:val="restart"/>
            <w:shd w:val="clear" w:color="auto" w:fill="auto"/>
            <w:vAlign w:val="center"/>
          </w:tcPr>
          <w:p w14:paraId="3A977558">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b/>
                <w:bCs/>
                <w:color w:val="000000"/>
                <w:kern w:val="0"/>
                <w:sz w:val="28"/>
                <w:szCs w:val="28"/>
              </w:rPr>
            </w:pPr>
            <w:r>
              <w:rPr>
                <w:rFonts w:hint="eastAsia" w:ascii="方正仿宋_GBK" w:hAnsi="方正仿宋_GBK" w:eastAsia="方正仿宋_GBK" w:cs="方正仿宋_GBK"/>
                <w:b/>
                <w:bCs/>
                <w:color w:val="000000"/>
                <w:kern w:val="0"/>
                <w:sz w:val="28"/>
                <w:szCs w:val="28"/>
              </w:rPr>
              <w:t>评审内容和标准</w:t>
            </w:r>
          </w:p>
        </w:tc>
        <w:tc>
          <w:tcPr>
            <w:tcW w:w="453" w:type="pct"/>
            <w:vMerge w:val="restart"/>
            <w:shd w:val="clear" w:color="auto" w:fill="auto"/>
            <w:vAlign w:val="center"/>
          </w:tcPr>
          <w:p w14:paraId="117E0268">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b/>
                <w:bCs/>
                <w:color w:val="000000"/>
                <w:kern w:val="0"/>
                <w:sz w:val="28"/>
                <w:szCs w:val="28"/>
              </w:rPr>
            </w:pPr>
            <w:r>
              <w:rPr>
                <w:rFonts w:hint="eastAsia" w:ascii="方正仿宋_GBK" w:hAnsi="方正仿宋_GBK" w:eastAsia="方正仿宋_GBK" w:cs="方正仿宋_GBK"/>
                <w:b/>
                <w:bCs/>
                <w:color w:val="000000"/>
                <w:kern w:val="0"/>
                <w:sz w:val="28"/>
                <w:szCs w:val="28"/>
              </w:rPr>
              <w:t>分值</w:t>
            </w:r>
          </w:p>
        </w:tc>
      </w:tr>
      <w:tr w14:paraId="0171AC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05" w:type="pct"/>
            <w:vMerge w:val="continue"/>
            <w:vAlign w:val="center"/>
          </w:tcPr>
          <w:p w14:paraId="5729E8C1">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方正仿宋_GBK" w:hAnsi="方正仿宋_GBK" w:eastAsia="方正仿宋_GBK" w:cs="方正仿宋_GBK"/>
                <w:b/>
                <w:bCs/>
                <w:color w:val="000000"/>
                <w:kern w:val="0"/>
                <w:sz w:val="28"/>
                <w:szCs w:val="28"/>
              </w:rPr>
            </w:pPr>
          </w:p>
        </w:tc>
        <w:tc>
          <w:tcPr>
            <w:tcW w:w="3340" w:type="pct"/>
            <w:vMerge w:val="continue"/>
            <w:vAlign w:val="center"/>
          </w:tcPr>
          <w:p w14:paraId="70E2E3C3">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方正仿宋_GBK" w:hAnsi="方正仿宋_GBK" w:eastAsia="方正仿宋_GBK" w:cs="方正仿宋_GBK"/>
                <w:b/>
                <w:bCs/>
                <w:color w:val="000000"/>
                <w:kern w:val="0"/>
                <w:sz w:val="28"/>
                <w:szCs w:val="28"/>
              </w:rPr>
            </w:pPr>
          </w:p>
        </w:tc>
        <w:tc>
          <w:tcPr>
            <w:tcW w:w="453" w:type="pct"/>
            <w:vMerge w:val="continue"/>
            <w:vAlign w:val="center"/>
          </w:tcPr>
          <w:p w14:paraId="557E1667">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方正仿宋_GBK" w:hAnsi="方正仿宋_GBK" w:eastAsia="方正仿宋_GBK" w:cs="方正仿宋_GBK"/>
                <w:b/>
                <w:bCs/>
                <w:color w:val="000000"/>
                <w:kern w:val="0"/>
                <w:sz w:val="28"/>
                <w:szCs w:val="28"/>
              </w:rPr>
            </w:pPr>
          </w:p>
        </w:tc>
      </w:tr>
      <w:tr w14:paraId="4C9C8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0" w:hRule="atLeast"/>
        </w:trPr>
        <w:tc>
          <w:tcPr>
            <w:tcW w:w="1205" w:type="pct"/>
            <w:vMerge w:val="restart"/>
            <w:shd w:val="clear" w:color="auto" w:fill="auto"/>
            <w:vAlign w:val="center"/>
          </w:tcPr>
          <w:p w14:paraId="285370B0">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投标人综合实力（</w:t>
            </w:r>
            <w:r>
              <w:rPr>
                <w:rFonts w:hint="default" w:ascii="Times New Roman" w:hAnsi="Times New Roman" w:eastAsia="方正仿宋_GBK" w:cs="Times New Roman"/>
                <w:color w:val="000000"/>
                <w:kern w:val="0"/>
                <w:sz w:val="28"/>
                <w:szCs w:val="28"/>
              </w:rPr>
              <w:t>25</w:t>
            </w:r>
            <w:r>
              <w:rPr>
                <w:rFonts w:hint="eastAsia" w:ascii="方正仿宋_GBK" w:hAnsi="方正仿宋_GBK" w:eastAsia="方正仿宋_GBK" w:cs="方正仿宋_GBK"/>
                <w:color w:val="000000"/>
                <w:kern w:val="0"/>
                <w:sz w:val="28"/>
                <w:szCs w:val="28"/>
              </w:rPr>
              <w:t>分）</w:t>
            </w:r>
          </w:p>
        </w:tc>
        <w:tc>
          <w:tcPr>
            <w:tcW w:w="3340" w:type="pct"/>
            <w:shd w:val="clear" w:color="auto" w:fill="auto"/>
            <w:vAlign w:val="center"/>
          </w:tcPr>
          <w:p w14:paraId="40C185E5">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投标人具有由国家认证认可监督管理部门批准设立的认证机构颁发的有效的</w:t>
            </w:r>
            <w:r>
              <w:rPr>
                <w:rFonts w:hint="eastAsia" w:ascii="Times New Roman" w:hAnsi="Times New Roman" w:eastAsia="方正仿宋_GBK" w:cs="Times New Roman"/>
                <w:color w:val="000000"/>
                <w:kern w:val="0"/>
                <w:sz w:val="28"/>
                <w:szCs w:val="28"/>
              </w:rPr>
              <w:t>ISO9001</w:t>
            </w:r>
            <w:r>
              <w:rPr>
                <w:rFonts w:hint="eastAsia" w:ascii="方正仿宋_GBK" w:hAnsi="方正仿宋_GBK" w:eastAsia="方正仿宋_GBK" w:cs="方正仿宋_GBK"/>
                <w:color w:val="000000"/>
                <w:kern w:val="0"/>
                <w:sz w:val="28"/>
                <w:szCs w:val="28"/>
              </w:rPr>
              <w:t>质量体系认证证书、</w:t>
            </w:r>
            <w:r>
              <w:rPr>
                <w:rFonts w:hint="eastAsia" w:ascii="Times New Roman" w:hAnsi="Times New Roman" w:eastAsia="方正仿宋_GBK" w:cs="Times New Roman"/>
                <w:color w:val="000000"/>
                <w:kern w:val="0"/>
                <w:sz w:val="28"/>
                <w:szCs w:val="28"/>
              </w:rPr>
              <w:t>ISO27001</w:t>
            </w:r>
            <w:r>
              <w:rPr>
                <w:rFonts w:hint="eastAsia" w:ascii="方正仿宋_GBK" w:hAnsi="方正仿宋_GBK" w:eastAsia="方正仿宋_GBK" w:cs="方正仿宋_GBK"/>
                <w:color w:val="000000"/>
                <w:kern w:val="0"/>
                <w:sz w:val="28"/>
                <w:szCs w:val="28"/>
              </w:rPr>
              <w:t>信息安全管理体系认证证书、</w:t>
            </w:r>
            <w:r>
              <w:rPr>
                <w:rFonts w:hint="eastAsia" w:ascii="Times New Roman" w:hAnsi="Times New Roman" w:eastAsia="方正仿宋_GBK" w:cs="Times New Roman"/>
                <w:color w:val="000000"/>
                <w:kern w:val="0"/>
                <w:sz w:val="28"/>
                <w:szCs w:val="28"/>
              </w:rPr>
              <w:t>ISO20000</w:t>
            </w:r>
            <w:r>
              <w:rPr>
                <w:rFonts w:hint="eastAsia" w:ascii="方正仿宋_GBK" w:hAnsi="方正仿宋_GBK" w:eastAsia="方正仿宋_GBK" w:cs="方正仿宋_GBK"/>
                <w:color w:val="000000"/>
                <w:kern w:val="0"/>
                <w:sz w:val="28"/>
                <w:szCs w:val="28"/>
              </w:rPr>
              <w:t>信息技术服务管理体系认证证书、</w:t>
            </w:r>
            <w:r>
              <w:rPr>
                <w:rFonts w:hint="eastAsia" w:ascii="Times New Roman" w:hAnsi="Times New Roman" w:eastAsia="方正仿宋_GBK" w:cs="Times New Roman"/>
                <w:color w:val="000000"/>
                <w:kern w:val="0"/>
                <w:sz w:val="28"/>
                <w:szCs w:val="28"/>
              </w:rPr>
              <w:t>ISO14001</w:t>
            </w:r>
            <w:r>
              <w:rPr>
                <w:rFonts w:hint="eastAsia" w:ascii="方正仿宋_GBK" w:hAnsi="方正仿宋_GBK" w:eastAsia="方正仿宋_GBK" w:cs="方正仿宋_GBK"/>
                <w:color w:val="000000"/>
                <w:kern w:val="0"/>
                <w:sz w:val="28"/>
                <w:szCs w:val="28"/>
              </w:rPr>
              <w:t>环境管理体系证书、</w:t>
            </w:r>
            <w:r>
              <w:rPr>
                <w:rFonts w:hint="eastAsia" w:ascii="Times New Roman" w:hAnsi="Times New Roman" w:eastAsia="方正仿宋_GBK" w:cs="Times New Roman"/>
                <w:color w:val="000000"/>
                <w:kern w:val="0"/>
                <w:sz w:val="28"/>
                <w:szCs w:val="28"/>
              </w:rPr>
              <w:t>ISO45001</w:t>
            </w:r>
            <w:r>
              <w:rPr>
                <w:rFonts w:hint="eastAsia" w:ascii="方正仿宋_GBK" w:hAnsi="方正仿宋_GBK" w:eastAsia="方正仿宋_GBK" w:cs="方正仿宋_GBK"/>
                <w:color w:val="000000"/>
                <w:kern w:val="0"/>
                <w:sz w:val="28"/>
                <w:szCs w:val="28"/>
              </w:rPr>
              <w:t>职业健康安全管理体系证书，每提供一个证书得</w:t>
            </w:r>
            <w:r>
              <w:rPr>
                <w:rFonts w:hint="eastAsia" w:ascii="方正仿宋_GBK" w:hAnsi="方正仿宋_GBK" w:eastAsia="方正仿宋_GBK" w:cs="方正仿宋_GBK"/>
                <w:color w:val="000000"/>
                <w:kern w:val="0"/>
                <w:sz w:val="28"/>
                <w:szCs w:val="28"/>
                <w:lang w:val="en-US" w:eastAsia="zh-CN"/>
              </w:rPr>
              <w:t>1</w:t>
            </w:r>
            <w:r>
              <w:rPr>
                <w:rFonts w:hint="eastAsia" w:ascii="方正仿宋_GBK" w:hAnsi="方正仿宋_GBK" w:eastAsia="方正仿宋_GBK" w:cs="方正仿宋_GBK"/>
                <w:color w:val="000000"/>
                <w:kern w:val="0"/>
                <w:sz w:val="28"/>
                <w:szCs w:val="28"/>
              </w:rPr>
              <w:t>分，最多得</w:t>
            </w:r>
            <w:r>
              <w:rPr>
                <w:rFonts w:hint="eastAsia" w:ascii="Times New Roman" w:hAnsi="Times New Roman" w:eastAsia="方正仿宋_GBK" w:cs="Times New Roman"/>
                <w:color w:val="000000"/>
                <w:kern w:val="0"/>
                <w:sz w:val="28"/>
                <w:szCs w:val="28"/>
                <w:lang w:val="en-US" w:eastAsia="zh-CN"/>
              </w:rPr>
              <w:t>5</w:t>
            </w:r>
            <w:r>
              <w:rPr>
                <w:rFonts w:hint="eastAsia" w:ascii="方正仿宋_GBK" w:hAnsi="方正仿宋_GBK" w:eastAsia="方正仿宋_GBK" w:cs="方正仿宋_GBK"/>
                <w:color w:val="000000"/>
                <w:kern w:val="0"/>
                <w:sz w:val="28"/>
                <w:szCs w:val="28"/>
              </w:rPr>
              <w:t>分。</w:t>
            </w:r>
          </w:p>
        </w:tc>
        <w:tc>
          <w:tcPr>
            <w:tcW w:w="453" w:type="pct"/>
            <w:shd w:val="clear" w:color="auto" w:fill="auto"/>
            <w:noWrap/>
            <w:vAlign w:val="center"/>
          </w:tcPr>
          <w:p w14:paraId="6D426812">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color w:val="000000"/>
                <w:kern w:val="0"/>
                <w:sz w:val="28"/>
                <w:szCs w:val="28"/>
              </w:rPr>
            </w:pPr>
            <w:r>
              <w:rPr>
                <w:rFonts w:hint="eastAsia" w:ascii="Times New Roman" w:hAnsi="Times New Roman" w:eastAsia="方正仿宋_GBK" w:cs="Times New Roman"/>
                <w:color w:val="000000"/>
                <w:kern w:val="0"/>
                <w:sz w:val="28"/>
                <w:szCs w:val="28"/>
              </w:rPr>
              <w:t>5</w:t>
            </w:r>
          </w:p>
        </w:tc>
      </w:tr>
      <w:tr w14:paraId="6C69B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 w:hRule="atLeast"/>
        </w:trPr>
        <w:tc>
          <w:tcPr>
            <w:tcW w:w="1205" w:type="pct"/>
            <w:vMerge w:val="continue"/>
            <w:vAlign w:val="center"/>
          </w:tcPr>
          <w:p w14:paraId="772A7734">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方正仿宋_GBK" w:hAnsi="方正仿宋_GBK" w:eastAsia="方正仿宋_GBK" w:cs="方正仿宋_GBK"/>
                <w:color w:val="000000"/>
                <w:kern w:val="0"/>
                <w:sz w:val="28"/>
                <w:szCs w:val="28"/>
              </w:rPr>
            </w:pPr>
          </w:p>
        </w:tc>
        <w:tc>
          <w:tcPr>
            <w:tcW w:w="3340" w:type="pct"/>
            <w:shd w:val="clear" w:color="auto" w:fill="auto"/>
            <w:vAlign w:val="center"/>
          </w:tcPr>
          <w:p w14:paraId="088F6342">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投标人获得中国软件行业联合会颁发的软件服务商交付能力认证证书，二级及以上得</w:t>
            </w:r>
            <w:r>
              <w:rPr>
                <w:rFonts w:hint="eastAsia" w:ascii="Times New Roman" w:hAnsi="Times New Roman" w:eastAsia="方正仿宋_GBK" w:cs="Times New Roman"/>
                <w:color w:val="000000"/>
                <w:kern w:val="0"/>
                <w:sz w:val="28"/>
                <w:szCs w:val="28"/>
              </w:rPr>
              <w:t>6</w:t>
            </w:r>
            <w:r>
              <w:rPr>
                <w:rFonts w:hint="eastAsia" w:ascii="方正仿宋_GBK" w:hAnsi="方正仿宋_GBK" w:eastAsia="方正仿宋_GBK" w:cs="方正仿宋_GBK"/>
                <w:color w:val="000000"/>
                <w:kern w:val="0"/>
                <w:sz w:val="28"/>
                <w:szCs w:val="28"/>
              </w:rPr>
              <w:t>分，三级得</w:t>
            </w:r>
            <w:r>
              <w:rPr>
                <w:rFonts w:hint="eastAsia" w:ascii="Times New Roman" w:hAnsi="Times New Roman" w:eastAsia="方正仿宋_GBK" w:cs="Times New Roman"/>
                <w:color w:val="000000"/>
                <w:kern w:val="0"/>
                <w:sz w:val="28"/>
                <w:szCs w:val="28"/>
              </w:rPr>
              <w:t>2</w:t>
            </w:r>
            <w:r>
              <w:rPr>
                <w:rFonts w:hint="eastAsia" w:ascii="方正仿宋_GBK" w:hAnsi="方正仿宋_GBK" w:eastAsia="方正仿宋_GBK" w:cs="方正仿宋_GBK"/>
                <w:color w:val="000000"/>
                <w:kern w:val="0"/>
                <w:sz w:val="28"/>
                <w:szCs w:val="28"/>
              </w:rPr>
              <w:t>分，四级得</w:t>
            </w:r>
            <w:r>
              <w:rPr>
                <w:rFonts w:hint="eastAsia" w:ascii="Times New Roman" w:hAnsi="Times New Roman" w:eastAsia="方正仿宋_GBK" w:cs="Times New Roman"/>
                <w:color w:val="000000"/>
                <w:kern w:val="0"/>
                <w:sz w:val="28"/>
                <w:szCs w:val="28"/>
              </w:rPr>
              <w:t>1</w:t>
            </w:r>
            <w:r>
              <w:rPr>
                <w:rFonts w:hint="eastAsia" w:ascii="方正仿宋_GBK" w:hAnsi="方正仿宋_GBK" w:eastAsia="方正仿宋_GBK" w:cs="方正仿宋_GBK"/>
                <w:color w:val="000000"/>
                <w:kern w:val="0"/>
                <w:sz w:val="28"/>
                <w:szCs w:val="28"/>
              </w:rPr>
              <w:t>分。</w:t>
            </w:r>
          </w:p>
        </w:tc>
        <w:tc>
          <w:tcPr>
            <w:tcW w:w="453" w:type="pct"/>
            <w:shd w:val="clear" w:color="auto" w:fill="auto"/>
            <w:noWrap/>
            <w:vAlign w:val="center"/>
          </w:tcPr>
          <w:p w14:paraId="224E2490">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color w:val="000000"/>
                <w:kern w:val="0"/>
                <w:sz w:val="28"/>
                <w:szCs w:val="28"/>
              </w:rPr>
            </w:pPr>
            <w:r>
              <w:rPr>
                <w:rFonts w:hint="eastAsia" w:ascii="Times New Roman" w:hAnsi="Times New Roman" w:eastAsia="方正仿宋_GBK" w:cs="Times New Roman"/>
                <w:color w:val="000000"/>
                <w:kern w:val="0"/>
                <w:sz w:val="28"/>
                <w:szCs w:val="28"/>
              </w:rPr>
              <w:t>6</w:t>
            </w:r>
          </w:p>
        </w:tc>
      </w:tr>
      <w:tr w14:paraId="2186C3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0" w:hRule="atLeast"/>
        </w:trPr>
        <w:tc>
          <w:tcPr>
            <w:tcW w:w="1205" w:type="pct"/>
            <w:vMerge w:val="continue"/>
            <w:vAlign w:val="center"/>
          </w:tcPr>
          <w:p w14:paraId="73AA6E67">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方正仿宋_GBK" w:hAnsi="方正仿宋_GBK" w:eastAsia="方正仿宋_GBK" w:cs="方正仿宋_GBK"/>
                <w:color w:val="000000"/>
                <w:kern w:val="0"/>
                <w:sz w:val="28"/>
                <w:szCs w:val="28"/>
              </w:rPr>
            </w:pPr>
          </w:p>
        </w:tc>
        <w:tc>
          <w:tcPr>
            <w:tcW w:w="3340" w:type="pct"/>
            <w:shd w:val="clear" w:color="auto" w:fill="auto"/>
            <w:vAlign w:val="center"/>
          </w:tcPr>
          <w:p w14:paraId="2F8B5074">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投标人获得中国电子信息行业协会颁发的信息系统建设和服务能力等级证书，达到优秀级（</w:t>
            </w:r>
            <w:r>
              <w:rPr>
                <w:rFonts w:hint="eastAsia" w:ascii="Times New Roman" w:hAnsi="Times New Roman" w:eastAsia="方正仿宋_GBK" w:cs="Times New Roman"/>
                <w:color w:val="000000"/>
                <w:kern w:val="0"/>
                <w:sz w:val="28"/>
                <w:szCs w:val="28"/>
              </w:rPr>
              <w:t>CS4</w:t>
            </w:r>
            <w:r>
              <w:rPr>
                <w:rFonts w:hint="eastAsia" w:ascii="方正仿宋_GBK" w:hAnsi="方正仿宋_GBK" w:eastAsia="方正仿宋_GBK" w:cs="方正仿宋_GBK"/>
                <w:color w:val="000000"/>
                <w:kern w:val="0"/>
                <w:sz w:val="28"/>
                <w:szCs w:val="28"/>
              </w:rPr>
              <w:t>级）或良好级（</w:t>
            </w:r>
            <w:r>
              <w:rPr>
                <w:rFonts w:hint="eastAsia" w:ascii="Times New Roman" w:hAnsi="Times New Roman" w:eastAsia="方正仿宋_GBK" w:cs="Times New Roman"/>
                <w:color w:val="000000"/>
                <w:kern w:val="0"/>
                <w:sz w:val="28"/>
                <w:szCs w:val="28"/>
              </w:rPr>
              <w:t>CS3</w:t>
            </w:r>
            <w:r>
              <w:rPr>
                <w:rFonts w:hint="eastAsia" w:ascii="方正仿宋_GBK" w:hAnsi="方正仿宋_GBK" w:eastAsia="方正仿宋_GBK" w:cs="方正仿宋_GBK"/>
                <w:color w:val="000000"/>
                <w:kern w:val="0"/>
                <w:sz w:val="28"/>
                <w:szCs w:val="28"/>
              </w:rPr>
              <w:t>级）得</w:t>
            </w:r>
            <w:r>
              <w:rPr>
                <w:rFonts w:hint="eastAsia" w:ascii="Times New Roman" w:hAnsi="Times New Roman" w:eastAsia="方正仿宋_GBK" w:cs="Times New Roman"/>
                <w:color w:val="000000"/>
                <w:kern w:val="0"/>
                <w:sz w:val="28"/>
                <w:szCs w:val="28"/>
              </w:rPr>
              <w:t>6</w:t>
            </w:r>
            <w:r>
              <w:rPr>
                <w:rFonts w:hint="eastAsia" w:ascii="方正仿宋_GBK" w:hAnsi="方正仿宋_GBK" w:eastAsia="方正仿宋_GBK" w:cs="方正仿宋_GBK"/>
                <w:color w:val="000000"/>
                <w:kern w:val="0"/>
                <w:sz w:val="28"/>
                <w:szCs w:val="28"/>
              </w:rPr>
              <w:t>分，基本级（</w:t>
            </w:r>
            <w:r>
              <w:rPr>
                <w:rFonts w:hint="eastAsia" w:ascii="Times New Roman" w:hAnsi="Times New Roman" w:eastAsia="方正仿宋_GBK" w:cs="Times New Roman"/>
                <w:color w:val="000000"/>
                <w:kern w:val="0"/>
                <w:sz w:val="28"/>
                <w:szCs w:val="28"/>
              </w:rPr>
              <w:t>CS2</w:t>
            </w:r>
            <w:r>
              <w:rPr>
                <w:rFonts w:hint="eastAsia" w:ascii="方正仿宋_GBK" w:hAnsi="方正仿宋_GBK" w:eastAsia="方正仿宋_GBK" w:cs="方正仿宋_GBK"/>
                <w:color w:val="000000"/>
                <w:kern w:val="0"/>
                <w:sz w:val="28"/>
                <w:szCs w:val="28"/>
              </w:rPr>
              <w:t>级）或初始级（</w:t>
            </w:r>
            <w:r>
              <w:rPr>
                <w:rFonts w:hint="eastAsia" w:ascii="Times New Roman" w:hAnsi="Times New Roman" w:eastAsia="方正仿宋_GBK" w:cs="Times New Roman"/>
                <w:color w:val="000000"/>
                <w:kern w:val="0"/>
                <w:sz w:val="28"/>
                <w:szCs w:val="28"/>
              </w:rPr>
              <w:t>CS1</w:t>
            </w:r>
            <w:r>
              <w:rPr>
                <w:rFonts w:hint="eastAsia" w:ascii="方正仿宋_GBK" w:hAnsi="方正仿宋_GBK" w:eastAsia="方正仿宋_GBK" w:cs="方正仿宋_GBK"/>
                <w:color w:val="000000"/>
                <w:kern w:val="0"/>
                <w:sz w:val="28"/>
                <w:szCs w:val="28"/>
              </w:rPr>
              <w:t>级）得</w:t>
            </w:r>
            <w:r>
              <w:rPr>
                <w:rFonts w:hint="eastAsia" w:ascii="Times New Roman" w:hAnsi="Times New Roman" w:eastAsia="方正仿宋_GBK" w:cs="Times New Roman"/>
                <w:color w:val="000000"/>
                <w:kern w:val="0"/>
                <w:sz w:val="28"/>
                <w:szCs w:val="28"/>
              </w:rPr>
              <w:t>2</w:t>
            </w:r>
            <w:r>
              <w:rPr>
                <w:rFonts w:hint="eastAsia" w:ascii="方正仿宋_GBK" w:hAnsi="方正仿宋_GBK" w:eastAsia="方正仿宋_GBK" w:cs="方正仿宋_GBK"/>
                <w:color w:val="000000"/>
                <w:kern w:val="0"/>
                <w:sz w:val="28"/>
                <w:szCs w:val="28"/>
              </w:rPr>
              <w:t>分，其他不得分。</w:t>
            </w:r>
          </w:p>
        </w:tc>
        <w:tc>
          <w:tcPr>
            <w:tcW w:w="453" w:type="pct"/>
            <w:shd w:val="clear" w:color="auto" w:fill="auto"/>
            <w:noWrap/>
            <w:vAlign w:val="center"/>
          </w:tcPr>
          <w:p w14:paraId="5821F121">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color w:val="000000"/>
                <w:kern w:val="0"/>
                <w:sz w:val="28"/>
                <w:szCs w:val="28"/>
              </w:rPr>
            </w:pPr>
            <w:r>
              <w:rPr>
                <w:rFonts w:hint="eastAsia" w:ascii="Times New Roman" w:hAnsi="Times New Roman" w:eastAsia="方正仿宋_GBK" w:cs="Times New Roman"/>
                <w:color w:val="000000"/>
                <w:kern w:val="0"/>
                <w:sz w:val="28"/>
                <w:szCs w:val="28"/>
              </w:rPr>
              <w:t>6</w:t>
            </w:r>
          </w:p>
        </w:tc>
      </w:tr>
      <w:tr w14:paraId="19361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0" w:hRule="atLeast"/>
        </w:trPr>
        <w:tc>
          <w:tcPr>
            <w:tcW w:w="1205" w:type="pct"/>
            <w:vMerge w:val="continue"/>
            <w:vAlign w:val="center"/>
          </w:tcPr>
          <w:p w14:paraId="0112C3CB">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方正仿宋_GBK" w:hAnsi="方正仿宋_GBK" w:eastAsia="方正仿宋_GBK" w:cs="方正仿宋_GBK"/>
                <w:color w:val="000000"/>
                <w:kern w:val="0"/>
                <w:sz w:val="28"/>
                <w:szCs w:val="28"/>
              </w:rPr>
            </w:pPr>
          </w:p>
        </w:tc>
        <w:tc>
          <w:tcPr>
            <w:tcW w:w="3340" w:type="pct"/>
            <w:shd w:val="clear" w:color="auto" w:fill="auto"/>
            <w:vAlign w:val="center"/>
          </w:tcPr>
          <w:p w14:paraId="53B987BC">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投标人具有国家工业和信息化部、科技部或市场监督管理总局认可机构颁发的信息安全应急处理类、信息系统安全集成、信息系统安全运维类和软件安全开发类三级及以上服务资质认证证书，每提供一个证书得</w:t>
            </w:r>
            <w:r>
              <w:rPr>
                <w:rFonts w:hint="eastAsia" w:ascii="Times New Roman" w:hAnsi="Times New Roman" w:eastAsia="方正仿宋_GBK" w:cs="Times New Roman"/>
                <w:color w:val="000000"/>
                <w:kern w:val="0"/>
                <w:sz w:val="28"/>
                <w:szCs w:val="28"/>
              </w:rPr>
              <w:t>2</w:t>
            </w:r>
            <w:r>
              <w:rPr>
                <w:rFonts w:hint="eastAsia" w:ascii="方正仿宋_GBK" w:hAnsi="方正仿宋_GBK" w:eastAsia="方正仿宋_GBK" w:cs="方正仿宋_GBK"/>
                <w:color w:val="000000"/>
                <w:kern w:val="0"/>
                <w:sz w:val="28"/>
                <w:szCs w:val="28"/>
              </w:rPr>
              <w:t>分，最多得</w:t>
            </w:r>
            <w:r>
              <w:rPr>
                <w:rFonts w:hint="eastAsia" w:ascii="Times New Roman" w:hAnsi="Times New Roman" w:eastAsia="方正仿宋_GBK" w:cs="Times New Roman"/>
                <w:color w:val="000000"/>
                <w:kern w:val="0"/>
                <w:sz w:val="28"/>
                <w:szCs w:val="28"/>
              </w:rPr>
              <w:t>8</w:t>
            </w:r>
            <w:r>
              <w:rPr>
                <w:rFonts w:hint="eastAsia" w:ascii="方正仿宋_GBK" w:hAnsi="方正仿宋_GBK" w:eastAsia="方正仿宋_GBK" w:cs="方正仿宋_GBK"/>
                <w:color w:val="000000"/>
                <w:kern w:val="0"/>
                <w:sz w:val="28"/>
                <w:szCs w:val="28"/>
              </w:rPr>
              <w:t>分。</w:t>
            </w:r>
          </w:p>
        </w:tc>
        <w:tc>
          <w:tcPr>
            <w:tcW w:w="453" w:type="pct"/>
            <w:shd w:val="clear" w:color="auto" w:fill="auto"/>
            <w:noWrap/>
            <w:vAlign w:val="center"/>
          </w:tcPr>
          <w:p w14:paraId="606832FA">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color w:val="000000"/>
                <w:kern w:val="0"/>
                <w:sz w:val="28"/>
                <w:szCs w:val="28"/>
              </w:rPr>
            </w:pPr>
            <w:r>
              <w:rPr>
                <w:rFonts w:hint="eastAsia" w:ascii="Times New Roman" w:hAnsi="Times New Roman" w:eastAsia="方正仿宋_GBK" w:cs="Times New Roman"/>
                <w:color w:val="000000"/>
                <w:kern w:val="0"/>
                <w:sz w:val="28"/>
                <w:szCs w:val="28"/>
              </w:rPr>
              <w:t>8</w:t>
            </w:r>
          </w:p>
        </w:tc>
      </w:tr>
      <w:tr w14:paraId="77998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0" w:hRule="atLeast"/>
        </w:trPr>
        <w:tc>
          <w:tcPr>
            <w:tcW w:w="1205" w:type="pct"/>
            <w:shd w:val="clear" w:color="auto" w:fill="auto"/>
            <w:vAlign w:val="center"/>
          </w:tcPr>
          <w:p w14:paraId="2DA762B1">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项目经理实力（</w:t>
            </w:r>
            <w:r>
              <w:rPr>
                <w:rFonts w:hint="eastAsia" w:ascii="Times New Roman" w:hAnsi="Times New Roman" w:eastAsia="方正仿宋_GBK" w:cs="Times New Roman"/>
                <w:color w:val="000000"/>
                <w:kern w:val="0"/>
                <w:sz w:val="28"/>
                <w:szCs w:val="28"/>
              </w:rPr>
              <w:t>10</w:t>
            </w:r>
            <w:r>
              <w:rPr>
                <w:rFonts w:hint="eastAsia" w:ascii="方正仿宋_GBK" w:hAnsi="方正仿宋_GBK" w:eastAsia="方正仿宋_GBK" w:cs="方正仿宋_GBK"/>
                <w:color w:val="000000"/>
                <w:kern w:val="0"/>
                <w:sz w:val="28"/>
                <w:szCs w:val="28"/>
              </w:rPr>
              <w:t>分）</w:t>
            </w:r>
          </w:p>
        </w:tc>
        <w:tc>
          <w:tcPr>
            <w:tcW w:w="3340" w:type="pct"/>
            <w:shd w:val="clear" w:color="auto" w:fill="auto"/>
            <w:vAlign w:val="center"/>
          </w:tcPr>
          <w:p w14:paraId="3664F835">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方正仿宋_GBK" w:hAnsi="方正仿宋_GBK" w:eastAsia="方正仿宋_GBK" w:cs="方正仿宋_GBK"/>
                <w:color w:val="000000"/>
                <w:kern w:val="0"/>
                <w:sz w:val="28"/>
                <w:szCs w:val="28"/>
                <w:lang w:eastAsia="zh-CN"/>
              </w:rPr>
            </w:pPr>
            <w:r>
              <w:rPr>
                <w:rFonts w:hint="eastAsia" w:ascii="方正仿宋_GBK" w:hAnsi="方正仿宋_GBK" w:eastAsia="方正仿宋_GBK" w:cs="方正仿宋_GBK"/>
                <w:color w:val="000000"/>
                <w:kern w:val="0"/>
                <w:sz w:val="28"/>
                <w:szCs w:val="28"/>
              </w:rPr>
              <w:t>投标人拟选派项目经理具有硕士及以上学位证书、信息系统项目管理师证书、系统架构设计师、信息技术应用创新专业人员证书（</w:t>
            </w:r>
            <w:r>
              <w:rPr>
                <w:rFonts w:hint="eastAsia" w:ascii="Times New Roman" w:hAnsi="Times New Roman" w:eastAsia="方正仿宋_GBK" w:cs="Times New Roman"/>
                <w:color w:val="000000"/>
                <w:kern w:val="0"/>
                <w:sz w:val="28"/>
                <w:szCs w:val="28"/>
              </w:rPr>
              <w:t>ITAIP</w:t>
            </w:r>
            <w:r>
              <w:rPr>
                <w:rFonts w:hint="eastAsia" w:ascii="方正仿宋_GBK" w:hAnsi="方正仿宋_GBK" w:eastAsia="方正仿宋_GBK" w:cs="方正仿宋_GBK"/>
                <w:color w:val="000000"/>
                <w:kern w:val="0"/>
                <w:sz w:val="28"/>
                <w:szCs w:val="28"/>
              </w:rPr>
              <w:t>）、项目管理专业人员（</w:t>
            </w:r>
            <w:r>
              <w:rPr>
                <w:rFonts w:hint="eastAsia" w:ascii="Times New Roman" w:hAnsi="Times New Roman" w:eastAsia="方正仿宋_GBK" w:cs="Times New Roman"/>
                <w:color w:val="000000"/>
                <w:kern w:val="0"/>
                <w:sz w:val="28"/>
                <w:szCs w:val="28"/>
              </w:rPr>
              <w:t>PMP</w:t>
            </w:r>
            <w:r>
              <w:rPr>
                <w:rFonts w:hint="eastAsia" w:ascii="方正仿宋_GBK" w:hAnsi="方正仿宋_GBK" w:eastAsia="方正仿宋_GBK" w:cs="方正仿宋_GBK"/>
                <w:color w:val="000000"/>
                <w:kern w:val="0"/>
                <w:sz w:val="28"/>
                <w:szCs w:val="28"/>
              </w:rPr>
              <w:t>）证书，每提供</w:t>
            </w:r>
            <w:r>
              <w:rPr>
                <w:rFonts w:hint="eastAsia" w:ascii="Times New Roman" w:hAnsi="Times New Roman" w:eastAsia="方正仿宋_GBK" w:cs="Times New Roman"/>
                <w:color w:val="000000"/>
                <w:kern w:val="0"/>
                <w:sz w:val="28"/>
                <w:szCs w:val="28"/>
              </w:rPr>
              <w:t>1</w:t>
            </w:r>
            <w:r>
              <w:rPr>
                <w:rFonts w:hint="eastAsia" w:ascii="方正仿宋_GBK" w:hAnsi="方正仿宋_GBK" w:eastAsia="方正仿宋_GBK" w:cs="方正仿宋_GBK"/>
                <w:color w:val="000000"/>
                <w:kern w:val="0"/>
                <w:sz w:val="28"/>
                <w:szCs w:val="28"/>
              </w:rPr>
              <w:t>个得</w:t>
            </w:r>
            <w:r>
              <w:rPr>
                <w:rFonts w:hint="eastAsia" w:ascii="Times New Roman" w:hAnsi="Times New Roman" w:eastAsia="方正仿宋_GBK" w:cs="Times New Roman"/>
                <w:color w:val="000000"/>
                <w:kern w:val="0"/>
                <w:sz w:val="28"/>
                <w:szCs w:val="28"/>
              </w:rPr>
              <w:t>2</w:t>
            </w:r>
            <w:r>
              <w:rPr>
                <w:rFonts w:hint="eastAsia" w:ascii="方正仿宋_GBK" w:hAnsi="方正仿宋_GBK" w:eastAsia="方正仿宋_GBK" w:cs="方正仿宋_GBK"/>
                <w:color w:val="000000"/>
                <w:kern w:val="0"/>
                <w:sz w:val="28"/>
                <w:szCs w:val="28"/>
              </w:rPr>
              <w:t>分，本项最多得</w:t>
            </w:r>
            <w:r>
              <w:rPr>
                <w:rFonts w:hint="eastAsia" w:ascii="Times New Roman" w:hAnsi="Times New Roman" w:eastAsia="方正仿宋_GBK" w:cs="Times New Roman"/>
                <w:color w:val="000000"/>
                <w:kern w:val="0"/>
                <w:sz w:val="28"/>
                <w:szCs w:val="28"/>
              </w:rPr>
              <w:t>10</w:t>
            </w:r>
            <w:r>
              <w:rPr>
                <w:rFonts w:hint="eastAsia" w:ascii="方正仿宋_GBK" w:hAnsi="方正仿宋_GBK" w:eastAsia="方正仿宋_GBK" w:cs="方正仿宋_GBK"/>
                <w:color w:val="000000"/>
                <w:kern w:val="0"/>
                <w:sz w:val="28"/>
                <w:szCs w:val="28"/>
              </w:rPr>
              <w:t>分。</w:t>
            </w:r>
          </w:p>
          <w:p w14:paraId="733E4F81">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评审依据：须提供证书复印件和近</w:t>
            </w:r>
            <w:r>
              <w:rPr>
                <w:rFonts w:hint="eastAsia" w:ascii="Times New Roman" w:hAnsi="Times New Roman" w:eastAsia="方正仿宋_GBK" w:cs="Times New Roman"/>
                <w:color w:val="000000"/>
                <w:kern w:val="0"/>
                <w:sz w:val="28"/>
                <w:szCs w:val="28"/>
              </w:rPr>
              <w:t>6</w:t>
            </w:r>
            <w:r>
              <w:rPr>
                <w:rFonts w:hint="eastAsia" w:ascii="方正仿宋_GBK" w:hAnsi="方正仿宋_GBK" w:eastAsia="方正仿宋_GBK" w:cs="方正仿宋_GBK"/>
                <w:color w:val="000000"/>
                <w:kern w:val="0"/>
                <w:sz w:val="28"/>
                <w:szCs w:val="28"/>
              </w:rPr>
              <w:t>个月供应商为其缴纳社保的证明材料。</w:t>
            </w:r>
          </w:p>
        </w:tc>
        <w:tc>
          <w:tcPr>
            <w:tcW w:w="453" w:type="pct"/>
            <w:shd w:val="clear" w:color="auto" w:fill="auto"/>
            <w:noWrap/>
            <w:vAlign w:val="center"/>
          </w:tcPr>
          <w:p w14:paraId="6716D618">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color w:val="000000"/>
                <w:kern w:val="0"/>
                <w:sz w:val="28"/>
                <w:szCs w:val="28"/>
              </w:rPr>
            </w:pPr>
            <w:r>
              <w:rPr>
                <w:rFonts w:hint="eastAsia" w:ascii="Times New Roman" w:hAnsi="Times New Roman" w:eastAsia="方正仿宋_GBK" w:cs="Times New Roman"/>
                <w:color w:val="000000"/>
                <w:kern w:val="0"/>
                <w:sz w:val="28"/>
                <w:szCs w:val="28"/>
              </w:rPr>
              <w:t>10</w:t>
            </w:r>
          </w:p>
        </w:tc>
      </w:tr>
      <w:tr w14:paraId="58626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1205" w:type="pct"/>
            <w:shd w:val="clear" w:color="auto" w:fill="auto"/>
            <w:noWrap/>
            <w:vAlign w:val="center"/>
          </w:tcPr>
          <w:p w14:paraId="09C841F6">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相关业绩（</w:t>
            </w:r>
            <w:r>
              <w:rPr>
                <w:rFonts w:hint="eastAsia" w:ascii="Times New Roman" w:hAnsi="Times New Roman" w:eastAsia="方正仿宋_GBK" w:cs="Times New Roman"/>
                <w:color w:val="000000"/>
                <w:kern w:val="0"/>
                <w:sz w:val="28"/>
                <w:szCs w:val="28"/>
              </w:rPr>
              <w:t>5</w:t>
            </w:r>
            <w:r>
              <w:rPr>
                <w:rFonts w:hint="eastAsia" w:ascii="方正仿宋_GBK" w:hAnsi="方正仿宋_GBK" w:eastAsia="方正仿宋_GBK" w:cs="方正仿宋_GBK"/>
                <w:color w:val="000000"/>
                <w:kern w:val="0"/>
                <w:sz w:val="28"/>
                <w:szCs w:val="28"/>
              </w:rPr>
              <w:t>分）</w:t>
            </w:r>
          </w:p>
        </w:tc>
        <w:tc>
          <w:tcPr>
            <w:tcW w:w="3340" w:type="pct"/>
            <w:shd w:val="clear" w:color="auto" w:fill="auto"/>
            <w:vAlign w:val="center"/>
          </w:tcPr>
          <w:p w14:paraId="6D3082D7">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供应商提供政府网站维护项目案例（合同关键页复印件），每提供一个得</w:t>
            </w:r>
            <w:r>
              <w:rPr>
                <w:rFonts w:hint="eastAsia" w:ascii="Times New Roman" w:hAnsi="Times New Roman" w:eastAsia="方正仿宋_GBK" w:cs="Times New Roman"/>
                <w:color w:val="000000"/>
                <w:kern w:val="0"/>
                <w:sz w:val="28"/>
                <w:szCs w:val="28"/>
              </w:rPr>
              <w:t>1</w:t>
            </w:r>
            <w:r>
              <w:rPr>
                <w:rFonts w:hint="eastAsia" w:ascii="方正仿宋_GBK" w:hAnsi="方正仿宋_GBK" w:eastAsia="方正仿宋_GBK" w:cs="方正仿宋_GBK"/>
                <w:color w:val="000000"/>
                <w:kern w:val="0"/>
                <w:sz w:val="28"/>
                <w:szCs w:val="28"/>
              </w:rPr>
              <w:t>分，本项满分</w:t>
            </w:r>
            <w:r>
              <w:rPr>
                <w:rFonts w:hint="eastAsia" w:ascii="Times New Roman" w:hAnsi="Times New Roman" w:eastAsia="方正仿宋_GBK" w:cs="Times New Roman"/>
                <w:color w:val="000000"/>
                <w:kern w:val="0"/>
                <w:sz w:val="28"/>
                <w:szCs w:val="28"/>
              </w:rPr>
              <w:t>5</w:t>
            </w:r>
            <w:r>
              <w:rPr>
                <w:rFonts w:hint="eastAsia" w:ascii="方正仿宋_GBK" w:hAnsi="方正仿宋_GBK" w:eastAsia="方正仿宋_GBK" w:cs="方正仿宋_GBK"/>
                <w:color w:val="000000"/>
                <w:kern w:val="0"/>
                <w:sz w:val="28"/>
                <w:szCs w:val="28"/>
              </w:rPr>
              <w:t>分。</w:t>
            </w:r>
          </w:p>
        </w:tc>
        <w:tc>
          <w:tcPr>
            <w:tcW w:w="453" w:type="pct"/>
            <w:shd w:val="clear" w:color="auto" w:fill="auto"/>
            <w:noWrap/>
            <w:vAlign w:val="center"/>
          </w:tcPr>
          <w:p w14:paraId="2DAC6D77">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color w:val="000000"/>
                <w:kern w:val="0"/>
                <w:sz w:val="28"/>
                <w:szCs w:val="28"/>
              </w:rPr>
            </w:pPr>
            <w:r>
              <w:rPr>
                <w:rFonts w:hint="eastAsia" w:ascii="Times New Roman" w:hAnsi="Times New Roman" w:eastAsia="方正仿宋_GBK" w:cs="Times New Roman"/>
                <w:color w:val="000000"/>
                <w:kern w:val="0"/>
                <w:sz w:val="28"/>
                <w:szCs w:val="28"/>
              </w:rPr>
              <w:t>5</w:t>
            </w:r>
          </w:p>
        </w:tc>
      </w:tr>
    </w:tbl>
    <w:p w14:paraId="551E4D40">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3.价格部分（</w:t>
      </w:r>
      <w:r>
        <w:t>1</w:t>
      </w:r>
      <w:r>
        <w:rPr>
          <w:rFonts w:hint="eastAsia"/>
        </w:rPr>
        <w:t>0分）</w:t>
      </w:r>
    </w:p>
    <w:p w14:paraId="21114A12">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（1）价格分采用低价优先法计算，即满足招标文件要求且投标价格最低的投标报价为评标基准价，其他投标人的价格分按照下列公式计算：</w:t>
      </w:r>
    </w:p>
    <w:p w14:paraId="019C9C22">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价格分=（评标基准价/投标报价）×</w:t>
      </w:r>
      <w:r>
        <w:t>1</w:t>
      </w:r>
      <w:r>
        <w:rPr>
          <w:rFonts w:hint="eastAsia"/>
        </w:rPr>
        <w:t>0%×100</w:t>
      </w:r>
    </w:p>
    <w:p w14:paraId="027860B4">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注：（1）投标如缺少某项服务，评标价将在其投标价的基础上加上其他投标人相应分项价格的最高价。如若中标，该缺漏项费用将由中标人自行承担。</w:t>
      </w:r>
    </w:p>
    <w:p w14:paraId="48FF3DD7">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（2）若所有有效投标人的报价均超过采购预算价，且采购人不能支付的，该项目作废标处理。</w:t>
      </w:r>
    </w:p>
    <w:p w14:paraId="6BEE29D2">
      <w:pPr>
        <w:keepNext w:val="0"/>
        <w:keepLines w:val="0"/>
        <w:pageBreakBefore w:val="0"/>
        <w:widowControl w:val="0"/>
        <w:kinsoku/>
        <w:wordWrap/>
        <w:overflowPunct/>
        <w:topLinePunct w:val="0"/>
        <w:autoSpaceDE/>
        <w:autoSpaceDN/>
        <w:bidi w:val="0"/>
        <w:adjustRightInd/>
        <w:snapToGrid/>
        <w:ind w:firstLine="640" w:firstLineChars="200"/>
        <w:textAlignment w:val="auto"/>
      </w:pPr>
    </w:p>
    <w:sectPr>
      <w:footerReference r:id="rId3" w:type="default"/>
      <w:pgSz w:w="11906" w:h="16838"/>
      <w:pgMar w:top="2041" w:right="1502" w:bottom="1644" w:left="1502"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华文宋体">
    <w:altName w:val="宋体"/>
    <w:panose1 w:val="02010600040101010101"/>
    <w:charset w:val="86"/>
    <w:family w:val="auto"/>
    <w:pitch w:val="default"/>
    <w:sig w:usb0="00000000" w:usb1="00000000" w:usb2="00000010" w:usb3="00000000" w:csb0="0004009F" w:csb1="00000000"/>
  </w:font>
  <w:font w:name="方正小标宋简体">
    <w:altName w:val="仿宋_GB2312"/>
    <w:panose1 w:val="03000509000000000000"/>
    <w:charset w:val="86"/>
    <w:family w:val="auto"/>
    <w:pitch w:val="default"/>
    <w:sig w:usb0="00000000" w:usb1="0000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楷体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62AAFD">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2F7B40">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12F7B40">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Y4NTRjYzkwZmM5ZTQwYzk3MTA2MThmYjc1NDEzMWMifQ=="/>
  </w:docVars>
  <w:rsids>
    <w:rsidRoot w:val="11441675"/>
    <w:rsid w:val="0002388C"/>
    <w:rsid w:val="00076BE2"/>
    <w:rsid w:val="0008242D"/>
    <w:rsid w:val="000A3E06"/>
    <w:rsid w:val="00171A39"/>
    <w:rsid w:val="001A52E2"/>
    <w:rsid w:val="001C2F63"/>
    <w:rsid w:val="001E14B1"/>
    <w:rsid w:val="002139B6"/>
    <w:rsid w:val="0021605C"/>
    <w:rsid w:val="00236722"/>
    <w:rsid w:val="00286C89"/>
    <w:rsid w:val="0029084F"/>
    <w:rsid w:val="00311C79"/>
    <w:rsid w:val="0037160C"/>
    <w:rsid w:val="003864B1"/>
    <w:rsid w:val="003F0D16"/>
    <w:rsid w:val="004366B5"/>
    <w:rsid w:val="004F3638"/>
    <w:rsid w:val="004F68D4"/>
    <w:rsid w:val="00551D34"/>
    <w:rsid w:val="00583E26"/>
    <w:rsid w:val="005F0CAE"/>
    <w:rsid w:val="00626F72"/>
    <w:rsid w:val="00634A59"/>
    <w:rsid w:val="006408C5"/>
    <w:rsid w:val="0067022A"/>
    <w:rsid w:val="006A589A"/>
    <w:rsid w:val="00736399"/>
    <w:rsid w:val="00742537"/>
    <w:rsid w:val="00794DEF"/>
    <w:rsid w:val="008407DB"/>
    <w:rsid w:val="008627C4"/>
    <w:rsid w:val="00887EF5"/>
    <w:rsid w:val="008B15B8"/>
    <w:rsid w:val="008E44EF"/>
    <w:rsid w:val="00911777"/>
    <w:rsid w:val="009479E7"/>
    <w:rsid w:val="009822D2"/>
    <w:rsid w:val="009A334A"/>
    <w:rsid w:val="009A503E"/>
    <w:rsid w:val="009B393F"/>
    <w:rsid w:val="00A32AFF"/>
    <w:rsid w:val="00B20A9F"/>
    <w:rsid w:val="00B534DE"/>
    <w:rsid w:val="00B6581E"/>
    <w:rsid w:val="00B66405"/>
    <w:rsid w:val="00BB04F1"/>
    <w:rsid w:val="00BE6923"/>
    <w:rsid w:val="00BF568D"/>
    <w:rsid w:val="00C5035E"/>
    <w:rsid w:val="00CC26B3"/>
    <w:rsid w:val="00CF2E2A"/>
    <w:rsid w:val="00D010EF"/>
    <w:rsid w:val="00D2052D"/>
    <w:rsid w:val="00D362C9"/>
    <w:rsid w:val="00E31A11"/>
    <w:rsid w:val="00E466DC"/>
    <w:rsid w:val="00E8510C"/>
    <w:rsid w:val="00E91262"/>
    <w:rsid w:val="00ED60CA"/>
    <w:rsid w:val="00F41E0B"/>
    <w:rsid w:val="00F85EF3"/>
    <w:rsid w:val="00F933EA"/>
    <w:rsid w:val="01545CC9"/>
    <w:rsid w:val="01E03822"/>
    <w:rsid w:val="028D07F3"/>
    <w:rsid w:val="028E366E"/>
    <w:rsid w:val="028F1BEF"/>
    <w:rsid w:val="02964427"/>
    <w:rsid w:val="02FB44A7"/>
    <w:rsid w:val="031007FA"/>
    <w:rsid w:val="03F132B5"/>
    <w:rsid w:val="04153D97"/>
    <w:rsid w:val="044E03FC"/>
    <w:rsid w:val="048B6E28"/>
    <w:rsid w:val="05554BF2"/>
    <w:rsid w:val="05846891"/>
    <w:rsid w:val="064E07BF"/>
    <w:rsid w:val="07011070"/>
    <w:rsid w:val="07304461"/>
    <w:rsid w:val="07534B43"/>
    <w:rsid w:val="077D3CCE"/>
    <w:rsid w:val="07F16B17"/>
    <w:rsid w:val="08987818"/>
    <w:rsid w:val="08B42559"/>
    <w:rsid w:val="08BA2275"/>
    <w:rsid w:val="08EE1700"/>
    <w:rsid w:val="09716ACF"/>
    <w:rsid w:val="09B7021E"/>
    <w:rsid w:val="09F46FBB"/>
    <w:rsid w:val="0A1C3FD3"/>
    <w:rsid w:val="0A212F39"/>
    <w:rsid w:val="0AAB4533"/>
    <w:rsid w:val="0B31491B"/>
    <w:rsid w:val="0B4147B3"/>
    <w:rsid w:val="0C2072C6"/>
    <w:rsid w:val="0C623E28"/>
    <w:rsid w:val="0C8F3C7C"/>
    <w:rsid w:val="0CE75489"/>
    <w:rsid w:val="0D0F644D"/>
    <w:rsid w:val="0D3E7B0C"/>
    <w:rsid w:val="0D8B7F4A"/>
    <w:rsid w:val="0D9613D0"/>
    <w:rsid w:val="0E057AD0"/>
    <w:rsid w:val="0E561A45"/>
    <w:rsid w:val="0F065E65"/>
    <w:rsid w:val="0F4A7DB2"/>
    <w:rsid w:val="0F5A67CD"/>
    <w:rsid w:val="0FA364D6"/>
    <w:rsid w:val="0FB56212"/>
    <w:rsid w:val="0FC10009"/>
    <w:rsid w:val="10164E59"/>
    <w:rsid w:val="101A4F23"/>
    <w:rsid w:val="10B108A3"/>
    <w:rsid w:val="10EE0864"/>
    <w:rsid w:val="11441675"/>
    <w:rsid w:val="11E23046"/>
    <w:rsid w:val="122F26F6"/>
    <w:rsid w:val="12764102"/>
    <w:rsid w:val="12E56015"/>
    <w:rsid w:val="13702819"/>
    <w:rsid w:val="13D00640"/>
    <w:rsid w:val="141975A9"/>
    <w:rsid w:val="14A30A1F"/>
    <w:rsid w:val="14C36CD2"/>
    <w:rsid w:val="165F2D0D"/>
    <w:rsid w:val="16804694"/>
    <w:rsid w:val="169536CF"/>
    <w:rsid w:val="16ED1594"/>
    <w:rsid w:val="16FF5D57"/>
    <w:rsid w:val="17093B8E"/>
    <w:rsid w:val="171B7CCC"/>
    <w:rsid w:val="17AE403B"/>
    <w:rsid w:val="17EC1CAD"/>
    <w:rsid w:val="17F11161"/>
    <w:rsid w:val="191368FD"/>
    <w:rsid w:val="196121E5"/>
    <w:rsid w:val="19896D1E"/>
    <w:rsid w:val="19DA0F0F"/>
    <w:rsid w:val="1ADA027E"/>
    <w:rsid w:val="1B133905"/>
    <w:rsid w:val="1B1C4C12"/>
    <w:rsid w:val="1B4C58EC"/>
    <w:rsid w:val="1B7C614C"/>
    <w:rsid w:val="1B8911AD"/>
    <w:rsid w:val="1C1A507A"/>
    <w:rsid w:val="1C57757C"/>
    <w:rsid w:val="1C631B92"/>
    <w:rsid w:val="1C7162AA"/>
    <w:rsid w:val="1CA27AC4"/>
    <w:rsid w:val="1CD83164"/>
    <w:rsid w:val="1CDB2684"/>
    <w:rsid w:val="1D3653D2"/>
    <w:rsid w:val="1D76208C"/>
    <w:rsid w:val="1D9A066A"/>
    <w:rsid w:val="1E100C25"/>
    <w:rsid w:val="1E871F4C"/>
    <w:rsid w:val="1F202699"/>
    <w:rsid w:val="1F4C276D"/>
    <w:rsid w:val="1F785347"/>
    <w:rsid w:val="1FDB6139"/>
    <w:rsid w:val="20543792"/>
    <w:rsid w:val="207858CB"/>
    <w:rsid w:val="208529EF"/>
    <w:rsid w:val="2124215A"/>
    <w:rsid w:val="214357E2"/>
    <w:rsid w:val="216F70F7"/>
    <w:rsid w:val="21BC32D9"/>
    <w:rsid w:val="21E552E3"/>
    <w:rsid w:val="22233E93"/>
    <w:rsid w:val="22E3179A"/>
    <w:rsid w:val="22EF2BF0"/>
    <w:rsid w:val="230C2E18"/>
    <w:rsid w:val="230D60D4"/>
    <w:rsid w:val="24531FDD"/>
    <w:rsid w:val="24C82B26"/>
    <w:rsid w:val="25207AD0"/>
    <w:rsid w:val="252F3F48"/>
    <w:rsid w:val="25306629"/>
    <w:rsid w:val="26253EF8"/>
    <w:rsid w:val="269477B4"/>
    <w:rsid w:val="26B7527B"/>
    <w:rsid w:val="272765CE"/>
    <w:rsid w:val="281070EF"/>
    <w:rsid w:val="289D59D7"/>
    <w:rsid w:val="28DE0D21"/>
    <w:rsid w:val="28FC05A1"/>
    <w:rsid w:val="29394811"/>
    <w:rsid w:val="294D026E"/>
    <w:rsid w:val="29B664B3"/>
    <w:rsid w:val="29C613A5"/>
    <w:rsid w:val="2A4E52BC"/>
    <w:rsid w:val="2A647246"/>
    <w:rsid w:val="2ACA6093"/>
    <w:rsid w:val="2AD314F7"/>
    <w:rsid w:val="2BB54F79"/>
    <w:rsid w:val="2BFB29CB"/>
    <w:rsid w:val="2C077F81"/>
    <w:rsid w:val="2C307CA6"/>
    <w:rsid w:val="2CA53728"/>
    <w:rsid w:val="2CCB6806"/>
    <w:rsid w:val="2D205BFE"/>
    <w:rsid w:val="2D914D1F"/>
    <w:rsid w:val="2DE5695A"/>
    <w:rsid w:val="2DF550D7"/>
    <w:rsid w:val="2E0A6C32"/>
    <w:rsid w:val="2E197F24"/>
    <w:rsid w:val="2E2912C1"/>
    <w:rsid w:val="2E500E72"/>
    <w:rsid w:val="2E7E4997"/>
    <w:rsid w:val="2E932DDD"/>
    <w:rsid w:val="2F377AAD"/>
    <w:rsid w:val="2FF3319C"/>
    <w:rsid w:val="2FFD01B3"/>
    <w:rsid w:val="30221852"/>
    <w:rsid w:val="305D0315"/>
    <w:rsid w:val="30836DA1"/>
    <w:rsid w:val="309012EA"/>
    <w:rsid w:val="31333FEC"/>
    <w:rsid w:val="313A17EE"/>
    <w:rsid w:val="317B3ABE"/>
    <w:rsid w:val="3196615D"/>
    <w:rsid w:val="319F39CD"/>
    <w:rsid w:val="31AF5EF7"/>
    <w:rsid w:val="31B01F13"/>
    <w:rsid w:val="322A198A"/>
    <w:rsid w:val="322D0F45"/>
    <w:rsid w:val="32344368"/>
    <w:rsid w:val="3260529D"/>
    <w:rsid w:val="32A85A35"/>
    <w:rsid w:val="32D55E06"/>
    <w:rsid w:val="33281C2B"/>
    <w:rsid w:val="34370326"/>
    <w:rsid w:val="344D6573"/>
    <w:rsid w:val="3455779E"/>
    <w:rsid w:val="34586D8D"/>
    <w:rsid w:val="348040D4"/>
    <w:rsid w:val="34A302B0"/>
    <w:rsid w:val="34C6125E"/>
    <w:rsid w:val="34E156A4"/>
    <w:rsid w:val="34F21ED3"/>
    <w:rsid w:val="353649D4"/>
    <w:rsid w:val="3548430B"/>
    <w:rsid w:val="35875A8A"/>
    <w:rsid w:val="35994344"/>
    <w:rsid w:val="35A8521D"/>
    <w:rsid w:val="36051798"/>
    <w:rsid w:val="365D0C62"/>
    <w:rsid w:val="37271878"/>
    <w:rsid w:val="374B4832"/>
    <w:rsid w:val="37C5276F"/>
    <w:rsid w:val="37E477E8"/>
    <w:rsid w:val="38357DE2"/>
    <w:rsid w:val="384C4F79"/>
    <w:rsid w:val="389E4AD2"/>
    <w:rsid w:val="39537D75"/>
    <w:rsid w:val="397E44E7"/>
    <w:rsid w:val="39AA2842"/>
    <w:rsid w:val="39D74686"/>
    <w:rsid w:val="3A0D463D"/>
    <w:rsid w:val="3A2373F2"/>
    <w:rsid w:val="3A263150"/>
    <w:rsid w:val="3A4F49E1"/>
    <w:rsid w:val="3A6F590C"/>
    <w:rsid w:val="3A8C4132"/>
    <w:rsid w:val="3AA46531"/>
    <w:rsid w:val="3ADB1EE5"/>
    <w:rsid w:val="3AEE54D6"/>
    <w:rsid w:val="3AFB31DA"/>
    <w:rsid w:val="3B0B5CE3"/>
    <w:rsid w:val="3BC529B4"/>
    <w:rsid w:val="3C5A6CCB"/>
    <w:rsid w:val="3C70497C"/>
    <w:rsid w:val="3CDA41CA"/>
    <w:rsid w:val="3D586CA0"/>
    <w:rsid w:val="3D5D7AD8"/>
    <w:rsid w:val="3D7D7E19"/>
    <w:rsid w:val="3DEF1DD3"/>
    <w:rsid w:val="3E6A57C6"/>
    <w:rsid w:val="3E984A51"/>
    <w:rsid w:val="3EC70AC0"/>
    <w:rsid w:val="3ECE0544"/>
    <w:rsid w:val="3EF27217"/>
    <w:rsid w:val="40311C61"/>
    <w:rsid w:val="40663CF4"/>
    <w:rsid w:val="40840F95"/>
    <w:rsid w:val="4103369E"/>
    <w:rsid w:val="412D69EA"/>
    <w:rsid w:val="41600EAC"/>
    <w:rsid w:val="43174C91"/>
    <w:rsid w:val="433C59C0"/>
    <w:rsid w:val="43BF521F"/>
    <w:rsid w:val="446412A3"/>
    <w:rsid w:val="44BF0A8A"/>
    <w:rsid w:val="44F65FCF"/>
    <w:rsid w:val="4501736F"/>
    <w:rsid w:val="45257E26"/>
    <w:rsid w:val="4539383F"/>
    <w:rsid w:val="45943191"/>
    <w:rsid w:val="45D82617"/>
    <w:rsid w:val="45F6242C"/>
    <w:rsid w:val="462124B4"/>
    <w:rsid w:val="464F76AD"/>
    <w:rsid w:val="46980DD0"/>
    <w:rsid w:val="46A80788"/>
    <w:rsid w:val="46F35C35"/>
    <w:rsid w:val="4710617D"/>
    <w:rsid w:val="476B6898"/>
    <w:rsid w:val="478873B5"/>
    <w:rsid w:val="47D413E7"/>
    <w:rsid w:val="48153B5F"/>
    <w:rsid w:val="484C1A0A"/>
    <w:rsid w:val="4869406E"/>
    <w:rsid w:val="48830B85"/>
    <w:rsid w:val="49043B76"/>
    <w:rsid w:val="495A02B4"/>
    <w:rsid w:val="49876B6B"/>
    <w:rsid w:val="49887151"/>
    <w:rsid w:val="49A2024D"/>
    <w:rsid w:val="4A2B3855"/>
    <w:rsid w:val="4AC00DAD"/>
    <w:rsid w:val="4B4D7E80"/>
    <w:rsid w:val="4B791F86"/>
    <w:rsid w:val="4B921E63"/>
    <w:rsid w:val="4C591E77"/>
    <w:rsid w:val="4C7F0637"/>
    <w:rsid w:val="4CE0596C"/>
    <w:rsid w:val="4CE85598"/>
    <w:rsid w:val="4CF84C4E"/>
    <w:rsid w:val="4E5677C2"/>
    <w:rsid w:val="4F92135D"/>
    <w:rsid w:val="501F3006"/>
    <w:rsid w:val="50323154"/>
    <w:rsid w:val="507B2251"/>
    <w:rsid w:val="50A56CB1"/>
    <w:rsid w:val="50F75B30"/>
    <w:rsid w:val="51083F80"/>
    <w:rsid w:val="511C0780"/>
    <w:rsid w:val="514364CA"/>
    <w:rsid w:val="5158736D"/>
    <w:rsid w:val="51DD1F7D"/>
    <w:rsid w:val="521D3487"/>
    <w:rsid w:val="52E70C90"/>
    <w:rsid w:val="53057695"/>
    <w:rsid w:val="532412F9"/>
    <w:rsid w:val="53267083"/>
    <w:rsid w:val="53560097"/>
    <w:rsid w:val="537318B8"/>
    <w:rsid w:val="53B847D3"/>
    <w:rsid w:val="53D84237"/>
    <w:rsid w:val="55860E7E"/>
    <w:rsid w:val="55EE6186"/>
    <w:rsid w:val="55FA15BC"/>
    <w:rsid w:val="565A573F"/>
    <w:rsid w:val="56946E99"/>
    <w:rsid w:val="56B6292D"/>
    <w:rsid w:val="56CF6775"/>
    <w:rsid w:val="57214BC9"/>
    <w:rsid w:val="573F0215"/>
    <w:rsid w:val="57751FD0"/>
    <w:rsid w:val="585616C2"/>
    <w:rsid w:val="588D2316"/>
    <w:rsid w:val="58A3081C"/>
    <w:rsid w:val="58BF7E8E"/>
    <w:rsid w:val="58F57508"/>
    <w:rsid w:val="592416C9"/>
    <w:rsid w:val="598968E8"/>
    <w:rsid w:val="5A071AA0"/>
    <w:rsid w:val="5A3C604D"/>
    <w:rsid w:val="5A4E660B"/>
    <w:rsid w:val="5A736072"/>
    <w:rsid w:val="5B9565D8"/>
    <w:rsid w:val="5BE65723"/>
    <w:rsid w:val="5D2B7707"/>
    <w:rsid w:val="5D2E072A"/>
    <w:rsid w:val="5DB24D4D"/>
    <w:rsid w:val="5DEB7187"/>
    <w:rsid w:val="5DF11390"/>
    <w:rsid w:val="5E407B16"/>
    <w:rsid w:val="5E804586"/>
    <w:rsid w:val="5EF0196D"/>
    <w:rsid w:val="5F9C57F8"/>
    <w:rsid w:val="600B3D23"/>
    <w:rsid w:val="60437E9C"/>
    <w:rsid w:val="604A6A92"/>
    <w:rsid w:val="60944AF6"/>
    <w:rsid w:val="609F3900"/>
    <w:rsid w:val="612078EC"/>
    <w:rsid w:val="61BD3D5D"/>
    <w:rsid w:val="61FD10E0"/>
    <w:rsid w:val="623F0FB7"/>
    <w:rsid w:val="62635DA5"/>
    <w:rsid w:val="62F66122"/>
    <w:rsid w:val="632E3718"/>
    <w:rsid w:val="637A3EB2"/>
    <w:rsid w:val="63A54572"/>
    <w:rsid w:val="63EB58B2"/>
    <w:rsid w:val="641F5CF2"/>
    <w:rsid w:val="64D434E5"/>
    <w:rsid w:val="6504504A"/>
    <w:rsid w:val="65055220"/>
    <w:rsid w:val="65416DF5"/>
    <w:rsid w:val="659770B8"/>
    <w:rsid w:val="65983AA7"/>
    <w:rsid w:val="66626176"/>
    <w:rsid w:val="67453E13"/>
    <w:rsid w:val="677E5A48"/>
    <w:rsid w:val="67813DAE"/>
    <w:rsid w:val="67DD75BB"/>
    <w:rsid w:val="68370455"/>
    <w:rsid w:val="683733A7"/>
    <w:rsid w:val="68E933FD"/>
    <w:rsid w:val="691E4564"/>
    <w:rsid w:val="696C456C"/>
    <w:rsid w:val="69E06E5E"/>
    <w:rsid w:val="6A0E0E8E"/>
    <w:rsid w:val="6A2D1BDB"/>
    <w:rsid w:val="6A3A750C"/>
    <w:rsid w:val="6A555A38"/>
    <w:rsid w:val="6A7B0148"/>
    <w:rsid w:val="6A7B0939"/>
    <w:rsid w:val="6B27595F"/>
    <w:rsid w:val="6B275F5B"/>
    <w:rsid w:val="6BC14D9E"/>
    <w:rsid w:val="6C5D58A2"/>
    <w:rsid w:val="6C900B04"/>
    <w:rsid w:val="6CA730A1"/>
    <w:rsid w:val="6D4A54F9"/>
    <w:rsid w:val="6D7039F3"/>
    <w:rsid w:val="6DBE1380"/>
    <w:rsid w:val="6E5F5053"/>
    <w:rsid w:val="6E7F7C41"/>
    <w:rsid w:val="6E95154C"/>
    <w:rsid w:val="6EC63D39"/>
    <w:rsid w:val="6F074D99"/>
    <w:rsid w:val="6F9B1CA8"/>
    <w:rsid w:val="6FBB41C0"/>
    <w:rsid w:val="6FC173B6"/>
    <w:rsid w:val="6FF173C5"/>
    <w:rsid w:val="711E6265"/>
    <w:rsid w:val="71276C9E"/>
    <w:rsid w:val="715971F9"/>
    <w:rsid w:val="726D0121"/>
    <w:rsid w:val="72716347"/>
    <w:rsid w:val="728E34DF"/>
    <w:rsid w:val="73963B80"/>
    <w:rsid w:val="73E059D3"/>
    <w:rsid w:val="742C690D"/>
    <w:rsid w:val="74A71395"/>
    <w:rsid w:val="74F070B8"/>
    <w:rsid w:val="75013F35"/>
    <w:rsid w:val="757A47A1"/>
    <w:rsid w:val="75F8009A"/>
    <w:rsid w:val="76335CBD"/>
    <w:rsid w:val="7696308F"/>
    <w:rsid w:val="76981D6E"/>
    <w:rsid w:val="76D7312B"/>
    <w:rsid w:val="774017F8"/>
    <w:rsid w:val="77677CF8"/>
    <w:rsid w:val="7824624A"/>
    <w:rsid w:val="78250582"/>
    <w:rsid w:val="78275595"/>
    <w:rsid w:val="78390D1A"/>
    <w:rsid w:val="785028B5"/>
    <w:rsid w:val="78744D31"/>
    <w:rsid w:val="78F86E42"/>
    <w:rsid w:val="7924533D"/>
    <w:rsid w:val="7931472C"/>
    <w:rsid w:val="794A032E"/>
    <w:rsid w:val="7AA453A4"/>
    <w:rsid w:val="7AE5394A"/>
    <w:rsid w:val="7B30512C"/>
    <w:rsid w:val="7B737E1A"/>
    <w:rsid w:val="7BA97EF7"/>
    <w:rsid w:val="7C661672"/>
    <w:rsid w:val="7CBE2C96"/>
    <w:rsid w:val="7CD60987"/>
    <w:rsid w:val="7D2E0502"/>
    <w:rsid w:val="7D9705BE"/>
    <w:rsid w:val="7DD02642"/>
    <w:rsid w:val="7DD10836"/>
    <w:rsid w:val="7DD90323"/>
    <w:rsid w:val="7E155678"/>
    <w:rsid w:val="7E7E4C5E"/>
    <w:rsid w:val="7E8D1BF1"/>
    <w:rsid w:val="7EAB7F3E"/>
    <w:rsid w:val="7EB00F88"/>
    <w:rsid w:val="7F57547E"/>
    <w:rsid w:val="7FC335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szCs w:val="24"/>
      <w:lang w:val="en-US" w:eastAsia="zh-CN" w:bidi="ar-SA"/>
    </w:rPr>
  </w:style>
  <w:style w:type="paragraph" w:styleId="2">
    <w:name w:val="heading 1"/>
    <w:basedOn w:val="1"/>
    <w:next w:val="1"/>
    <w:qFormat/>
    <w:uiPriority w:val="1"/>
    <w:pPr>
      <w:ind w:left="726"/>
      <w:outlineLvl w:val="0"/>
    </w:pPr>
    <w:rPr>
      <w:rFonts w:ascii="宋体" w:hAnsi="宋体"/>
      <w:sz w:val="38"/>
      <w:szCs w:val="38"/>
    </w:rPr>
  </w:style>
  <w:style w:type="paragraph" w:styleId="3">
    <w:name w:val="heading 2"/>
    <w:basedOn w:val="1"/>
    <w:next w:val="1"/>
    <w:qFormat/>
    <w:uiPriority w:val="9"/>
    <w:pPr>
      <w:keepNext/>
      <w:keepLines/>
      <w:spacing w:before="140" w:after="140"/>
      <w:outlineLvl w:val="1"/>
    </w:pPr>
    <w:rPr>
      <w:rFonts w:ascii="等线 Light" w:hAnsi="等线 Light" w:eastAsia="华文宋体"/>
      <w:b/>
      <w:bCs/>
      <w:sz w:val="32"/>
      <w:szCs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Body Text Indent"/>
    <w:basedOn w:val="1"/>
    <w:qFormat/>
    <w:uiPriority w:val="0"/>
    <w:pPr>
      <w:spacing w:line="200" w:lineRule="exact"/>
      <w:ind w:firstLine="301"/>
    </w:pPr>
    <w:rPr>
      <w:rFonts w:ascii="宋体" w:hAnsi="Courier New"/>
      <w:spacing w:val="-4"/>
      <w:sz w:val="18"/>
      <w:szCs w:val="20"/>
    </w:rPr>
  </w:style>
  <w:style w:type="paragraph" w:styleId="5">
    <w:name w:val="footer"/>
    <w:basedOn w:val="1"/>
    <w:link w:val="13"/>
    <w:qFormat/>
    <w:uiPriority w:val="0"/>
    <w:pPr>
      <w:tabs>
        <w:tab w:val="center" w:pos="4153"/>
        <w:tab w:val="right" w:pos="8306"/>
      </w:tabs>
      <w:snapToGrid w:val="0"/>
      <w:jc w:val="left"/>
    </w:pPr>
    <w:rPr>
      <w:rFonts w:ascii="Times New Roman" w:hAnsi="Times New Roman"/>
      <w:sz w:val="24"/>
      <w:szCs w:val="18"/>
    </w:rPr>
  </w:style>
  <w:style w:type="paragraph" w:styleId="6">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100" w:beforeAutospacing="1" w:after="100" w:afterAutospacing="1"/>
      <w:jc w:val="left"/>
    </w:pPr>
    <w:rPr>
      <w:kern w:val="0"/>
      <w:sz w:val="24"/>
    </w:rPr>
  </w:style>
  <w:style w:type="paragraph" w:styleId="8">
    <w:name w:val="Body Text First Indent 2"/>
    <w:basedOn w:val="4"/>
    <w:qFormat/>
    <w:uiPriority w:val="0"/>
    <w:pPr>
      <w:ind w:firstLine="420" w:firstLineChars="200"/>
    </w:p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 w:type="character" w:customStyle="1" w:styleId="13">
    <w:name w:val="页脚 字符"/>
    <w:link w:val="5"/>
    <w:qFormat/>
    <w:uiPriority w:val="0"/>
    <w:rPr>
      <w:rFonts w:ascii="Times New Roman" w:hAnsi="Times New Roman" w:eastAsia="方正仿宋_GBK"/>
      <w:kern w:val="2"/>
      <w:sz w:val="24"/>
      <w:szCs w:val="18"/>
    </w:rPr>
  </w:style>
  <w:style w:type="character" w:customStyle="1" w:styleId="14">
    <w:name w:val="页眉 字符"/>
    <w:link w:val="6"/>
    <w:qFormat/>
    <w:uiPriority w:val="0"/>
    <w:rPr>
      <w:kern w:val="2"/>
      <w:sz w:val="18"/>
      <w:szCs w:val="18"/>
    </w:rPr>
  </w:style>
  <w:style w:type="paragraph" w:customStyle="1" w:styleId="15">
    <w:name w:val="正文带缩进"/>
    <w:basedOn w:val="1"/>
    <w:qFormat/>
    <w:uiPriority w:val="0"/>
    <w:pPr>
      <w:spacing w:line="360" w:lineRule="auto"/>
      <w:ind w:firstLine="200" w:firstLineChars="200"/>
    </w:pPr>
    <w:rPr>
      <w:rFonts w:ascii="宋体"/>
      <w:kern w:val="0"/>
      <w:sz w:val="20"/>
      <w:szCs w:val="20"/>
    </w:rPr>
  </w:style>
  <w:style w:type="paragraph" w:customStyle="1" w:styleId="16">
    <w:name w:val="BodyTextIndent"/>
    <w:basedOn w:val="1"/>
    <w:qFormat/>
    <w:uiPriority w:val="0"/>
    <w:pPr>
      <w:spacing w:line="360" w:lineRule="auto"/>
      <w:ind w:left="479" w:leftChars="228" w:firstLine="60" w:firstLineChars="25"/>
      <w:textAlignment w:val="bottom"/>
    </w:pPr>
    <w:rPr>
      <w:rFonts w:ascii="宋体" w:hAnsi="宋体"/>
      <w:color w:val="000000"/>
      <w:kern w:val="0"/>
      <w:sz w:val="24"/>
    </w:rPr>
  </w:style>
  <w:style w:type="character" w:customStyle="1" w:styleId="17">
    <w:name w:val="NormalCharacter"/>
    <w:qFormat/>
    <w:uiPriority w:val="0"/>
  </w:style>
  <w:style w:type="paragraph" w:customStyle="1" w:styleId="18">
    <w:name w:val="No Spacing2"/>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市水利局</Company>
  <Pages>11</Pages>
  <Words>3628</Words>
  <Characters>3758</Characters>
  <Lines>27</Lines>
  <Paragraphs>7</Paragraphs>
  <TotalTime>318</TotalTime>
  <ScaleCrop>false</ScaleCrop>
  <LinksUpToDate>false</LinksUpToDate>
  <CharactersWithSpaces>3768</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2021-12-27T09:59:00Z</dcterms:created>
  <dc:creator>马睿豪</dc:creator>
  <cp:lastModifiedBy>wzsheng</cp:lastModifiedBy>
  <cp:lastPrinted>2024-06-21T01:05:01Z</cp:lastPrinted>
  <dcterms:modified xsi:type="dcterms:W3CDTF">2024-06-21T06:14:03Z</dcterms:modified>
  <dc:title>惠州市河长制综合信息管理平台年度运行维护（2022年度）项目询价函</dc:title>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A4F6C09E2859411AA0B5D76877E0CAC9_13</vt:lpwstr>
  </property>
</Properties>
</file>