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left"/>
        <w:textAlignment w:val="auto"/>
        <w:outlineLvl w:val="9"/>
        <w:rPr>
          <w:rFonts w:hint="eastAsia" w:ascii="仿宋_GB2312" w:hAnsi="仿宋_GB2312" w:eastAsia="仿宋_GB2312" w:cs="仿宋_GB2312"/>
          <w:b/>
          <w:bCs/>
          <w:color w:val="auto"/>
          <w:kern w:val="2"/>
          <w:sz w:val="32"/>
          <w:szCs w:val="32"/>
          <w:highlight w:val="none"/>
          <w:lang w:val="en-US" w:eastAsia="zh-CN" w:bidi="ar-SA"/>
        </w:rPr>
      </w:pPr>
      <w:bookmarkStart w:id="0" w:name="_Toc2920"/>
      <w:bookmarkStart w:id="1" w:name="_Toc339810018"/>
      <w:bookmarkStart w:id="2" w:name="_Toc12272"/>
      <w:bookmarkStart w:id="3" w:name="_Toc10089"/>
      <w:bookmarkStart w:id="4" w:name="_Toc1522"/>
      <w:r>
        <w:rPr>
          <w:rFonts w:hint="eastAsia" w:ascii="仿宋_GB2312" w:hAnsi="仿宋_GB2312" w:eastAsia="仿宋_GB2312" w:cs="仿宋_GB2312"/>
          <w:b/>
          <w:bCs/>
          <w:color w:val="auto"/>
          <w:kern w:val="2"/>
          <w:sz w:val="32"/>
          <w:szCs w:val="32"/>
          <w:highlight w:val="none"/>
          <w:lang w:val="en-US" w:eastAsia="zh-CN" w:bidi="ar-SA"/>
        </w:rPr>
        <w:t>附件：</w:t>
      </w: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博罗县企业登记注册一网通办免费刻章</w:t>
      </w: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运营服务项目采购需求及评分标准</w:t>
      </w:r>
    </w:p>
    <w:p>
      <w:pPr>
        <w:pStyle w:val="43"/>
        <w:keepNext w:val="0"/>
        <w:keepLines w:val="0"/>
        <w:pageBreakBefore w:val="0"/>
        <w:shd w:val="clear"/>
        <w:kinsoku/>
        <w:wordWrap/>
        <w:overflowPunct/>
        <w:topLinePunct w:val="0"/>
        <w:autoSpaceDE/>
        <w:autoSpaceDN/>
        <w:bidi w:val="0"/>
        <w:adjustRightInd/>
        <w:snapToGrid/>
        <w:spacing w:line="56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p>
    <w:p>
      <w:pPr>
        <w:bidi w:val="0"/>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一、项目商务要求</w:t>
      </w:r>
    </w:p>
    <w:bookmarkEnd w:id="0"/>
    <w:bookmarkEnd w:id="1"/>
    <w:bookmarkEnd w:id="2"/>
    <w:bookmarkEnd w:id="3"/>
    <w:bookmarkEnd w:id="4"/>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Hans"/>
        </w:rPr>
      </w:pPr>
      <w:r>
        <w:rPr>
          <w:rFonts w:hint="default" w:ascii="Times New Roman" w:hAnsi="Times New Roman" w:eastAsia="仿宋_GB2312" w:cs="Times New Roman"/>
          <w:color w:val="auto"/>
          <w:sz w:val="32"/>
          <w:szCs w:val="32"/>
          <w:highlight w:val="none"/>
          <w:lang w:val="en-US" w:eastAsia="zh-CN"/>
        </w:rPr>
        <w:t>1.交货时间：自合同签订之日起提供运营服务。</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2.售后服务要求：</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服务期内提供标准电话技术支持（7×24小时），运营运维人员接到通知后10分钟内响应，除特殊情况外，故障排除时间不超过</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小时。</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3.服务期限：3年。</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4.服务地点：采购方指定地点。</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bookmarkStart w:id="5" w:name="_Toc516064525"/>
      <w:bookmarkStart w:id="6" w:name="_Toc267320051"/>
      <w:r>
        <w:rPr>
          <w:rFonts w:hint="default" w:ascii="Times New Roman" w:hAnsi="Times New Roman" w:eastAsia="仿宋_GB2312" w:cs="Times New Roman"/>
          <w:color w:val="auto"/>
          <w:sz w:val="32"/>
          <w:szCs w:val="32"/>
          <w:highlight w:val="none"/>
          <w:lang w:val="en-US" w:eastAsia="zh-CN"/>
        </w:rPr>
        <w:t>5.付款方式</w:t>
      </w:r>
      <w:bookmarkEnd w:id="5"/>
      <w:bookmarkEnd w:id="6"/>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根据合同约定按期通过银行转账支付。</w:t>
      </w:r>
    </w:p>
    <w:p>
      <w:pPr>
        <w:bidi w:val="0"/>
        <w:ind w:left="0" w:leftChars="0" w:firstLine="643" w:firstLineChars="200"/>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二、最高限价</w:t>
      </w:r>
    </w:p>
    <w:tbl>
      <w:tblPr>
        <w:tblStyle w:val="18"/>
        <w:tblW w:w="491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2"/>
        <w:gridCol w:w="3363"/>
        <w:gridCol w:w="870"/>
        <w:gridCol w:w="795"/>
        <w:gridCol w:w="1260"/>
        <w:gridCol w:w="12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序号</w:t>
            </w:r>
          </w:p>
        </w:tc>
        <w:tc>
          <w:tcPr>
            <w:tcW w:w="20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名称</w:t>
            </w:r>
          </w:p>
        </w:tc>
        <w:tc>
          <w:tcPr>
            <w:tcW w:w="5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数量</w:t>
            </w:r>
          </w:p>
        </w:tc>
        <w:tc>
          <w:tcPr>
            <w:tcW w:w="4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单位</w:t>
            </w: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最高限价（元/人民币）</w:t>
            </w:r>
          </w:p>
        </w:tc>
        <w:tc>
          <w:tcPr>
            <w:tcW w:w="7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kern w:val="0"/>
                <w:sz w:val="28"/>
                <w:szCs w:val="28"/>
                <w:highlight w:val="none"/>
                <w:u w:val="none"/>
                <w:lang w:val="en-US" w:eastAsia="zh-CN" w:bidi="ar"/>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1</w:t>
            </w:r>
          </w:p>
        </w:tc>
        <w:tc>
          <w:tcPr>
            <w:tcW w:w="20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bidi="ar"/>
              </w:rPr>
            </w:pPr>
            <w:r>
              <w:rPr>
                <w:rFonts w:hint="default" w:ascii="Times New Roman" w:hAnsi="Times New Roman" w:eastAsia="仿宋_GB2312" w:cs="Times New Roman"/>
                <w:i w:val="0"/>
                <w:iCs w:val="0"/>
                <w:color w:val="000000"/>
                <w:kern w:val="0"/>
                <w:sz w:val="28"/>
                <w:szCs w:val="28"/>
                <w:highlight w:val="none"/>
                <w:u w:val="none"/>
                <w:lang w:bidi="ar"/>
              </w:rPr>
              <w:t>博</w:t>
            </w:r>
            <w:r>
              <w:rPr>
                <w:rFonts w:hint="default" w:ascii="Times New Roman" w:hAnsi="Times New Roman" w:eastAsia="仿宋_GB2312" w:cs="Times New Roman"/>
                <w:i w:val="0"/>
                <w:iCs w:val="0"/>
                <w:color w:val="000000"/>
                <w:kern w:val="0"/>
                <w:sz w:val="28"/>
                <w:szCs w:val="28"/>
                <w:highlight w:val="none"/>
                <w:u w:val="none"/>
                <w:lang w:val="en-US" w:eastAsia="zh-CN" w:bidi="ar"/>
              </w:rPr>
              <w:t>罗县</w:t>
            </w:r>
            <w:r>
              <w:rPr>
                <w:rFonts w:hint="default" w:ascii="Times New Roman" w:hAnsi="Times New Roman" w:eastAsia="仿宋_GB2312" w:cs="Times New Roman"/>
                <w:color w:val="000000"/>
                <w:kern w:val="0"/>
                <w:sz w:val="28"/>
                <w:szCs w:val="28"/>
                <w:highlight w:val="none"/>
                <w:u w:val="none"/>
                <w:lang w:bidi="ar"/>
              </w:rPr>
              <w:t>企业登记注册一网通办</w:t>
            </w:r>
            <w:r>
              <w:rPr>
                <w:rFonts w:hint="default" w:ascii="Times New Roman" w:hAnsi="Times New Roman" w:eastAsia="仿宋_GB2312" w:cs="Times New Roman"/>
                <w:i w:val="0"/>
                <w:iCs w:val="0"/>
                <w:color w:val="000000"/>
                <w:kern w:val="0"/>
                <w:sz w:val="28"/>
                <w:szCs w:val="28"/>
                <w:highlight w:val="none"/>
                <w:u w:val="none"/>
                <w:lang w:val="en-US" w:eastAsia="zh-CN" w:bidi="ar"/>
              </w:rPr>
              <w:t>免费刻章运营服务项目</w:t>
            </w:r>
          </w:p>
        </w:tc>
        <w:tc>
          <w:tcPr>
            <w:tcW w:w="5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3</w:t>
            </w:r>
          </w:p>
        </w:tc>
        <w:tc>
          <w:tcPr>
            <w:tcW w:w="47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年</w:t>
            </w:r>
          </w:p>
        </w:tc>
        <w:tc>
          <w:tcPr>
            <w:tcW w:w="75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themeColor="text1"/>
                <w:kern w:val="0"/>
                <w:sz w:val="28"/>
                <w:szCs w:val="28"/>
                <w:highlight w:val="none"/>
                <w:u w:val="none"/>
                <w:lang w:val="en-US" w:eastAsia="zh-CN" w:bidi="ar"/>
                <w14:textFill>
                  <w14:solidFill>
                    <w14:schemeClr w14:val="tx1"/>
                  </w14:solidFill>
                </w14:textFill>
              </w:rPr>
              <w:t>53</w:t>
            </w:r>
            <w:r>
              <w:rPr>
                <w:rFonts w:hint="default" w:ascii="Times New Roman" w:hAnsi="Times New Roman" w:eastAsia="仿宋_GB2312" w:cs="Times New Roman"/>
                <w:i w:val="0"/>
                <w:iCs w:val="0"/>
                <w:color w:val="000000"/>
                <w:kern w:val="0"/>
                <w:sz w:val="28"/>
                <w:szCs w:val="28"/>
                <w:highlight w:val="none"/>
                <w:u w:val="none"/>
                <w:lang w:val="en-US" w:eastAsia="zh-CN" w:bidi="ar"/>
              </w:rPr>
              <w:t>万</w:t>
            </w:r>
          </w:p>
        </w:tc>
        <w:tc>
          <w:tcPr>
            <w:tcW w:w="76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p>
        </w:tc>
      </w:tr>
    </w:tbl>
    <w:p>
      <w:pPr>
        <w:pageBreakBefore w:val="0"/>
        <w:kinsoku/>
        <w:wordWrap/>
        <w:overflowPunct/>
        <w:topLinePunct w:val="0"/>
        <w:autoSpaceDE/>
        <w:autoSpaceDN/>
        <w:bidi w:val="0"/>
        <w:adjustRightInd/>
        <w:snapToGrid/>
        <w:spacing w:line="560" w:lineRule="exact"/>
        <w:ind w:left="0" w:leftChars="0" w:firstLine="482" w:firstLineChars="200"/>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24"/>
          <w:szCs w:val="24"/>
          <w:highlight w:val="none"/>
          <w:lang w:val="en-US" w:eastAsia="zh-CN"/>
        </w:rPr>
        <w:t>注：本项目不接受联合体投标。</w:t>
      </w:r>
    </w:p>
    <w:p>
      <w:pPr>
        <w:bidi w:val="0"/>
        <w:ind w:left="0" w:leftChars="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三、技术要求</w:t>
      </w:r>
    </w:p>
    <w:p>
      <w:pPr>
        <w:bidi w:val="0"/>
        <w:ind w:left="0" w:leftChars="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（一）项目背景</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当前广东省企业登记注册一网通办平台惠州专区已支持企业在线办理企业设立登记、公安刻章、银行开户、税务领票、员工参保、公积金缴存登记业务的一网通办。用户在博罗县开办企业时可以通过上述平台进行办理。</w:t>
      </w:r>
    </w:p>
    <w:p>
      <w:pPr>
        <w:bidi w:val="0"/>
        <w:ind w:left="0" w:leftChars="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（二）项目目标</w:t>
      </w:r>
    </w:p>
    <w:p>
      <w:pPr>
        <w:pageBreakBefore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项目通过提供免费刻章运营服务，进一步优化博罗县企业开办服务，保障免费刻制印章服务模式正常、有序推行，进一步压缩企业开办成本，构建普惠的“一网通办”政务服务体系，不断提升企业群众办事便捷度和获得感。</w:t>
      </w:r>
    </w:p>
    <w:p>
      <w:pPr>
        <w:numPr>
          <w:ilvl w:val="0"/>
          <w:numId w:val="0"/>
        </w:numPr>
        <w:bidi w:val="0"/>
        <w:ind w:left="0" w:leftChars="0" w:firstLine="643" w:firstLineChars="200"/>
        <w:rPr>
          <w:rFonts w:hint="eastAsia" w:ascii="仿宋_GB2312" w:hAnsi="仿宋_GB2312" w:eastAsia="仿宋_GB2312" w:cs="仿宋_GB2312"/>
          <w:b/>
          <w:bCs/>
          <w:sz w:val="32"/>
          <w:szCs w:val="32"/>
          <w:lang w:val="en-US" w:eastAsia="zh-CN"/>
        </w:rPr>
      </w:pPr>
      <w:bookmarkStart w:id="7" w:name="_Toc141105730"/>
      <w:r>
        <w:rPr>
          <w:rFonts w:hint="eastAsia" w:ascii="仿宋_GB2312" w:hAnsi="仿宋_GB2312" w:eastAsia="仿宋_GB2312" w:cs="仿宋_GB2312"/>
          <w:b/>
          <w:bCs/>
          <w:sz w:val="32"/>
          <w:szCs w:val="32"/>
          <w:lang w:val="en-US" w:eastAsia="zh-CN"/>
        </w:rPr>
        <w:t>（三）服务需求</w:t>
      </w:r>
    </w:p>
    <w:tbl>
      <w:tblPr>
        <w:tblStyle w:val="18"/>
        <w:tblpPr w:leftFromText="180" w:rightFromText="180" w:vertAnchor="text" w:horzAnchor="page" w:tblpX="2046" w:tblpY="81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593"/>
        <w:gridCol w:w="1348"/>
        <w:gridCol w:w="5555"/>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51" w:hRule="atLeast"/>
        </w:trPr>
        <w:tc>
          <w:tcPr>
            <w:tcW w:w="355" w:type="pct"/>
            <w:tcBorders>
              <w:top w:val="single" w:color="auto" w:sz="4" w:space="0"/>
              <w:left w:val="single" w:color="auto" w:sz="4" w:space="0"/>
              <w:bottom w:val="single" w:color="auto" w:sz="4" w:space="0"/>
              <w:right w:val="single" w:color="auto" w:sz="4" w:space="0"/>
            </w:tcBorders>
            <w:shd w:val="clear" w:color="auto" w:fill="F2F2F2"/>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b/>
                <w:bCs/>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序号</w:t>
            </w:r>
          </w:p>
        </w:tc>
        <w:tc>
          <w:tcPr>
            <w:tcW w:w="809" w:type="pct"/>
            <w:tcBorders>
              <w:top w:val="single" w:color="auto" w:sz="4" w:space="0"/>
              <w:left w:val="single" w:color="auto" w:sz="4" w:space="0"/>
              <w:bottom w:val="single" w:color="auto" w:sz="4" w:space="0"/>
              <w:right w:val="single" w:color="auto" w:sz="4" w:space="0"/>
            </w:tcBorders>
            <w:shd w:val="clear" w:color="auto" w:fill="F2F2F2"/>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b/>
                <w:bCs/>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服务名称</w:t>
            </w:r>
          </w:p>
        </w:tc>
        <w:tc>
          <w:tcPr>
            <w:tcW w:w="3332" w:type="pct"/>
            <w:tcBorders>
              <w:top w:val="single" w:color="auto" w:sz="4" w:space="0"/>
              <w:left w:val="single" w:color="auto" w:sz="4" w:space="0"/>
              <w:bottom w:val="single" w:color="auto" w:sz="4" w:space="0"/>
              <w:right w:val="single" w:color="auto" w:sz="4" w:space="0"/>
            </w:tcBorders>
            <w:shd w:val="clear" w:color="auto" w:fill="F2F2F2"/>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b/>
                <w:bCs/>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服务要求</w:t>
            </w:r>
          </w:p>
        </w:tc>
        <w:tc>
          <w:tcPr>
            <w:tcW w:w="502" w:type="pct"/>
            <w:tcBorders>
              <w:top w:val="single" w:color="auto" w:sz="4" w:space="0"/>
              <w:left w:val="single" w:color="auto" w:sz="4" w:space="0"/>
              <w:bottom w:val="single" w:color="auto" w:sz="4" w:space="0"/>
              <w:right w:val="single" w:color="auto" w:sz="4" w:space="0"/>
            </w:tcBorders>
            <w:shd w:val="clear" w:color="auto" w:fill="F2F2F2"/>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b/>
                <w:bCs/>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trPr>
        <w:tc>
          <w:tcPr>
            <w:tcW w:w="35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1</w:t>
            </w:r>
          </w:p>
        </w:tc>
        <w:tc>
          <w:tcPr>
            <w:tcW w:w="80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业务运营</w:t>
            </w:r>
          </w:p>
        </w:tc>
        <w:tc>
          <w:tcPr>
            <w:tcW w:w="333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1、业务运营：</w:t>
            </w:r>
            <w:r>
              <w:rPr>
                <w:rFonts w:hint="default" w:ascii="Times New Roman" w:hAnsi="Times New Roman" w:eastAsia="仿宋_GB2312" w:cs="Times New Roman"/>
                <w:kern w:val="2"/>
                <w:sz w:val="28"/>
                <w:szCs w:val="28"/>
                <w:highlight w:val="none"/>
                <w:lang w:val="en-US" w:eastAsia="zh-CN" w:bidi="ar"/>
              </w:rPr>
              <w:t>对博罗县免费刻章的所有订单进行维护，包括订单问题处理、接单问题处理、窗口领取问题处理等进行全程跟踪，保障所有业务能够正常、准确的执行和流转、业务超时催办和监督等，并即时响应管理好相关业务工作汇报、问题反馈、文档整理、要求对接等工作，确保该平台和业务高效运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2、数据分析：</w:t>
            </w:r>
            <w:r>
              <w:rPr>
                <w:rFonts w:hint="default" w:ascii="Times New Roman" w:hAnsi="Times New Roman" w:eastAsia="仿宋_GB2312" w:cs="Times New Roman"/>
                <w:kern w:val="2"/>
                <w:sz w:val="28"/>
                <w:szCs w:val="28"/>
                <w:highlight w:val="none"/>
                <w:lang w:val="en-US" w:eastAsia="zh-CN" w:bidi="ar"/>
              </w:rPr>
              <w:t>提供运营数据采集、数据服务总结等数据统计分析服务，包括但不限于运营数据工作周报、运营指标综合分析月报、数据服务统计记录，并根据业务实际要求提供定制化数据查询统计服务，协助查询、统计、导出各类业务数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3、客服咨询：</w:t>
            </w:r>
            <w:r>
              <w:rPr>
                <w:rFonts w:hint="default" w:ascii="Times New Roman" w:hAnsi="Times New Roman" w:eastAsia="仿宋_GB2312" w:cs="Times New Roman"/>
                <w:kern w:val="2"/>
                <w:sz w:val="28"/>
                <w:szCs w:val="28"/>
                <w:highlight w:val="none"/>
                <w:lang w:val="en-US" w:eastAsia="zh-CN" w:bidi="ar"/>
              </w:rPr>
              <w:t>提供电话、线上的客服咨询服务，可远程支持，但必要时需要到现场提供支持服务。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4、培训服务：</w:t>
            </w:r>
            <w:r>
              <w:rPr>
                <w:rFonts w:hint="default" w:ascii="Times New Roman" w:hAnsi="Times New Roman" w:eastAsia="仿宋_GB2312" w:cs="Times New Roman"/>
                <w:kern w:val="2"/>
                <w:sz w:val="28"/>
                <w:szCs w:val="28"/>
                <w:highlight w:val="none"/>
                <w:lang w:val="en-US" w:eastAsia="zh-CN" w:bidi="ar"/>
              </w:rPr>
              <w:t>对大厅窗口工作人员、大厅管理人员和刻章机构等相关角色进行业务培训。</w:t>
            </w:r>
          </w:p>
        </w:tc>
        <w:tc>
          <w:tcPr>
            <w:tcW w:w="5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062" w:hRule="atLeast"/>
        </w:trPr>
        <w:tc>
          <w:tcPr>
            <w:tcW w:w="35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2</w:t>
            </w:r>
          </w:p>
        </w:tc>
        <w:tc>
          <w:tcPr>
            <w:tcW w:w="80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业务运维</w:t>
            </w:r>
          </w:p>
        </w:tc>
        <w:tc>
          <w:tcPr>
            <w:tcW w:w="333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1、日常运维：</w:t>
            </w:r>
            <w:r>
              <w:rPr>
                <w:rFonts w:hint="default" w:ascii="Times New Roman" w:hAnsi="Times New Roman" w:eastAsia="仿宋_GB2312" w:cs="Times New Roman"/>
                <w:kern w:val="2"/>
                <w:sz w:val="28"/>
                <w:szCs w:val="28"/>
                <w:highlight w:val="none"/>
                <w:lang w:val="en-US" w:eastAsia="zh-CN" w:bidi="ar"/>
              </w:rPr>
              <w:t>提供日常系统维护、系统巡检、系统运行状态监控、数据预警、故障检测、故障排除、配置维护、权限管理、运维报障工单处理等运维工作。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2、数据维护：</w:t>
            </w:r>
            <w:r>
              <w:rPr>
                <w:rFonts w:hint="default" w:ascii="Times New Roman" w:hAnsi="Times New Roman" w:eastAsia="仿宋_GB2312" w:cs="Times New Roman"/>
                <w:kern w:val="2"/>
                <w:sz w:val="28"/>
                <w:szCs w:val="28"/>
                <w:highlight w:val="none"/>
                <w:lang w:val="en-US" w:eastAsia="zh-CN" w:bidi="ar"/>
              </w:rPr>
              <w:t>定期对系统历史数据进行修正，解决因数据不完整、逻辑错误等原因造成的各类业务问题；要求定期对系统数据库进行备份，保障系统数据完整，防止数据因系统故障而丢失，并提供数据的恢复服务。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3、系统优化：</w:t>
            </w:r>
            <w:r>
              <w:rPr>
                <w:rFonts w:hint="default" w:ascii="Times New Roman" w:hAnsi="Times New Roman" w:eastAsia="仿宋_GB2312" w:cs="Times New Roman"/>
                <w:kern w:val="2"/>
                <w:sz w:val="28"/>
                <w:szCs w:val="28"/>
                <w:highlight w:val="none"/>
                <w:lang w:val="en-US" w:eastAsia="zh-CN" w:bidi="ar"/>
              </w:rPr>
              <w:t>需做好系统补丁及接口升级服务、系统安全相关优化工作、应用软件适应性优化服务、数据库优化、Bug修复服务。</w:t>
            </w:r>
          </w:p>
        </w:tc>
        <w:tc>
          <w:tcPr>
            <w:tcW w:w="5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790" w:hRule="atLeast"/>
        </w:trPr>
        <w:tc>
          <w:tcPr>
            <w:tcW w:w="35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3</w:t>
            </w:r>
          </w:p>
        </w:tc>
        <w:tc>
          <w:tcPr>
            <w:tcW w:w="809"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接口服务</w:t>
            </w:r>
          </w:p>
        </w:tc>
        <w:tc>
          <w:tcPr>
            <w:tcW w:w="333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left"/>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b/>
                <w:bCs/>
                <w:kern w:val="2"/>
                <w:sz w:val="28"/>
                <w:szCs w:val="28"/>
                <w:highlight w:val="none"/>
                <w:lang w:val="en-US" w:eastAsia="zh-CN" w:bidi="ar"/>
              </w:rPr>
              <w:t>第三方接口服务：</w:t>
            </w:r>
            <w:r>
              <w:rPr>
                <w:rFonts w:hint="default" w:ascii="Times New Roman" w:hAnsi="Times New Roman" w:eastAsia="仿宋_GB2312" w:cs="Times New Roman"/>
                <w:kern w:val="2"/>
                <w:sz w:val="28"/>
                <w:szCs w:val="28"/>
                <w:highlight w:val="none"/>
                <w:lang w:val="en-US" w:eastAsia="zh-CN" w:bidi="ar"/>
              </w:rPr>
              <w:t>需与广东省公章治安管理信息系统做好接口工作，提供3年接口运维服务。</w:t>
            </w:r>
          </w:p>
        </w:tc>
        <w:tc>
          <w:tcPr>
            <w:tcW w:w="5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jc w:val="center"/>
              <w:textAlignment w:val="center"/>
              <w:rPr>
                <w:rFonts w:hint="default" w:ascii="Times New Roman" w:hAnsi="Times New Roman" w:eastAsia="仿宋_GB2312" w:cs="Times New Roman"/>
                <w:sz w:val="28"/>
                <w:szCs w:val="28"/>
                <w:highlight w:val="none"/>
                <w:lang w:val="en-US"/>
              </w:rPr>
            </w:pPr>
            <w:r>
              <w:rPr>
                <w:rFonts w:hint="default" w:ascii="Times New Roman" w:hAnsi="Times New Roman" w:eastAsia="仿宋_GB2312" w:cs="Times New Roman"/>
                <w:kern w:val="2"/>
                <w:sz w:val="28"/>
                <w:szCs w:val="28"/>
                <w:highlight w:val="none"/>
                <w:lang w:val="en-US" w:eastAsia="zh-CN" w:bidi="ar"/>
              </w:rPr>
              <w:t>3年</w:t>
            </w:r>
          </w:p>
        </w:tc>
      </w:tr>
    </w:tbl>
    <w:p>
      <w:pPr>
        <w:pageBreakBefore w:val="0"/>
        <w:kinsoku/>
        <w:wordWrap/>
        <w:overflowPunct/>
        <w:topLinePunct w:val="0"/>
        <w:autoSpaceDE/>
        <w:autoSpaceDN/>
        <w:bidi w:val="0"/>
        <w:adjustRightInd/>
        <w:snapToGrid/>
        <w:spacing w:line="560" w:lineRule="exact"/>
        <w:ind w:left="0" w:leftChars="0" w:firstLine="420" w:firstLineChars="200"/>
        <w:rPr>
          <w:rFonts w:hint="default" w:ascii="Times New Roman" w:hAnsi="Times New Roman" w:eastAsia="仿宋_GB2312" w:cs="Times New Roman"/>
          <w:highlight w:val="none"/>
          <w:lang w:val="en-US" w:eastAsia="zh-CN"/>
        </w:rPr>
      </w:pPr>
    </w:p>
    <w:bookmarkEnd w:id="7"/>
    <w:p>
      <w:pPr>
        <w:bidi w:val="0"/>
        <w:ind w:left="0" w:leftChars="0" w:firstLine="842" w:firstLineChars="26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四、评审标准</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959"/>
        <w:gridCol w:w="1197"/>
        <w:gridCol w:w="1184"/>
        <w:gridCol w:w="4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293" w:type="pct"/>
            <w:gridSpan w:val="2"/>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评审因素</w:t>
            </w:r>
          </w:p>
        </w:tc>
        <w:tc>
          <w:tcPr>
            <w:tcW w:w="710" w:type="pct"/>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分值(分</w:t>
            </w:r>
            <w:r>
              <w:rPr>
                <w:rFonts w:hint="default" w:ascii="Times New Roman" w:hAnsi="Times New Roman" w:eastAsia="仿宋_GB2312" w:cs="Times New Roman"/>
                <w:b/>
                <w:color w:val="auto"/>
                <w:kern w:val="0"/>
                <w:sz w:val="28"/>
                <w:szCs w:val="28"/>
                <w:highlight w:val="none"/>
                <w:lang w:eastAsia="zh-CN" w:bidi="ar"/>
              </w:rPr>
              <w:t>）</w:t>
            </w:r>
          </w:p>
        </w:tc>
        <w:tc>
          <w:tcPr>
            <w:tcW w:w="2995" w:type="pct"/>
            <w:shd w:val="clear" w:color="auto" w:fill="CFCECE" w:themeFill="background2" w:themeFillShade="E5"/>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b/>
                <w:color w:val="auto"/>
                <w:sz w:val="28"/>
                <w:szCs w:val="28"/>
                <w:highlight w:val="none"/>
              </w:rPr>
            </w:pPr>
            <w:r>
              <w:rPr>
                <w:rFonts w:hint="default" w:ascii="Times New Roman" w:hAnsi="Times New Roman" w:eastAsia="仿宋_GB2312" w:cs="Times New Roman"/>
                <w:b/>
                <w:color w:val="auto"/>
                <w:kern w:val="0"/>
                <w:sz w:val="28"/>
                <w:szCs w:val="28"/>
                <w:highlight w:val="none"/>
                <w:lang w:bidi="ar"/>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293"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bidi="ar"/>
              </w:rPr>
              <w:t>价格</w:t>
            </w:r>
            <w:r>
              <w:rPr>
                <w:rFonts w:hint="default" w:ascii="Times New Roman" w:hAnsi="Times New Roman" w:eastAsia="仿宋_GB2312" w:cs="Times New Roman"/>
                <w:color w:val="auto"/>
                <w:kern w:val="0"/>
                <w:sz w:val="28"/>
                <w:szCs w:val="28"/>
                <w:highlight w:val="none"/>
                <w:lang w:eastAsia="zh-CN" w:bidi="ar"/>
              </w:rPr>
              <w:t>（</w:t>
            </w:r>
            <w:r>
              <w:rPr>
                <w:rFonts w:hint="default" w:ascii="Times New Roman" w:hAnsi="Times New Roman" w:eastAsia="仿宋_GB2312" w:cs="Times New Roman"/>
                <w:color w:val="auto"/>
                <w:kern w:val="0"/>
                <w:sz w:val="28"/>
                <w:szCs w:val="28"/>
                <w:highlight w:val="none"/>
                <w:lang w:val="en-US" w:eastAsia="zh-CN" w:bidi="ar"/>
              </w:rPr>
              <w:t>10分）</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10</w:t>
            </w:r>
          </w:p>
        </w:tc>
        <w:tc>
          <w:tcPr>
            <w:tcW w:w="29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对招标文件</w:t>
            </w:r>
            <w:r>
              <w:rPr>
                <w:rFonts w:hint="default" w:ascii="Times New Roman" w:hAnsi="Times New Roman" w:eastAsia="仿宋_GB2312" w:cs="Times New Roman"/>
                <w:color w:val="auto"/>
                <w:kern w:val="0"/>
                <w:sz w:val="28"/>
                <w:szCs w:val="28"/>
                <w:highlight w:val="none"/>
                <w:lang w:eastAsia="zh-CN" w:bidi="ar"/>
              </w:rPr>
              <w:t>作出</w:t>
            </w:r>
            <w:r>
              <w:rPr>
                <w:rFonts w:hint="default" w:ascii="Times New Roman" w:hAnsi="Times New Roman" w:eastAsia="仿宋_GB2312" w:cs="Times New Roman"/>
                <w:color w:val="auto"/>
                <w:kern w:val="0"/>
                <w:sz w:val="28"/>
                <w:szCs w:val="28"/>
                <w:highlight w:val="none"/>
                <w:lang w:bidi="ar"/>
              </w:rPr>
              <w:t>实质性响应的所有合格投标人价格评估得分采用低价优先法计算，即通过初审且投标价格最低的投标报价</w:t>
            </w:r>
            <w:r>
              <w:rPr>
                <w:rFonts w:hint="eastAsia" w:eastAsia="仿宋_GB2312" w:cs="Times New Roman"/>
                <w:color w:val="auto"/>
                <w:kern w:val="0"/>
                <w:sz w:val="28"/>
                <w:szCs w:val="28"/>
                <w:highlight w:val="none"/>
                <w:lang w:val="en-US" w:eastAsia="zh-CN" w:bidi="ar"/>
              </w:rPr>
              <w:t>作</w:t>
            </w:r>
            <w:r>
              <w:rPr>
                <w:rFonts w:hint="default" w:ascii="Times New Roman" w:hAnsi="Times New Roman" w:eastAsia="仿宋_GB2312" w:cs="Times New Roman"/>
                <w:color w:val="auto"/>
                <w:kern w:val="0"/>
                <w:sz w:val="28"/>
                <w:szCs w:val="28"/>
                <w:highlight w:val="none"/>
                <w:lang w:bidi="ar"/>
              </w:rPr>
              <w:t>为评标基准价，其投标报价得分为满分；其他投标人的投标报价得分按如下公式计算：投标人价格得分=（评标基准价/投标报价）×价格满分基数。投标人的投标文件须提供成本清单且评标委员会认定投标人此报价具备合理履约能力(招标文件报价要求中另有约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rPr>
        <w:tc>
          <w:tcPr>
            <w:tcW w:w="57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技术部分（60分）</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rPr>
            </w:pPr>
            <w:r>
              <w:rPr>
                <w:rFonts w:hint="default" w:ascii="Times New Roman" w:hAnsi="Times New Roman" w:eastAsia="仿宋_GB2312" w:cs="Times New Roman"/>
                <w:color w:val="auto"/>
                <w:kern w:val="0"/>
                <w:sz w:val="28"/>
                <w:szCs w:val="28"/>
                <w:highlight w:val="none"/>
                <w:lang w:bidi="ar"/>
              </w:rPr>
              <w:t>项目</w:t>
            </w:r>
            <w:r>
              <w:rPr>
                <w:rFonts w:hint="default" w:ascii="Times New Roman" w:hAnsi="Times New Roman" w:eastAsia="仿宋_GB2312" w:cs="Times New Roman"/>
                <w:color w:val="auto"/>
                <w:kern w:val="0"/>
                <w:sz w:val="28"/>
                <w:szCs w:val="28"/>
                <w:highlight w:val="none"/>
                <w:lang w:val="en-US" w:eastAsia="zh-CN" w:bidi="ar"/>
              </w:rPr>
              <w:t>理解程度</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15</w:t>
            </w:r>
          </w:p>
        </w:tc>
        <w:tc>
          <w:tcPr>
            <w:tcW w:w="2995"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投标人根据本项目要求，对项目的建设背景、一网通办系统现状、免费刻章业务以及省级系统对接等理解程度进行综合评审：</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（1）对以上项目内容的理解把握有深度，需求理解细致到位，阐述内容详细且完全符合用户环境及业务要求的，得15分；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（2）对以上项目内容有基本理解，但阐述内容不完全符合用户环境及业务要求的，得10分；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rPr>
                <w:rFonts w:hint="default" w:ascii="Times New Roman" w:hAnsi="Times New Roman" w:eastAsia="仿宋_GB2312" w:cs="Times New Roman"/>
                <w:kern w:val="0"/>
                <w:sz w:val="28"/>
                <w:szCs w:val="28"/>
                <w:highlight w:val="none"/>
                <w:lang w:bidi="ar"/>
              </w:rPr>
            </w:pPr>
            <w:r>
              <w:rPr>
                <w:rFonts w:hint="default" w:ascii="Times New Roman" w:hAnsi="Times New Roman" w:eastAsia="仿宋_GB2312" w:cs="Times New Roman"/>
                <w:kern w:val="0"/>
                <w:sz w:val="28"/>
                <w:szCs w:val="28"/>
                <w:highlight w:val="none"/>
                <w:lang w:bidi="ar"/>
              </w:rPr>
              <w:t>（3）对以上项目内容有基本理解，但阐述内容不太符合用户环境及业务要求的，得5分；</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kern w:val="0"/>
                <w:sz w:val="28"/>
                <w:szCs w:val="28"/>
                <w:highlight w:val="none"/>
                <w:lang w:bidi="ar"/>
              </w:rPr>
              <w:t>（4）未提供相关描述的，得0分。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3" w:hRule="atLeast"/>
        </w:trPr>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kern w:val="0"/>
                <w:sz w:val="28"/>
                <w:szCs w:val="28"/>
                <w:highlight w:val="none"/>
                <w:lang w:val="en-US" w:eastAsia="zh-CN"/>
              </w:rPr>
              <w:t>业务运营服务方案</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15</w:t>
            </w:r>
          </w:p>
        </w:tc>
        <w:tc>
          <w:tcPr>
            <w:tcW w:w="29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投标人根据</w:t>
            </w:r>
            <w:r>
              <w:rPr>
                <w:rFonts w:hint="default" w:ascii="Times New Roman" w:hAnsi="Times New Roman" w:eastAsia="仿宋_GB2312" w:cs="Times New Roman"/>
                <w:color w:val="auto"/>
                <w:kern w:val="0"/>
                <w:sz w:val="28"/>
                <w:szCs w:val="28"/>
                <w:highlight w:val="none"/>
                <w:lang w:bidi="ar"/>
              </w:rPr>
              <w:t>本项目要求</w:t>
            </w:r>
            <w:r>
              <w:rPr>
                <w:rFonts w:hint="default" w:ascii="Times New Roman" w:hAnsi="Times New Roman" w:eastAsia="仿宋_GB2312" w:cs="Times New Roman"/>
                <w:color w:val="auto"/>
                <w:kern w:val="0"/>
                <w:sz w:val="28"/>
                <w:szCs w:val="28"/>
                <w:highlight w:val="none"/>
                <w:lang w:val="en-US" w:eastAsia="zh-CN" w:bidi="ar"/>
              </w:rPr>
              <w:t>提供本项目的业务运营服务方案，内容包括不限于业务运营、数据分析、客服咨询、培训服务。根据供应商提交的项目运营方案进行综合评审：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（1）运营方案内容包含以上所有内容，且方案完整、详细、表述清晰、完全满足且优于用户环境及业务要求的，得15分；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（2）运营方案内容包含以上所有内容，且方案比较完整、详细、表述比较清晰、完全满足用户环境及业务要求的得10分；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（3）运营方案内容包含以上所有内容，且方案基本完整、表述基本清晰，不完全满足用户环境及业务要求的得5分；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val="en-US" w:eastAsia="zh-CN" w:bidi="ar"/>
              </w:rPr>
              <w:t>（4）运营方案不完整、不合理、不具备可操</w:t>
            </w:r>
            <w:r>
              <w:rPr>
                <w:rFonts w:hint="eastAsia" w:eastAsia="仿宋_GB2312" w:cs="Times New Roman"/>
                <w:color w:val="auto"/>
                <w:kern w:val="0"/>
                <w:sz w:val="28"/>
                <w:szCs w:val="28"/>
                <w:highlight w:val="none"/>
                <w:lang w:val="en-US" w:eastAsia="zh-CN" w:bidi="ar"/>
              </w:rPr>
              <w:t>作</w:t>
            </w:r>
            <w:r>
              <w:rPr>
                <w:rFonts w:hint="default" w:ascii="Times New Roman" w:hAnsi="Times New Roman" w:eastAsia="仿宋_GB2312" w:cs="Times New Roman"/>
                <w:color w:val="auto"/>
                <w:kern w:val="0"/>
                <w:sz w:val="28"/>
                <w:szCs w:val="28"/>
                <w:highlight w:val="none"/>
                <w:lang w:val="en-US" w:eastAsia="zh-CN" w:bidi="ar"/>
              </w:rPr>
              <w:t>性，不能满足用户环境及业务要求的得0分。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rPr>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val="en-US" w:eastAsia="zh-Hans" w:bidi="ar"/>
              </w:rPr>
            </w:pPr>
            <w:r>
              <w:rPr>
                <w:rFonts w:hint="default" w:ascii="Times New Roman" w:hAnsi="Times New Roman" w:eastAsia="仿宋_GB2312" w:cs="Times New Roman"/>
                <w:color w:val="auto"/>
                <w:kern w:val="0"/>
                <w:sz w:val="28"/>
                <w:szCs w:val="28"/>
                <w:highlight w:val="none"/>
                <w:lang w:val="en-US" w:eastAsia="zh-CN" w:bidi="ar"/>
              </w:rPr>
              <w:t>业务运维服务</w:t>
            </w:r>
            <w:r>
              <w:rPr>
                <w:rFonts w:hint="default" w:ascii="Times New Roman" w:hAnsi="Times New Roman" w:eastAsia="仿宋_GB2312" w:cs="Times New Roman"/>
                <w:color w:val="auto"/>
                <w:kern w:val="0"/>
                <w:sz w:val="28"/>
                <w:szCs w:val="28"/>
                <w:highlight w:val="none"/>
                <w:lang w:val="en-US" w:eastAsia="zh-Hans" w:bidi="ar"/>
              </w:rPr>
              <w:t>方案</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15</w:t>
            </w:r>
          </w:p>
        </w:tc>
        <w:tc>
          <w:tcPr>
            <w:tcW w:w="29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投标人根据</w:t>
            </w:r>
            <w:r>
              <w:rPr>
                <w:rFonts w:hint="default" w:ascii="Times New Roman" w:hAnsi="Times New Roman" w:eastAsia="仿宋_GB2312" w:cs="Times New Roman"/>
                <w:color w:val="auto"/>
                <w:kern w:val="0"/>
                <w:sz w:val="28"/>
                <w:szCs w:val="28"/>
                <w:highlight w:val="none"/>
                <w:lang w:bidi="ar"/>
              </w:rPr>
              <w:t>本项目要求</w:t>
            </w:r>
            <w:r>
              <w:rPr>
                <w:rFonts w:hint="default" w:ascii="Times New Roman" w:hAnsi="Times New Roman" w:eastAsia="仿宋_GB2312" w:cs="Times New Roman"/>
                <w:color w:val="auto"/>
                <w:kern w:val="0"/>
                <w:sz w:val="28"/>
                <w:szCs w:val="28"/>
                <w:highlight w:val="none"/>
                <w:lang w:val="en-US" w:eastAsia="zh-CN" w:bidi="ar"/>
              </w:rPr>
              <w:t>提供本项目的业务运维服务方案，内容包括不限于日常运维、数据维护、系统优化。根据供应商提交的项目运维方案进行综合评审：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（1）运维方案内容包含以上所有内容，且方案完整、详细、表述清晰、完全满足且优于用户环境及业务要求的，得15分；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（2）运维方案内容包含以上所有内容，且方案比较完整、详细、表述比较清晰、完全满足用户环境及业务要求的得10分；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（3）运维方案内容包含以上所有内容，且</w:t>
            </w:r>
            <w:bookmarkStart w:id="8" w:name="_GoBack"/>
            <w:bookmarkEnd w:id="8"/>
            <w:r>
              <w:rPr>
                <w:rFonts w:hint="default" w:ascii="Times New Roman" w:hAnsi="Times New Roman" w:eastAsia="仿宋_GB2312" w:cs="Times New Roman"/>
                <w:color w:val="auto"/>
                <w:kern w:val="0"/>
                <w:sz w:val="28"/>
                <w:szCs w:val="28"/>
                <w:highlight w:val="none"/>
                <w:lang w:val="en-US" w:eastAsia="zh-CN" w:bidi="ar"/>
              </w:rPr>
              <w:t>方案基本完整、表述基本清晰，不完全满足用户环境及业务要求的得5分；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（4）运维方案不完整、不合理、不具备可操</w:t>
            </w:r>
            <w:r>
              <w:rPr>
                <w:rFonts w:hint="eastAsia" w:eastAsia="仿宋_GB2312" w:cs="Times New Roman"/>
                <w:color w:val="auto"/>
                <w:kern w:val="0"/>
                <w:sz w:val="28"/>
                <w:szCs w:val="28"/>
                <w:highlight w:val="none"/>
                <w:lang w:val="en-US" w:eastAsia="zh-CN" w:bidi="ar"/>
              </w:rPr>
              <w:t>作</w:t>
            </w:r>
            <w:r>
              <w:rPr>
                <w:rFonts w:hint="default" w:ascii="Times New Roman" w:hAnsi="Times New Roman" w:eastAsia="仿宋_GB2312" w:cs="Times New Roman"/>
                <w:color w:val="auto"/>
                <w:kern w:val="0"/>
                <w:sz w:val="28"/>
                <w:szCs w:val="28"/>
                <w:highlight w:val="none"/>
                <w:lang w:val="en-US" w:eastAsia="zh-CN" w:bidi="ar"/>
              </w:rPr>
              <w:t>性，不能满足用户环境及业务要求的得0分。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0" w:hRule="atLeast"/>
        </w:trPr>
        <w:tc>
          <w:tcPr>
            <w:tcW w:w="575"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rPr>
                <w:rFonts w:hint="default" w:ascii="Times New Roman" w:hAnsi="Times New Roman" w:eastAsia="仿宋_GB2312" w:cs="Times New Roman"/>
                <w:color w:val="auto"/>
                <w:sz w:val="28"/>
                <w:szCs w:val="28"/>
                <w:highlight w:val="none"/>
              </w:rPr>
            </w:pP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质量保障措施方案</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15</w:t>
            </w:r>
          </w:p>
        </w:tc>
        <w:tc>
          <w:tcPr>
            <w:tcW w:w="29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根据投标人提供的质量保障措施方案进行比较和评优。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1、质量控制体系；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2、质量保障措施；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3、应急处理及响应方案；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val="en-US" w:eastAsia="zh-CN" w:bidi="ar"/>
              </w:rPr>
              <w:t>4</w:t>
            </w:r>
            <w:r>
              <w:rPr>
                <w:rFonts w:hint="default" w:ascii="Times New Roman" w:hAnsi="Times New Roman" w:eastAsia="仿宋_GB2312" w:cs="Times New Roman"/>
                <w:color w:val="auto"/>
                <w:kern w:val="0"/>
                <w:sz w:val="28"/>
                <w:szCs w:val="28"/>
                <w:highlight w:val="none"/>
                <w:lang w:bidi="ar"/>
              </w:rPr>
              <w:t>、售后服务体系。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bidi="ar"/>
              </w:rPr>
              <w:t>从准确性、合理性、科学性、可操作性等方面打分，方案准确合理科学，可操作性强，完全满足并优于采购需求，得15分；方案较准确合理科学，可操作性较强，完全满足采购需求，得12分；方案不太准确，可操作性不强，不能完全满足采购需求，视方案实际情况得2至9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575"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商务部分（30分）</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同类业绩</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6</w:t>
            </w:r>
          </w:p>
        </w:tc>
        <w:tc>
          <w:tcPr>
            <w:tcW w:w="29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val="en-US" w:eastAsia="zh-CN" w:bidi="ar"/>
              </w:rPr>
              <w:t>根据2021年至今（以合同签订时间为准）政务类运营运维同类型项目业绩进行评审，供应商每提供1份得1分，无提供的得0分。本项最高得分为6分。需提供项目合同关键页（含签订合同）双方的单位名称、合同项目名称、服务内容、签订合同双方的落款盖章、签订日期的关键页）复印件加盖供应商公章作为同类业绩评价证明资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575"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rPr>
                <w:rFonts w:hint="default" w:ascii="Times New Roman" w:hAnsi="Times New Roman" w:eastAsia="仿宋_GB2312" w:cs="Times New Roman"/>
                <w:color w:val="auto"/>
                <w:sz w:val="28"/>
                <w:szCs w:val="28"/>
                <w:highlight w:val="none"/>
                <w:lang w:val="en-US" w:eastAsia="zh-CN"/>
              </w:rPr>
            </w:pPr>
          </w:p>
        </w:tc>
        <w:tc>
          <w:tcPr>
            <w:tcW w:w="718"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投标人资质情况</w:t>
            </w:r>
          </w:p>
        </w:tc>
        <w:tc>
          <w:tcPr>
            <w:tcW w:w="710"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sz w:val="28"/>
                <w:szCs w:val="28"/>
                <w:highlight w:val="none"/>
                <w:lang w:val="en-US" w:eastAsia="zh-CN"/>
              </w:rPr>
              <w:t>10</w:t>
            </w:r>
          </w:p>
        </w:tc>
        <w:tc>
          <w:tcPr>
            <w:tcW w:w="2995" w:type="pc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评委会对投标人提供的证书进行评审：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①获得质量管理体系认证</w:t>
            </w:r>
            <w:r>
              <w:rPr>
                <w:rFonts w:hint="default" w:ascii="Times New Roman" w:hAnsi="Times New Roman" w:eastAsia="仿宋_GB2312" w:cs="Times New Roman"/>
                <w:color w:val="auto"/>
                <w:kern w:val="0"/>
                <w:sz w:val="28"/>
                <w:szCs w:val="28"/>
                <w:highlight w:val="none"/>
                <w:lang w:val="en-US" w:eastAsia="zh-Hans" w:bidi="ar"/>
              </w:rPr>
              <w:t>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eastAsia="zh-CN" w:bidi="ar"/>
              </w:rPr>
            </w:pPr>
            <w:r>
              <w:rPr>
                <w:rFonts w:hint="default" w:ascii="Times New Roman" w:hAnsi="Times New Roman" w:eastAsia="仿宋_GB2312" w:cs="Times New Roman"/>
                <w:color w:val="auto"/>
                <w:kern w:val="0"/>
                <w:sz w:val="28"/>
                <w:szCs w:val="28"/>
                <w:highlight w:val="none"/>
                <w:lang w:bidi="ar"/>
              </w:rPr>
              <w:t>②获得</w:t>
            </w:r>
            <w:r>
              <w:rPr>
                <w:rFonts w:hint="default" w:ascii="Times New Roman" w:hAnsi="Times New Roman" w:eastAsia="仿宋_GB2312" w:cs="Times New Roman"/>
                <w:color w:val="auto"/>
                <w:kern w:val="0"/>
                <w:sz w:val="28"/>
                <w:szCs w:val="28"/>
                <w:highlight w:val="none"/>
                <w:lang w:val="en-US" w:eastAsia="zh-CN" w:bidi="ar"/>
              </w:rPr>
              <w:t>信息技术服务管理体系认证证书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bidi="ar"/>
              </w:rPr>
              <w:t>③获得</w:t>
            </w:r>
            <w:r>
              <w:rPr>
                <w:rFonts w:hint="default" w:ascii="Times New Roman" w:hAnsi="Times New Roman" w:eastAsia="仿宋_GB2312" w:cs="Times New Roman"/>
                <w:color w:val="auto"/>
                <w:kern w:val="0"/>
                <w:sz w:val="28"/>
                <w:szCs w:val="28"/>
                <w:highlight w:val="none"/>
                <w:lang w:val="en-US" w:eastAsia="zh-CN" w:bidi="ar"/>
              </w:rPr>
              <w:t>信息安全管理体系认证证书</w:t>
            </w:r>
            <w:r>
              <w:rPr>
                <w:rFonts w:hint="default" w:ascii="Times New Roman" w:hAnsi="Times New Roman" w:eastAsia="仿宋_GB2312" w:cs="Times New Roman"/>
                <w:color w:val="auto"/>
                <w:kern w:val="0"/>
                <w:sz w:val="28"/>
                <w:szCs w:val="28"/>
                <w:highlight w:val="none"/>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④获得隐私信息管理体系认证证书；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⑤获得云服务信息安全管理体系认证证书。</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Hans" w:bidi="ar"/>
              </w:rPr>
              <w:t>每提供一个得</w:t>
            </w:r>
            <w:r>
              <w:rPr>
                <w:rFonts w:hint="default" w:ascii="Times New Roman" w:hAnsi="Times New Roman" w:eastAsia="仿宋_GB2312" w:cs="Times New Roman"/>
                <w:color w:val="auto"/>
                <w:kern w:val="0"/>
                <w:sz w:val="28"/>
                <w:szCs w:val="28"/>
                <w:highlight w:val="none"/>
                <w:lang w:val="en-US" w:eastAsia="zh-CN" w:bidi="ar"/>
              </w:rPr>
              <w:t>2</w:t>
            </w:r>
            <w:r>
              <w:rPr>
                <w:rFonts w:hint="default" w:ascii="Times New Roman" w:hAnsi="Times New Roman" w:eastAsia="仿宋_GB2312" w:cs="Times New Roman"/>
                <w:color w:val="auto"/>
                <w:kern w:val="0"/>
                <w:sz w:val="28"/>
                <w:szCs w:val="28"/>
                <w:highlight w:val="none"/>
                <w:lang w:val="en-US" w:eastAsia="zh-Hans" w:bidi="ar"/>
              </w:rPr>
              <w:t>分，</w:t>
            </w:r>
            <w:r>
              <w:rPr>
                <w:rFonts w:hint="default" w:ascii="Times New Roman" w:hAnsi="Times New Roman" w:eastAsia="仿宋_GB2312" w:cs="Times New Roman"/>
                <w:color w:val="auto"/>
                <w:kern w:val="0"/>
                <w:sz w:val="28"/>
                <w:szCs w:val="28"/>
                <w:highlight w:val="none"/>
                <w:lang w:val="en-US" w:eastAsia="zh-CN" w:bidi="ar"/>
              </w:rPr>
              <w:t>满分10分。提供证明材料复印件并加盖公章，无提供证明材料该项不得分。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0" w:hRule="atLeast"/>
        </w:trPr>
        <w:tc>
          <w:tcPr>
            <w:tcW w:w="575"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rPr>
                <w:rFonts w:hint="default" w:ascii="Times New Roman" w:hAnsi="Times New Roman" w:eastAsia="仿宋_GB2312" w:cs="Times New Roman"/>
                <w:color w:val="auto"/>
                <w:sz w:val="28"/>
                <w:szCs w:val="28"/>
                <w:highlight w:val="none"/>
              </w:rPr>
            </w:pP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项目负责人</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val="en-US" w:eastAsia="zh-CN"/>
              </w:rPr>
              <w:t>8</w:t>
            </w:r>
          </w:p>
        </w:tc>
        <w:tc>
          <w:tcPr>
            <w:tcW w:w="29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对投入项目负责人（1名）具备的资质情况进行评价：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（1）具有高级信息系统项目管理师证书的得3分，无提供的得0分；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（2）具有中级网络工程师证书的得3分，无提供的得0分；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（3）具有计算机相关专业本科（含）以上学历证书的得2分，无提供的得0分。 本项最高得分为8分。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kern w:val="0"/>
                <w:sz w:val="28"/>
                <w:szCs w:val="28"/>
                <w:highlight w:val="none"/>
                <w:lang w:val="en-US" w:eastAsia="zh-CN" w:bidi="ar"/>
              </w:rPr>
              <w:t>需提供人员资质证书、近三月在贵单位社保缴纳证明文件等证明材料作为评审依据，加盖供应商单位公章，否则不得分。</w:t>
            </w:r>
            <w:r>
              <w:rPr>
                <w:rFonts w:hint="default" w:ascii="Times New Roman" w:hAnsi="Times New Roman" w:eastAsia="仿宋_GB2312" w:cs="Times New Roman"/>
                <w:kern w:val="2"/>
                <w:sz w:val="21"/>
                <w:szCs w:val="24"/>
                <w:highlight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04" w:hRule="atLeast"/>
        </w:trPr>
        <w:tc>
          <w:tcPr>
            <w:tcW w:w="575"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rPr>
                <w:rFonts w:hint="default" w:ascii="Times New Roman" w:hAnsi="Times New Roman" w:eastAsia="仿宋_GB2312" w:cs="Times New Roman"/>
                <w:color w:val="auto"/>
                <w:sz w:val="28"/>
                <w:szCs w:val="28"/>
                <w:highlight w:val="none"/>
              </w:rPr>
            </w:pP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kern w:val="0"/>
                <w:sz w:val="28"/>
                <w:szCs w:val="28"/>
                <w:highlight w:val="none"/>
                <w:lang w:bidi="ar"/>
              </w:rPr>
            </w:pPr>
            <w:r>
              <w:rPr>
                <w:rFonts w:hint="default" w:ascii="Times New Roman" w:hAnsi="Times New Roman" w:eastAsia="仿宋_GB2312" w:cs="Times New Roman"/>
                <w:color w:val="auto"/>
                <w:kern w:val="0"/>
                <w:sz w:val="28"/>
                <w:szCs w:val="28"/>
                <w:highlight w:val="none"/>
                <w:lang w:val="en-US" w:eastAsia="zh-CN" w:bidi="ar"/>
              </w:rPr>
              <w:t>运维人员（项目负责人除外）</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6</w:t>
            </w:r>
          </w:p>
        </w:tc>
        <w:tc>
          <w:tcPr>
            <w:tcW w:w="2995" w:type="pct"/>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对投入本项目的主要技术人员（项目负责人除外）资质情况进行评价：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（1）具有信息安全工程师证书的，每人得2分，最高2分；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（2）具有软件设计师证书的，每人得2分，最高得2分；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color w:val="auto"/>
                <w:kern w:val="0"/>
                <w:sz w:val="28"/>
                <w:szCs w:val="28"/>
                <w:highlight w:val="none"/>
                <w:lang w:val="en-US" w:eastAsia="zh-CN" w:bidi="ar"/>
              </w:rPr>
            </w:pPr>
            <w:r>
              <w:rPr>
                <w:rFonts w:hint="default" w:ascii="Times New Roman" w:hAnsi="Times New Roman" w:eastAsia="仿宋_GB2312" w:cs="Times New Roman"/>
                <w:color w:val="auto"/>
                <w:kern w:val="0"/>
                <w:sz w:val="28"/>
                <w:szCs w:val="28"/>
                <w:highlight w:val="none"/>
                <w:lang w:val="en-US" w:eastAsia="zh-CN" w:bidi="ar"/>
              </w:rPr>
              <w:t xml:space="preserve">（3）具有数据库系统工程师证书的，每人得2分，最高得2分。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jc w:val="left"/>
              <w:textAlignment w:val="auto"/>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
              </w:rPr>
              <w:t>本项最高得分为6分。如一人具有多个证书的，按一个证书评审；如拟派主要技术人员满足上述多项要求的不重复计分。 需提供人员资质证书、近三月在贵单位社保缴纳证明文件等证明材料作为评审依据，加盖供应商单位公章，否则不得分。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293"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合计</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center"/>
              <w:textAlignment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kern w:val="0"/>
                <w:sz w:val="28"/>
                <w:szCs w:val="28"/>
                <w:highlight w:val="none"/>
                <w:lang w:bidi="ar"/>
              </w:rPr>
              <w:t>100</w:t>
            </w:r>
          </w:p>
        </w:tc>
        <w:tc>
          <w:tcPr>
            <w:tcW w:w="2995"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leftChars="0" w:right="0" w:firstLine="0" w:firstLineChars="0"/>
              <w:jc w:val="left"/>
              <w:rPr>
                <w:rFonts w:hint="default" w:ascii="Times New Roman" w:hAnsi="Times New Roman" w:eastAsia="仿宋_GB2312" w:cs="Times New Roman"/>
                <w:color w:val="auto"/>
                <w:sz w:val="28"/>
                <w:szCs w:val="28"/>
                <w:highlight w:val="none"/>
              </w:rPr>
            </w:pPr>
          </w:p>
        </w:tc>
      </w:tr>
    </w:tbl>
    <w:p>
      <w:pPr>
        <w:pStyle w:val="2"/>
        <w:pageBreakBefore w:val="0"/>
        <w:kinsoku/>
        <w:wordWrap/>
        <w:overflowPunct/>
        <w:topLinePunct w:val="0"/>
        <w:autoSpaceDE/>
        <w:autoSpaceDN/>
        <w:bidi w:val="0"/>
        <w:adjustRightInd/>
        <w:snapToGrid/>
        <w:spacing w:after="0" w:line="560" w:lineRule="exact"/>
        <w:ind w:left="0" w:leftChars="0"/>
        <w:rPr>
          <w:rFonts w:hint="eastAsia" w:ascii="仿宋" w:hAnsi="仿宋" w:eastAsia="仿宋" w:cs="仿宋"/>
          <w:highlight w:val="none"/>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602878C-A26F-41DB-8C55-1C4BDBBFA84C}"/>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2" w:fontKey="{EAB3AD3B-80C3-474D-A74B-23F6FFB4367C}"/>
  </w:font>
  <w:font w:name="仿宋">
    <w:panose1 w:val="02010609060101010101"/>
    <w:charset w:val="86"/>
    <w:family w:val="modern"/>
    <w:pitch w:val="default"/>
    <w:sig w:usb0="800002BF" w:usb1="38CF7CFA" w:usb2="00000016" w:usb3="00000000" w:csb0="00040001" w:csb1="00000000"/>
    <w:embedRegular r:id="rId3" w:fontKey="{53E2B437-3D23-48CF-BC52-839DD0CCDC9A}"/>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4" w:fontKey="{4B217CA6-0022-4B2B-8786-3275988551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199FAB"/>
    <w:multiLevelType w:val="multilevel"/>
    <w:tmpl w:val="17199FAB"/>
    <w:lvl w:ilvl="0" w:tentative="0">
      <w:start w:val="1"/>
      <w:numFmt w:val="chineseCounting"/>
      <w:pStyle w:val="3"/>
      <w:suff w:val="nothing"/>
      <w:lvlText w:val="%1、"/>
      <w:lvlJc w:val="left"/>
      <w:pPr>
        <w:tabs>
          <w:tab w:val="left" w:pos="0"/>
        </w:tabs>
        <w:ind w:left="0" w:firstLine="400"/>
      </w:pPr>
      <w:rPr>
        <w:rFonts w:hint="eastAsia"/>
      </w:rPr>
    </w:lvl>
    <w:lvl w:ilvl="1" w:tentative="0">
      <w:start w:val="1"/>
      <w:numFmt w:val="decimal"/>
      <w:pStyle w:val="4"/>
      <w:suff w:val="nothing"/>
      <w:lvlText w:val="%2．"/>
      <w:lvlJc w:val="left"/>
      <w:pPr>
        <w:ind w:left="440" w:firstLine="400"/>
      </w:pPr>
      <w:rPr>
        <w:rFonts w:hint="eastAsia"/>
      </w:rPr>
    </w:lvl>
    <w:lvl w:ilvl="2" w:tentative="0">
      <w:start w:val="1"/>
      <w:numFmt w:val="decimal"/>
      <w:pStyle w:val="5"/>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32082BA3"/>
    <w:multiLevelType w:val="multilevel"/>
    <w:tmpl w:val="32082BA3"/>
    <w:lvl w:ilvl="0" w:tentative="0">
      <w:start w:val="1"/>
      <w:numFmt w:val="chineseCounting"/>
      <w:suff w:val="nothing"/>
      <w:lvlText w:val="%1、"/>
      <w:lvlJc w:val="left"/>
      <w:pPr>
        <w:tabs>
          <w:tab w:val="left" w:pos="420"/>
        </w:tabs>
        <w:ind w:left="432" w:hanging="432"/>
      </w:pPr>
      <w:rPr>
        <w:rFonts w:hint="eastAsia" w:ascii="宋体" w:hAnsi="宋体" w:eastAsia="宋体" w:cs="宋体"/>
      </w:rPr>
    </w:lvl>
    <w:lvl w:ilvl="1" w:tentative="0">
      <w:start w:val="1"/>
      <w:numFmt w:val="decimal"/>
      <w:isLgl/>
      <w:suff w:val="nothing"/>
      <w:lvlText w:val="%1.%2"/>
      <w:lvlJc w:val="left"/>
      <w:pPr>
        <w:ind w:left="576" w:hanging="576"/>
      </w:pPr>
      <w:rPr>
        <w:rFonts w:hint="eastAsia" w:ascii="宋体" w:hAnsi="宋体" w:eastAsia="宋体" w:cs="宋体"/>
      </w:rPr>
    </w:lvl>
    <w:lvl w:ilvl="2" w:tentative="0">
      <w:start w:val="1"/>
      <w:numFmt w:val="decimal"/>
      <w:isLgl/>
      <w:suff w:val="nothing"/>
      <w:lvlText w:val="%1.%2.%3"/>
      <w:lvlJc w:val="left"/>
      <w:pPr>
        <w:ind w:left="720" w:hanging="720"/>
      </w:pPr>
      <w:rPr>
        <w:rFonts w:hint="eastAsia" w:ascii="宋体" w:hAnsi="宋体" w:eastAsia="宋体" w:cs="宋体"/>
      </w:rPr>
    </w:lvl>
    <w:lvl w:ilvl="3" w:tentative="0">
      <w:start w:val="1"/>
      <w:numFmt w:val="decimal"/>
      <w:pStyle w:val="6"/>
      <w:isLgl/>
      <w:lvlText w:val="%1.%2.%3.%4"/>
      <w:lvlJc w:val="left"/>
      <w:pPr>
        <w:tabs>
          <w:tab w:val="left" w:pos="420"/>
        </w:tabs>
        <w:ind w:left="864" w:hanging="864"/>
      </w:pPr>
      <w:rPr>
        <w:rFonts w:hint="eastAsia" w:ascii="宋体" w:hAnsi="宋体" w:eastAsia="宋体" w:cs="宋体"/>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abstractNum w:abstractNumId="2">
    <w:nsid w:val="5D64E6BD"/>
    <w:multiLevelType w:val="multilevel"/>
    <w:tmpl w:val="5D64E6BD"/>
    <w:lvl w:ilvl="0" w:tentative="0">
      <w:start w:val="1"/>
      <w:numFmt w:val="chineseCounting"/>
      <w:suff w:val="space"/>
      <w:lvlText w:val="%1、"/>
      <w:lvlJc w:val="left"/>
      <w:pPr>
        <w:tabs>
          <w:tab w:val="left" w:pos="0"/>
        </w:tabs>
        <w:ind w:left="0" w:firstLine="0"/>
      </w:pPr>
      <w:rPr>
        <w:rFonts w:hint="eastAsia" w:ascii="宋体" w:hAnsi="宋体" w:eastAsia="宋体" w:cs="宋体"/>
      </w:rPr>
    </w:lvl>
    <w:lvl w:ilvl="1" w:tentative="0">
      <w:start w:val="1"/>
      <w:numFmt w:val="decimal"/>
      <w:pStyle w:val="29"/>
      <w:isLgl/>
      <w:suff w:val="space"/>
      <w:lvlText w:val="%1.%2"/>
      <w:lvlJc w:val="left"/>
      <w:pPr>
        <w:ind w:left="0" w:firstLine="0"/>
      </w:pPr>
      <w:rPr>
        <w:rFonts w:hint="eastAsia" w:ascii="宋体" w:hAnsi="宋体" w:eastAsia="宋体" w:cs="宋体"/>
      </w:rPr>
    </w:lvl>
    <w:lvl w:ilvl="2" w:tentative="0">
      <w:start w:val="1"/>
      <w:numFmt w:val="decimal"/>
      <w:pStyle w:val="30"/>
      <w:isLgl/>
      <w:suff w:val="space"/>
      <w:lvlText w:val="%1.%2.%3"/>
      <w:lvlJc w:val="left"/>
      <w:pPr>
        <w:ind w:left="0" w:firstLine="0"/>
      </w:pPr>
      <w:rPr>
        <w:rFonts w:hint="eastAsia" w:ascii="宋体" w:hAnsi="宋体" w:eastAsia="宋体" w:cs="宋体"/>
      </w:rPr>
    </w:lvl>
    <w:lvl w:ilvl="3" w:tentative="0">
      <w:start w:val="1"/>
      <w:numFmt w:val="decimal"/>
      <w:isLgl/>
      <w:lvlText w:val="%1.%2.%3.%4"/>
      <w:lvlJc w:val="left"/>
      <w:pPr>
        <w:tabs>
          <w:tab w:val="left" w:pos="420"/>
        </w:tabs>
        <w:ind w:left="0" w:firstLine="0"/>
      </w:pPr>
      <w:rPr>
        <w:rFonts w:hint="eastAsia" w:ascii="宋体" w:hAnsi="宋体" w:eastAsia="宋体" w:cs="宋体"/>
      </w:rPr>
    </w:lvl>
    <w:lvl w:ilvl="4" w:tentative="0">
      <w:start w:val="1"/>
      <w:numFmt w:val="decimal"/>
      <w:isLgl/>
      <w:suff w:val="space"/>
      <w:lvlText w:val="%1.%2.%3.%4.%5"/>
      <w:lvlJc w:val="left"/>
      <w:pPr>
        <w:tabs>
          <w:tab w:val="left" w:pos="0"/>
        </w:tabs>
        <w:ind w:left="0" w:firstLine="0"/>
      </w:pPr>
      <w:rPr>
        <w:rFonts w:hint="eastAsia" w:ascii="宋体" w:hAnsi="宋体" w:eastAsia="宋体" w:cs="宋体"/>
      </w:rPr>
    </w:lvl>
    <w:lvl w:ilvl="5" w:tentative="0">
      <w:start w:val="1"/>
      <w:numFmt w:val="decimal"/>
      <w:isLgl/>
      <w:suff w:val="space"/>
      <w:lvlText w:val="%1.%2.%3.%4.%5.%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FE1091"/>
    <w:rsid w:val="00013131"/>
    <w:rsid w:val="00057785"/>
    <w:rsid w:val="00070FD1"/>
    <w:rsid w:val="001911F0"/>
    <w:rsid w:val="002030D9"/>
    <w:rsid w:val="002D317B"/>
    <w:rsid w:val="00374A57"/>
    <w:rsid w:val="004002AE"/>
    <w:rsid w:val="004A67DF"/>
    <w:rsid w:val="00521D6D"/>
    <w:rsid w:val="005350CB"/>
    <w:rsid w:val="00552888"/>
    <w:rsid w:val="005854BC"/>
    <w:rsid w:val="0059234D"/>
    <w:rsid w:val="00600D71"/>
    <w:rsid w:val="00612B79"/>
    <w:rsid w:val="006742EF"/>
    <w:rsid w:val="006F082F"/>
    <w:rsid w:val="007344AF"/>
    <w:rsid w:val="008A1BE0"/>
    <w:rsid w:val="00947DB7"/>
    <w:rsid w:val="00955D79"/>
    <w:rsid w:val="009622E8"/>
    <w:rsid w:val="009A1D86"/>
    <w:rsid w:val="00A07CD5"/>
    <w:rsid w:val="00B92C6F"/>
    <w:rsid w:val="00CF282C"/>
    <w:rsid w:val="00D021D2"/>
    <w:rsid w:val="00D042C3"/>
    <w:rsid w:val="00D05727"/>
    <w:rsid w:val="00DC20C4"/>
    <w:rsid w:val="00DF3412"/>
    <w:rsid w:val="00E54B64"/>
    <w:rsid w:val="00EA1226"/>
    <w:rsid w:val="00EF43D3"/>
    <w:rsid w:val="00F35B4F"/>
    <w:rsid w:val="00F41353"/>
    <w:rsid w:val="00F957D3"/>
    <w:rsid w:val="00FE1091"/>
    <w:rsid w:val="02154493"/>
    <w:rsid w:val="02171F8A"/>
    <w:rsid w:val="02895B83"/>
    <w:rsid w:val="0389097E"/>
    <w:rsid w:val="04097104"/>
    <w:rsid w:val="07D93B0C"/>
    <w:rsid w:val="0A133DD0"/>
    <w:rsid w:val="0F3F471A"/>
    <w:rsid w:val="15D13671"/>
    <w:rsid w:val="17B4195A"/>
    <w:rsid w:val="17D74EFF"/>
    <w:rsid w:val="18217EE6"/>
    <w:rsid w:val="194A7C8B"/>
    <w:rsid w:val="19E30127"/>
    <w:rsid w:val="1A6F586F"/>
    <w:rsid w:val="1B7927E1"/>
    <w:rsid w:val="1C4C2450"/>
    <w:rsid w:val="1DED3012"/>
    <w:rsid w:val="1F207E52"/>
    <w:rsid w:val="1FFF3F23"/>
    <w:rsid w:val="24FC29DB"/>
    <w:rsid w:val="26E054C2"/>
    <w:rsid w:val="27962AD6"/>
    <w:rsid w:val="2FFF6C1E"/>
    <w:rsid w:val="30562C99"/>
    <w:rsid w:val="307469E5"/>
    <w:rsid w:val="313B08EA"/>
    <w:rsid w:val="323E8EEB"/>
    <w:rsid w:val="33171A40"/>
    <w:rsid w:val="37E7E772"/>
    <w:rsid w:val="390C00E8"/>
    <w:rsid w:val="39F03816"/>
    <w:rsid w:val="3BF3B168"/>
    <w:rsid w:val="3D9170BE"/>
    <w:rsid w:val="3E2B7513"/>
    <w:rsid w:val="3EFE3365"/>
    <w:rsid w:val="3FBFAB64"/>
    <w:rsid w:val="3FDD30B7"/>
    <w:rsid w:val="42817E21"/>
    <w:rsid w:val="43200887"/>
    <w:rsid w:val="48425647"/>
    <w:rsid w:val="4FFE3C3F"/>
    <w:rsid w:val="51E423C4"/>
    <w:rsid w:val="54A85B1D"/>
    <w:rsid w:val="55FD667B"/>
    <w:rsid w:val="5734742C"/>
    <w:rsid w:val="578D7463"/>
    <w:rsid w:val="5AD719B6"/>
    <w:rsid w:val="5B38311B"/>
    <w:rsid w:val="5BFFE274"/>
    <w:rsid w:val="5C081276"/>
    <w:rsid w:val="5C3B0955"/>
    <w:rsid w:val="5CFE591C"/>
    <w:rsid w:val="5D764772"/>
    <w:rsid w:val="5DFFF68E"/>
    <w:rsid w:val="5ED12060"/>
    <w:rsid w:val="635F7193"/>
    <w:rsid w:val="66084C74"/>
    <w:rsid w:val="66DA76CA"/>
    <w:rsid w:val="687B4BF8"/>
    <w:rsid w:val="6948192A"/>
    <w:rsid w:val="6AED03D4"/>
    <w:rsid w:val="6D1D10F0"/>
    <w:rsid w:val="6DF7D14C"/>
    <w:rsid w:val="6EF34113"/>
    <w:rsid w:val="6F322828"/>
    <w:rsid w:val="6F6792AA"/>
    <w:rsid w:val="6FE5E634"/>
    <w:rsid w:val="722331EE"/>
    <w:rsid w:val="736E86DE"/>
    <w:rsid w:val="73A1046A"/>
    <w:rsid w:val="74467BD7"/>
    <w:rsid w:val="74B31505"/>
    <w:rsid w:val="77B26EA6"/>
    <w:rsid w:val="77ED75CD"/>
    <w:rsid w:val="79EC4337"/>
    <w:rsid w:val="7AD92F8F"/>
    <w:rsid w:val="7B8F99A2"/>
    <w:rsid w:val="7BFE730D"/>
    <w:rsid w:val="7DA2A0F8"/>
    <w:rsid w:val="7DBC3708"/>
    <w:rsid w:val="7DBF90FE"/>
    <w:rsid w:val="7DFEA401"/>
    <w:rsid w:val="7EEFFDDA"/>
    <w:rsid w:val="7FD556FA"/>
    <w:rsid w:val="7FF25C65"/>
    <w:rsid w:val="7FF7000D"/>
    <w:rsid w:val="7FFD4ABE"/>
    <w:rsid w:val="7FFFA4EB"/>
    <w:rsid w:val="95BA87D8"/>
    <w:rsid w:val="9FFCE7C6"/>
    <w:rsid w:val="A6FFE63C"/>
    <w:rsid w:val="AA1E9AEA"/>
    <w:rsid w:val="ADFF58A0"/>
    <w:rsid w:val="B7DA2A95"/>
    <w:rsid w:val="BBF750D0"/>
    <w:rsid w:val="BDD95ED0"/>
    <w:rsid w:val="BF8BEAD2"/>
    <w:rsid w:val="BFF7EB0D"/>
    <w:rsid w:val="BFFFFAC5"/>
    <w:rsid w:val="CFB72A1F"/>
    <w:rsid w:val="DCFA74ED"/>
    <w:rsid w:val="DDF6FC53"/>
    <w:rsid w:val="DFE0A551"/>
    <w:rsid w:val="E5DFF390"/>
    <w:rsid w:val="F35B7A1F"/>
    <w:rsid w:val="F4E2D0BB"/>
    <w:rsid w:val="F74FFBFA"/>
    <w:rsid w:val="F7FB7A8D"/>
    <w:rsid w:val="F9B77248"/>
    <w:rsid w:val="FB3DC44A"/>
    <w:rsid w:val="FD5FF338"/>
    <w:rsid w:val="FDBA726F"/>
    <w:rsid w:val="FE3E22E4"/>
    <w:rsid w:val="FFDC8A28"/>
    <w:rsid w:val="FFEF1333"/>
    <w:rsid w:val="FFFE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9"/>
    <w:pPr>
      <w:keepNext/>
      <w:keepLines/>
      <w:numPr>
        <w:ilvl w:val="0"/>
        <w:numId w:val="1"/>
      </w:numPr>
      <w:tabs>
        <w:tab w:val="left" w:pos="420"/>
        <w:tab w:val="clear" w:pos="0"/>
      </w:tabs>
      <w:spacing w:before="340" w:after="330" w:line="578" w:lineRule="auto"/>
      <w:outlineLvl w:val="0"/>
    </w:pPr>
    <w:rPr>
      <w:rFonts w:ascii="Times New Roman" w:hAnsi="Times New Roman"/>
      <w:b/>
      <w:bCs/>
      <w:kern w:val="44"/>
      <w:sz w:val="44"/>
      <w:szCs w:val="44"/>
    </w:rPr>
  </w:style>
  <w:style w:type="paragraph" w:styleId="4">
    <w:name w:val="heading 2"/>
    <w:basedOn w:val="1"/>
    <w:next w:val="1"/>
    <w:link w:val="27"/>
    <w:qFormat/>
    <w:uiPriority w:val="0"/>
    <w:pPr>
      <w:keepNext/>
      <w:keepLines/>
      <w:numPr>
        <w:ilvl w:val="1"/>
        <w:numId w:val="1"/>
      </w:numPr>
      <w:tabs>
        <w:tab w:val="left" w:pos="420"/>
      </w:tabs>
      <w:spacing w:before="260" w:after="260" w:line="416" w:lineRule="auto"/>
      <w:ind w:left="0" w:firstLine="400"/>
      <w:outlineLvl w:val="1"/>
    </w:pPr>
    <w:rPr>
      <w:rFonts w:ascii="Arial" w:hAnsi="Arial"/>
      <w:b/>
      <w:bCs/>
      <w:sz w:val="32"/>
      <w:szCs w:val="32"/>
    </w:rPr>
  </w:style>
  <w:style w:type="paragraph" w:styleId="5">
    <w:name w:val="heading 3"/>
    <w:basedOn w:val="1"/>
    <w:next w:val="1"/>
    <w:link w:val="32"/>
    <w:unhideWhenUsed/>
    <w:qFormat/>
    <w:uiPriority w:val="9"/>
    <w:pPr>
      <w:keepNext/>
      <w:keepLines/>
      <w:numPr>
        <w:ilvl w:val="2"/>
        <w:numId w:val="1"/>
      </w:numPr>
      <w:tabs>
        <w:tab w:val="left" w:pos="420"/>
      </w:tabs>
      <w:spacing w:before="260" w:after="260" w:line="416" w:lineRule="auto"/>
      <w:ind w:left="0" w:firstLine="402"/>
      <w:outlineLvl w:val="2"/>
    </w:pPr>
    <w:rPr>
      <w:b/>
      <w:bCs/>
      <w:sz w:val="32"/>
      <w:szCs w:val="32"/>
    </w:rPr>
  </w:style>
  <w:style w:type="paragraph" w:styleId="6">
    <w:name w:val="heading 4"/>
    <w:basedOn w:val="1"/>
    <w:next w:val="1"/>
    <w:link w:val="33"/>
    <w:unhideWhenUsed/>
    <w:qFormat/>
    <w:uiPriority w:val="9"/>
    <w:pPr>
      <w:keepNext/>
      <w:keepLines/>
      <w:numPr>
        <w:ilvl w:val="3"/>
        <w:numId w:val="2"/>
      </w:numPr>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34"/>
    <w:unhideWhenUsed/>
    <w:qFormat/>
    <w:uiPriority w:val="9"/>
    <w:pPr>
      <w:keepNext/>
      <w:keepLines/>
      <w:numPr>
        <w:ilvl w:val="4"/>
        <w:numId w:val="2"/>
      </w:numPr>
      <w:spacing w:before="280" w:after="290" w:line="376" w:lineRule="auto"/>
      <w:outlineLvl w:val="4"/>
    </w:pPr>
    <w:rPr>
      <w:b/>
      <w:bCs/>
      <w:sz w:val="28"/>
      <w:szCs w:val="28"/>
    </w:rPr>
  </w:style>
  <w:style w:type="paragraph" w:styleId="8">
    <w:name w:val="heading 6"/>
    <w:basedOn w:val="1"/>
    <w:next w:val="1"/>
    <w:link w:val="23"/>
    <w:unhideWhenUsed/>
    <w:qFormat/>
    <w:uiPriority w:val="9"/>
    <w:pPr>
      <w:keepNext/>
      <w:keepLines/>
      <w:numPr>
        <w:ilvl w:val="5"/>
        <w:numId w:val="2"/>
      </w:numPr>
      <w:spacing w:before="240" w:after="64" w:line="320" w:lineRule="auto"/>
      <w:outlineLvl w:val="5"/>
    </w:pPr>
    <w:rPr>
      <w:rFonts w:asciiTheme="majorHAnsi" w:hAnsiTheme="majorHAnsi" w:eastAsiaTheme="majorEastAsia" w:cstheme="majorBidi"/>
      <w:b/>
      <w:bCs/>
      <w:sz w:val="24"/>
    </w:rPr>
  </w:style>
  <w:style w:type="paragraph" w:styleId="9">
    <w:name w:val="heading 7"/>
    <w:basedOn w:val="1"/>
    <w:next w:val="1"/>
    <w:link w:val="35"/>
    <w:unhideWhenUsed/>
    <w:qFormat/>
    <w:uiPriority w:val="9"/>
    <w:pPr>
      <w:keepNext/>
      <w:keepLines/>
      <w:numPr>
        <w:ilvl w:val="6"/>
        <w:numId w:val="2"/>
      </w:numPr>
      <w:spacing w:before="240" w:after="64" w:line="320" w:lineRule="auto"/>
      <w:outlineLvl w:val="6"/>
    </w:pPr>
    <w:rPr>
      <w:b/>
      <w:bCs/>
      <w:sz w:val="24"/>
    </w:rPr>
  </w:style>
  <w:style w:type="paragraph" w:styleId="10">
    <w:name w:val="heading 8"/>
    <w:basedOn w:val="1"/>
    <w:next w:val="1"/>
    <w:link w:val="36"/>
    <w:unhideWhenUsed/>
    <w:qFormat/>
    <w:uiPriority w:val="9"/>
    <w:pPr>
      <w:keepNext/>
      <w:keepLines/>
      <w:numPr>
        <w:ilvl w:val="7"/>
        <w:numId w:val="2"/>
      </w:numPr>
      <w:spacing w:before="240" w:after="64" w:line="320" w:lineRule="auto"/>
      <w:outlineLvl w:val="7"/>
    </w:pPr>
    <w:rPr>
      <w:rFonts w:asciiTheme="majorHAnsi" w:hAnsiTheme="majorHAnsi" w:eastAsiaTheme="majorEastAsia" w:cstheme="majorBidi"/>
      <w:sz w:val="24"/>
    </w:rPr>
  </w:style>
  <w:style w:type="paragraph" w:styleId="11">
    <w:name w:val="heading 9"/>
    <w:basedOn w:val="1"/>
    <w:next w:val="1"/>
    <w:link w:val="37"/>
    <w:unhideWhenUsed/>
    <w:qFormat/>
    <w:uiPriority w:val="9"/>
    <w:pPr>
      <w:keepNext/>
      <w:keepLines/>
      <w:numPr>
        <w:ilvl w:val="8"/>
        <w:numId w:val="2"/>
      </w:numPr>
      <w:spacing w:before="240" w:after="64" w:line="320" w:lineRule="auto"/>
      <w:outlineLvl w:val="8"/>
    </w:pPr>
    <w:rPr>
      <w:rFonts w:asciiTheme="majorHAnsi" w:hAnsiTheme="majorHAnsi" w:eastAsiaTheme="majorEastAsia" w:cstheme="majorBidi"/>
      <w:szCs w:val="21"/>
    </w:rPr>
  </w:style>
  <w:style w:type="character" w:default="1" w:styleId="20">
    <w:name w:val="Default Paragraph Font"/>
    <w:unhideWhenUsed/>
    <w:qFormat/>
    <w:uiPriority w:val="1"/>
  </w:style>
  <w:style w:type="table" w:default="1" w:styleId="18">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next w:val="1"/>
    <w:qFormat/>
    <w:uiPriority w:val="0"/>
    <w:pPr>
      <w:widowControl w:val="0"/>
      <w:spacing w:after="120" w:line="580" w:lineRule="exact"/>
      <w:ind w:left="420" w:leftChars="200" w:firstLine="0" w:firstLineChars="0"/>
    </w:pPr>
    <w:rPr>
      <w:rFonts w:ascii="仿宋_GB2312" w:hAnsi="仿宋_GB2312" w:eastAsia="仿宋" w:cs="微软雅黑"/>
      <w:color w:val="000000"/>
      <w:kern w:val="2"/>
      <w:sz w:val="24"/>
      <w:szCs w:val="22"/>
      <w:lang w:val="en-US" w:eastAsia="zh-CN" w:bidi="ar-SA"/>
    </w:rPr>
  </w:style>
  <w:style w:type="paragraph" w:styleId="12">
    <w:name w:val="annotation text"/>
    <w:basedOn w:val="1"/>
    <w:link w:val="38"/>
    <w:unhideWhenUsed/>
    <w:qFormat/>
    <w:uiPriority w:val="99"/>
    <w:pPr>
      <w:jc w:val="left"/>
    </w:pPr>
  </w:style>
  <w:style w:type="paragraph" w:styleId="13">
    <w:name w:val="Plain Text"/>
    <w:basedOn w:val="1"/>
    <w:link w:val="28"/>
    <w:qFormat/>
    <w:uiPriority w:val="0"/>
    <w:rPr>
      <w:rFonts w:ascii="宋体" w:hAnsi="Courier New" w:cs="Courier New"/>
      <w:szCs w:val="21"/>
    </w:rPr>
  </w:style>
  <w:style w:type="paragraph" w:styleId="14">
    <w:name w:val="Balloon Text"/>
    <w:basedOn w:val="1"/>
    <w:link w:val="40"/>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rFonts w:asciiTheme="minorHAnsi" w:hAnsiTheme="minorHAnsi" w:cstheme="minorBidi"/>
      <w:sz w:val="18"/>
      <w:szCs w:val="18"/>
    </w:rPr>
  </w:style>
  <w:style w:type="paragraph" w:styleId="16">
    <w:name w:val="header"/>
    <w:basedOn w:val="1"/>
    <w:link w:val="25"/>
    <w:unhideWhenUsed/>
    <w:qFormat/>
    <w:uiPriority w:val="99"/>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paragraph" w:styleId="17">
    <w:name w:val="annotation subject"/>
    <w:basedOn w:val="12"/>
    <w:next w:val="12"/>
    <w:link w:val="39"/>
    <w:unhideWhenUsed/>
    <w:qFormat/>
    <w:uiPriority w:val="99"/>
    <w:rPr>
      <w:b/>
      <w:bCs/>
    </w:rPr>
  </w:style>
  <w:style w:type="table" w:styleId="19">
    <w:name w:val="Table Grid"/>
    <w:basedOn w:val="18"/>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annotation reference"/>
    <w:basedOn w:val="20"/>
    <w:unhideWhenUsed/>
    <w:qFormat/>
    <w:uiPriority w:val="99"/>
    <w:rPr>
      <w:sz w:val="21"/>
      <w:szCs w:val="21"/>
    </w:rPr>
  </w:style>
  <w:style w:type="paragraph" w:customStyle="1" w:styleId="22">
    <w:name w:val="Normal Indent1"/>
    <w:qFormat/>
    <w:uiPriority w:val="0"/>
    <w:pPr>
      <w:widowControl/>
      <w:spacing w:line="360" w:lineRule="auto"/>
      <w:ind w:firstLine="420" w:firstLineChars="200"/>
      <w:jc w:val="left"/>
    </w:pPr>
    <w:rPr>
      <w:rFonts w:ascii="Times New Roman" w:hAnsi="Times New Roman" w:eastAsia="仿宋" w:cs="Times New Roman"/>
      <w:kern w:val="0"/>
      <w:sz w:val="28"/>
      <w:lang w:val="en-US" w:eastAsia="zh-CN" w:bidi="ar-SA"/>
    </w:rPr>
  </w:style>
  <w:style w:type="character" w:customStyle="1" w:styleId="23">
    <w:name w:val="标题 6 字符"/>
    <w:basedOn w:val="20"/>
    <w:link w:val="8"/>
    <w:semiHidden/>
    <w:qFormat/>
    <w:uiPriority w:val="9"/>
    <w:rPr>
      <w:rFonts w:asciiTheme="majorHAnsi" w:hAnsiTheme="majorHAnsi" w:eastAsiaTheme="majorEastAsia" w:cstheme="majorBidi"/>
      <w:b/>
      <w:bCs/>
      <w:sz w:val="24"/>
      <w:szCs w:val="24"/>
    </w:rPr>
  </w:style>
  <w:style w:type="paragraph" w:customStyle="1" w:styleId="24">
    <w:name w:val="z正文"/>
    <w:basedOn w:val="1"/>
    <w:qFormat/>
    <w:uiPriority w:val="0"/>
    <w:pPr>
      <w:ind w:firstLine="560" w:firstLineChars="200"/>
    </w:pPr>
    <w:rPr>
      <w:rFonts w:eastAsia="仿宋_GB2312" w:cs="宋体"/>
      <w:sz w:val="28"/>
    </w:rPr>
  </w:style>
  <w:style w:type="character" w:customStyle="1" w:styleId="25">
    <w:name w:val="页眉 字符"/>
    <w:basedOn w:val="20"/>
    <w:link w:val="16"/>
    <w:qFormat/>
    <w:uiPriority w:val="99"/>
    <w:rPr>
      <w:rFonts w:eastAsia="宋体"/>
      <w:sz w:val="18"/>
      <w:szCs w:val="18"/>
    </w:rPr>
  </w:style>
  <w:style w:type="character" w:customStyle="1" w:styleId="26">
    <w:name w:val="页脚 字符"/>
    <w:basedOn w:val="20"/>
    <w:link w:val="15"/>
    <w:qFormat/>
    <w:uiPriority w:val="99"/>
    <w:rPr>
      <w:rFonts w:eastAsia="宋体"/>
      <w:sz w:val="18"/>
      <w:szCs w:val="18"/>
    </w:rPr>
  </w:style>
  <w:style w:type="character" w:customStyle="1" w:styleId="27">
    <w:name w:val="标题 2 字符"/>
    <w:basedOn w:val="20"/>
    <w:link w:val="4"/>
    <w:qFormat/>
    <w:uiPriority w:val="0"/>
    <w:rPr>
      <w:rFonts w:ascii="Arial" w:hAnsi="Arial" w:eastAsia="宋体" w:cs="Times New Roman"/>
      <w:b/>
      <w:bCs/>
      <w:sz w:val="32"/>
      <w:szCs w:val="32"/>
    </w:rPr>
  </w:style>
  <w:style w:type="character" w:customStyle="1" w:styleId="28">
    <w:name w:val="纯文本 字符"/>
    <w:basedOn w:val="20"/>
    <w:link w:val="13"/>
    <w:qFormat/>
    <w:uiPriority w:val="0"/>
    <w:rPr>
      <w:rFonts w:ascii="宋体" w:hAnsi="Courier New" w:eastAsia="宋体" w:cs="Courier New"/>
      <w:szCs w:val="21"/>
    </w:rPr>
  </w:style>
  <w:style w:type="paragraph" w:customStyle="1" w:styleId="29">
    <w:name w:val="标题二"/>
    <w:basedOn w:val="1"/>
    <w:qFormat/>
    <w:uiPriority w:val="0"/>
    <w:pPr>
      <w:numPr>
        <w:ilvl w:val="1"/>
        <w:numId w:val="3"/>
      </w:numPr>
      <w:tabs>
        <w:tab w:val="left" w:pos="0"/>
      </w:tabs>
      <w:outlineLvl w:val="1"/>
    </w:pPr>
    <w:rPr>
      <w:rFonts w:ascii="Calibri" w:hAnsi="Calibri"/>
      <w:b/>
      <w:sz w:val="28"/>
    </w:rPr>
  </w:style>
  <w:style w:type="paragraph" w:customStyle="1" w:styleId="30">
    <w:name w:val="标题三"/>
    <w:basedOn w:val="1"/>
    <w:qFormat/>
    <w:uiPriority w:val="0"/>
    <w:pPr>
      <w:numPr>
        <w:ilvl w:val="2"/>
        <w:numId w:val="3"/>
      </w:numPr>
      <w:tabs>
        <w:tab w:val="left" w:pos="0"/>
      </w:tabs>
      <w:outlineLvl w:val="2"/>
    </w:pPr>
    <w:rPr>
      <w:rFonts w:ascii="Calibri" w:hAnsi="Calibri"/>
      <w:b/>
      <w:sz w:val="28"/>
    </w:rPr>
  </w:style>
  <w:style w:type="character" w:customStyle="1" w:styleId="31">
    <w:name w:val="标题 1 字符"/>
    <w:basedOn w:val="20"/>
    <w:link w:val="3"/>
    <w:qFormat/>
    <w:uiPriority w:val="9"/>
    <w:rPr>
      <w:rFonts w:ascii="Times New Roman" w:hAnsi="Times New Roman" w:eastAsia="宋体" w:cs="Times New Roman"/>
      <w:b/>
      <w:bCs/>
      <w:kern w:val="44"/>
      <w:sz w:val="44"/>
      <w:szCs w:val="44"/>
    </w:rPr>
  </w:style>
  <w:style w:type="character" w:customStyle="1" w:styleId="32">
    <w:name w:val="标题 3 字符"/>
    <w:basedOn w:val="20"/>
    <w:link w:val="5"/>
    <w:qFormat/>
    <w:uiPriority w:val="9"/>
    <w:rPr>
      <w:rFonts w:ascii="Times New Roman" w:hAnsi="Times New Roman" w:eastAsia="宋体" w:cs="Times New Roman"/>
      <w:b/>
      <w:bCs/>
      <w:sz w:val="32"/>
      <w:szCs w:val="32"/>
    </w:rPr>
  </w:style>
  <w:style w:type="character" w:customStyle="1" w:styleId="33">
    <w:name w:val="标题 4 字符"/>
    <w:basedOn w:val="20"/>
    <w:link w:val="6"/>
    <w:qFormat/>
    <w:uiPriority w:val="9"/>
    <w:rPr>
      <w:rFonts w:asciiTheme="majorHAnsi" w:hAnsiTheme="majorHAnsi" w:eastAsiaTheme="majorEastAsia" w:cstheme="majorBidi"/>
      <w:b/>
      <w:bCs/>
      <w:sz w:val="28"/>
      <w:szCs w:val="28"/>
    </w:rPr>
  </w:style>
  <w:style w:type="character" w:customStyle="1" w:styleId="34">
    <w:name w:val="标题 5 字符"/>
    <w:basedOn w:val="20"/>
    <w:link w:val="7"/>
    <w:semiHidden/>
    <w:qFormat/>
    <w:uiPriority w:val="9"/>
    <w:rPr>
      <w:rFonts w:ascii="Times New Roman" w:hAnsi="Times New Roman" w:eastAsia="宋体" w:cs="Times New Roman"/>
      <w:b/>
      <w:bCs/>
      <w:sz w:val="28"/>
      <w:szCs w:val="28"/>
    </w:rPr>
  </w:style>
  <w:style w:type="character" w:customStyle="1" w:styleId="35">
    <w:name w:val="标题 7 字符"/>
    <w:basedOn w:val="20"/>
    <w:link w:val="9"/>
    <w:semiHidden/>
    <w:qFormat/>
    <w:uiPriority w:val="9"/>
    <w:rPr>
      <w:rFonts w:ascii="Times New Roman" w:hAnsi="Times New Roman" w:eastAsia="宋体" w:cs="Times New Roman"/>
      <w:b/>
      <w:bCs/>
      <w:sz w:val="24"/>
      <w:szCs w:val="24"/>
    </w:rPr>
  </w:style>
  <w:style w:type="character" w:customStyle="1" w:styleId="36">
    <w:name w:val="标题 8 字符"/>
    <w:basedOn w:val="20"/>
    <w:link w:val="10"/>
    <w:semiHidden/>
    <w:qFormat/>
    <w:uiPriority w:val="9"/>
    <w:rPr>
      <w:rFonts w:asciiTheme="majorHAnsi" w:hAnsiTheme="majorHAnsi" w:eastAsiaTheme="majorEastAsia" w:cstheme="majorBidi"/>
      <w:sz w:val="24"/>
      <w:szCs w:val="24"/>
    </w:rPr>
  </w:style>
  <w:style w:type="character" w:customStyle="1" w:styleId="37">
    <w:name w:val="标题 9 字符"/>
    <w:basedOn w:val="20"/>
    <w:link w:val="11"/>
    <w:semiHidden/>
    <w:qFormat/>
    <w:uiPriority w:val="9"/>
    <w:rPr>
      <w:rFonts w:asciiTheme="majorHAnsi" w:hAnsiTheme="majorHAnsi" w:eastAsiaTheme="majorEastAsia" w:cstheme="majorBidi"/>
      <w:szCs w:val="21"/>
    </w:rPr>
  </w:style>
  <w:style w:type="character" w:customStyle="1" w:styleId="38">
    <w:name w:val="批注文字 字符"/>
    <w:basedOn w:val="20"/>
    <w:link w:val="12"/>
    <w:semiHidden/>
    <w:qFormat/>
    <w:uiPriority w:val="99"/>
    <w:rPr>
      <w:rFonts w:ascii="Times New Roman" w:hAnsi="Times New Roman" w:eastAsia="宋体" w:cs="Times New Roman"/>
      <w:szCs w:val="24"/>
    </w:rPr>
  </w:style>
  <w:style w:type="character" w:customStyle="1" w:styleId="39">
    <w:name w:val="批注主题 字符"/>
    <w:basedOn w:val="38"/>
    <w:link w:val="17"/>
    <w:semiHidden/>
    <w:qFormat/>
    <w:uiPriority w:val="99"/>
    <w:rPr>
      <w:rFonts w:ascii="Times New Roman" w:hAnsi="Times New Roman" w:eastAsia="宋体" w:cs="Times New Roman"/>
      <w:b/>
      <w:bCs/>
      <w:szCs w:val="24"/>
    </w:rPr>
  </w:style>
  <w:style w:type="character" w:customStyle="1" w:styleId="40">
    <w:name w:val="批注框文本 字符"/>
    <w:basedOn w:val="20"/>
    <w:link w:val="14"/>
    <w:semiHidden/>
    <w:qFormat/>
    <w:uiPriority w:val="99"/>
    <w:rPr>
      <w:rFonts w:ascii="Times New Roman" w:hAnsi="Times New Roman" w:eastAsia="宋体" w:cs="Times New Roman"/>
      <w:sz w:val="18"/>
      <w:szCs w:val="18"/>
    </w:rPr>
  </w:style>
  <w:style w:type="character" w:customStyle="1" w:styleId="41">
    <w:name w:val="font01"/>
    <w:basedOn w:val="20"/>
    <w:qFormat/>
    <w:uiPriority w:val="0"/>
    <w:rPr>
      <w:rFonts w:hint="eastAsia" w:ascii="宋体" w:hAnsi="宋体" w:eastAsia="宋体" w:cs="宋体"/>
      <w:b/>
      <w:bCs/>
      <w:color w:val="000000"/>
      <w:sz w:val="21"/>
      <w:szCs w:val="21"/>
      <w:u w:val="none"/>
    </w:rPr>
  </w:style>
  <w:style w:type="paragraph" w:customStyle="1" w:styleId="42">
    <w:name w:val="普通正文"/>
    <w:qFormat/>
    <w:uiPriority w:val="0"/>
    <w:pPr>
      <w:widowControl w:val="0"/>
      <w:adjustRightInd w:val="0"/>
      <w:spacing w:before="120" w:after="120" w:line="360" w:lineRule="auto"/>
      <w:ind w:firstLine="480" w:firstLineChars="200"/>
      <w:jc w:val="left"/>
      <w:textAlignment w:val="baseline"/>
    </w:pPr>
    <w:rPr>
      <w:rFonts w:ascii="Arial" w:hAnsi="Arial" w:eastAsia="宋体" w:cs="Times New Roman"/>
      <w:kern w:val="2"/>
      <w:sz w:val="24"/>
      <w:szCs w:val="24"/>
      <w:lang w:val="en-US" w:eastAsia="zh-CN" w:bidi="ar-SA"/>
    </w:rPr>
  </w:style>
  <w:style w:type="paragraph" w:customStyle="1" w:styleId="43">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4545</Words>
  <Characters>4694</Characters>
  <Lines>71</Lines>
  <Paragraphs>20</Paragraphs>
  <TotalTime>11</TotalTime>
  <ScaleCrop>false</ScaleCrop>
  <LinksUpToDate>false</LinksUpToDate>
  <CharactersWithSpaces>4709</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2021-07-29T14:38:00Z</dcterms:created>
  <dc:creator>黄 朝晖</dc:creator>
  <cp:lastModifiedBy>WPS_1602207895</cp:lastModifiedBy>
  <cp:lastPrinted>2024-09-24T07:01:00Z</cp:lastPrinted>
  <dcterms:modified xsi:type="dcterms:W3CDTF">2024-11-11T08:26:45Z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66A567C7FB4140CF96B795E6E9D1AFF5_13</vt:lpwstr>
  </property>
</Properties>
</file>