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560" w:lineRule="exact"/>
        <w:jc w:val="left"/>
        <w:rPr>
          <w:rFonts w:hint="eastAsia" w:ascii="仿宋" w:hAnsi="仿宋" w:eastAsia="仿宋" w:cs="仿宋"/>
          <w:b/>
          <w:bCs/>
          <w:sz w:val="32"/>
          <w:szCs w:val="32"/>
        </w:rPr>
      </w:pPr>
      <w:bookmarkStart w:id="0" w:name="_Toc12272"/>
      <w:bookmarkStart w:id="1" w:name="_Toc1522"/>
      <w:bookmarkStart w:id="2" w:name="_Toc339810018"/>
      <w:bookmarkStart w:id="3" w:name="_Toc2920"/>
      <w:bookmarkStart w:id="4" w:name="_Toc10089"/>
      <w:r>
        <w:rPr>
          <w:rFonts w:hint="eastAsia" w:ascii="仿宋" w:hAnsi="仿宋" w:eastAsia="仿宋" w:cs="仿宋"/>
          <w:b/>
          <w:bCs/>
          <w:sz w:val="32"/>
          <w:szCs w:val="32"/>
        </w:rPr>
        <w:t>附件：</w:t>
      </w:r>
    </w:p>
    <w:p>
      <w:pPr>
        <w:pStyle w:val="6"/>
        <w:spacing w:line="560" w:lineRule="exact"/>
        <w:jc w:val="center"/>
        <w:outlineLvl w:val="0"/>
        <w:rPr>
          <w:rFonts w:hint="eastAsia" w:ascii="仿宋" w:hAnsi="仿宋" w:eastAsia="仿宋" w:cs="仿宋"/>
          <w:bCs/>
          <w:sz w:val="44"/>
          <w:szCs w:val="44"/>
        </w:rPr>
      </w:pPr>
    </w:p>
    <w:p>
      <w:pPr>
        <w:pStyle w:val="6"/>
        <w:keepNext w:val="0"/>
        <w:keepLines w:val="0"/>
        <w:pageBreakBefore w:val="0"/>
        <w:widowControl w:val="0"/>
        <w:shd w:val="clear"/>
        <w:kinsoku/>
        <w:wordWrap/>
        <w:overflowPunct/>
        <w:topLinePunct w:val="0"/>
        <w:autoSpaceDE/>
        <w:autoSpaceDN/>
        <w:bidi w:val="0"/>
        <w:adjustRightInd/>
        <w:snapToGrid/>
        <w:spacing w:line="64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r>
        <w:rPr>
          <w:rFonts w:hint="eastAsia" w:eastAsia="方正小标宋简体" w:cs="方正小标宋简体"/>
          <w:b w:val="0"/>
          <w:bCs/>
          <w:color w:val="auto"/>
          <w:sz w:val="44"/>
          <w:szCs w:val="44"/>
          <w:highlight w:val="none"/>
          <w:lang w:val="en-US" w:eastAsia="zh-CN"/>
        </w:rPr>
        <w:t>博罗县电子政务协同办公平台短信提醒</w:t>
      </w:r>
    </w:p>
    <w:p>
      <w:pPr>
        <w:pStyle w:val="6"/>
        <w:keepNext w:val="0"/>
        <w:keepLines w:val="0"/>
        <w:pageBreakBefore w:val="0"/>
        <w:widowControl w:val="0"/>
        <w:shd w:val="clear"/>
        <w:kinsoku/>
        <w:wordWrap/>
        <w:overflowPunct/>
        <w:topLinePunct w:val="0"/>
        <w:autoSpaceDE/>
        <w:autoSpaceDN/>
        <w:bidi w:val="0"/>
        <w:adjustRightInd/>
        <w:snapToGrid/>
        <w:spacing w:line="640" w:lineRule="exact"/>
        <w:ind w:left="0" w:leftChars="0"/>
        <w:jc w:val="center"/>
        <w:textAlignment w:val="auto"/>
        <w:outlineLvl w:val="0"/>
        <w:rPr>
          <w:rFonts w:hint="eastAsia" w:eastAsia="方正小标宋简体" w:cs="方正小标宋简体"/>
          <w:b w:val="0"/>
          <w:bCs/>
          <w:color w:val="auto"/>
          <w:sz w:val="44"/>
          <w:szCs w:val="44"/>
          <w:highlight w:val="none"/>
          <w:lang w:val="en-US" w:eastAsia="zh-CN"/>
        </w:rPr>
      </w:pPr>
      <w:r>
        <w:rPr>
          <w:rFonts w:hint="eastAsia" w:eastAsia="方正小标宋简体" w:cs="方正小标宋简体"/>
          <w:b w:val="0"/>
          <w:bCs/>
          <w:color w:val="auto"/>
          <w:sz w:val="44"/>
          <w:szCs w:val="44"/>
          <w:highlight w:val="none"/>
          <w:lang w:val="en-US" w:eastAsia="zh-CN"/>
        </w:rPr>
        <w:t>服务项目采购需求及评分标准</w:t>
      </w:r>
    </w:p>
    <w:p>
      <w:pPr>
        <w:pStyle w:val="6"/>
        <w:spacing w:line="560" w:lineRule="exact"/>
        <w:jc w:val="center"/>
        <w:outlineLvl w:val="0"/>
        <w:rPr>
          <w:rFonts w:hint="eastAsia" w:ascii="仿宋" w:hAnsi="仿宋" w:eastAsia="仿宋" w:cs="仿宋"/>
          <w:bCs/>
          <w:sz w:val="44"/>
          <w:szCs w:val="44"/>
        </w:rPr>
      </w:pPr>
    </w:p>
    <w:p>
      <w:pPr>
        <w:bidi w:val="0"/>
        <w:ind w:left="0" w:lef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一、项目商务要求</w:t>
      </w:r>
    </w:p>
    <w:bookmarkEnd w:id="0"/>
    <w:bookmarkEnd w:id="1"/>
    <w:bookmarkEnd w:id="2"/>
    <w:bookmarkEnd w:id="3"/>
    <w:bookmarkEnd w:id="4"/>
    <w:p>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rPr>
        <w:t>1.交货时间：自合同签订之日起</w:t>
      </w:r>
      <w:r>
        <w:rPr>
          <w:rFonts w:hint="eastAsia" w:ascii="仿宋" w:hAnsi="仿宋" w:eastAsia="仿宋" w:cs="仿宋"/>
          <w:sz w:val="32"/>
          <w:szCs w:val="32"/>
          <w:lang w:val="en-US" w:eastAsia="zh-CN"/>
        </w:rPr>
        <w:t>5天内完成</w:t>
      </w:r>
      <w:r>
        <w:rPr>
          <w:rFonts w:hint="eastAsia" w:ascii="仿宋" w:hAnsi="仿宋" w:eastAsia="仿宋" w:cs="仿宋"/>
          <w:sz w:val="32"/>
          <w:szCs w:val="32"/>
          <w:highlight w:val="none"/>
          <w:lang w:val="en-US" w:eastAsia="zh-CN"/>
        </w:rPr>
        <w:t>交付</w:t>
      </w:r>
      <w:r>
        <w:rPr>
          <w:rFonts w:hint="eastAsia" w:ascii="仿宋" w:hAnsi="仿宋" w:eastAsia="仿宋" w:cs="仿宋"/>
          <w:sz w:val="32"/>
          <w:szCs w:val="32"/>
          <w:lang w:val="en-US" w:eastAsia="zh-CN"/>
        </w:rPr>
        <w:t>，服务</w:t>
      </w:r>
      <w:r>
        <w:rPr>
          <w:rFonts w:hint="eastAsia" w:ascii="仿宋" w:hAnsi="仿宋" w:eastAsia="仿宋" w:cs="仿宋"/>
          <w:sz w:val="32"/>
          <w:szCs w:val="32"/>
          <w:highlight w:val="none"/>
          <w:lang w:val="en-US" w:eastAsia="zh-CN"/>
        </w:rPr>
        <w:t>期壹年。</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2.售后服务要求：</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服务期内提供标准电话技术支持（7×24小时），</w:t>
      </w:r>
      <w:r>
        <w:rPr>
          <w:rFonts w:hint="eastAsia" w:ascii="仿宋" w:hAnsi="仿宋" w:eastAsia="仿宋" w:cs="仿宋"/>
          <w:sz w:val="32"/>
          <w:szCs w:val="32"/>
          <w:highlight w:val="none"/>
          <w:lang w:val="en-US" w:eastAsia="zh-CN"/>
        </w:rPr>
        <w:t>中标方</w:t>
      </w:r>
      <w:r>
        <w:rPr>
          <w:rFonts w:hint="eastAsia" w:ascii="仿宋" w:hAnsi="仿宋" w:eastAsia="仿宋" w:cs="仿宋"/>
          <w:sz w:val="32"/>
          <w:szCs w:val="32"/>
          <w:highlight w:val="none"/>
        </w:rPr>
        <w:t>人员接到通知后</w:t>
      </w: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分钟内响应，除特殊情况外，故障排除时间不超过</w:t>
      </w: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小时。</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3.</w:t>
      </w:r>
      <w:r>
        <w:rPr>
          <w:rFonts w:hint="eastAsia" w:ascii="仿宋" w:hAnsi="仿宋" w:eastAsia="仿宋" w:cs="仿宋"/>
          <w:sz w:val="32"/>
          <w:szCs w:val="32"/>
          <w:highlight w:val="none"/>
          <w:lang w:val="en-US" w:eastAsia="zh-CN"/>
        </w:rPr>
        <w:t>服务期</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壹年（自合同签订，经甲方确认交付之日起计算）</w:t>
      </w:r>
      <w:r>
        <w:rPr>
          <w:rFonts w:hint="eastAsia" w:ascii="仿宋" w:hAnsi="仿宋" w:eastAsia="仿宋" w:cs="仿宋"/>
          <w:sz w:val="32"/>
          <w:szCs w:val="32"/>
          <w:highlight w:val="none"/>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highlight w:val="none"/>
        </w:rPr>
        <w:t>4.服务地</w:t>
      </w:r>
      <w:r>
        <w:rPr>
          <w:rFonts w:hint="eastAsia" w:ascii="仿宋" w:hAnsi="仿宋" w:eastAsia="仿宋" w:cs="仿宋"/>
          <w:sz w:val="32"/>
          <w:szCs w:val="32"/>
        </w:rPr>
        <w:t>点：采购方指定地点。</w:t>
      </w:r>
    </w:p>
    <w:p>
      <w:pPr>
        <w:spacing w:line="560" w:lineRule="exact"/>
        <w:ind w:firstLine="640" w:firstLineChars="200"/>
        <w:rPr>
          <w:rFonts w:hint="eastAsia" w:ascii="仿宋" w:hAnsi="仿宋" w:eastAsia="仿宋" w:cs="仿宋"/>
          <w:color w:val="000000" w:themeColor="text1"/>
          <w:sz w:val="32"/>
          <w:szCs w:val="32"/>
          <w14:textFill>
            <w14:solidFill>
              <w14:schemeClr w14:val="tx1"/>
            </w14:solidFill>
          </w14:textFill>
        </w:rPr>
      </w:pPr>
      <w:bookmarkStart w:id="5" w:name="_Toc516064525"/>
      <w:bookmarkStart w:id="6" w:name="_Toc267320051"/>
      <w:r>
        <w:rPr>
          <w:rFonts w:hint="eastAsia" w:ascii="仿宋" w:hAnsi="仿宋" w:eastAsia="仿宋" w:cs="仿宋"/>
          <w:sz w:val="32"/>
          <w:szCs w:val="32"/>
        </w:rPr>
        <w:t>5.付款方式</w:t>
      </w:r>
      <w:bookmarkEnd w:id="5"/>
      <w:bookmarkEnd w:id="6"/>
      <w:r>
        <w:rPr>
          <w:rFonts w:hint="eastAsia" w:ascii="仿宋" w:hAnsi="仿宋" w:eastAsia="仿宋" w:cs="仿宋"/>
          <w:sz w:val="32"/>
          <w:szCs w:val="32"/>
        </w:rPr>
        <w:t>：</w:t>
      </w:r>
      <w:r>
        <w:rPr>
          <w:rFonts w:hint="eastAsia" w:ascii="仿宋" w:hAnsi="仿宋" w:eastAsia="仿宋" w:cs="仿宋"/>
          <w:color w:val="000000" w:themeColor="text1"/>
          <w:sz w:val="32"/>
          <w:szCs w:val="32"/>
          <w14:textFill>
            <w14:solidFill>
              <w14:schemeClr w14:val="tx1"/>
            </w14:solidFill>
          </w14:textFill>
        </w:rPr>
        <w:t>根据合同约定按期通过银行转账支付。</w:t>
      </w:r>
    </w:p>
    <w:p>
      <w:pPr>
        <w:pStyle w:val="2"/>
        <w:rPr>
          <w:rFonts w:hint="eastAsia"/>
        </w:rPr>
      </w:pPr>
    </w:p>
    <w:p>
      <w:pPr>
        <w:bidi w:val="0"/>
        <w:ind w:left="0" w:lef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二、最高限价</w:t>
      </w:r>
    </w:p>
    <w:tbl>
      <w:tblPr>
        <w:tblStyle w:val="4"/>
        <w:tblW w:w="4913" w:type="pct"/>
        <w:jc w:val="center"/>
        <w:tblLayout w:type="fixed"/>
        <w:tblCellMar>
          <w:top w:w="0" w:type="dxa"/>
          <w:left w:w="108" w:type="dxa"/>
          <w:bottom w:w="0" w:type="dxa"/>
          <w:right w:w="108" w:type="dxa"/>
        </w:tblCellMar>
      </w:tblPr>
      <w:tblGrid>
        <w:gridCol w:w="801"/>
        <w:gridCol w:w="3365"/>
        <w:gridCol w:w="870"/>
        <w:gridCol w:w="795"/>
        <w:gridCol w:w="1259"/>
        <w:gridCol w:w="1283"/>
      </w:tblGrid>
      <w:tr>
        <w:tblPrEx>
          <w:tblCellMar>
            <w:top w:w="0" w:type="dxa"/>
            <w:left w:w="108" w:type="dxa"/>
            <w:bottom w:w="0" w:type="dxa"/>
            <w:right w:w="108" w:type="dxa"/>
          </w:tblCellMar>
        </w:tblPrEx>
        <w:trPr>
          <w:trHeight w:val="855" w:hRule="atLeast"/>
          <w:jc w:val="center"/>
        </w:trPr>
        <w:tc>
          <w:tcPr>
            <w:tcW w:w="478"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序号</w:t>
            </w:r>
          </w:p>
        </w:tc>
        <w:tc>
          <w:tcPr>
            <w:tcW w:w="2008"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名称</w:t>
            </w:r>
          </w:p>
        </w:tc>
        <w:tc>
          <w:tcPr>
            <w:tcW w:w="519"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数量</w:t>
            </w:r>
          </w:p>
        </w:tc>
        <w:tc>
          <w:tcPr>
            <w:tcW w:w="474"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单位</w:t>
            </w:r>
          </w:p>
        </w:tc>
        <w:tc>
          <w:tcPr>
            <w:tcW w:w="752"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b/>
                <w:bCs/>
                <w:color w:val="000000"/>
                <w:sz w:val="28"/>
                <w:szCs w:val="28"/>
              </w:rPr>
            </w:pPr>
            <w:r>
              <w:rPr>
                <w:rFonts w:hint="eastAsia" w:ascii="仿宋" w:hAnsi="仿宋" w:eastAsia="仿宋" w:cs="仿宋"/>
                <w:b/>
                <w:bCs/>
                <w:color w:val="000000"/>
                <w:kern w:val="0"/>
                <w:sz w:val="28"/>
                <w:szCs w:val="28"/>
                <w:lang w:bidi="ar"/>
              </w:rPr>
              <w:t>最高限价（元/人民币）</w:t>
            </w:r>
          </w:p>
        </w:tc>
        <w:tc>
          <w:tcPr>
            <w:tcW w:w="766"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备注</w:t>
            </w:r>
          </w:p>
        </w:tc>
      </w:tr>
      <w:tr>
        <w:tblPrEx>
          <w:tblCellMar>
            <w:top w:w="0" w:type="dxa"/>
            <w:left w:w="108" w:type="dxa"/>
            <w:bottom w:w="0" w:type="dxa"/>
            <w:right w:w="108" w:type="dxa"/>
          </w:tblCellMar>
        </w:tblPrEx>
        <w:trPr>
          <w:trHeight w:val="640" w:hRule="atLeast"/>
          <w:jc w:val="center"/>
        </w:trPr>
        <w:tc>
          <w:tcPr>
            <w:tcW w:w="478"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1</w:t>
            </w:r>
          </w:p>
        </w:tc>
        <w:tc>
          <w:tcPr>
            <w:tcW w:w="2008" w:type="pct"/>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textAlignment w:val="center"/>
              <w:rPr>
                <w:rFonts w:hint="eastAsia" w:ascii="仿宋" w:hAnsi="仿宋" w:eastAsia="仿宋" w:cs="仿宋"/>
                <w:color w:val="000000"/>
                <w:kern w:val="0"/>
                <w:sz w:val="28"/>
                <w:szCs w:val="28"/>
                <w:lang w:eastAsia="zh-CN" w:bidi="ar"/>
              </w:rPr>
            </w:pPr>
            <w:r>
              <w:rPr>
                <w:rFonts w:hint="default" w:ascii="Times New Roman" w:hAnsi="Times New Roman" w:eastAsia="仿宋_GB2312" w:cs="Times New Roman"/>
                <w:i w:val="0"/>
                <w:iCs w:val="0"/>
                <w:color w:val="000000"/>
                <w:kern w:val="0"/>
                <w:sz w:val="28"/>
                <w:szCs w:val="28"/>
                <w:highlight w:val="none"/>
                <w:u w:val="none"/>
                <w:lang w:bidi="ar"/>
              </w:rPr>
              <w:t>博罗县电子政务协同办公平台短信提醒服务项目</w:t>
            </w:r>
          </w:p>
        </w:tc>
        <w:tc>
          <w:tcPr>
            <w:tcW w:w="519"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color w:val="000000"/>
                <w:kern w:val="0"/>
                <w:sz w:val="28"/>
                <w:szCs w:val="28"/>
                <w:lang w:eastAsia="zh-CN" w:bidi="ar"/>
              </w:rPr>
            </w:pPr>
            <w:r>
              <w:rPr>
                <w:rFonts w:hint="eastAsia" w:ascii="仿宋" w:hAnsi="仿宋" w:eastAsia="仿宋" w:cs="仿宋"/>
                <w:color w:val="000000"/>
                <w:kern w:val="0"/>
                <w:sz w:val="28"/>
                <w:szCs w:val="28"/>
                <w:lang w:val="en-US" w:eastAsia="zh-CN" w:bidi="ar"/>
              </w:rPr>
              <w:t>1</w:t>
            </w:r>
          </w:p>
        </w:tc>
        <w:tc>
          <w:tcPr>
            <w:tcW w:w="474"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color w:val="000000"/>
                <w:kern w:val="0"/>
                <w:sz w:val="28"/>
                <w:szCs w:val="28"/>
                <w:lang w:eastAsia="zh-CN" w:bidi="ar"/>
              </w:rPr>
            </w:pPr>
            <w:r>
              <w:rPr>
                <w:rFonts w:hint="eastAsia" w:ascii="仿宋" w:hAnsi="仿宋" w:eastAsia="仿宋" w:cs="仿宋"/>
                <w:color w:val="000000"/>
                <w:kern w:val="0"/>
                <w:sz w:val="28"/>
                <w:szCs w:val="28"/>
                <w:lang w:val="en-US" w:eastAsia="zh-CN" w:bidi="ar"/>
              </w:rPr>
              <w:t>项</w:t>
            </w:r>
          </w:p>
        </w:tc>
        <w:tc>
          <w:tcPr>
            <w:tcW w:w="752"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themeColor="text1"/>
                <w:kern w:val="0"/>
                <w:sz w:val="28"/>
                <w:szCs w:val="28"/>
                <w:lang w:bidi="ar"/>
                <w14:textFill>
                  <w14:solidFill>
                    <w14:schemeClr w14:val="tx1"/>
                  </w14:solidFill>
                </w14:textFill>
              </w:rPr>
              <w:t>5</w:t>
            </w:r>
            <w:r>
              <w:rPr>
                <w:rFonts w:hint="eastAsia" w:ascii="仿宋" w:hAnsi="仿宋" w:eastAsia="仿宋" w:cs="仿宋"/>
                <w:color w:val="000000" w:themeColor="text1"/>
                <w:kern w:val="0"/>
                <w:sz w:val="28"/>
                <w:szCs w:val="28"/>
                <w:lang w:val="en-US" w:eastAsia="zh-CN" w:bidi="ar"/>
                <w14:textFill>
                  <w14:solidFill>
                    <w14:schemeClr w14:val="tx1"/>
                  </w14:solidFill>
                </w14:textFill>
              </w:rPr>
              <w:t>.55</w:t>
            </w:r>
            <w:r>
              <w:rPr>
                <w:rFonts w:hint="eastAsia" w:ascii="仿宋" w:hAnsi="仿宋" w:eastAsia="仿宋" w:cs="仿宋"/>
                <w:color w:val="000000"/>
                <w:kern w:val="0"/>
                <w:sz w:val="28"/>
                <w:szCs w:val="28"/>
                <w:lang w:bidi="ar"/>
              </w:rPr>
              <w:t>万</w:t>
            </w:r>
          </w:p>
        </w:tc>
        <w:tc>
          <w:tcPr>
            <w:tcW w:w="766" w:type="pc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hint="eastAsia" w:ascii="仿宋" w:hAnsi="仿宋" w:eastAsia="仿宋" w:cs="仿宋"/>
                <w:color w:val="000000"/>
                <w:kern w:val="0"/>
                <w:sz w:val="28"/>
                <w:szCs w:val="28"/>
                <w:lang w:val="en-US" w:eastAsia="zh-CN" w:bidi="ar"/>
              </w:rPr>
            </w:pPr>
          </w:p>
        </w:tc>
      </w:tr>
    </w:tbl>
    <w:p>
      <w:pPr>
        <w:spacing w:line="560" w:lineRule="exact"/>
        <w:ind w:firstLine="723" w:firstLineChars="300"/>
        <w:rPr>
          <w:rFonts w:hint="eastAsia" w:ascii="仿宋" w:hAnsi="仿宋" w:eastAsia="仿宋" w:cs="仿宋"/>
          <w:b/>
          <w:sz w:val="24"/>
        </w:rPr>
      </w:pPr>
      <w:r>
        <w:rPr>
          <w:rFonts w:hint="eastAsia" w:ascii="仿宋" w:hAnsi="仿宋" w:eastAsia="仿宋" w:cs="仿宋"/>
          <w:b/>
          <w:sz w:val="24"/>
        </w:rPr>
        <w:t>注：本项目不接受联合体投标。</w:t>
      </w:r>
    </w:p>
    <w:p>
      <w:pPr>
        <w:pStyle w:val="2"/>
        <w:rPr>
          <w:rFonts w:hint="eastAsia"/>
        </w:rPr>
      </w:pPr>
    </w:p>
    <w:p>
      <w:pPr>
        <w:bidi w:val="0"/>
        <w:ind w:left="0" w:lef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三、技术要求</w:t>
      </w:r>
    </w:p>
    <w:p>
      <w:pPr>
        <w:spacing w:line="560" w:lineRule="exact"/>
        <w:ind w:firstLine="640" w:firstLineChars="200"/>
        <w:rPr>
          <w:rFonts w:hint="eastAsia" w:ascii="仿宋" w:hAnsi="仿宋" w:eastAsia="仿宋" w:cs="仿宋"/>
          <w:sz w:val="32"/>
          <w:szCs w:val="32"/>
          <w:lang w:val="en-US" w:eastAsia="zh-CN"/>
        </w:rPr>
      </w:pPr>
      <w:bookmarkStart w:id="7" w:name="_Toc141105730"/>
      <w:r>
        <w:rPr>
          <w:rFonts w:hint="eastAsia" w:ascii="仿宋" w:hAnsi="仿宋" w:eastAsia="仿宋" w:cs="仿宋"/>
          <w:sz w:val="32"/>
          <w:szCs w:val="32"/>
          <w:lang w:val="en-US" w:eastAsia="zh-CN"/>
        </w:rPr>
        <w:t>服务需求</w:t>
      </w:r>
    </w:p>
    <w:tbl>
      <w:tblPr>
        <w:tblStyle w:val="4"/>
        <w:tblW w:w="491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2"/>
        <w:gridCol w:w="2305"/>
        <w:gridCol w:w="4080"/>
        <w:gridCol w:w="11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4" w:hRule="atLeast"/>
          <w:jc w:val="center"/>
        </w:trPr>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序号</w:t>
            </w:r>
          </w:p>
        </w:tc>
        <w:tc>
          <w:tcPr>
            <w:tcW w:w="13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eastAsia" w:ascii="Times New Roman" w:hAnsi="Times New Roman" w:eastAsia="仿宋_GB2312" w:cs="Times New Roman"/>
                <w:b/>
                <w:bCs/>
                <w:i w:val="0"/>
                <w:iCs w:val="0"/>
                <w:color w:val="000000"/>
                <w:kern w:val="0"/>
                <w:sz w:val="28"/>
                <w:szCs w:val="28"/>
                <w:highlight w:val="none"/>
                <w:u w:val="none"/>
                <w:lang w:val="en-US" w:eastAsia="zh-CN" w:bidi="ar"/>
              </w:rPr>
              <w:t>服务</w:t>
            </w:r>
            <w:r>
              <w:rPr>
                <w:rFonts w:hint="default" w:ascii="Times New Roman" w:hAnsi="Times New Roman" w:eastAsia="仿宋_GB2312" w:cs="Times New Roman"/>
                <w:b/>
                <w:bCs/>
                <w:i w:val="0"/>
                <w:iCs w:val="0"/>
                <w:color w:val="000000"/>
                <w:kern w:val="0"/>
                <w:sz w:val="28"/>
                <w:szCs w:val="28"/>
                <w:highlight w:val="none"/>
                <w:u w:val="none"/>
                <w:lang w:val="en-US" w:eastAsia="zh-CN" w:bidi="ar"/>
              </w:rPr>
              <w:t>名称</w:t>
            </w:r>
          </w:p>
        </w:tc>
        <w:tc>
          <w:tcPr>
            <w:tcW w:w="24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sz w:val="28"/>
                <w:szCs w:val="28"/>
                <w:highlight w:val="none"/>
                <w:u w:val="none"/>
                <w:lang w:val="en-US"/>
              </w:rPr>
            </w:pPr>
            <w:r>
              <w:rPr>
                <w:rFonts w:hint="eastAsia" w:ascii="Times New Roman" w:hAnsi="Times New Roman" w:eastAsia="仿宋_GB2312" w:cs="Times New Roman"/>
                <w:b/>
                <w:bCs/>
                <w:i w:val="0"/>
                <w:iCs w:val="0"/>
                <w:color w:val="000000"/>
                <w:kern w:val="0"/>
                <w:sz w:val="28"/>
                <w:szCs w:val="28"/>
                <w:highlight w:val="none"/>
                <w:u w:val="none"/>
                <w:lang w:val="en-US" w:eastAsia="zh-CN" w:bidi="ar"/>
              </w:rPr>
              <w:t>服务要求</w:t>
            </w:r>
          </w:p>
        </w:tc>
        <w:tc>
          <w:tcPr>
            <w:tcW w:w="7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b/>
                <w:bCs/>
                <w:i w:val="0"/>
                <w:iCs w:val="0"/>
                <w:color w:val="000000"/>
                <w:kern w:val="0"/>
                <w:sz w:val="28"/>
                <w:szCs w:val="28"/>
                <w:highlight w:val="none"/>
                <w:u w:val="none"/>
                <w:lang w:val="en-US" w:eastAsia="zh-CN" w:bidi="ar"/>
              </w:rPr>
            </w:pPr>
            <w:r>
              <w:rPr>
                <w:rFonts w:hint="eastAsia" w:ascii="Times New Roman" w:hAnsi="Times New Roman" w:eastAsia="仿宋_GB2312" w:cs="Times New Roman"/>
                <w:b/>
                <w:bCs/>
                <w:i w:val="0"/>
                <w:iCs w:val="0"/>
                <w:color w:val="000000"/>
                <w:kern w:val="0"/>
                <w:sz w:val="28"/>
                <w:szCs w:val="28"/>
                <w:highlight w:val="none"/>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4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1</w:t>
            </w:r>
          </w:p>
        </w:tc>
        <w:tc>
          <w:tcPr>
            <w:tcW w:w="13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eastAsia" w:ascii="Times New Roman" w:hAnsi="Times New Roman" w:eastAsia="仿宋_GB2312" w:cs="Times New Roman"/>
                <w:i w:val="0"/>
                <w:iCs w:val="0"/>
                <w:color w:val="000000"/>
                <w:kern w:val="0"/>
                <w:sz w:val="28"/>
                <w:szCs w:val="28"/>
                <w:highlight w:val="none"/>
                <w:u w:val="none"/>
                <w:lang w:val="en-US" w:eastAsia="zh-CN" w:bidi="ar"/>
              </w:rPr>
              <w:t>三网短信服务</w:t>
            </w:r>
          </w:p>
        </w:tc>
        <w:tc>
          <w:tcPr>
            <w:tcW w:w="24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left"/>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eastAsia" w:eastAsia="仿宋_GB2312" w:cs="Times New Roman"/>
                <w:i w:val="0"/>
                <w:iCs w:val="0"/>
                <w:color w:val="000000"/>
                <w:kern w:val="0"/>
                <w:sz w:val="28"/>
                <w:szCs w:val="28"/>
                <w:highlight w:val="none"/>
                <w:u w:val="none"/>
                <w:lang w:val="en-US" w:eastAsia="zh-CN" w:bidi="ar"/>
              </w:rPr>
              <w:t>提供150万条三网短信，并提供短信接口对接服务。</w:t>
            </w:r>
          </w:p>
        </w:tc>
        <w:tc>
          <w:tcPr>
            <w:tcW w:w="70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eastAsia" w:ascii="Times New Roman" w:hAnsi="Times New Roman" w:eastAsia="仿宋_GB2312" w:cs="Times New Roman"/>
                <w:i w:val="0"/>
                <w:iCs w:val="0"/>
                <w:color w:val="000000"/>
                <w:kern w:val="0"/>
                <w:sz w:val="28"/>
                <w:szCs w:val="28"/>
                <w:highlight w:val="none"/>
                <w:u w:val="none"/>
                <w:lang w:val="en-US" w:eastAsia="zh-CN" w:bidi="ar"/>
              </w:rPr>
              <w:t>1项</w:t>
            </w:r>
          </w:p>
        </w:tc>
      </w:tr>
      <w:bookmarkEnd w:id="7"/>
    </w:tbl>
    <w:p>
      <w:pPr>
        <w:spacing w:line="560" w:lineRule="exact"/>
        <w:rPr>
          <w:rFonts w:hint="eastAsia" w:ascii="仿宋" w:hAnsi="仿宋" w:eastAsia="仿宋" w:cs="仿宋"/>
          <w:highlight w:val="yellow"/>
        </w:rPr>
      </w:pPr>
    </w:p>
    <w:p>
      <w:pPr>
        <w:bidi w:val="0"/>
        <w:ind w:left="0" w:lef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四、评审标准</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959"/>
        <w:gridCol w:w="1197"/>
        <w:gridCol w:w="1184"/>
        <w:gridCol w:w="4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293" w:type="pct"/>
            <w:gridSpan w:val="2"/>
            <w:shd w:val="clear" w:color="auto" w:fill="CFCECE" w:themeFill="background2" w:themeFillShade="E5"/>
            <w:vAlign w:val="center"/>
          </w:tcPr>
          <w:p>
            <w:pPr>
              <w:widowControl/>
              <w:spacing w:line="460" w:lineRule="exact"/>
              <w:jc w:val="center"/>
              <w:textAlignment w:val="center"/>
              <w:rPr>
                <w:rFonts w:hint="eastAsia" w:ascii="仿宋" w:hAnsi="仿宋" w:eastAsia="仿宋" w:cs="仿宋"/>
                <w:b/>
                <w:sz w:val="28"/>
                <w:szCs w:val="28"/>
              </w:rPr>
            </w:pPr>
            <w:r>
              <w:rPr>
                <w:rFonts w:hint="eastAsia" w:ascii="仿宋" w:hAnsi="仿宋" w:eastAsia="仿宋" w:cs="仿宋"/>
                <w:b/>
                <w:kern w:val="0"/>
                <w:sz w:val="28"/>
                <w:szCs w:val="28"/>
                <w:lang w:bidi="ar"/>
              </w:rPr>
              <w:t>评审因素</w:t>
            </w:r>
          </w:p>
        </w:tc>
        <w:tc>
          <w:tcPr>
            <w:tcW w:w="710" w:type="pct"/>
            <w:shd w:val="clear" w:color="auto" w:fill="CFCECE" w:themeFill="background2" w:themeFillShade="E5"/>
            <w:vAlign w:val="center"/>
          </w:tcPr>
          <w:p>
            <w:pPr>
              <w:widowControl/>
              <w:spacing w:line="460" w:lineRule="exact"/>
              <w:jc w:val="center"/>
              <w:textAlignment w:val="center"/>
              <w:rPr>
                <w:rFonts w:hint="eastAsia" w:ascii="仿宋" w:hAnsi="仿宋" w:eastAsia="仿宋" w:cs="仿宋"/>
                <w:b/>
                <w:sz w:val="28"/>
                <w:szCs w:val="28"/>
              </w:rPr>
            </w:pPr>
            <w:r>
              <w:rPr>
                <w:rFonts w:hint="eastAsia" w:ascii="仿宋" w:hAnsi="仿宋" w:eastAsia="仿宋" w:cs="仿宋"/>
                <w:b/>
                <w:kern w:val="0"/>
                <w:sz w:val="28"/>
                <w:szCs w:val="28"/>
                <w:lang w:bidi="ar"/>
              </w:rPr>
              <w:t>分值(分）</w:t>
            </w:r>
          </w:p>
        </w:tc>
        <w:tc>
          <w:tcPr>
            <w:tcW w:w="2995" w:type="pct"/>
            <w:shd w:val="clear" w:color="auto" w:fill="CFCECE" w:themeFill="background2" w:themeFillShade="E5"/>
            <w:vAlign w:val="center"/>
          </w:tcPr>
          <w:p>
            <w:pPr>
              <w:widowControl/>
              <w:spacing w:line="460" w:lineRule="exact"/>
              <w:jc w:val="center"/>
              <w:textAlignment w:val="center"/>
              <w:rPr>
                <w:rFonts w:hint="eastAsia" w:ascii="仿宋" w:hAnsi="仿宋" w:eastAsia="仿宋" w:cs="仿宋"/>
                <w:b/>
                <w:sz w:val="28"/>
                <w:szCs w:val="28"/>
              </w:rPr>
            </w:pPr>
            <w:r>
              <w:rPr>
                <w:rFonts w:hint="eastAsia" w:ascii="仿宋" w:hAnsi="仿宋" w:eastAsia="仿宋" w:cs="仿宋"/>
                <w:b/>
                <w:kern w:val="0"/>
                <w:sz w:val="28"/>
                <w:szCs w:val="28"/>
                <w:lang w:bidi="ar"/>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1293" w:type="pct"/>
            <w:gridSpan w:val="2"/>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价格（</w:t>
            </w:r>
            <w:r>
              <w:rPr>
                <w:rFonts w:hint="eastAsia" w:ascii="仿宋" w:hAnsi="仿宋" w:eastAsia="仿宋" w:cs="仿宋"/>
                <w:kern w:val="0"/>
                <w:sz w:val="28"/>
                <w:szCs w:val="28"/>
                <w:lang w:val="en-US" w:eastAsia="zh-CN" w:bidi="ar"/>
              </w:rPr>
              <w:t>3</w:t>
            </w:r>
            <w:r>
              <w:rPr>
                <w:rFonts w:hint="eastAsia" w:ascii="仿宋" w:hAnsi="仿宋" w:eastAsia="仿宋" w:cs="仿宋"/>
                <w:kern w:val="0"/>
                <w:sz w:val="28"/>
                <w:szCs w:val="28"/>
                <w:lang w:bidi="ar"/>
              </w:rPr>
              <w:t>0分）</w:t>
            </w:r>
          </w:p>
        </w:tc>
        <w:tc>
          <w:tcPr>
            <w:tcW w:w="710" w:type="pct"/>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val="en-US" w:eastAsia="zh-CN" w:bidi="ar"/>
              </w:rPr>
              <w:t>3</w:t>
            </w:r>
            <w:r>
              <w:rPr>
                <w:rFonts w:hint="eastAsia" w:ascii="仿宋" w:hAnsi="仿宋" w:eastAsia="仿宋" w:cs="仿宋"/>
                <w:kern w:val="0"/>
                <w:sz w:val="28"/>
                <w:szCs w:val="28"/>
                <w:lang w:bidi="ar"/>
              </w:rPr>
              <w:t>0</w:t>
            </w:r>
          </w:p>
        </w:tc>
        <w:tc>
          <w:tcPr>
            <w:tcW w:w="2995" w:type="pct"/>
            <w:vAlign w:val="center"/>
          </w:tcPr>
          <w:p>
            <w:pPr>
              <w:widowControl/>
              <w:spacing w:line="460" w:lineRule="exact"/>
              <w:jc w:val="left"/>
              <w:textAlignment w:val="center"/>
              <w:rPr>
                <w:rFonts w:hint="eastAsia" w:ascii="仿宋" w:hAnsi="仿宋" w:eastAsia="仿宋" w:cs="仿宋"/>
                <w:sz w:val="28"/>
                <w:szCs w:val="28"/>
              </w:rPr>
            </w:pPr>
            <w:r>
              <w:rPr>
                <w:rFonts w:hint="eastAsia" w:ascii="仿宋" w:hAnsi="仿宋" w:eastAsia="仿宋" w:cs="仿宋"/>
                <w:kern w:val="0"/>
                <w:sz w:val="28"/>
                <w:szCs w:val="28"/>
                <w:lang w:bidi="ar"/>
              </w:rPr>
              <w:t>对招标文件作出实质性响应的所有合格投标人价格评估得分采用低价优先法计算，即通过初审且投标价格最低的投标报价作为评标基准价，其投标报价得分为满分；其他投标人的投标报价得分按如下公式计算：投标人价格得分=（评标基准价/投标报价）×价格满分基数。投标人的投标文件须提供成本清单且评标委员会认定投标人此报价具备合理履约能力(招标文件报价要求中另有约定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rPr>
        <w:tc>
          <w:tcPr>
            <w:tcW w:w="575" w:type="pct"/>
            <w:vMerge w:val="restart"/>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sz w:val="28"/>
                <w:szCs w:val="28"/>
              </w:rPr>
              <w:t>技术部分（</w:t>
            </w:r>
            <w:r>
              <w:rPr>
                <w:rFonts w:hint="eastAsia" w:ascii="仿宋" w:hAnsi="仿宋" w:eastAsia="仿宋" w:cs="仿宋"/>
                <w:sz w:val="28"/>
                <w:szCs w:val="28"/>
                <w:highlight w:val="none"/>
                <w:lang w:val="en-US" w:eastAsia="zh-CN"/>
              </w:rPr>
              <w:t>50</w:t>
            </w:r>
            <w:r>
              <w:rPr>
                <w:rFonts w:hint="eastAsia" w:ascii="仿宋" w:hAnsi="仿宋" w:eastAsia="仿宋" w:cs="仿宋"/>
                <w:sz w:val="28"/>
                <w:szCs w:val="28"/>
                <w:highlight w:val="none"/>
              </w:rPr>
              <w:t>分）</w:t>
            </w:r>
          </w:p>
        </w:tc>
        <w:tc>
          <w:tcPr>
            <w:tcW w:w="718" w:type="pct"/>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sz w:val="28"/>
                <w:szCs w:val="28"/>
              </w:rPr>
              <w:t>总体服务方案</w:t>
            </w:r>
          </w:p>
        </w:tc>
        <w:tc>
          <w:tcPr>
            <w:tcW w:w="710" w:type="pct"/>
            <w:vAlign w:val="center"/>
          </w:tcPr>
          <w:p>
            <w:pPr>
              <w:widowControl/>
              <w:spacing w:line="4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2995" w:type="pct"/>
            <w:vAlign w:val="center"/>
          </w:tcPr>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总体服务方案包含但不限于以下内容： ①服务流程； ②项目管理； ③各环节过程具体实施方案；</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1.总体服务方案科学合理，亮点多，针对性强，具有改善性效果，得</w:t>
            </w:r>
            <w:r>
              <w:rPr>
                <w:rFonts w:hint="eastAsia" w:ascii="仿宋" w:hAnsi="仿宋" w:eastAsia="仿宋" w:cs="仿宋"/>
                <w:sz w:val="28"/>
                <w:szCs w:val="28"/>
                <w:lang w:val="en-US" w:eastAsia="zh-CN"/>
              </w:rPr>
              <w:t>15</w:t>
            </w:r>
            <w:r>
              <w:rPr>
                <w:rFonts w:hint="eastAsia" w:ascii="仿宋" w:hAnsi="仿宋" w:eastAsia="仿宋" w:cs="仿宋"/>
                <w:sz w:val="28"/>
                <w:szCs w:val="28"/>
              </w:rPr>
              <w:t>分；</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2.总体服务方案科学较合理，亮点较多，针对性较强，具有改善性效果，得</w:t>
            </w:r>
            <w:r>
              <w:rPr>
                <w:rFonts w:hint="eastAsia" w:ascii="仿宋" w:hAnsi="仿宋" w:eastAsia="仿宋" w:cs="仿宋"/>
                <w:sz w:val="28"/>
                <w:szCs w:val="28"/>
                <w:lang w:val="en-US" w:eastAsia="zh-CN"/>
              </w:rPr>
              <w:t>10</w:t>
            </w:r>
            <w:r>
              <w:rPr>
                <w:rFonts w:hint="eastAsia" w:ascii="仿宋" w:hAnsi="仿宋" w:eastAsia="仿宋" w:cs="仿宋"/>
                <w:sz w:val="28"/>
                <w:szCs w:val="28"/>
              </w:rPr>
              <w:t>分；</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3.总体服务方案有一定特点，具有改善性效果，有部分亮点，有一定针对性，得</w:t>
            </w:r>
            <w:r>
              <w:rPr>
                <w:rFonts w:hint="eastAsia" w:ascii="仿宋" w:hAnsi="仿宋" w:eastAsia="仿宋" w:cs="仿宋"/>
                <w:sz w:val="28"/>
                <w:szCs w:val="28"/>
                <w:lang w:val="en-US" w:eastAsia="zh-CN"/>
              </w:rPr>
              <w:t>5</w:t>
            </w:r>
            <w:r>
              <w:rPr>
                <w:rFonts w:hint="eastAsia" w:ascii="仿宋" w:hAnsi="仿宋" w:eastAsia="仿宋" w:cs="仿宋"/>
                <w:sz w:val="28"/>
                <w:szCs w:val="28"/>
              </w:rPr>
              <w:t>分；</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4.总体服务方案一般，针对性一般，亮点不突出，得</w:t>
            </w:r>
            <w:r>
              <w:rPr>
                <w:rFonts w:hint="eastAsia" w:ascii="仿宋" w:hAnsi="仿宋" w:eastAsia="仿宋" w:cs="仿宋"/>
                <w:sz w:val="28"/>
                <w:szCs w:val="28"/>
                <w:lang w:val="en-US" w:eastAsia="zh-CN"/>
              </w:rPr>
              <w:t>1</w:t>
            </w:r>
            <w:r>
              <w:rPr>
                <w:rFonts w:hint="eastAsia" w:ascii="仿宋" w:hAnsi="仿宋" w:eastAsia="仿宋" w:cs="仿宋"/>
                <w:sz w:val="28"/>
                <w:szCs w:val="28"/>
              </w:rPr>
              <w:t>分；</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总体服务方案差或无提供不得分。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3" w:hRule="atLeast"/>
        </w:trPr>
        <w:tc>
          <w:tcPr>
            <w:tcW w:w="575" w:type="pct"/>
            <w:vMerge w:val="continue"/>
            <w:vAlign w:val="center"/>
          </w:tcPr>
          <w:p>
            <w:pPr>
              <w:widowControl/>
              <w:spacing w:line="460" w:lineRule="exact"/>
              <w:jc w:val="center"/>
              <w:textAlignment w:val="center"/>
              <w:rPr>
                <w:rFonts w:hint="eastAsia" w:ascii="仿宋" w:hAnsi="仿宋" w:eastAsia="仿宋" w:cs="仿宋"/>
                <w:kern w:val="0"/>
                <w:sz w:val="28"/>
                <w:szCs w:val="28"/>
                <w:lang w:bidi="ar"/>
              </w:rPr>
            </w:pPr>
          </w:p>
        </w:tc>
        <w:tc>
          <w:tcPr>
            <w:tcW w:w="718" w:type="pct"/>
            <w:vAlign w:val="center"/>
          </w:tcPr>
          <w:p>
            <w:pPr>
              <w:widowControl/>
              <w:spacing w:line="460" w:lineRule="exact"/>
              <w:jc w:val="center"/>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服务承诺及保障措施</w:t>
            </w:r>
          </w:p>
        </w:tc>
        <w:tc>
          <w:tcPr>
            <w:tcW w:w="710" w:type="pct"/>
            <w:vAlign w:val="center"/>
          </w:tcPr>
          <w:p>
            <w:pPr>
              <w:widowControl/>
              <w:spacing w:line="4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10</w:t>
            </w:r>
          </w:p>
        </w:tc>
        <w:tc>
          <w:tcPr>
            <w:tcW w:w="2995" w:type="pct"/>
            <w:vAlign w:val="center"/>
          </w:tcPr>
          <w:p>
            <w:pPr>
              <w:widowControl/>
              <w:spacing w:line="460" w:lineRule="exact"/>
              <w:jc w:val="left"/>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包括但不限于服务承诺内容、服务承诺执行方式、服务原则、服务承诺保障措施等：</w:t>
            </w:r>
          </w:p>
          <w:p>
            <w:pPr>
              <w:widowControl/>
              <w:spacing w:line="460" w:lineRule="exact"/>
              <w:jc w:val="left"/>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1.投标人提供的服务承诺及质量保障措施非常符合项目要求，可操作性强、可行性极高的，得</w:t>
            </w:r>
            <w:r>
              <w:rPr>
                <w:rFonts w:hint="eastAsia" w:ascii="仿宋" w:hAnsi="仿宋" w:eastAsia="仿宋" w:cs="仿宋"/>
                <w:kern w:val="0"/>
                <w:sz w:val="28"/>
                <w:szCs w:val="28"/>
                <w:lang w:val="en-US" w:eastAsia="zh-CN" w:bidi="ar"/>
              </w:rPr>
              <w:t>10</w:t>
            </w:r>
            <w:r>
              <w:rPr>
                <w:rFonts w:hint="eastAsia" w:ascii="仿宋" w:hAnsi="仿宋" w:eastAsia="仿宋" w:cs="仿宋"/>
                <w:kern w:val="0"/>
                <w:sz w:val="28"/>
                <w:szCs w:val="28"/>
                <w:lang w:bidi="ar"/>
              </w:rPr>
              <w:t>分；</w:t>
            </w:r>
          </w:p>
          <w:p>
            <w:pPr>
              <w:widowControl/>
              <w:spacing w:line="460" w:lineRule="exact"/>
              <w:jc w:val="left"/>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2.投标人提供的服务承诺及质量保障措施符合项目要求，具有可操作性较强、可行性较高的，得</w:t>
            </w:r>
            <w:r>
              <w:rPr>
                <w:rFonts w:hint="eastAsia" w:ascii="仿宋" w:hAnsi="仿宋" w:eastAsia="仿宋" w:cs="仿宋"/>
                <w:kern w:val="0"/>
                <w:sz w:val="28"/>
                <w:szCs w:val="28"/>
                <w:lang w:val="en-US" w:eastAsia="zh-CN" w:bidi="ar"/>
              </w:rPr>
              <w:t>7</w:t>
            </w:r>
            <w:r>
              <w:rPr>
                <w:rFonts w:hint="eastAsia" w:ascii="仿宋" w:hAnsi="仿宋" w:eastAsia="仿宋" w:cs="仿宋"/>
                <w:kern w:val="0"/>
                <w:sz w:val="28"/>
                <w:szCs w:val="28"/>
                <w:lang w:bidi="ar"/>
              </w:rPr>
              <w:t>分；</w:t>
            </w:r>
          </w:p>
          <w:p>
            <w:pPr>
              <w:widowControl/>
              <w:spacing w:line="460" w:lineRule="exact"/>
              <w:jc w:val="left"/>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3.投标人提供的服务承诺及质量保障措施较符合项目要求，有一定的可操作性、可行性，得</w:t>
            </w:r>
            <w:r>
              <w:rPr>
                <w:rFonts w:hint="eastAsia" w:ascii="仿宋" w:hAnsi="仿宋" w:eastAsia="仿宋" w:cs="仿宋"/>
                <w:kern w:val="0"/>
                <w:sz w:val="28"/>
                <w:szCs w:val="28"/>
                <w:lang w:val="en-US" w:eastAsia="zh-CN" w:bidi="ar"/>
              </w:rPr>
              <w:t>4</w:t>
            </w:r>
            <w:r>
              <w:rPr>
                <w:rFonts w:hint="eastAsia" w:ascii="仿宋" w:hAnsi="仿宋" w:eastAsia="仿宋" w:cs="仿宋"/>
                <w:kern w:val="0"/>
                <w:sz w:val="28"/>
                <w:szCs w:val="28"/>
                <w:lang w:bidi="ar"/>
              </w:rPr>
              <w:t>分；</w:t>
            </w:r>
          </w:p>
          <w:p>
            <w:pPr>
              <w:widowControl/>
              <w:spacing w:line="460" w:lineRule="exact"/>
              <w:jc w:val="left"/>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4.投标人提供的服务承诺及质量保障措施基本符合项目要求，可操作性一般、可行性较低的，得</w:t>
            </w:r>
            <w:r>
              <w:rPr>
                <w:rFonts w:hint="eastAsia" w:ascii="仿宋" w:hAnsi="仿宋" w:eastAsia="仿宋" w:cs="仿宋"/>
                <w:kern w:val="0"/>
                <w:sz w:val="28"/>
                <w:szCs w:val="28"/>
                <w:lang w:val="en-US" w:eastAsia="zh-CN" w:bidi="ar"/>
              </w:rPr>
              <w:t>1</w:t>
            </w:r>
            <w:r>
              <w:rPr>
                <w:rFonts w:hint="eastAsia" w:ascii="仿宋" w:hAnsi="仿宋" w:eastAsia="仿宋" w:cs="仿宋"/>
                <w:kern w:val="0"/>
                <w:sz w:val="28"/>
                <w:szCs w:val="28"/>
                <w:lang w:bidi="ar"/>
              </w:rPr>
              <w:t>分；</w:t>
            </w:r>
          </w:p>
          <w:p>
            <w:pPr>
              <w:widowControl/>
              <w:spacing w:line="460" w:lineRule="exact"/>
              <w:jc w:val="left"/>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投标人提供的服务承诺及质量保障措施不符合项目要求，不具有可操作性、可行性差的，或未提供不得分。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rPr>
        <w:tc>
          <w:tcPr>
            <w:tcW w:w="575" w:type="pct"/>
            <w:vMerge w:val="continue"/>
            <w:vAlign w:val="center"/>
          </w:tcPr>
          <w:p>
            <w:pPr>
              <w:widowControl/>
              <w:spacing w:line="460" w:lineRule="exact"/>
              <w:jc w:val="center"/>
              <w:textAlignment w:val="center"/>
              <w:rPr>
                <w:rFonts w:hint="eastAsia" w:ascii="仿宋" w:hAnsi="仿宋" w:eastAsia="仿宋" w:cs="仿宋"/>
                <w:kern w:val="0"/>
                <w:sz w:val="28"/>
                <w:szCs w:val="28"/>
                <w:lang w:bidi="ar"/>
              </w:rPr>
            </w:pPr>
          </w:p>
        </w:tc>
        <w:tc>
          <w:tcPr>
            <w:tcW w:w="718" w:type="pct"/>
            <w:vAlign w:val="center"/>
          </w:tcPr>
          <w:p>
            <w:pPr>
              <w:widowControl/>
              <w:spacing w:line="460" w:lineRule="exact"/>
              <w:jc w:val="both"/>
              <w:textAlignment w:val="center"/>
              <w:rPr>
                <w:rFonts w:hint="eastAsia" w:ascii="仿宋" w:hAnsi="仿宋" w:eastAsia="仿宋" w:cs="仿宋"/>
                <w:kern w:val="0"/>
                <w:sz w:val="28"/>
                <w:szCs w:val="28"/>
                <w:lang w:eastAsia="zh-Hans" w:bidi="ar"/>
              </w:rPr>
            </w:pPr>
            <w:r>
              <w:rPr>
                <w:rFonts w:hint="eastAsia" w:ascii="仿宋" w:hAnsi="仿宋" w:eastAsia="仿宋" w:cs="仿宋"/>
                <w:kern w:val="0"/>
                <w:sz w:val="28"/>
                <w:szCs w:val="28"/>
                <w:lang w:eastAsia="zh-Hans" w:bidi="ar"/>
              </w:rPr>
              <w:t>售后服务方案</w:t>
            </w:r>
          </w:p>
        </w:tc>
        <w:tc>
          <w:tcPr>
            <w:tcW w:w="710" w:type="pct"/>
            <w:vAlign w:val="center"/>
          </w:tcPr>
          <w:p>
            <w:pPr>
              <w:widowControl/>
              <w:spacing w:line="4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2995" w:type="pct"/>
            <w:vAlign w:val="center"/>
          </w:tcPr>
          <w:p>
            <w:pPr>
              <w:spacing w:line="460" w:lineRule="exact"/>
              <w:jc w:val="left"/>
              <w:rPr>
                <w:rFonts w:hint="eastAsia" w:ascii="仿宋" w:hAnsi="仿宋" w:eastAsia="仿宋" w:cs="仿宋"/>
                <w:sz w:val="28"/>
                <w:szCs w:val="28"/>
                <w:lang w:eastAsia="zh-CN"/>
              </w:rPr>
            </w:pPr>
            <w:r>
              <w:rPr>
                <w:rFonts w:hint="eastAsia" w:ascii="仿宋" w:hAnsi="仿宋" w:eastAsia="仿宋" w:cs="仿宋"/>
                <w:sz w:val="28"/>
                <w:szCs w:val="28"/>
              </w:rPr>
              <w:t>根据投标供应商针对本项目的实际情况制定的</w:t>
            </w:r>
            <w:r>
              <w:rPr>
                <w:rFonts w:hint="eastAsia" w:ascii="仿宋" w:hAnsi="仿宋" w:eastAsia="仿宋" w:cs="仿宋"/>
                <w:sz w:val="28"/>
                <w:szCs w:val="28"/>
                <w:lang w:val="en-US" w:eastAsia="zh-CN"/>
              </w:rPr>
              <w:t>售后服务方案</w:t>
            </w:r>
            <w:r>
              <w:rPr>
                <w:rFonts w:hint="eastAsia" w:ascii="仿宋" w:hAnsi="仿宋" w:eastAsia="仿宋" w:cs="仿宋"/>
                <w:sz w:val="28"/>
                <w:szCs w:val="28"/>
              </w:rPr>
              <w:t>进行评分</w:t>
            </w:r>
            <w:r>
              <w:rPr>
                <w:rFonts w:hint="eastAsia" w:ascii="仿宋" w:hAnsi="仿宋" w:eastAsia="仿宋" w:cs="仿宋"/>
                <w:sz w:val="28"/>
                <w:szCs w:val="28"/>
                <w:lang w:eastAsia="zh-CN"/>
              </w:rPr>
              <w:t>：</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1.售后服务能力非常强，售后服务完成满足招标文件要求、售后服务非常便捷，问题处理能力非常强，售后技术人员力量配备充足，得</w:t>
            </w:r>
            <w:r>
              <w:rPr>
                <w:rFonts w:hint="eastAsia" w:ascii="仿宋" w:hAnsi="仿宋" w:eastAsia="仿宋" w:cs="仿宋"/>
                <w:sz w:val="28"/>
                <w:szCs w:val="28"/>
                <w:lang w:val="en-US" w:eastAsia="zh-CN"/>
              </w:rPr>
              <w:t>15</w:t>
            </w:r>
            <w:r>
              <w:rPr>
                <w:rFonts w:hint="eastAsia" w:ascii="仿宋" w:hAnsi="仿宋" w:eastAsia="仿宋" w:cs="仿宋"/>
                <w:sz w:val="28"/>
                <w:szCs w:val="28"/>
              </w:rPr>
              <w:t>分；</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2.售后服务能力较强、售后服务较便捷，问题处理能力较强，售后技术人员力量配备较充足，得</w:t>
            </w:r>
            <w:r>
              <w:rPr>
                <w:rFonts w:hint="eastAsia" w:ascii="仿宋" w:hAnsi="仿宋" w:eastAsia="仿宋" w:cs="仿宋"/>
                <w:sz w:val="28"/>
                <w:szCs w:val="28"/>
                <w:lang w:val="en-US" w:eastAsia="zh-CN"/>
              </w:rPr>
              <w:t>10</w:t>
            </w:r>
            <w:r>
              <w:rPr>
                <w:rFonts w:hint="eastAsia" w:ascii="仿宋" w:hAnsi="仿宋" w:eastAsia="仿宋" w:cs="仿宋"/>
                <w:sz w:val="28"/>
                <w:szCs w:val="28"/>
              </w:rPr>
              <w:t>分；</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3.售后服务基本满足要求，问题处理能力一般，售后技术人员力量配备一般，得</w:t>
            </w:r>
            <w:r>
              <w:rPr>
                <w:rFonts w:hint="eastAsia" w:ascii="仿宋" w:hAnsi="仿宋" w:eastAsia="仿宋" w:cs="仿宋"/>
                <w:sz w:val="28"/>
                <w:szCs w:val="28"/>
                <w:lang w:val="en-US" w:eastAsia="zh-CN"/>
              </w:rPr>
              <w:t>5</w:t>
            </w:r>
            <w:r>
              <w:rPr>
                <w:rFonts w:hint="eastAsia" w:ascii="仿宋" w:hAnsi="仿宋" w:eastAsia="仿宋" w:cs="仿宋"/>
                <w:sz w:val="28"/>
                <w:szCs w:val="28"/>
              </w:rPr>
              <w:t>分；</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4.售后服务能力差，问题处理能力差，售后技术人员力量配备差，得</w:t>
            </w:r>
            <w:r>
              <w:rPr>
                <w:rFonts w:hint="eastAsia" w:ascii="仿宋" w:hAnsi="仿宋" w:eastAsia="仿宋" w:cs="仿宋"/>
                <w:sz w:val="28"/>
                <w:szCs w:val="28"/>
                <w:lang w:val="en-US" w:eastAsia="zh-CN"/>
              </w:rPr>
              <w:t>1</w:t>
            </w:r>
            <w:r>
              <w:rPr>
                <w:rFonts w:hint="eastAsia" w:ascii="仿宋" w:hAnsi="仿宋" w:eastAsia="仿宋" w:cs="仿宋"/>
                <w:sz w:val="28"/>
                <w:szCs w:val="28"/>
              </w:rPr>
              <w:t>分。</w:t>
            </w:r>
          </w:p>
          <w:p>
            <w:pPr>
              <w:spacing w:line="460" w:lineRule="exact"/>
              <w:jc w:val="left"/>
              <w:rPr>
                <w:rFonts w:hint="eastAsia" w:ascii="仿宋" w:hAnsi="仿宋" w:eastAsia="仿宋" w:cs="仿宋"/>
                <w:sz w:val="28"/>
                <w:szCs w:val="28"/>
              </w:rPr>
            </w:pPr>
            <w:r>
              <w:rPr>
                <w:rFonts w:hint="eastAsia" w:ascii="仿宋" w:hAnsi="仿宋" w:eastAsia="仿宋" w:cs="仿宋"/>
                <w:sz w:val="28"/>
                <w:szCs w:val="28"/>
              </w:rPr>
              <w:t>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20" w:hRule="atLeast"/>
        </w:trPr>
        <w:tc>
          <w:tcPr>
            <w:tcW w:w="575" w:type="pct"/>
            <w:vMerge w:val="continue"/>
            <w:vAlign w:val="center"/>
          </w:tcPr>
          <w:p>
            <w:pPr>
              <w:spacing w:line="460" w:lineRule="exact"/>
              <w:jc w:val="center"/>
              <w:rPr>
                <w:rFonts w:hint="eastAsia" w:ascii="仿宋" w:hAnsi="仿宋" w:eastAsia="仿宋" w:cs="仿宋"/>
                <w:sz w:val="28"/>
                <w:szCs w:val="28"/>
              </w:rPr>
            </w:pPr>
          </w:p>
        </w:tc>
        <w:tc>
          <w:tcPr>
            <w:tcW w:w="718" w:type="pct"/>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sz w:val="28"/>
                <w:szCs w:val="28"/>
              </w:rPr>
              <w:t>应急处置预案</w:t>
            </w:r>
          </w:p>
        </w:tc>
        <w:tc>
          <w:tcPr>
            <w:tcW w:w="710" w:type="pct"/>
            <w:vAlign w:val="center"/>
          </w:tcPr>
          <w:p>
            <w:pPr>
              <w:widowControl/>
              <w:spacing w:line="4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10</w:t>
            </w:r>
          </w:p>
        </w:tc>
        <w:tc>
          <w:tcPr>
            <w:tcW w:w="2995" w:type="pct"/>
            <w:vAlign w:val="center"/>
          </w:tcPr>
          <w:p>
            <w:pPr>
              <w:widowControl/>
              <w:spacing w:line="460" w:lineRule="exact"/>
              <w:jc w:val="left"/>
              <w:textAlignment w:val="center"/>
              <w:rPr>
                <w:rFonts w:hint="eastAsia" w:ascii="仿宋" w:hAnsi="仿宋" w:eastAsia="仿宋" w:cs="仿宋"/>
                <w:sz w:val="28"/>
                <w:szCs w:val="28"/>
              </w:rPr>
            </w:pPr>
            <w:r>
              <w:rPr>
                <w:rFonts w:hint="eastAsia" w:ascii="仿宋" w:hAnsi="仿宋" w:eastAsia="仿宋" w:cs="仿宋"/>
                <w:sz w:val="28"/>
                <w:szCs w:val="28"/>
              </w:rPr>
              <w:t>根据投标供应商针对本项目的实际情况制定的应急处置预案进行评分。</w:t>
            </w:r>
          </w:p>
          <w:p>
            <w:pPr>
              <w:widowControl/>
              <w:spacing w:line="460" w:lineRule="exact"/>
              <w:jc w:val="left"/>
              <w:textAlignment w:val="center"/>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应急处置预案完整，科学性、合理性、可执行性最强，描述清晰的,得</w:t>
            </w:r>
            <w:r>
              <w:rPr>
                <w:rFonts w:hint="eastAsia" w:ascii="仿宋" w:hAnsi="仿宋" w:eastAsia="仿宋" w:cs="仿宋"/>
                <w:sz w:val="28"/>
                <w:szCs w:val="28"/>
                <w:lang w:val="en-US" w:eastAsia="zh-CN"/>
              </w:rPr>
              <w:t>10</w:t>
            </w:r>
            <w:r>
              <w:rPr>
                <w:rFonts w:hint="eastAsia" w:ascii="仿宋" w:hAnsi="仿宋" w:eastAsia="仿宋" w:cs="仿宋"/>
                <w:sz w:val="28"/>
                <w:szCs w:val="28"/>
              </w:rPr>
              <w:t>分；</w:t>
            </w:r>
          </w:p>
          <w:p>
            <w:pPr>
              <w:widowControl/>
              <w:spacing w:line="460" w:lineRule="exact"/>
              <w:jc w:val="left"/>
              <w:textAlignment w:val="center"/>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应急处置预案基本完整，科学性、合理性、可执行性较强，描述较为清晰的,得</w:t>
            </w:r>
            <w:r>
              <w:rPr>
                <w:rFonts w:hint="eastAsia" w:ascii="仿宋" w:hAnsi="仿宋" w:eastAsia="仿宋" w:cs="仿宋"/>
                <w:sz w:val="28"/>
                <w:szCs w:val="28"/>
                <w:lang w:val="en-US" w:eastAsia="zh-CN"/>
              </w:rPr>
              <w:t>7</w:t>
            </w:r>
            <w:r>
              <w:rPr>
                <w:rFonts w:hint="eastAsia" w:ascii="仿宋" w:hAnsi="仿宋" w:eastAsia="仿宋" w:cs="仿宋"/>
                <w:sz w:val="28"/>
                <w:szCs w:val="28"/>
              </w:rPr>
              <w:t>分；</w:t>
            </w:r>
          </w:p>
          <w:p>
            <w:pPr>
              <w:widowControl/>
              <w:spacing w:line="460" w:lineRule="exact"/>
              <w:jc w:val="left"/>
              <w:textAlignment w:val="center"/>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应急处置预案不完整，科学性、合理性、可执行性较弱，描述不清晰的,得</w:t>
            </w:r>
            <w:r>
              <w:rPr>
                <w:rFonts w:hint="eastAsia" w:ascii="仿宋" w:hAnsi="仿宋" w:eastAsia="仿宋" w:cs="仿宋"/>
                <w:sz w:val="28"/>
                <w:szCs w:val="28"/>
                <w:lang w:val="en-US" w:eastAsia="zh-CN"/>
              </w:rPr>
              <w:t>4</w:t>
            </w:r>
            <w:r>
              <w:rPr>
                <w:rFonts w:hint="eastAsia" w:ascii="仿宋" w:hAnsi="仿宋" w:eastAsia="仿宋" w:cs="仿宋"/>
                <w:sz w:val="28"/>
                <w:szCs w:val="28"/>
              </w:rPr>
              <w:t>分；</w:t>
            </w:r>
          </w:p>
          <w:p>
            <w:pPr>
              <w:widowControl/>
              <w:spacing w:line="460" w:lineRule="exact"/>
              <w:jc w:val="left"/>
              <w:textAlignment w:val="center"/>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应急处置预案科学性、合理性差，不可执行的,得</w:t>
            </w:r>
            <w:r>
              <w:rPr>
                <w:rFonts w:hint="eastAsia" w:ascii="仿宋" w:hAnsi="仿宋" w:eastAsia="仿宋" w:cs="仿宋"/>
                <w:sz w:val="28"/>
                <w:szCs w:val="28"/>
                <w:lang w:val="en-US" w:eastAsia="zh-CN"/>
              </w:rPr>
              <w:t>1</w:t>
            </w:r>
            <w:r>
              <w:rPr>
                <w:rFonts w:hint="eastAsia" w:ascii="仿宋" w:hAnsi="仿宋" w:eastAsia="仿宋" w:cs="仿宋"/>
                <w:sz w:val="28"/>
                <w:szCs w:val="28"/>
              </w:rPr>
              <w:t>分；</w:t>
            </w:r>
          </w:p>
          <w:p>
            <w:pPr>
              <w:widowControl/>
              <w:spacing w:line="460" w:lineRule="exact"/>
              <w:jc w:val="left"/>
              <w:textAlignment w:val="center"/>
              <w:rPr>
                <w:rFonts w:hint="eastAsia" w:ascii="仿宋" w:hAnsi="仿宋" w:eastAsia="仿宋" w:cs="仿宋"/>
                <w:sz w:val="28"/>
                <w:szCs w:val="28"/>
              </w:rPr>
            </w:pPr>
            <w:r>
              <w:rPr>
                <w:rFonts w:hint="eastAsia" w:ascii="仿宋" w:hAnsi="仿宋" w:eastAsia="仿宋" w:cs="仿宋"/>
                <w:sz w:val="28"/>
                <w:szCs w:val="28"/>
              </w:rPr>
              <w:t>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575" w:type="pct"/>
            <w:vMerge w:val="restart"/>
            <w:vAlign w:val="center"/>
          </w:tcPr>
          <w:p>
            <w:pPr>
              <w:spacing w:line="460" w:lineRule="exact"/>
              <w:jc w:val="center"/>
              <w:rPr>
                <w:rFonts w:hint="eastAsia" w:ascii="仿宋" w:hAnsi="仿宋" w:eastAsia="仿宋" w:cs="仿宋"/>
                <w:sz w:val="28"/>
                <w:szCs w:val="28"/>
              </w:rPr>
            </w:pPr>
            <w:r>
              <w:rPr>
                <w:rFonts w:hint="eastAsia" w:ascii="仿宋" w:hAnsi="仿宋" w:eastAsia="仿宋" w:cs="仿宋"/>
                <w:sz w:val="28"/>
                <w:szCs w:val="28"/>
              </w:rPr>
              <w:t>商务部分（</w:t>
            </w:r>
            <w:r>
              <w:rPr>
                <w:rFonts w:hint="eastAsia" w:ascii="仿宋" w:hAnsi="仿宋" w:eastAsia="仿宋" w:cs="仿宋"/>
                <w:sz w:val="28"/>
                <w:szCs w:val="28"/>
                <w:lang w:val="en-US" w:eastAsia="zh-CN"/>
              </w:rPr>
              <w:t>20</w:t>
            </w:r>
            <w:r>
              <w:rPr>
                <w:rFonts w:hint="eastAsia" w:ascii="仿宋" w:hAnsi="仿宋" w:eastAsia="仿宋" w:cs="仿宋"/>
                <w:sz w:val="28"/>
                <w:szCs w:val="28"/>
              </w:rPr>
              <w:t>分）</w:t>
            </w:r>
          </w:p>
        </w:tc>
        <w:tc>
          <w:tcPr>
            <w:tcW w:w="718" w:type="pct"/>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sz w:val="28"/>
                <w:szCs w:val="28"/>
              </w:rPr>
              <w:t>同类业绩</w:t>
            </w:r>
          </w:p>
        </w:tc>
        <w:tc>
          <w:tcPr>
            <w:tcW w:w="710" w:type="pct"/>
            <w:vAlign w:val="center"/>
          </w:tcPr>
          <w:p>
            <w:pPr>
              <w:widowControl/>
              <w:spacing w:line="4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2995" w:type="pct"/>
            <w:vAlign w:val="center"/>
          </w:tcPr>
          <w:p>
            <w:pPr>
              <w:widowControl/>
              <w:spacing w:line="460" w:lineRule="exact"/>
              <w:jc w:val="left"/>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投标人提供2021年1月1日至今取得的同类采购项目业绩，每提供一个项目业绩得</w:t>
            </w:r>
            <w:r>
              <w:rPr>
                <w:rFonts w:hint="eastAsia" w:ascii="仿宋" w:hAnsi="仿宋" w:eastAsia="仿宋" w:cs="仿宋"/>
                <w:kern w:val="0"/>
                <w:sz w:val="28"/>
                <w:szCs w:val="28"/>
                <w:lang w:val="en-US" w:eastAsia="zh-CN" w:bidi="ar"/>
              </w:rPr>
              <w:t>2</w:t>
            </w:r>
            <w:r>
              <w:rPr>
                <w:rFonts w:hint="eastAsia" w:ascii="仿宋" w:hAnsi="仿宋" w:eastAsia="仿宋" w:cs="仿宋"/>
                <w:kern w:val="0"/>
                <w:sz w:val="28"/>
                <w:szCs w:val="28"/>
                <w:lang w:bidi="ar"/>
              </w:rPr>
              <w:t>分。本项最高得</w:t>
            </w:r>
            <w:r>
              <w:rPr>
                <w:rFonts w:hint="eastAsia" w:ascii="仿宋" w:hAnsi="仿宋" w:eastAsia="仿宋" w:cs="仿宋"/>
                <w:kern w:val="0"/>
                <w:sz w:val="28"/>
                <w:szCs w:val="28"/>
                <w:lang w:val="en-US" w:eastAsia="zh-CN" w:bidi="ar"/>
              </w:rPr>
              <w:t>6</w:t>
            </w:r>
            <w:r>
              <w:rPr>
                <w:rFonts w:hint="eastAsia" w:ascii="仿宋" w:hAnsi="仿宋" w:eastAsia="仿宋" w:cs="仿宋"/>
                <w:kern w:val="0"/>
                <w:sz w:val="28"/>
                <w:szCs w:val="28"/>
                <w:lang w:bidi="ar"/>
              </w:rPr>
              <w:t>分。</w:t>
            </w:r>
          </w:p>
          <w:p>
            <w:pPr>
              <w:widowControl/>
              <w:spacing w:line="460" w:lineRule="exact"/>
              <w:jc w:val="left"/>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注 1、业绩时间以合同签订时间为准。2、供应商应提供合同关键页复印件(合同关键页包括:合同封面、服务内容页及双方签章页;加盖供应商公章)。3、同一项目不同年份的合同按一份业绩计算，不重复计算业绩分数。同一业主在同一招标/采购项目中续签的合同不重复计分。无提供不得分。如投标人为分支机构，投标人总公司或投标人总公司分支机构相关项目业绩证明材料亦可作为评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575" w:type="pct"/>
            <w:vMerge w:val="continue"/>
            <w:vAlign w:val="center"/>
          </w:tcPr>
          <w:p>
            <w:pPr>
              <w:spacing w:line="460" w:lineRule="exact"/>
              <w:jc w:val="center"/>
              <w:rPr>
                <w:rFonts w:hint="eastAsia" w:ascii="仿宋" w:hAnsi="仿宋" w:eastAsia="仿宋" w:cs="仿宋"/>
                <w:sz w:val="28"/>
                <w:szCs w:val="28"/>
              </w:rPr>
            </w:pPr>
          </w:p>
        </w:tc>
        <w:tc>
          <w:tcPr>
            <w:tcW w:w="718" w:type="pct"/>
            <w:shd w:val="clear" w:color="auto" w:fill="auto"/>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投标人资质情况</w:t>
            </w:r>
          </w:p>
        </w:tc>
        <w:tc>
          <w:tcPr>
            <w:tcW w:w="710" w:type="pct"/>
            <w:shd w:val="clear" w:color="auto" w:fill="auto"/>
            <w:vAlign w:val="center"/>
          </w:tcPr>
          <w:p>
            <w:pPr>
              <w:widowControl/>
              <w:spacing w:line="460" w:lineRule="exact"/>
              <w:jc w:val="center"/>
              <w:textAlignment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p>
        </w:tc>
        <w:tc>
          <w:tcPr>
            <w:tcW w:w="2995" w:type="pct"/>
            <w:shd w:val="clear" w:color="auto" w:fill="auto"/>
            <w:vAlign w:val="center"/>
          </w:tcPr>
          <w:p>
            <w:pPr>
              <w:spacing w:line="460" w:lineRule="exact"/>
              <w:jc w:val="left"/>
              <w:rPr>
                <w:rFonts w:hint="eastAsia" w:ascii="仿宋" w:hAnsi="仿宋" w:eastAsia="仿宋" w:cs="仿宋"/>
                <w:kern w:val="0"/>
                <w:sz w:val="28"/>
                <w:szCs w:val="28"/>
                <w:lang w:eastAsia="zh-CN" w:bidi="ar"/>
              </w:rPr>
            </w:pPr>
            <w:r>
              <w:rPr>
                <w:rFonts w:hint="eastAsia" w:ascii="仿宋" w:hAnsi="仿宋" w:eastAsia="仿宋" w:cs="仿宋"/>
                <w:kern w:val="0"/>
                <w:sz w:val="28"/>
                <w:szCs w:val="28"/>
                <w:lang w:bidi="ar"/>
              </w:rPr>
              <w:t>投标人具有在有效期内的</w:t>
            </w:r>
            <w:r>
              <w:rPr>
                <w:rFonts w:hint="eastAsia" w:ascii="仿宋" w:hAnsi="仿宋" w:eastAsia="仿宋" w:cs="仿宋"/>
                <w:kern w:val="0"/>
                <w:sz w:val="28"/>
                <w:szCs w:val="28"/>
                <w:lang w:eastAsia="zh-CN" w:bidi="ar"/>
              </w:rPr>
              <w:t>：</w:t>
            </w:r>
          </w:p>
          <w:p>
            <w:pPr>
              <w:numPr>
                <w:ilvl w:val="0"/>
                <w:numId w:val="1"/>
              </w:numPr>
              <w:spacing w:line="460" w:lineRule="exact"/>
              <w:jc w:val="left"/>
              <w:rPr>
                <w:rFonts w:hint="eastAsia" w:ascii="仿宋" w:hAnsi="仿宋" w:eastAsia="仿宋" w:cs="仿宋"/>
                <w:kern w:val="0"/>
                <w:sz w:val="28"/>
                <w:szCs w:val="28"/>
                <w:lang w:eastAsia="zh-CN" w:bidi="ar"/>
              </w:rPr>
            </w:pPr>
            <w:r>
              <w:rPr>
                <w:rFonts w:hint="eastAsia" w:ascii="仿宋" w:hAnsi="仿宋" w:eastAsia="仿宋" w:cs="仿宋"/>
                <w:kern w:val="0"/>
                <w:sz w:val="28"/>
                <w:szCs w:val="28"/>
                <w:lang w:bidi="ar"/>
              </w:rPr>
              <w:t>信息安全管理体系认证证书</w:t>
            </w:r>
            <w:r>
              <w:rPr>
                <w:rFonts w:hint="eastAsia" w:ascii="仿宋" w:hAnsi="仿宋" w:eastAsia="仿宋" w:cs="仿宋"/>
                <w:kern w:val="0"/>
                <w:sz w:val="28"/>
                <w:szCs w:val="28"/>
                <w:lang w:eastAsia="zh-CN" w:bidi="ar"/>
              </w:rPr>
              <w:t>；</w:t>
            </w:r>
          </w:p>
          <w:p>
            <w:pPr>
              <w:numPr>
                <w:ilvl w:val="0"/>
                <w:numId w:val="1"/>
              </w:numPr>
              <w:spacing w:line="460" w:lineRule="exac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信息技术服务管理体系认证证书。须提供有效期内的认证证书扫描件及全国认证认可信息公共服务平台(http://www.cnca.gov.cn)上查询到的官网截图为证明材料，无提供不得分。</w:t>
            </w:r>
          </w:p>
          <w:p>
            <w:pPr>
              <w:numPr>
                <w:ilvl w:val="0"/>
                <w:numId w:val="0"/>
              </w:numPr>
              <w:spacing w:line="460" w:lineRule="exac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提供一份得</w:t>
            </w:r>
            <w:r>
              <w:rPr>
                <w:rFonts w:hint="eastAsia" w:ascii="仿宋" w:hAnsi="仿宋" w:eastAsia="仿宋" w:cs="仿宋"/>
                <w:kern w:val="0"/>
                <w:sz w:val="28"/>
                <w:szCs w:val="28"/>
                <w:lang w:val="en-US" w:eastAsia="zh-CN" w:bidi="ar"/>
              </w:rPr>
              <w:t>3</w:t>
            </w:r>
            <w:r>
              <w:rPr>
                <w:rFonts w:hint="eastAsia" w:ascii="仿宋" w:hAnsi="仿宋" w:eastAsia="仿宋" w:cs="仿宋"/>
                <w:kern w:val="0"/>
                <w:sz w:val="28"/>
                <w:szCs w:val="28"/>
                <w:lang w:bidi="ar"/>
              </w:rPr>
              <w:t>分，本项最高得</w:t>
            </w:r>
            <w:r>
              <w:rPr>
                <w:rFonts w:hint="eastAsia" w:ascii="仿宋" w:hAnsi="仿宋" w:eastAsia="仿宋" w:cs="仿宋"/>
                <w:kern w:val="0"/>
                <w:sz w:val="28"/>
                <w:szCs w:val="28"/>
                <w:lang w:val="en-US" w:eastAsia="zh-CN" w:bidi="ar"/>
              </w:rPr>
              <w:t>6</w:t>
            </w:r>
            <w:r>
              <w:rPr>
                <w:rFonts w:hint="eastAsia" w:ascii="仿宋" w:hAnsi="仿宋" w:eastAsia="仿宋" w:cs="仿宋"/>
                <w:kern w:val="0"/>
                <w:sz w:val="28"/>
                <w:szCs w:val="28"/>
                <w:lang w:bidi="ar"/>
              </w:rPr>
              <w:t>分。</w:t>
            </w:r>
          </w:p>
          <w:p>
            <w:pPr>
              <w:numPr>
                <w:ilvl w:val="0"/>
                <w:numId w:val="0"/>
              </w:numPr>
              <w:spacing w:line="460" w:lineRule="exact"/>
              <w:jc w:val="left"/>
              <w:rPr>
                <w:rFonts w:hint="eastAsia" w:eastAsia="仿宋"/>
                <w:lang w:eastAsia="zh-CN"/>
              </w:rPr>
            </w:pPr>
            <w:r>
              <w:rPr>
                <w:rFonts w:hint="eastAsia" w:ascii="仿宋" w:hAnsi="仿宋" w:eastAsia="仿宋" w:cs="仿宋"/>
                <w:kern w:val="0"/>
                <w:sz w:val="28"/>
                <w:szCs w:val="28"/>
                <w:lang w:bidi="ar"/>
              </w:rPr>
              <w:t>如投标人为分支机构，投标人总公司或投标人总公司分支机构相关资质材料亦可作为评分依据</w:t>
            </w:r>
            <w:r>
              <w:rPr>
                <w:rFonts w:hint="eastAsia" w:ascii="仿宋" w:hAnsi="仿宋" w:eastAsia="仿宋" w:cs="仿宋"/>
                <w:kern w:val="0"/>
                <w:sz w:val="28"/>
                <w:szCs w:val="28"/>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80" w:hRule="atLeast"/>
        </w:trPr>
        <w:tc>
          <w:tcPr>
            <w:tcW w:w="575" w:type="pct"/>
            <w:vMerge w:val="continue"/>
            <w:vAlign w:val="center"/>
          </w:tcPr>
          <w:p>
            <w:pPr>
              <w:spacing w:line="460" w:lineRule="exact"/>
              <w:jc w:val="center"/>
              <w:rPr>
                <w:rFonts w:hint="eastAsia" w:ascii="仿宋" w:hAnsi="仿宋" w:eastAsia="仿宋" w:cs="仿宋"/>
                <w:sz w:val="28"/>
                <w:szCs w:val="28"/>
              </w:rPr>
            </w:pPr>
          </w:p>
        </w:tc>
        <w:tc>
          <w:tcPr>
            <w:tcW w:w="718" w:type="pct"/>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项目负责人</w:t>
            </w:r>
          </w:p>
        </w:tc>
        <w:tc>
          <w:tcPr>
            <w:tcW w:w="710" w:type="pct"/>
            <w:vAlign w:val="center"/>
          </w:tcPr>
          <w:p>
            <w:pPr>
              <w:widowControl/>
              <w:spacing w:line="4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2995" w:type="pct"/>
            <w:vAlign w:val="center"/>
          </w:tcPr>
          <w:p>
            <w:pPr>
              <w:widowControl/>
              <w:spacing w:line="460" w:lineRule="exac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根据本项目采购需求内容，要求投标人对本项目拟派出1名项目负责人，要求具备由国家工信部或人力资源部颁发的通信或计算机专业相关高级资格证书，每提供一项证书得</w:t>
            </w:r>
            <w:r>
              <w:rPr>
                <w:rFonts w:hint="eastAsia" w:ascii="仿宋" w:hAnsi="仿宋" w:eastAsia="仿宋" w:cs="仿宋"/>
                <w:kern w:val="0"/>
                <w:sz w:val="28"/>
                <w:szCs w:val="28"/>
                <w:lang w:val="en-US" w:eastAsia="zh-CN" w:bidi="ar"/>
              </w:rPr>
              <w:t>2</w:t>
            </w:r>
            <w:r>
              <w:rPr>
                <w:rFonts w:hint="eastAsia" w:ascii="仿宋" w:hAnsi="仿宋" w:eastAsia="仿宋" w:cs="仿宋"/>
                <w:kern w:val="0"/>
                <w:sz w:val="28"/>
                <w:szCs w:val="28"/>
                <w:lang w:bidi="ar"/>
              </w:rPr>
              <w:t>分，本项最高得</w:t>
            </w:r>
            <w:r>
              <w:rPr>
                <w:rFonts w:hint="eastAsia" w:ascii="仿宋" w:hAnsi="仿宋" w:eastAsia="仿宋" w:cs="仿宋"/>
                <w:kern w:val="0"/>
                <w:sz w:val="28"/>
                <w:szCs w:val="28"/>
                <w:lang w:val="en-US" w:eastAsia="zh-CN" w:bidi="ar"/>
              </w:rPr>
              <w:t>4</w:t>
            </w:r>
            <w:r>
              <w:rPr>
                <w:rFonts w:hint="eastAsia" w:ascii="仿宋" w:hAnsi="仿宋" w:eastAsia="仿宋" w:cs="仿宋"/>
                <w:kern w:val="0"/>
                <w:sz w:val="28"/>
                <w:szCs w:val="28"/>
                <w:lang w:bidi="ar"/>
              </w:rPr>
              <w:t>分，无提供不得分。</w:t>
            </w:r>
          </w:p>
          <w:p>
            <w:pPr>
              <w:widowControl/>
              <w:spacing w:line="460" w:lineRule="exac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需提供人员资质证书、近</w:t>
            </w:r>
            <w:r>
              <w:rPr>
                <w:rFonts w:hint="eastAsia" w:ascii="仿宋" w:hAnsi="仿宋" w:eastAsia="仿宋" w:cs="仿宋"/>
                <w:kern w:val="0"/>
                <w:sz w:val="28"/>
                <w:szCs w:val="28"/>
                <w:lang w:val="en-US" w:eastAsia="zh-CN" w:bidi="ar"/>
              </w:rPr>
              <w:t>六个</w:t>
            </w:r>
            <w:r>
              <w:rPr>
                <w:rFonts w:hint="eastAsia" w:ascii="仿宋" w:hAnsi="仿宋" w:eastAsia="仿宋" w:cs="仿宋"/>
                <w:kern w:val="0"/>
                <w:sz w:val="28"/>
                <w:szCs w:val="28"/>
                <w:lang w:bidi="ar"/>
              </w:rPr>
              <w:t>月</w:t>
            </w:r>
            <w:r>
              <w:rPr>
                <w:rFonts w:hint="eastAsia" w:ascii="仿宋" w:hAnsi="仿宋" w:eastAsia="仿宋" w:cs="仿宋"/>
                <w:kern w:val="0"/>
                <w:sz w:val="28"/>
                <w:szCs w:val="28"/>
                <w:lang w:val="en-US" w:eastAsia="zh-CN" w:bidi="ar"/>
              </w:rPr>
              <w:t>其中一个月</w:t>
            </w:r>
            <w:r>
              <w:rPr>
                <w:rFonts w:hint="eastAsia" w:ascii="仿宋" w:hAnsi="仿宋" w:eastAsia="仿宋" w:cs="仿宋"/>
                <w:kern w:val="0"/>
                <w:sz w:val="28"/>
                <w:szCs w:val="28"/>
                <w:lang w:bidi="ar"/>
              </w:rPr>
              <w:t>在贵单位社保缴纳证明文件等证明材料作为评审依据，加盖供应商单位公章，否则不得分。</w:t>
            </w:r>
          </w:p>
          <w:p>
            <w:pPr>
              <w:widowControl/>
              <w:spacing w:line="460" w:lineRule="exact"/>
              <w:jc w:val="left"/>
              <w:rPr>
                <w:rFonts w:hint="eastAsia" w:ascii="仿宋" w:hAnsi="仿宋" w:eastAsia="仿宋" w:cs="仿宋"/>
                <w:sz w:val="28"/>
                <w:szCs w:val="28"/>
              </w:rPr>
            </w:pPr>
            <w:r>
              <w:rPr>
                <w:rFonts w:hint="eastAsia" w:ascii="仿宋" w:hAnsi="仿宋" w:eastAsia="仿宋" w:cs="仿宋"/>
                <w:kern w:val="0"/>
                <w:sz w:val="28"/>
                <w:szCs w:val="28"/>
                <w:lang w:bidi="ar"/>
              </w:rPr>
              <w:t>如投标人为分支机构，投标人总公司或投标人总公司分支机构相关</w:t>
            </w:r>
            <w:r>
              <w:rPr>
                <w:rFonts w:hint="eastAsia" w:ascii="仿宋" w:hAnsi="仿宋" w:eastAsia="仿宋" w:cs="仿宋"/>
                <w:kern w:val="0"/>
                <w:sz w:val="28"/>
                <w:szCs w:val="28"/>
                <w:lang w:val="en-US" w:eastAsia="zh-CN" w:bidi="ar"/>
              </w:rPr>
              <w:t>人员</w:t>
            </w:r>
            <w:r>
              <w:rPr>
                <w:rFonts w:hint="eastAsia" w:ascii="仿宋" w:hAnsi="仿宋" w:eastAsia="仿宋" w:cs="仿宋"/>
                <w:kern w:val="0"/>
                <w:sz w:val="28"/>
                <w:szCs w:val="28"/>
                <w:lang w:bidi="ar"/>
              </w:rPr>
              <w:t>材料亦可作为评分依据</w:t>
            </w:r>
            <w:r>
              <w:rPr>
                <w:rFonts w:hint="eastAsia" w:ascii="仿宋" w:hAnsi="仿宋" w:eastAsia="仿宋" w:cs="仿宋"/>
                <w:kern w:val="0"/>
                <w:sz w:val="28"/>
                <w:szCs w:val="28"/>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04" w:hRule="atLeast"/>
        </w:trPr>
        <w:tc>
          <w:tcPr>
            <w:tcW w:w="575" w:type="pct"/>
            <w:vMerge w:val="continue"/>
            <w:vAlign w:val="center"/>
          </w:tcPr>
          <w:p>
            <w:pPr>
              <w:spacing w:line="460" w:lineRule="exact"/>
              <w:jc w:val="center"/>
              <w:rPr>
                <w:rFonts w:hint="eastAsia" w:ascii="仿宋" w:hAnsi="仿宋" w:eastAsia="仿宋" w:cs="仿宋"/>
                <w:sz w:val="28"/>
                <w:szCs w:val="28"/>
              </w:rPr>
            </w:pPr>
          </w:p>
        </w:tc>
        <w:tc>
          <w:tcPr>
            <w:tcW w:w="718" w:type="pct"/>
            <w:vAlign w:val="center"/>
          </w:tcPr>
          <w:p>
            <w:pPr>
              <w:widowControl/>
              <w:spacing w:line="460" w:lineRule="exact"/>
              <w:jc w:val="center"/>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val="en-US" w:eastAsia="zh-CN" w:bidi="ar"/>
              </w:rPr>
              <w:t>项目服务人员</w:t>
            </w:r>
            <w:r>
              <w:rPr>
                <w:rFonts w:hint="eastAsia" w:ascii="仿宋" w:hAnsi="仿宋" w:eastAsia="仿宋" w:cs="仿宋"/>
                <w:kern w:val="0"/>
                <w:sz w:val="28"/>
                <w:szCs w:val="28"/>
                <w:lang w:bidi="ar"/>
              </w:rPr>
              <w:t>（项目负责人除外）</w:t>
            </w:r>
          </w:p>
        </w:tc>
        <w:tc>
          <w:tcPr>
            <w:tcW w:w="710" w:type="pct"/>
            <w:vAlign w:val="center"/>
          </w:tcPr>
          <w:p>
            <w:pPr>
              <w:widowControl/>
              <w:spacing w:line="4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2995" w:type="pct"/>
            <w:vAlign w:val="center"/>
          </w:tcPr>
          <w:p>
            <w:pPr>
              <w:widowControl/>
              <w:spacing w:line="460" w:lineRule="exact"/>
              <w:jc w:val="left"/>
              <w:rPr>
                <w:rFonts w:hint="default" w:ascii="仿宋" w:hAnsi="仿宋" w:eastAsia="仿宋" w:cs="仿宋"/>
                <w:kern w:val="0"/>
                <w:sz w:val="28"/>
                <w:szCs w:val="28"/>
                <w:highlight w:val="none"/>
                <w:lang w:val="en-US" w:eastAsia="zh-CN" w:bidi="ar"/>
              </w:rPr>
            </w:pPr>
            <w:r>
              <w:rPr>
                <w:rFonts w:hint="eastAsia" w:ascii="仿宋" w:hAnsi="仿宋" w:eastAsia="仿宋" w:cs="仿宋"/>
                <w:kern w:val="0"/>
                <w:sz w:val="28"/>
                <w:szCs w:val="28"/>
                <w:lang w:bidi="ar"/>
              </w:rPr>
              <w:t>根据本项目采购需求内容,要求投标人对本</w:t>
            </w:r>
            <w:bookmarkStart w:id="8" w:name="_GoBack"/>
            <w:r>
              <w:rPr>
                <w:rFonts w:hint="eastAsia" w:ascii="仿宋" w:hAnsi="仿宋" w:eastAsia="仿宋" w:cs="仿宋"/>
                <w:kern w:val="0"/>
                <w:sz w:val="28"/>
                <w:szCs w:val="28"/>
                <w:highlight w:val="none"/>
                <w:lang w:bidi="ar"/>
              </w:rPr>
              <w:t>项目拟派出不少于</w:t>
            </w:r>
            <w:r>
              <w:rPr>
                <w:rFonts w:hint="eastAsia" w:ascii="仿宋" w:hAnsi="仿宋" w:eastAsia="仿宋" w:cs="仿宋"/>
                <w:kern w:val="0"/>
                <w:sz w:val="28"/>
                <w:szCs w:val="28"/>
                <w:highlight w:val="none"/>
                <w:lang w:val="en-US" w:eastAsia="zh-CN" w:bidi="ar"/>
              </w:rPr>
              <w:t>2</w:t>
            </w:r>
            <w:r>
              <w:rPr>
                <w:rFonts w:hint="eastAsia" w:ascii="仿宋" w:hAnsi="仿宋" w:eastAsia="仿宋" w:cs="仿宋"/>
                <w:kern w:val="0"/>
                <w:sz w:val="28"/>
                <w:szCs w:val="28"/>
                <w:highlight w:val="none"/>
                <w:lang w:bidi="ar"/>
              </w:rPr>
              <w:t>名项目服务人员,要求具备由国家工信部或人力资源部颁发的通信或计算机专业相关中级以上资格证书，每提供一项证书得</w:t>
            </w:r>
            <w:r>
              <w:rPr>
                <w:rFonts w:hint="eastAsia" w:ascii="仿宋" w:hAnsi="仿宋" w:eastAsia="仿宋" w:cs="仿宋"/>
                <w:kern w:val="0"/>
                <w:sz w:val="28"/>
                <w:szCs w:val="28"/>
                <w:highlight w:val="none"/>
                <w:lang w:val="en-US" w:eastAsia="zh-CN" w:bidi="ar"/>
              </w:rPr>
              <w:t>2</w:t>
            </w:r>
            <w:r>
              <w:rPr>
                <w:rFonts w:hint="eastAsia" w:ascii="仿宋" w:hAnsi="仿宋" w:eastAsia="仿宋" w:cs="仿宋"/>
                <w:kern w:val="0"/>
                <w:sz w:val="28"/>
                <w:szCs w:val="28"/>
                <w:highlight w:val="none"/>
                <w:lang w:bidi="ar"/>
              </w:rPr>
              <w:t>分，本项</w:t>
            </w:r>
            <w:r>
              <w:rPr>
                <w:rFonts w:hint="eastAsia" w:ascii="仿宋" w:hAnsi="仿宋" w:eastAsia="仿宋" w:cs="仿宋"/>
                <w:kern w:val="0"/>
                <w:sz w:val="28"/>
                <w:szCs w:val="28"/>
                <w:highlight w:val="none"/>
                <w:lang w:val="en-US" w:eastAsia="zh-CN" w:bidi="ar"/>
              </w:rPr>
              <w:t>最高得4分，无提供不得分。</w:t>
            </w:r>
          </w:p>
          <w:p>
            <w:pPr>
              <w:widowControl/>
              <w:spacing w:line="460" w:lineRule="exact"/>
              <w:jc w:val="left"/>
              <w:rPr>
                <w:rFonts w:hint="eastAsia" w:ascii="仿宋" w:hAnsi="仿宋" w:eastAsia="仿宋" w:cs="仿宋"/>
                <w:kern w:val="0"/>
                <w:sz w:val="28"/>
                <w:szCs w:val="28"/>
                <w:lang w:bidi="ar"/>
              </w:rPr>
            </w:pPr>
            <w:r>
              <w:rPr>
                <w:rFonts w:hint="eastAsia" w:ascii="仿宋" w:hAnsi="仿宋" w:eastAsia="仿宋" w:cs="仿宋"/>
                <w:kern w:val="0"/>
                <w:sz w:val="28"/>
                <w:szCs w:val="28"/>
                <w:highlight w:val="none"/>
                <w:lang w:bidi="ar"/>
              </w:rPr>
              <w:t>需提供人员资质证书、近</w:t>
            </w:r>
            <w:r>
              <w:rPr>
                <w:rFonts w:hint="eastAsia" w:ascii="仿宋" w:hAnsi="仿宋" w:eastAsia="仿宋" w:cs="仿宋"/>
                <w:kern w:val="0"/>
                <w:sz w:val="28"/>
                <w:szCs w:val="28"/>
                <w:highlight w:val="none"/>
                <w:lang w:val="en-US" w:eastAsia="zh-CN" w:bidi="ar"/>
              </w:rPr>
              <w:t>六个</w:t>
            </w:r>
            <w:r>
              <w:rPr>
                <w:rFonts w:hint="eastAsia" w:ascii="仿宋" w:hAnsi="仿宋" w:eastAsia="仿宋" w:cs="仿宋"/>
                <w:kern w:val="0"/>
                <w:sz w:val="28"/>
                <w:szCs w:val="28"/>
                <w:highlight w:val="none"/>
                <w:lang w:bidi="ar"/>
              </w:rPr>
              <w:t>月</w:t>
            </w:r>
            <w:r>
              <w:rPr>
                <w:rFonts w:hint="eastAsia" w:ascii="仿宋" w:hAnsi="仿宋" w:eastAsia="仿宋" w:cs="仿宋"/>
                <w:kern w:val="0"/>
                <w:sz w:val="28"/>
                <w:szCs w:val="28"/>
                <w:highlight w:val="none"/>
                <w:lang w:val="en-US" w:eastAsia="zh-CN" w:bidi="ar"/>
              </w:rPr>
              <w:t>其中一个月</w:t>
            </w:r>
            <w:r>
              <w:rPr>
                <w:rFonts w:hint="eastAsia" w:ascii="仿宋" w:hAnsi="仿宋" w:eastAsia="仿宋" w:cs="仿宋"/>
                <w:kern w:val="0"/>
                <w:sz w:val="28"/>
                <w:szCs w:val="28"/>
                <w:highlight w:val="none"/>
                <w:lang w:bidi="ar"/>
              </w:rPr>
              <w:t>在贵单位社保缴纳证明文件</w:t>
            </w:r>
            <w:bookmarkEnd w:id="8"/>
            <w:r>
              <w:rPr>
                <w:rFonts w:hint="eastAsia" w:ascii="仿宋" w:hAnsi="仿宋" w:eastAsia="仿宋" w:cs="仿宋"/>
                <w:kern w:val="0"/>
                <w:sz w:val="28"/>
                <w:szCs w:val="28"/>
                <w:lang w:bidi="ar"/>
              </w:rPr>
              <w:t>等证明材料作为评审依据，加盖供应商单位公章，否则不得分。</w:t>
            </w:r>
          </w:p>
          <w:p>
            <w:pPr>
              <w:widowControl/>
              <w:spacing w:line="460" w:lineRule="exact"/>
              <w:jc w:val="left"/>
              <w:rPr>
                <w:rFonts w:hint="eastAsia"/>
              </w:rPr>
            </w:pPr>
            <w:r>
              <w:rPr>
                <w:rFonts w:hint="eastAsia" w:ascii="仿宋" w:hAnsi="仿宋" w:eastAsia="仿宋" w:cs="仿宋"/>
                <w:kern w:val="0"/>
                <w:sz w:val="28"/>
                <w:szCs w:val="28"/>
                <w:lang w:bidi="ar"/>
              </w:rPr>
              <w:t>如投标人为分支机构，投标人总公司或投标人总公司分支机构相关</w:t>
            </w:r>
            <w:r>
              <w:rPr>
                <w:rFonts w:hint="eastAsia" w:ascii="仿宋" w:hAnsi="仿宋" w:eastAsia="仿宋" w:cs="仿宋"/>
                <w:kern w:val="0"/>
                <w:sz w:val="28"/>
                <w:szCs w:val="28"/>
                <w:lang w:val="en-US" w:eastAsia="zh-CN" w:bidi="ar"/>
              </w:rPr>
              <w:t>人员</w:t>
            </w:r>
            <w:r>
              <w:rPr>
                <w:rFonts w:hint="eastAsia" w:ascii="仿宋" w:hAnsi="仿宋" w:eastAsia="仿宋" w:cs="仿宋"/>
                <w:kern w:val="0"/>
                <w:sz w:val="28"/>
                <w:szCs w:val="28"/>
                <w:lang w:bidi="ar"/>
              </w:rPr>
              <w:t>材料亦可作为评分依据</w:t>
            </w:r>
            <w:r>
              <w:rPr>
                <w:rFonts w:hint="eastAsia" w:ascii="仿宋" w:hAnsi="仿宋" w:eastAsia="仿宋" w:cs="仿宋"/>
                <w:kern w:val="0"/>
                <w:sz w:val="28"/>
                <w:szCs w:val="28"/>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293" w:type="pct"/>
            <w:gridSpan w:val="2"/>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合计</w:t>
            </w:r>
          </w:p>
        </w:tc>
        <w:tc>
          <w:tcPr>
            <w:tcW w:w="710" w:type="pct"/>
            <w:vAlign w:val="center"/>
          </w:tcPr>
          <w:p>
            <w:pPr>
              <w:widowControl/>
              <w:spacing w:line="460" w:lineRule="exact"/>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100</w:t>
            </w:r>
          </w:p>
        </w:tc>
        <w:tc>
          <w:tcPr>
            <w:tcW w:w="2995" w:type="pct"/>
            <w:vAlign w:val="center"/>
          </w:tcPr>
          <w:p>
            <w:pPr>
              <w:spacing w:line="460" w:lineRule="exact"/>
              <w:jc w:val="left"/>
              <w:rPr>
                <w:rFonts w:hint="eastAsia" w:ascii="仿宋" w:hAnsi="仿宋" w:eastAsia="仿宋" w:cs="仿宋"/>
                <w:sz w:val="28"/>
                <w:szCs w:val="28"/>
              </w:rPr>
            </w:pPr>
          </w:p>
        </w:tc>
      </w:tr>
    </w:tbl>
    <w:p>
      <w:pPr>
        <w:pStyle w:val="2"/>
        <w:spacing w:after="0" w:line="560" w:lineRule="exact"/>
        <w:ind w:left="0" w:leftChars="0"/>
        <w:rPr>
          <w:rFonts w:hint="eastAsia" w:ascii="仿宋" w:hAnsi="仿宋" w:eastAsia="仿宋" w:cs="仿宋"/>
        </w:rPr>
      </w:pPr>
    </w:p>
    <w:p>
      <w:pPr>
        <w:rPr>
          <w:rFonts w:hint="eastAsia" w:ascii="仿宋" w:hAnsi="仿宋" w:eastAsia="仿宋" w:cs="仿宋"/>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rP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rFonts w:hint="eastAsia"/>
                      </w:rP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992E24"/>
    <w:multiLevelType w:val="singleLevel"/>
    <w:tmpl w:val="A6992E2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27064"/>
    <w:rsid w:val="02DB6BC7"/>
    <w:rsid w:val="0F49474C"/>
    <w:rsid w:val="11155F73"/>
    <w:rsid w:val="12A76CDC"/>
    <w:rsid w:val="3EC1274C"/>
    <w:rsid w:val="4ED87F30"/>
    <w:rsid w:val="51CD2F0F"/>
    <w:rsid w:val="534F5728"/>
    <w:rsid w:val="54843081"/>
    <w:rsid w:val="56FF1165"/>
    <w:rsid w:val="64FE4F6C"/>
    <w:rsid w:val="6D8E454F"/>
    <w:rsid w:val="73BF0DF7"/>
    <w:rsid w:val="758D39AB"/>
    <w:rsid w:val="79F82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next w:val="1"/>
    <w:qFormat/>
    <w:uiPriority w:val="0"/>
    <w:pPr>
      <w:widowControl w:val="0"/>
      <w:spacing w:after="120" w:line="580" w:lineRule="exact"/>
      <w:ind w:left="420" w:leftChars="200"/>
    </w:pPr>
    <w:rPr>
      <w:rFonts w:ascii="仿宋_GB2312" w:hAnsi="仿宋_GB2312" w:eastAsia="仿宋" w:cs="微软雅黑"/>
      <w:color w:val="000000"/>
      <w:kern w:val="2"/>
      <w:sz w:val="24"/>
      <w:szCs w:val="22"/>
      <w:lang w:val="en-US" w:eastAsia="zh-CN" w:bidi="ar-SA"/>
    </w:rPr>
  </w:style>
  <w:style w:type="paragraph" w:styleId="3">
    <w:name w:val="footer"/>
    <w:basedOn w:val="1"/>
    <w:unhideWhenUsed/>
    <w:qFormat/>
    <w:uiPriority w:val="99"/>
    <w:pPr>
      <w:tabs>
        <w:tab w:val="center" w:pos="4153"/>
        <w:tab w:val="right" w:pos="8306"/>
      </w:tabs>
      <w:snapToGrid w:val="0"/>
      <w:jc w:val="left"/>
    </w:pPr>
    <w:rPr>
      <w:rFonts w:asciiTheme="minorHAnsi" w:hAnsiTheme="minorHAnsi" w:cstheme="minorBidi"/>
      <w:sz w:val="18"/>
      <w:szCs w:val="18"/>
    </w:rPr>
  </w:style>
  <w:style w:type="paragraph" w:customStyle="1" w:styleId="6">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2217</Words>
  <Characters>2297</Characters>
  <Lines>0</Lines>
  <Paragraphs>0</Paragraphs>
  <TotalTime>13</TotalTime>
  <ScaleCrop>false</ScaleCrop>
  <LinksUpToDate>false</LinksUpToDate>
  <CharactersWithSpaces>2301</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2025-01-16T06:53:00Z</dcterms:created>
  <dc:creator>Administrator</dc:creator>
  <cp:lastModifiedBy>许文倩</cp:lastModifiedBy>
  <dcterms:modified xsi:type="dcterms:W3CDTF">2025-01-21T01:09:45Z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KSOTemplateDocerSaveRecord">
    <vt:lpwstr>eyJoZGlkIjoiN2I3YzA0YzI4MjMyNmFkNjExYmI2NWVhZjBkNmFmZjIiLCJ1c2VySWQiOiIyNzYyMTM4NDUifQ==</vt:lpwstr>
  </property>
  <property fmtid="{D5CDD505-2E9C-101B-9397-08002B2CF9AE}" pid="4" name="ICV">
    <vt:lpwstr>21E5844F6F814BB3A689FC3B30852B11</vt:lpwstr>
  </property>
</Properties>
</file>