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DB46D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23" w:lineRule="atLeast"/>
        <w:ind w:left="0" w:right="0"/>
        <w:jc w:val="left"/>
        <w:rPr>
          <w:rFonts w:hint="default" w:ascii="Times New Roman" w:hAnsi="Times New Roman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 w:themeColor="text1"/>
          <w:spacing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附件：</w:t>
      </w:r>
    </w:p>
    <w:p w14:paraId="501446C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Style w:val="6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 w:themeColor="text1"/>
          <w:spacing w:val="0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 w:themeColor="text1"/>
          <w:spacing w:val="0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  <w:t>博罗县电子政务外网、云平台及</w:t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 w:themeColor="text1"/>
          <w:spacing w:val="0"/>
          <w:sz w:val="44"/>
          <w:szCs w:val="4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政务</w:t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 w:themeColor="text1"/>
          <w:spacing w:val="0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  <w:t>服务中心大楼弱电系统运维服务项目需求表</w:t>
      </w:r>
    </w:p>
    <w:bookmarkEnd w:id="0"/>
    <w:p w14:paraId="6F55B64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Style w:val="6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4A04CD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本项目运维服务内容：</w:t>
      </w:r>
    </w:p>
    <w:p w14:paraId="1124229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　　1.对本项目进行定期安全调查和评估，确保本项目运维服务范围安全有序运行；</w:t>
      </w:r>
    </w:p>
    <w:p w14:paraId="6860C4F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　　2.全面加固本项目的安全，实现有效对抗各种攻击和拦截入侵的能力；</w:t>
      </w:r>
    </w:p>
    <w:p w14:paraId="72C46CB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　　3.帮助本项目的管理人员在后续管理过程中，能够及时发现本系统存在的安全漏洞和不足，并提供相应的帮助，提高管理人员对本系统安全状况的把握和解决安全问题的能力；</w:t>
      </w:r>
    </w:p>
    <w:p w14:paraId="714CE99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　　4.提高本项目对安全事故发生后的调查和取证能力；</w:t>
      </w:r>
    </w:p>
    <w:p w14:paraId="24B1B93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　　5.完善远程安全接入体系、IT综合管理系统和流量分析体系，以方便运维并增加管理；</w:t>
      </w:r>
    </w:p>
    <w:p w14:paraId="6D2EC04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　　6.找出本项目中对安全造成潜在威胁的设备，尤其是影响本系统可用性的设备，用能满足本系统对安全性要求的设备替换；</w:t>
      </w:r>
    </w:p>
    <w:p w14:paraId="4AF12AE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　　7.保证平台系统数据的完整性，定期做好各类数据备份工作；</w:t>
      </w:r>
    </w:p>
    <w:p w14:paraId="1EC34F9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　　8.安排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名以上驻场工程师负责日常运维工作，并需签订保密协议，遵循各项规章制度；</w:t>
      </w:r>
    </w:p>
    <w:p w14:paraId="79EC1E5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　　9.7×24小时远程值守，重大节假日提供24小时现场安全保障。</w:t>
      </w:r>
    </w:p>
    <w:p w14:paraId="7BD4FD3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本项目的运维服务范围如下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：（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详细清单联系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余先生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取得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联系电话：0752-6286745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：</w:t>
      </w:r>
    </w:p>
    <w:tbl>
      <w:tblPr>
        <w:tblStyle w:val="4"/>
        <w:tblW w:w="9504" w:type="dxa"/>
        <w:tblInd w:w="-2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1616"/>
        <w:gridCol w:w="1175"/>
        <w:gridCol w:w="3183"/>
        <w:gridCol w:w="2809"/>
      </w:tblGrid>
      <w:tr w14:paraId="396F18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3" w:hRule="atLeast"/>
        </w:trPr>
        <w:tc>
          <w:tcPr>
            <w:tcW w:w="721" w:type="dxa"/>
            <w:shd w:val="clear" w:color="auto" w:fill="F1F1F1"/>
            <w:noWrap/>
            <w:vAlign w:val="center"/>
          </w:tcPr>
          <w:p w14:paraId="1E4F0DFA">
            <w:pPr>
              <w:widowControl/>
              <w:jc w:val="center"/>
              <w:rPr>
                <w:rFonts w:hint="default" w:ascii="Times New Roman" w:hAnsi="Times New Roman" w:eastAsia="微软雅黑" w:cs="Times New Roman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616" w:type="dxa"/>
            <w:shd w:val="clear" w:color="auto" w:fill="F1F1F1"/>
            <w:noWrap/>
            <w:vAlign w:val="center"/>
          </w:tcPr>
          <w:p w14:paraId="6F006721">
            <w:pPr>
              <w:widowControl/>
              <w:jc w:val="center"/>
              <w:rPr>
                <w:rFonts w:hint="default" w:ascii="Times New Roman" w:hAnsi="Times New Roman" w:eastAsia="微软雅黑" w:cs="Times New Roman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b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分项</w:t>
            </w:r>
            <w:r>
              <w:rPr>
                <w:rFonts w:hint="default" w:ascii="Times New Roman" w:hAnsi="Times New Roman" w:eastAsia="微软雅黑" w:cs="Times New Roman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工程</w:t>
            </w:r>
          </w:p>
        </w:tc>
        <w:tc>
          <w:tcPr>
            <w:tcW w:w="4358" w:type="dxa"/>
            <w:gridSpan w:val="2"/>
            <w:shd w:val="clear" w:color="auto" w:fill="F1F1F1"/>
            <w:noWrap/>
            <w:vAlign w:val="center"/>
          </w:tcPr>
          <w:p w14:paraId="047E8013">
            <w:pPr>
              <w:widowControl/>
              <w:jc w:val="center"/>
              <w:rPr>
                <w:rFonts w:hint="default" w:ascii="Times New Roman" w:hAnsi="Times New Roman" w:eastAsia="微软雅黑" w:cs="Times New Roman"/>
                <w:b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b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分项内容</w:t>
            </w:r>
          </w:p>
        </w:tc>
        <w:tc>
          <w:tcPr>
            <w:tcW w:w="2809" w:type="dxa"/>
            <w:shd w:val="clear" w:color="auto" w:fill="F1F1F1"/>
            <w:noWrap/>
            <w:vAlign w:val="center"/>
          </w:tcPr>
          <w:p w14:paraId="7EC74EE7">
            <w:pPr>
              <w:widowControl/>
              <w:jc w:val="center"/>
              <w:rPr>
                <w:rFonts w:hint="default" w:ascii="Times New Roman" w:hAnsi="Times New Roman" w:eastAsia="微软雅黑" w:cs="Times New Roman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408DE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1" w:type="dxa"/>
            <w:vMerge w:val="restart"/>
            <w:noWrap/>
            <w:vAlign w:val="center"/>
          </w:tcPr>
          <w:p w14:paraId="671974DB">
            <w:pPr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16" w:type="dxa"/>
            <w:vMerge w:val="restart"/>
            <w:noWrap/>
            <w:vAlign w:val="center"/>
          </w:tcPr>
          <w:p w14:paraId="5A2FD8C9">
            <w:pP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政务</w:t>
            </w: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服务中心大楼弱电系统</w:t>
            </w:r>
          </w:p>
        </w:tc>
        <w:tc>
          <w:tcPr>
            <w:tcW w:w="1175" w:type="dxa"/>
            <w:vMerge w:val="restart"/>
            <w:noWrap/>
            <w:vAlign w:val="center"/>
          </w:tcPr>
          <w:p w14:paraId="5D4DDB21">
            <w:pPr>
              <w:widowControl/>
              <w:jc w:val="left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政务</w:t>
            </w: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服务中心大楼弱电系统</w:t>
            </w:r>
          </w:p>
        </w:tc>
        <w:tc>
          <w:tcPr>
            <w:tcW w:w="3183" w:type="dxa"/>
            <w:noWrap/>
            <w:vAlign w:val="center"/>
          </w:tcPr>
          <w:p w14:paraId="6F79DBE8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楼控BAS系统</w:t>
            </w:r>
          </w:p>
        </w:tc>
        <w:tc>
          <w:tcPr>
            <w:tcW w:w="2809" w:type="dxa"/>
            <w:vMerge w:val="restart"/>
            <w:noWrap/>
            <w:vAlign w:val="center"/>
          </w:tcPr>
          <w:p w14:paraId="04612C06">
            <w:pPr>
              <w:widowControl/>
              <w:jc w:val="left"/>
              <w:rPr>
                <w:rFonts w:hint="default" w:ascii="Times New Roman" w:hAnsi="Times New Roman" w:eastAsia="微软雅黑" w:cs="Times New Roman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运维期为2025/7/6至2028/7/5</w:t>
            </w:r>
          </w:p>
        </w:tc>
      </w:tr>
      <w:tr w14:paraId="6D101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1" w:type="dxa"/>
            <w:vMerge w:val="continue"/>
            <w:noWrap/>
            <w:vAlign w:val="center"/>
          </w:tcPr>
          <w:p w14:paraId="4215AEEC">
            <w:pPr>
              <w:widowControl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/>
            <w:vAlign w:val="center"/>
          </w:tcPr>
          <w:p w14:paraId="1F9588C4">
            <w:pPr>
              <w:widowControl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vMerge w:val="continue"/>
            <w:noWrap/>
            <w:vAlign w:val="center"/>
          </w:tcPr>
          <w:p w14:paraId="7A2A10E5">
            <w:pPr>
              <w:widowControl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3" w:type="dxa"/>
            <w:noWrap/>
            <w:vAlign w:val="center"/>
          </w:tcPr>
          <w:p w14:paraId="56D351B2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综合布线系统</w:t>
            </w:r>
          </w:p>
        </w:tc>
        <w:tc>
          <w:tcPr>
            <w:tcW w:w="2809" w:type="dxa"/>
            <w:vMerge w:val="continue"/>
            <w:noWrap/>
            <w:vAlign w:val="center"/>
          </w:tcPr>
          <w:p w14:paraId="4EC4072F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C6917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1" w:type="dxa"/>
            <w:vMerge w:val="continue"/>
            <w:noWrap/>
            <w:vAlign w:val="center"/>
          </w:tcPr>
          <w:p w14:paraId="67650737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/>
            <w:vAlign w:val="center"/>
          </w:tcPr>
          <w:p w14:paraId="7CFA7A5A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vMerge w:val="continue"/>
            <w:noWrap/>
            <w:vAlign w:val="center"/>
          </w:tcPr>
          <w:p w14:paraId="1703BA32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3" w:type="dxa"/>
            <w:noWrap/>
            <w:vAlign w:val="center"/>
          </w:tcPr>
          <w:p w14:paraId="2B199C5F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计算机网络</w:t>
            </w:r>
          </w:p>
        </w:tc>
        <w:tc>
          <w:tcPr>
            <w:tcW w:w="2809" w:type="dxa"/>
            <w:vMerge w:val="continue"/>
            <w:noWrap/>
            <w:vAlign w:val="center"/>
          </w:tcPr>
          <w:p w14:paraId="6024F4EA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3D7D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1" w:type="dxa"/>
            <w:vMerge w:val="continue"/>
            <w:noWrap/>
            <w:vAlign w:val="center"/>
          </w:tcPr>
          <w:p w14:paraId="5C1B56A5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/>
            <w:vAlign w:val="center"/>
          </w:tcPr>
          <w:p w14:paraId="610D20BB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vMerge w:val="continue"/>
            <w:noWrap/>
            <w:vAlign w:val="center"/>
          </w:tcPr>
          <w:p w14:paraId="0C9A71DC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3" w:type="dxa"/>
            <w:noWrap/>
            <w:vAlign w:val="center"/>
          </w:tcPr>
          <w:p w14:paraId="23257262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背景音乐系统</w:t>
            </w:r>
          </w:p>
        </w:tc>
        <w:tc>
          <w:tcPr>
            <w:tcW w:w="2809" w:type="dxa"/>
            <w:vMerge w:val="continue"/>
            <w:noWrap/>
            <w:vAlign w:val="center"/>
          </w:tcPr>
          <w:p w14:paraId="12101576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5D26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1" w:type="dxa"/>
            <w:vMerge w:val="continue"/>
            <w:noWrap/>
            <w:vAlign w:val="center"/>
          </w:tcPr>
          <w:p w14:paraId="3168ACD6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/>
            <w:vAlign w:val="center"/>
          </w:tcPr>
          <w:p w14:paraId="1C0E8925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vMerge w:val="continue"/>
            <w:noWrap/>
            <w:vAlign w:val="center"/>
          </w:tcPr>
          <w:p w14:paraId="12E65B40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3" w:type="dxa"/>
            <w:noWrap/>
            <w:vAlign w:val="center"/>
          </w:tcPr>
          <w:p w14:paraId="44B1BB16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停车场管理系统</w:t>
            </w:r>
          </w:p>
        </w:tc>
        <w:tc>
          <w:tcPr>
            <w:tcW w:w="2809" w:type="dxa"/>
            <w:vMerge w:val="continue"/>
            <w:noWrap/>
            <w:vAlign w:val="center"/>
          </w:tcPr>
          <w:p w14:paraId="09C7A897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4508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1" w:type="dxa"/>
            <w:vMerge w:val="continue"/>
            <w:noWrap/>
            <w:vAlign w:val="center"/>
          </w:tcPr>
          <w:p w14:paraId="7BE31417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/>
            <w:vAlign w:val="center"/>
          </w:tcPr>
          <w:p w14:paraId="1BC6FFB0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vMerge w:val="continue"/>
            <w:noWrap/>
            <w:vAlign w:val="center"/>
          </w:tcPr>
          <w:p w14:paraId="44CED60B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3" w:type="dxa"/>
            <w:noWrap/>
            <w:vAlign w:val="center"/>
          </w:tcPr>
          <w:p w14:paraId="13A8E1CD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门禁控制系统</w:t>
            </w:r>
          </w:p>
        </w:tc>
        <w:tc>
          <w:tcPr>
            <w:tcW w:w="2809" w:type="dxa"/>
            <w:vMerge w:val="continue"/>
            <w:noWrap/>
            <w:vAlign w:val="center"/>
          </w:tcPr>
          <w:p w14:paraId="6B23C559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D63F9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1" w:type="dxa"/>
            <w:vMerge w:val="continue"/>
            <w:noWrap/>
            <w:vAlign w:val="center"/>
          </w:tcPr>
          <w:p w14:paraId="2BFB9B0D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/>
            <w:vAlign w:val="center"/>
          </w:tcPr>
          <w:p w14:paraId="26823265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vMerge w:val="continue"/>
            <w:noWrap/>
            <w:vAlign w:val="center"/>
          </w:tcPr>
          <w:p w14:paraId="10F60F9E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3" w:type="dxa"/>
            <w:noWrap/>
            <w:vAlign w:val="center"/>
          </w:tcPr>
          <w:p w14:paraId="01F60C5F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消防监控室设备</w:t>
            </w:r>
          </w:p>
        </w:tc>
        <w:tc>
          <w:tcPr>
            <w:tcW w:w="2809" w:type="dxa"/>
            <w:vMerge w:val="continue"/>
            <w:noWrap/>
            <w:vAlign w:val="center"/>
          </w:tcPr>
          <w:p w14:paraId="0E5A2ECF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C5DF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1" w:type="dxa"/>
            <w:vMerge w:val="continue"/>
            <w:noWrap/>
            <w:vAlign w:val="center"/>
          </w:tcPr>
          <w:p w14:paraId="0ADB7EEF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/>
            <w:vAlign w:val="center"/>
          </w:tcPr>
          <w:p w14:paraId="64BA2F27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vMerge w:val="continue"/>
            <w:noWrap/>
            <w:vAlign w:val="center"/>
          </w:tcPr>
          <w:p w14:paraId="76D06CCB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3" w:type="dxa"/>
            <w:noWrap/>
            <w:vAlign w:val="center"/>
          </w:tcPr>
          <w:p w14:paraId="5B60286D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会议系统</w:t>
            </w:r>
          </w:p>
        </w:tc>
        <w:tc>
          <w:tcPr>
            <w:tcW w:w="2809" w:type="dxa"/>
            <w:vMerge w:val="continue"/>
            <w:noWrap/>
            <w:vAlign w:val="center"/>
          </w:tcPr>
          <w:p w14:paraId="57C452FD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D123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1" w:type="dxa"/>
            <w:vMerge w:val="continue"/>
            <w:noWrap/>
            <w:vAlign w:val="center"/>
          </w:tcPr>
          <w:p w14:paraId="4EBB86DC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/>
            <w:vAlign w:val="center"/>
          </w:tcPr>
          <w:p w14:paraId="6AE05844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vMerge w:val="continue"/>
            <w:noWrap/>
            <w:vAlign w:val="center"/>
          </w:tcPr>
          <w:p w14:paraId="01239CA6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3" w:type="dxa"/>
            <w:noWrap/>
            <w:vAlign w:val="center"/>
          </w:tcPr>
          <w:p w14:paraId="404DAB77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自助查询终端</w:t>
            </w:r>
          </w:p>
        </w:tc>
        <w:tc>
          <w:tcPr>
            <w:tcW w:w="2809" w:type="dxa"/>
            <w:vMerge w:val="continue"/>
            <w:noWrap/>
            <w:vAlign w:val="center"/>
          </w:tcPr>
          <w:p w14:paraId="2652A06E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8C44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1" w:type="dxa"/>
            <w:vMerge w:val="continue"/>
            <w:noWrap/>
            <w:vAlign w:val="center"/>
          </w:tcPr>
          <w:p w14:paraId="7C393CF5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/>
            <w:vAlign w:val="center"/>
          </w:tcPr>
          <w:p w14:paraId="75DFC768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vMerge w:val="continue"/>
            <w:noWrap/>
            <w:vAlign w:val="center"/>
          </w:tcPr>
          <w:p w14:paraId="6AFDD407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3" w:type="dxa"/>
            <w:noWrap/>
            <w:vAlign w:val="center"/>
          </w:tcPr>
          <w:p w14:paraId="1355911F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电梯五方对讲系统</w:t>
            </w:r>
          </w:p>
        </w:tc>
        <w:tc>
          <w:tcPr>
            <w:tcW w:w="2809" w:type="dxa"/>
            <w:vMerge w:val="continue"/>
            <w:noWrap/>
            <w:vAlign w:val="center"/>
          </w:tcPr>
          <w:p w14:paraId="7A1756F3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F650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1" w:type="dxa"/>
            <w:vMerge w:val="continue"/>
            <w:noWrap/>
            <w:vAlign w:val="center"/>
          </w:tcPr>
          <w:p w14:paraId="49C52FFF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/>
            <w:vAlign w:val="center"/>
          </w:tcPr>
          <w:p w14:paraId="36CB0F80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vMerge w:val="continue"/>
            <w:noWrap/>
            <w:vAlign w:val="center"/>
          </w:tcPr>
          <w:p w14:paraId="7C79B2B7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3" w:type="dxa"/>
            <w:noWrap/>
            <w:vAlign w:val="center"/>
          </w:tcPr>
          <w:p w14:paraId="13C3D274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考勤系统</w:t>
            </w:r>
          </w:p>
        </w:tc>
        <w:tc>
          <w:tcPr>
            <w:tcW w:w="2809" w:type="dxa"/>
            <w:vMerge w:val="continue"/>
            <w:noWrap/>
            <w:vAlign w:val="center"/>
          </w:tcPr>
          <w:p w14:paraId="0DD9753F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77E1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1" w:type="dxa"/>
            <w:vMerge w:val="restart"/>
            <w:noWrap/>
            <w:vAlign w:val="center"/>
          </w:tcPr>
          <w:p w14:paraId="592C0A7E">
            <w:pPr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16" w:type="dxa"/>
            <w:vMerge w:val="restart"/>
            <w:noWrap/>
            <w:vAlign w:val="center"/>
          </w:tcPr>
          <w:p w14:paraId="28605B93">
            <w:pP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中心机房基础设备</w:t>
            </w:r>
          </w:p>
        </w:tc>
        <w:tc>
          <w:tcPr>
            <w:tcW w:w="4358" w:type="dxa"/>
            <w:gridSpan w:val="2"/>
            <w:noWrap/>
            <w:vAlign w:val="center"/>
          </w:tcPr>
          <w:p w14:paraId="27DCAAC5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机房精密空调及新风系统</w:t>
            </w:r>
          </w:p>
        </w:tc>
        <w:tc>
          <w:tcPr>
            <w:tcW w:w="2809" w:type="dxa"/>
            <w:vMerge w:val="restart"/>
            <w:noWrap/>
            <w:vAlign w:val="center"/>
          </w:tcPr>
          <w:p w14:paraId="2DBD2B45">
            <w:pPr>
              <w:widowControl/>
              <w:jc w:val="left"/>
              <w:rPr>
                <w:rFonts w:hint="default" w:ascii="Times New Roman" w:hAnsi="Times New Roman" w:eastAsia="微软雅黑" w:cs="Times New Roman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运维期为2025/7/6至2028/7/5</w:t>
            </w:r>
          </w:p>
        </w:tc>
      </w:tr>
      <w:tr w14:paraId="050C9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1" w:type="dxa"/>
            <w:vMerge w:val="continue"/>
            <w:noWrap/>
            <w:vAlign w:val="center"/>
          </w:tcPr>
          <w:p w14:paraId="1A00C79D">
            <w:pPr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/>
            <w:vAlign w:val="center"/>
          </w:tcPr>
          <w:p w14:paraId="25CA9F6D">
            <w:pP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58" w:type="dxa"/>
            <w:gridSpan w:val="2"/>
            <w:noWrap/>
            <w:vAlign w:val="center"/>
          </w:tcPr>
          <w:p w14:paraId="02614FE0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机房设备及配件材料（设备）</w:t>
            </w:r>
          </w:p>
        </w:tc>
        <w:tc>
          <w:tcPr>
            <w:tcW w:w="2809" w:type="dxa"/>
            <w:vMerge w:val="continue"/>
            <w:noWrap/>
            <w:vAlign w:val="center"/>
          </w:tcPr>
          <w:p w14:paraId="56E2137C">
            <w:pPr>
              <w:widowControl/>
              <w:jc w:val="left"/>
              <w:rPr>
                <w:rFonts w:hint="default" w:ascii="Times New Roman" w:hAnsi="Times New Roman" w:eastAsia="微软雅黑" w:cs="Times New Roman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6C4D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1" w:type="dxa"/>
            <w:vMerge w:val="restart"/>
            <w:noWrap/>
            <w:vAlign w:val="center"/>
          </w:tcPr>
          <w:p w14:paraId="3E0A77C7">
            <w:pPr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616" w:type="dxa"/>
            <w:vMerge w:val="restart"/>
            <w:noWrap/>
            <w:vAlign w:val="center"/>
          </w:tcPr>
          <w:p w14:paraId="355B8C4C">
            <w:pP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云平台基础设施设备</w:t>
            </w:r>
          </w:p>
        </w:tc>
        <w:tc>
          <w:tcPr>
            <w:tcW w:w="4358" w:type="dxa"/>
            <w:gridSpan w:val="2"/>
            <w:noWrap/>
            <w:vAlign w:val="center"/>
          </w:tcPr>
          <w:p w14:paraId="240A3D6E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服务器及存储设备</w:t>
            </w:r>
          </w:p>
        </w:tc>
        <w:tc>
          <w:tcPr>
            <w:tcW w:w="2809" w:type="dxa"/>
            <w:vMerge w:val="restart"/>
            <w:noWrap/>
            <w:vAlign w:val="center"/>
          </w:tcPr>
          <w:p w14:paraId="669F34AF">
            <w:pPr>
              <w:widowControl/>
              <w:jc w:val="left"/>
              <w:rPr>
                <w:rFonts w:hint="default" w:ascii="Times New Roman" w:hAnsi="Times New Roman" w:eastAsia="微软雅黑" w:cs="Times New Roman"/>
                <w:b/>
                <w:color w:val="000000" w:themeColor="text1"/>
                <w:sz w:val="24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运维期为2025/7/6至2028/7/5</w:t>
            </w:r>
          </w:p>
        </w:tc>
      </w:tr>
      <w:tr w14:paraId="73041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1" w:type="dxa"/>
            <w:vMerge w:val="continue"/>
            <w:noWrap/>
            <w:vAlign w:val="center"/>
          </w:tcPr>
          <w:p w14:paraId="312A6893">
            <w:pPr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/>
            <w:vAlign w:val="center"/>
          </w:tcPr>
          <w:p w14:paraId="3E6AF76D">
            <w:pP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58" w:type="dxa"/>
            <w:gridSpan w:val="2"/>
            <w:noWrap/>
            <w:vAlign w:val="center"/>
          </w:tcPr>
          <w:p w14:paraId="58A907CD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交换设备</w:t>
            </w:r>
          </w:p>
        </w:tc>
        <w:tc>
          <w:tcPr>
            <w:tcW w:w="2809" w:type="dxa"/>
            <w:vMerge w:val="continue"/>
            <w:noWrap/>
            <w:vAlign w:val="center"/>
          </w:tcPr>
          <w:p w14:paraId="5650BE69">
            <w:pPr>
              <w:widowControl/>
              <w:jc w:val="left"/>
              <w:rPr>
                <w:rFonts w:hint="default" w:ascii="Times New Roman" w:hAnsi="Times New Roman" w:eastAsia="微软雅黑" w:cs="Times New Roman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65E8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1" w:type="dxa"/>
            <w:vMerge w:val="continue"/>
            <w:noWrap/>
            <w:vAlign w:val="center"/>
          </w:tcPr>
          <w:p w14:paraId="48E014F2">
            <w:pPr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/>
            <w:vAlign w:val="center"/>
          </w:tcPr>
          <w:p w14:paraId="39E485C7">
            <w:pP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58" w:type="dxa"/>
            <w:gridSpan w:val="2"/>
            <w:noWrap/>
            <w:vAlign w:val="center"/>
          </w:tcPr>
          <w:p w14:paraId="2B471CD0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APT设备</w:t>
            </w:r>
          </w:p>
        </w:tc>
        <w:tc>
          <w:tcPr>
            <w:tcW w:w="2809" w:type="dxa"/>
            <w:vMerge w:val="continue"/>
            <w:noWrap/>
            <w:vAlign w:val="center"/>
          </w:tcPr>
          <w:p w14:paraId="322775F9">
            <w:pPr>
              <w:widowControl/>
              <w:jc w:val="left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7D2D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1" w:type="dxa"/>
            <w:vMerge w:val="continue"/>
            <w:noWrap/>
            <w:vAlign w:val="center"/>
          </w:tcPr>
          <w:p w14:paraId="5B490850">
            <w:pPr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/>
            <w:vAlign w:val="center"/>
          </w:tcPr>
          <w:p w14:paraId="118F54A7">
            <w:pP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58" w:type="dxa"/>
            <w:gridSpan w:val="2"/>
            <w:noWrap/>
            <w:vAlign w:val="center"/>
          </w:tcPr>
          <w:p w14:paraId="1325C415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综合布线</w:t>
            </w:r>
          </w:p>
        </w:tc>
        <w:tc>
          <w:tcPr>
            <w:tcW w:w="2809" w:type="dxa"/>
            <w:vMerge w:val="continue"/>
            <w:noWrap/>
            <w:vAlign w:val="center"/>
          </w:tcPr>
          <w:p w14:paraId="19789722">
            <w:pPr>
              <w:widowControl/>
              <w:jc w:val="left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F451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1" w:type="dxa"/>
            <w:vMerge w:val="continue"/>
            <w:noWrap/>
            <w:vAlign w:val="center"/>
          </w:tcPr>
          <w:p w14:paraId="746F5E49">
            <w:pPr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/>
            <w:vAlign w:val="center"/>
          </w:tcPr>
          <w:p w14:paraId="3CB3D45A">
            <w:pP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58" w:type="dxa"/>
            <w:gridSpan w:val="2"/>
            <w:noWrap/>
            <w:vAlign w:val="center"/>
          </w:tcPr>
          <w:p w14:paraId="4A0A6E31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CA认证设备</w:t>
            </w:r>
          </w:p>
        </w:tc>
        <w:tc>
          <w:tcPr>
            <w:tcW w:w="2809" w:type="dxa"/>
            <w:vMerge w:val="continue"/>
            <w:noWrap/>
            <w:vAlign w:val="center"/>
          </w:tcPr>
          <w:p w14:paraId="457F19F3">
            <w:pPr>
              <w:widowControl/>
              <w:jc w:val="left"/>
              <w:rPr>
                <w:rFonts w:hint="default" w:ascii="Times New Roman" w:hAnsi="Times New Roman" w:eastAsia="微软雅黑" w:cs="Times New Roman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11BD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1" w:type="dxa"/>
            <w:vMerge w:val="continue"/>
            <w:noWrap/>
            <w:vAlign w:val="center"/>
          </w:tcPr>
          <w:p w14:paraId="25832B40">
            <w:pPr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/>
            <w:vAlign w:val="center"/>
          </w:tcPr>
          <w:p w14:paraId="7B6505A8">
            <w:pP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58" w:type="dxa"/>
            <w:gridSpan w:val="2"/>
            <w:noWrap/>
            <w:vAlign w:val="center"/>
          </w:tcPr>
          <w:p w14:paraId="4BFA24B0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数据库及操作系统软件</w:t>
            </w:r>
          </w:p>
        </w:tc>
        <w:tc>
          <w:tcPr>
            <w:tcW w:w="2809" w:type="dxa"/>
            <w:vMerge w:val="continue"/>
            <w:noWrap/>
            <w:vAlign w:val="center"/>
          </w:tcPr>
          <w:p w14:paraId="45EDBEBB">
            <w:pPr>
              <w:widowControl/>
              <w:jc w:val="left"/>
              <w:rPr>
                <w:rFonts w:hint="default" w:ascii="Times New Roman" w:hAnsi="Times New Roman" w:eastAsia="微软雅黑" w:cs="Times New Roman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CBF2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1" w:type="dxa"/>
            <w:vMerge w:val="continue"/>
            <w:noWrap/>
            <w:vAlign w:val="center"/>
          </w:tcPr>
          <w:p w14:paraId="565FD687">
            <w:pPr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/>
            <w:vAlign w:val="center"/>
          </w:tcPr>
          <w:p w14:paraId="4BB35427">
            <w:pP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58" w:type="dxa"/>
            <w:gridSpan w:val="2"/>
            <w:noWrap/>
            <w:vAlign w:val="center"/>
          </w:tcPr>
          <w:p w14:paraId="0939EF40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云平台防火墙</w:t>
            </w:r>
          </w:p>
        </w:tc>
        <w:tc>
          <w:tcPr>
            <w:tcW w:w="2809" w:type="dxa"/>
            <w:noWrap/>
            <w:vAlign w:val="center"/>
          </w:tcPr>
          <w:p w14:paraId="34833D87">
            <w:pPr>
              <w:widowControl/>
              <w:jc w:val="left"/>
              <w:rPr>
                <w:rFonts w:hint="default" w:ascii="Times New Roman" w:hAnsi="Times New Roman" w:eastAsia="微软雅黑" w:cs="Times New Roman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运维期为2025/7/20至2028/7/5</w:t>
            </w:r>
          </w:p>
        </w:tc>
      </w:tr>
      <w:tr w14:paraId="227C4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1" w:type="dxa"/>
            <w:vMerge w:val="continue"/>
            <w:noWrap/>
            <w:vAlign w:val="center"/>
          </w:tcPr>
          <w:p w14:paraId="1A695FBD">
            <w:pPr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/>
            <w:vAlign w:val="center"/>
          </w:tcPr>
          <w:p w14:paraId="1586D055">
            <w:pP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vMerge w:val="restart"/>
            <w:noWrap/>
            <w:vAlign w:val="center"/>
          </w:tcPr>
          <w:p w14:paraId="62901F76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内网2区设备</w:t>
            </w:r>
          </w:p>
        </w:tc>
        <w:tc>
          <w:tcPr>
            <w:tcW w:w="3183" w:type="dxa"/>
            <w:noWrap/>
            <w:vAlign w:val="center"/>
          </w:tcPr>
          <w:p w14:paraId="596CE7FE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计算节点</w:t>
            </w:r>
          </w:p>
        </w:tc>
        <w:tc>
          <w:tcPr>
            <w:tcW w:w="2809" w:type="dxa"/>
            <w:vMerge w:val="restart"/>
            <w:noWrap/>
            <w:vAlign w:val="center"/>
          </w:tcPr>
          <w:p w14:paraId="5D30D265">
            <w:pPr>
              <w:widowControl/>
              <w:jc w:val="left"/>
              <w:rPr>
                <w:rFonts w:hint="default" w:ascii="Times New Roman" w:hAnsi="Times New Roman" w:eastAsia="微软雅黑" w:cs="Times New Roman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运维期为2025/11/23至2028/7/5</w:t>
            </w:r>
          </w:p>
        </w:tc>
      </w:tr>
      <w:tr w14:paraId="6CF0F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1" w:type="dxa"/>
            <w:vMerge w:val="continue"/>
            <w:noWrap/>
            <w:vAlign w:val="center"/>
          </w:tcPr>
          <w:p w14:paraId="552A770C">
            <w:pPr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/>
            <w:vAlign w:val="center"/>
          </w:tcPr>
          <w:p w14:paraId="50E62674">
            <w:pP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vMerge w:val="continue"/>
            <w:noWrap/>
            <w:vAlign w:val="center"/>
          </w:tcPr>
          <w:p w14:paraId="737E4F92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3" w:type="dxa"/>
            <w:noWrap/>
            <w:vAlign w:val="center"/>
          </w:tcPr>
          <w:p w14:paraId="6988A22D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存储节点</w:t>
            </w:r>
          </w:p>
        </w:tc>
        <w:tc>
          <w:tcPr>
            <w:tcW w:w="2809" w:type="dxa"/>
            <w:vMerge w:val="continue"/>
            <w:noWrap/>
            <w:vAlign w:val="center"/>
          </w:tcPr>
          <w:p w14:paraId="043860C8">
            <w:pPr>
              <w:widowControl/>
              <w:jc w:val="left"/>
              <w:rPr>
                <w:rFonts w:hint="default" w:ascii="Times New Roman" w:hAnsi="Times New Roman" w:eastAsia="微软雅黑" w:cs="Times New Roman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F763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1" w:type="dxa"/>
            <w:vMerge w:val="continue"/>
            <w:noWrap/>
            <w:vAlign w:val="center"/>
          </w:tcPr>
          <w:p w14:paraId="0C15D306">
            <w:pPr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/>
            <w:vAlign w:val="center"/>
          </w:tcPr>
          <w:p w14:paraId="74083DBA">
            <w:pP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vMerge w:val="continue"/>
            <w:noWrap/>
            <w:vAlign w:val="center"/>
          </w:tcPr>
          <w:p w14:paraId="3D3277FB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3" w:type="dxa"/>
            <w:noWrap/>
            <w:vAlign w:val="center"/>
          </w:tcPr>
          <w:p w14:paraId="4E162EB0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业务交换机</w:t>
            </w:r>
          </w:p>
        </w:tc>
        <w:tc>
          <w:tcPr>
            <w:tcW w:w="2809" w:type="dxa"/>
            <w:vMerge w:val="continue"/>
            <w:noWrap/>
            <w:vAlign w:val="center"/>
          </w:tcPr>
          <w:p w14:paraId="6829CC09">
            <w:pPr>
              <w:widowControl/>
              <w:jc w:val="left"/>
              <w:rPr>
                <w:rFonts w:hint="default" w:ascii="Times New Roman" w:hAnsi="Times New Roman" w:eastAsia="微软雅黑" w:cs="Times New Roman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520D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1" w:type="dxa"/>
            <w:vMerge w:val="continue"/>
            <w:noWrap/>
            <w:vAlign w:val="center"/>
          </w:tcPr>
          <w:p w14:paraId="7EC08B70">
            <w:pPr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/>
            <w:vAlign w:val="center"/>
          </w:tcPr>
          <w:p w14:paraId="54804552">
            <w:pP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vMerge w:val="continue"/>
            <w:noWrap/>
            <w:vAlign w:val="center"/>
          </w:tcPr>
          <w:p w14:paraId="1034D139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3" w:type="dxa"/>
            <w:noWrap/>
            <w:vAlign w:val="center"/>
          </w:tcPr>
          <w:p w14:paraId="5C68DD90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存储交换机</w:t>
            </w:r>
          </w:p>
        </w:tc>
        <w:tc>
          <w:tcPr>
            <w:tcW w:w="2809" w:type="dxa"/>
            <w:vMerge w:val="continue"/>
            <w:noWrap/>
            <w:vAlign w:val="center"/>
          </w:tcPr>
          <w:p w14:paraId="4BF2C004">
            <w:pPr>
              <w:widowControl/>
              <w:jc w:val="left"/>
              <w:rPr>
                <w:rFonts w:hint="default" w:ascii="Times New Roman" w:hAnsi="Times New Roman" w:eastAsia="微软雅黑" w:cs="Times New Roman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0046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1" w:type="dxa"/>
            <w:vMerge w:val="continue"/>
            <w:noWrap/>
            <w:vAlign w:val="center"/>
          </w:tcPr>
          <w:p w14:paraId="73E342BC">
            <w:pPr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/>
            <w:vAlign w:val="center"/>
          </w:tcPr>
          <w:p w14:paraId="38354CBF">
            <w:pP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vMerge w:val="continue"/>
            <w:noWrap/>
            <w:vAlign w:val="center"/>
          </w:tcPr>
          <w:p w14:paraId="19C7FDE2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3" w:type="dxa"/>
            <w:noWrap/>
            <w:vAlign w:val="center"/>
          </w:tcPr>
          <w:p w14:paraId="49177817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下一代防火墙（AF）</w:t>
            </w:r>
          </w:p>
        </w:tc>
        <w:tc>
          <w:tcPr>
            <w:tcW w:w="2809" w:type="dxa"/>
            <w:vMerge w:val="continue"/>
            <w:noWrap/>
            <w:vAlign w:val="center"/>
          </w:tcPr>
          <w:p w14:paraId="16D22F7D">
            <w:pPr>
              <w:widowControl/>
              <w:jc w:val="left"/>
              <w:rPr>
                <w:rFonts w:hint="default" w:ascii="Times New Roman" w:hAnsi="Times New Roman" w:eastAsia="微软雅黑" w:cs="Times New Roman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200B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1" w:type="dxa"/>
            <w:vMerge w:val="continue"/>
            <w:noWrap/>
            <w:vAlign w:val="center"/>
          </w:tcPr>
          <w:p w14:paraId="0E25723D">
            <w:pPr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/>
            <w:vAlign w:val="center"/>
          </w:tcPr>
          <w:p w14:paraId="5E238BBC">
            <w:pP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vMerge w:val="continue"/>
            <w:noWrap/>
            <w:vAlign w:val="center"/>
          </w:tcPr>
          <w:p w14:paraId="756F2158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3" w:type="dxa"/>
            <w:noWrap/>
            <w:vAlign w:val="center"/>
          </w:tcPr>
          <w:p w14:paraId="6CDF4C64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日志审计系统软件</w:t>
            </w:r>
          </w:p>
        </w:tc>
        <w:tc>
          <w:tcPr>
            <w:tcW w:w="2809" w:type="dxa"/>
            <w:vMerge w:val="continue"/>
            <w:noWrap/>
            <w:vAlign w:val="center"/>
          </w:tcPr>
          <w:p w14:paraId="7EAB81F8">
            <w:pPr>
              <w:widowControl/>
              <w:jc w:val="left"/>
              <w:rPr>
                <w:rFonts w:hint="default" w:ascii="Times New Roman" w:hAnsi="Times New Roman" w:eastAsia="微软雅黑" w:cs="Times New Roman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A445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1" w:type="dxa"/>
            <w:vMerge w:val="continue"/>
            <w:noWrap/>
            <w:vAlign w:val="center"/>
          </w:tcPr>
          <w:p w14:paraId="6C9A3EF0">
            <w:pPr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/>
            <w:vAlign w:val="center"/>
          </w:tcPr>
          <w:p w14:paraId="7CE068CD">
            <w:pP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vMerge w:val="continue"/>
            <w:noWrap/>
            <w:vAlign w:val="center"/>
          </w:tcPr>
          <w:p w14:paraId="0104287B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3" w:type="dxa"/>
            <w:noWrap/>
            <w:vAlign w:val="center"/>
          </w:tcPr>
          <w:p w14:paraId="4439CA9B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运维堡垒机</w:t>
            </w:r>
          </w:p>
        </w:tc>
        <w:tc>
          <w:tcPr>
            <w:tcW w:w="2809" w:type="dxa"/>
            <w:vMerge w:val="continue"/>
            <w:noWrap/>
            <w:vAlign w:val="center"/>
          </w:tcPr>
          <w:p w14:paraId="69A24FC7">
            <w:pPr>
              <w:widowControl/>
              <w:jc w:val="left"/>
              <w:rPr>
                <w:rFonts w:hint="default" w:ascii="Times New Roman" w:hAnsi="Times New Roman" w:eastAsia="微软雅黑" w:cs="Times New Roman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3E0B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1" w:type="dxa"/>
            <w:vMerge w:val="continue"/>
            <w:noWrap/>
            <w:vAlign w:val="center"/>
          </w:tcPr>
          <w:p w14:paraId="19CDB50E">
            <w:pPr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/>
            <w:vAlign w:val="center"/>
          </w:tcPr>
          <w:p w14:paraId="2DFB5F48">
            <w:pP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vMerge w:val="continue"/>
            <w:noWrap/>
            <w:vAlign w:val="center"/>
          </w:tcPr>
          <w:p w14:paraId="3C9F40E9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3" w:type="dxa"/>
            <w:noWrap/>
            <w:vAlign w:val="center"/>
          </w:tcPr>
          <w:p w14:paraId="7DD460D5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数据库审计系统</w:t>
            </w:r>
          </w:p>
        </w:tc>
        <w:tc>
          <w:tcPr>
            <w:tcW w:w="2809" w:type="dxa"/>
            <w:vMerge w:val="continue"/>
            <w:noWrap/>
            <w:vAlign w:val="center"/>
          </w:tcPr>
          <w:p w14:paraId="4F176FB5">
            <w:pPr>
              <w:widowControl/>
              <w:jc w:val="left"/>
              <w:rPr>
                <w:rFonts w:hint="default" w:ascii="Times New Roman" w:hAnsi="Times New Roman" w:eastAsia="微软雅黑" w:cs="Times New Roman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9B05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1" w:type="dxa"/>
            <w:vMerge w:val="continue"/>
            <w:noWrap/>
            <w:vAlign w:val="center"/>
          </w:tcPr>
          <w:p w14:paraId="404EB724">
            <w:pPr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/>
            <w:vAlign w:val="center"/>
          </w:tcPr>
          <w:p w14:paraId="2E77EA6A">
            <w:pP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vMerge w:val="continue"/>
            <w:noWrap/>
            <w:vAlign w:val="center"/>
          </w:tcPr>
          <w:p w14:paraId="260DBDF1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3" w:type="dxa"/>
            <w:noWrap/>
            <w:vAlign w:val="center"/>
          </w:tcPr>
          <w:p w14:paraId="143A57CE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数据库审计导流器</w:t>
            </w:r>
          </w:p>
        </w:tc>
        <w:tc>
          <w:tcPr>
            <w:tcW w:w="2809" w:type="dxa"/>
            <w:vMerge w:val="continue"/>
            <w:noWrap/>
            <w:vAlign w:val="center"/>
          </w:tcPr>
          <w:p w14:paraId="6CF0A814">
            <w:pPr>
              <w:widowControl/>
              <w:jc w:val="left"/>
              <w:rPr>
                <w:rFonts w:hint="default" w:ascii="Times New Roman" w:hAnsi="Times New Roman" w:eastAsia="微软雅黑" w:cs="Times New Roman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38A5A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1" w:type="dxa"/>
            <w:vMerge w:val="continue"/>
            <w:noWrap/>
            <w:vAlign w:val="center"/>
          </w:tcPr>
          <w:p w14:paraId="5CE9EB50">
            <w:pPr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/>
            <w:vAlign w:val="center"/>
          </w:tcPr>
          <w:p w14:paraId="16539243">
            <w:pP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vMerge w:val="continue"/>
            <w:noWrap/>
            <w:vAlign w:val="center"/>
          </w:tcPr>
          <w:p w14:paraId="39309159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3" w:type="dxa"/>
            <w:noWrap/>
            <w:vAlign w:val="center"/>
          </w:tcPr>
          <w:p w14:paraId="56BF66EE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操作系统</w:t>
            </w:r>
          </w:p>
        </w:tc>
        <w:tc>
          <w:tcPr>
            <w:tcW w:w="2809" w:type="dxa"/>
            <w:vMerge w:val="continue"/>
            <w:noWrap/>
            <w:vAlign w:val="center"/>
          </w:tcPr>
          <w:p w14:paraId="5133BBB0">
            <w:pPr>
              <w:widowControl/>
              <w:jc w:val="left"/>
              <w:rPr>
                <w:rFonts w:hint="default" w:ascii="Times New Roman" w:hAnsi="Times New Roman" w:eastAsia="微软雅黑" w:cs="Times New Roman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3DD2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1" w:type="dxa"/>
            <w:vMerge w:val="continue"/>
            <w:noWrap/>
            <w:vAlign w:val="center"/>
          </w:tcPr>
          <w:p w14:paraId="2293E4BD">
            <w:pPr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/>
            <w:vAlign w:val="center"/>
          </w:tcPr>
          <w:p w14:paraId="488D34A8">
            <w:pP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vMerge w:val="continue"/>
            <w:noWrap/>
            <w:vAlign w:val="center"/>
          </w:tcPr>
          <w:p w14:paraId="1AE71C7D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3" w:type="dxa"/>
            <w:noWrap/>
            <w:vAlign w:val="center"/>
          </w:tcPr>
          <w:p w14:paraId="68BAEAAC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数据库</w:t>
            </w:r>
          </w:p>
        </w:tc>
        <w:tc>
          <w:tcPr>
            <w:tcW w:w="2809" w:type="dxa"/>
            <w:vMerge w:val="continue"/>
            <w:noWrap/>
            <w:vAlign w:val="center"/>
          </w:tcPr>
          <w:p w14:paraId="619FE184">
            <w:pPr>
              <w:widowControl/>
              <w:jc w:val="left"/>
              <w:rPr>
                <w:rFonts w:hint="default" w:ascii="Times New Roman" w:hAnsi="Times New Roman" w:eastAsia="微软雅黑" w:cs="Times New Roman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98CC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1" w:type="dxa"/>
            <w:vMerge w:val="continue"/>
            <w:noWrap/>
            <w:vAlign w:val="center"/>
          </w:tcPr>
          <w:p w14:paraId="1FFA3BF6">
            <w:pPr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/>
            <w:vAlign w:val="center"/>
          </w:tcPr>
          <w:p w14:paraId="74FF3F5F">
            <w:pP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vMerge w:val="continue"/>
            <w:noWrap/>
            <w:vAlign w:val="center"/>
          </w:tcPr>
          <w:p w14:paraId="5AAF64E4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3" w:type="dxa"/>
            <w:noWrap/>
            <w:vAlign w:val="center"/>
          </w:tcPr>
          <w:p w14:paraId="690EC682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地图服务</w:t>
            </w:r>
          </w:p>
        </w:tc>
        <w:tc>
          <w:tcPr>
            <w:tcW w:w="2809" w:type="dxa"/>
            <w:vMerge w:val="continue"/>
            <w:noWrap/>
            <w:vAlign w:val="center"/>
          </w:tcPr>
          <w:p w14:paraId="41F55465">
            <w:pPr>
              <w:widowControl/>
              <w:jc w:val="left"/>
              <w:rPr>
                <w:rFonts w:hint="default" w:ascii="Times New Roman" w:hAnsi="Times New Roman" w:eastAsia="微软雅黑" w:cs="Times New Roman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40B1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1" w:type="dxa"/>
            <w:vMerge w:val="restart"/>
            <w:noWrap/>
            <w:vAlign w:val="center"/>
          </w:tcPr>
          <w:p w14:paraId="0E0CEF75">
            <w:pPr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616" w:type="dxa"/>
            <w:vMerge w:val="restart"/>
            <w:noWrap/>
            <w:vAlign w:val="center"/>
          </w:tcPr>
          <w:p w14:paraId="10693F46">
            <w:pP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云平台基础软件</w:t>
            </w:r>
          </w:p>
        </w:tc>
        <w:tc>
          <w:tcPr>
            <w:tcW w:w="4358" w:type="dxa"/>
            <w:gridSpan w:val="2"/>
            <w:noWrap/>
            <w:vAlign w:val="center"/>
          </w:tcPr>
          <w:p w14:paraId="4BCAB142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云数据中心管理软件</w:t>
            </w:r>
          </w:p>
        </w:tc>
        <w:tc>
          <w:tcPr>
            <w:tcW w:w="2809" w:type="dxa"/>
            <w:vMerge w:val="restart"/>
            <w:noWrap/>
            <w:vAlign w:val="center"/>
          </w:tcPr>
          <w:p w14:paraId="4C67DD4B">
            <w:pPr>
              <w:widowControl/>
              <w:jc w:val="left"/>
              <w:rPr>
                <w:rFonts w:hint="default" w:ascii="Times New Roman" w:hAnsi="Times New Roman" w:eastAsia="微软雅黑" w:cs="Times New Roman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运维期为2025/7/6至2028/7/5</w:t>
            </w:r>
          </w:p>
        </w:tc>
      </w:tr>
      <w:tr w14:paraId="643AB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1" w:type="dxa"/>
            <w:vMerge w:val="continue"/>
            <w:noWrap/>
            <w:vAlign w:val="center"/>
          </w:tcPr>
          <w:p w14:paraId="02D65C6E">
            <w:pPr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/>
            <w:vAlign w:val="center"/>
          </w:tcPr>
          <w:p w14:paraId="269A772C">
            <w:pP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58" w:type="dxa"/>
            <w:gridSpan w:val="2"/>
            <w:noWrap/>
            <w:vAlign w:val="center"/>
          </w:tcPr>
          <w:p w14:paraId="073D2DC8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综合运维管控平台</w:t>
            </w:r>
          </w:p>
        </w:tc>
        <w:tc>
          <w:tcPr>
            <w:tcW w:w="2809" w:type="dxa"/>
            <w:vMerge w:val="continue"/>
            <w:noWrap/>
            <w:vAlign w:val="center"/>
          </w:tcPr>
          <w:p w14:paraId="0B59FF32">
            <w:pPr>
              <w:widowControl/>
              <w:jc w:val="left"/>
              <w:rPr>
                <w:rFonts w:hint="default" w:ascii="Times New Roman" w:hAnsi="Times New Roman" w:eastAsia="微软雅黑" w:cs="Times New Roman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8757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721" w:type="dxa"/>
            <w:vMerge w:val="restart"/>
            <w:noWrap w:val="0"/>
            <w:vAlign w:val="center"/>
          </w:tcPr>
          <w:p w14:paraId="6B06DE90">
            <w:pPr>
              <w:widowControl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616" w:type="dxa"/>
            <w:vMerge w:val="restart"/>
            <w:noWrap w:val="0"/>
            <w:vAlign w:val="center"/>
          </w:tcPr>
          <w:p w14:paraId="1CBA62BA">
            <w:pP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政务外网</w:t>
            </w: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设备</w:t>
            </w:r>
          </w:p>
        </w:tc>
        <w:tc>
          <w:tcPr>
            <w:tcW w:w="1175" w:type="dxa"/>
            <w:vMerge w:val="restart"/>
            <w:noWrap w:val="0"/>
            <w:vAlign w:val="center"/>
          </w:tcPr>
          <w:p w14:paraId="49E3CE1A">
            <w:pPr>
              <w:widowControl/>
              <w:jc w:val="left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交换机设备</w:t>
            </w:r>
          </w:p>
        </w:tc>
        <w:tc>
          <w:tcPr>
            <w:tcW w:w="3183" w:type="dxa"/>
            <w:noWrap w:val="0"/>
            <w:vAlign w:val="center"/>
          </w:tcPr>
          <w:p w14:paraId="1FD4B508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核心交换机</w:t>
            </w:r>
          </w:p>
        </w:tc>
        <w:tc>
          <w:tcPr>
            <w:tcW w:w="2809" w:type="dxa"/>
            <w:vMerge w:val="restart"/>
            <w:noWrap w:val="0"/>
            <w:vAlign w:val="center"/>
          </w:tcPr>
          <w:p w14:paraId="2F897AA6">
            <w:pPr>
              <w:widowControl/>
              <w:jc w:val="left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运维期为2025/7/6日至2028/7/5（其中政务外网主防火墙运维期从2025/7/20起）</w:t>
            </w:r>
          </w:p>
        </w:tc>
      </w:tr>
      <w:tr w14:paraId="38E559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721" w:type="dxa"/>
            <w:vMerge w:val="continue"/>
            <w:noWrap w:val="0"/>
            <w:vAlign w:val="center"/>
          </w:tcPr>
          <w:p w14:paraId="0556C711">
            <w:pPr>
              <w:widowControl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 w:val="0"/>
            <w:vAlign w:val="center"/>
          </w:tcPr>
          <w:p w14:paraId="093E36B0">
            <w:pPr>
              <w:widowControl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vMerge w:val="continue"/>
            <w:noWrap w:val="0"/>
            <w:vAlign w:val="center"/>
          </w:tcPr>
          <w:p w14:paraId="11DD5567">
            <w:pPr>
              <w:widowControl/>
              <w:jc w:val="left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3" w:type="dxa"/>
            <w:noWrap w:val="0"/>
            <w:vAlign w:val="center"/>
          </w:tcPr>
          <w:p w14:paraId="115216B0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互联网出口交换机</w:t>
            </w:r>
          </w:p>
        </w:tc>
        <w:tc>
          <w:tcPr>
            <w:tcW w:w="2809" w:type="dxa"/>
            <w:vMerge w:val="continue"/>
            <w:noWrap w:val="0"/>
            <w:vAlign w:val="center"/>
          </w:tcPr>
          <w:p w14:paraId="4A42CCFE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74A8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721" w:type="dxa"/>
            <w:vMerge w:val="continue"/>
            <w:noWrap w:val="0"/>
            <w:vAlign w:val="center"/>
          </w:tcPr>
          <w:p w14:paraId="459D4890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 w:val="0"/>
            <w:vAlign w:val="center"/>
          </w:tcPr>
          <w:p w14:paraId="321605CC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vMerge w:val="continue"/>
            <w:noWrap w:val="0"/>
            <w:vAlign w:val="center"/>
          </w:tcPr>
          <w:p w14:paraId="7875CBC4">
            <w:pPr>
              <w:widowControl/>
              <w:jc w:val="left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3" w:type="dxa"/>
            <w:noWrap w:val="0"/>
            <w:vAlign w:val="center"/>
          </w:tcPr>
          <w:p w14:paraId="3653D444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汇聚交换机</w:t>
            </w:r>
          </w:p>
        </w:tc>
        <w:tc>
          <w:tcPr>
            <w:tcW w:w="2809" w:type="dxa"/>
            <w:vMerge w:val="continue"/>
            <w:noWrap w:val="0"/>
            <w:vAlign w:val="center"/>
          </w:tcPr>
          <w:p w14:paraId="6BC7FA68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91F6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721" w:type="dxa"/>
            <w:vMerge w:val="continue"/>
            <w:noWrap w:val="0"/>
            <w:vAlign w:val="center"/>
          </w:tcPr>
          <w:p w14:paraId="07DA2409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 w:val="0"/>
            <w:vAlign w:val="center"/>
          </w:tcPr>
          <w:p w14:paraId="34B81553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vMerge w:val="continue"/>
            <w:noWrap w:val="0"/>
            <w:vAlign w:val="center"/>
          </w:tcPr>
          <w:p w14:paraId="5D3B177F">
            <w:pPr>
              <w:widowControl/>
              <w:jc w:val="left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3" w:type="dxa"/>
            <w:noWrap w:val="0"/>
            <w:vAlign w:val="center"/>
          </w:tcPr>
          <w:p w14:paraId="47C3907A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县直单位接入交换机</w:t>
            </w:r>
          </w:p>
        </w:tc>
        <w:tc>
          <w:tcPr>
            <w:tcW w:w="2809" w:type="dxa"/>
            <w:vMerge w:val="continue"/>
            <w:noWrap w:val="0"/>
            <w:vAlign w:val="center"/>
          </w:tcPr>
          <w:p w14:paraId="65B712AA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0EE3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721" w:type="dxa"/>
            <w:vMerge w:val="continue"/>
            <w:noWrap w:val="0"/>
            <w:vAlign w:val="center"/>
          </w:tcPr>
          <w:p w14:paraId="686E0DE8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 w:val="0"/>
            <w:vAlign w:val="center"/>
          </w:tcPr>
          <w:p w14:paraId="2C625B07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vMerge w:val="continue"/>
            <w:noWrap w:val="0"/>
            <w:vAlign w:val="center"/>
          </w:tcPr>
          <w:p w14:paraId="0F274A6B">
            <w:pPr>
              <w:widowControl/>
              <w:jc w:val="left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3" w:type="dxa"/>
            <w:noWrap w:val="0"/>
            <w:vAlign w:val="center"/>
          </w:tcPr>
          <w:p w14:paraId="3FF8703E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万兆光纤模块</w:t>
            </w:r>
          </w:p>
        </w:tc>
        <w:tc>
          <w:tcPr>
            <w:tcW w:w="2809" w:type="dxa"/>
            <w:vMerge w:val="continue"/>
            <w:noWrap w:val="0"/>
            <w:vAlign w:val="center"/>
          </w:tcPr>
          <w:p w14:paraId="4D0C30E0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123D5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721" w:type="dxa"/>
            <w:vMerge w:val="continue"/>
            <w:noWrap w:val="0"/>
            <w:vAlign w:val="center"/>
          </w:tcPr>
          <w:p w14:paraId="41AEA347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 w:val="0"/>
            <w:vAlign w:val="center"/>
          </w:tcPr>
          <w:p w14:paraId="31A70416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vMerge w:val="continue"/>
            <w:noWrap w:val="0"/>
            <w:vAlign w:val="center"/>
          </w:tcPr>
          <w:p w14:paraId="773DDAB4">
            <w:pPr>
              <w:widowControl/>
              <w:jc w:val="left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3" w:type="dxa"/>
            <w:noWrap w:val="0"/>
            <w:vAlign w:val="center"/>
          </w:tcPr>
          <w:p w14:paraId="13E7C967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堆叠线</w:t>
            </w:r>
          </w:p>
        </w:tc>
        <w:tc>
          <w:tcPr>
            <w:tcW w:w="2809" w:type="dxa"/>
            <w:vMerge w:val="continue"/>
            <w:noWrap w:val="0"/>
            <w:vAlign w:val="center"/>
          </w:tcPr>
          <w:p w14:paraId="01B7E0E5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C7B6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" w:hRule="atLeast"/>
        </w:trPr>
        <w:tc>
          <w:tcPr>
            <w:tcW w:w="721" w:type="dxa"/>
            <w:vMerge w:val="continue"/>
            <w:noWrap w:val="0"/>
            <w:vAlign w:val="center"/>
          </w:tcPr>
          <w:p w14:paraId="19F1D452">
            <w:pPr>
              <w:widowControl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 w:val="0"/>
            <w:vAlign w:val="center"/>
          </w:tcPr>
          <w:p w14:paraId="6BA5317C">
            <w:pP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vMerge w:val="restart"/>
            <w:noWrap w:val="0"/>
            <w:vAlign w:val="center"/>
          </w:tcPr>
          <w:p w14:paraId="309B3937">
            <w:pPr>
              <w:widowControl/>
              <w:jc w:val="left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防火墙</w:t>
            </w:r>
          </w:p>
        </w:tc>
        <w:tc>
          <w:tcPr>
            <w:tcW w:w="3183" w:type="dxa"/>
            <w:noWrap w:val="0"/>
            <w:vAlign w:val="center"/>
          </w:tcPr>
          <w:p w14:paraId="2CE76ED6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边界防火墙</w:t>
            </w:r>
          </w:p>
        </w:tc>
        <w:tc>
          <w:tcPr>
            <w:tcW w:w="2809" w:type="dxa"/>
            <w:vMerge w:val="continue"/>
            <w:noWrap w:val="0"/>
            <w:vAlign w:val="center"/>
          </w:tcPr>
          <w:p w14:paraId="1C23B959">
            <w:pPr>
              <w:widowControl/>
              <w:jc w:val="left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F565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" w:hRule="atLeast"/>
        </w:trPr>
        <w:tc>
          <w:tcPr>
            <w:tcW w:w="721" w:type="dxa"/>
            <w:vMerge w:val="continue"/>
            <w:noWrap w:val="0"/>
            <w:vAlign w:val="center"/>
          </w:tcPr>
          <w:p w14:paraId="54640292">
            <w:pPr>
              <w:widowControl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 w:val="0"/>
            <w:vAlign w:val="center"/>
          </w:tcPr>
          <w:p w14:paraId="5DCB7001">
            <w:pPr>
              <w:widowControl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vMerge w:val="continue"/>
            <w:noWrap w:val="0"/>
            <w:vAlign w:val="center"/>
          </w:tcPr>
          <w:p w14:paraId="2C166227">
            <w:pPr>
              <w:widowControl/>
              <w:jc w:val="left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3" w:type="dxa"/>
            <w:noWrap w:val="0"/>
            <w:vAlign w:val="center"/>
          </w:tcPr>
          <w:p w14:paraId="7A136865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政务外网主防火墙</w:t>
            </w:r>
          </w:p>
        </w:tc>
        <w:tc>
          <w:tcPr>
            <w:tcW w:w="2809" w:type="dxa"/>
            <w:vMerge w:val="continue"/>
            <w:noWrap w:val="0"/>
            <w:vAlign w:val="center"/>
          </w:tcPr>
          <w:p w14:paraId="49629CC7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5CDC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" w:hRule="atLeast"/>
        </w:trPr>
        <w:tc>
          <w:tcPr>
            <w:tcW w:w="721" w:type="dxa"/>
            <w:vMerge w:val="continue"/>
            <w:noWrap w:val="0"/>
            <w:vAlign w:val="center"/>
          </w:tcPr>
          <w:p w14:paraId="039CDCC0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 w:val="0"/>
            <w:vAlign w:val="center"/>
          </w:tcPr>
          <w:p w14:paraId="6C566467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vMerge w:val="continue"/>
            <w:noWrap w:val="0"/>
            <w:vAlign w:val="center"/>
          </w:tcPr>
          <w:p w14:paraId="1C3B6F0C">
            <w:pPr>
              <w:widowControl/>
              <w:jc w:val="left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3" w:type="dxa"/>
            <w:noWrap w:val="0"/>
            <w:vAlign w:val="center"/>
          </w:tcPr>
          <w:p w14:paraId="38FECEF0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大院边界防火墙</w:t>
            </w:r>
          </w:p>
        </w:tc>
        <w:tc>
          <w:tcPr>
            <w:tcW w:w="2809" w:type="dxa"/>
            <w:vMerge w:val="continue"/>
            <w:noWrap w:val="0"/>
            <w:vAlign w:val="center"/>
          </w:tcPr>
          <w:p w14:paraId="1B58C0B5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BE82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721" w:type="dxa"/>
            <w:vMerge w:val="continue"/>
            <w:noWrap w:val="0"/>
            <w:vAlign w:val="center"/>
          </w:tcPr>
          <w:p w14:paraId="0E2B8C3A">
            <w:pPr>
              <w:widowControl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kern w:val="2"/>
                <w:sz w:val="24"/>
                <w:szCs w:val="22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 w:val="0"/>
            <w:vAlign w:val="center"/>
          </w:tcPr>
          <w:p w14:paraId="5FAC2788">
            <w:pP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vMerge w:val="restart"/>
            <w:noWrap w:val="0"/>
            <w:vAlign w:val="center"/>
          </w:tcPr>
          <w:p w14:paraId="5AAE5654">
            <w:pPr>
              <w:widowControl/>
              <w:jc w:val="left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网络安全设备</w:t>
            </w:r>
          </w:p>
        </w:tc>
        <w:tc>
          <w:tcPr>
            <w:tcW w:w="3183" w:type="dxa"/>
            <w:noWrap w:val="0"/>
            <w:vAlign w:val="center"/>
          </w:tcPr>
          <w:p w14:paraId="247D13A5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链路负载均衡系统</w:t>
            </w:r>
          </w:p>
        </w:tc>
        <w:tc>
          <w:tcPr>
            <w:tcW w:w="2809" w:type="dxa"/>
            <w:vMerge w:val="continue"/>
            <w:noWrap w:val="0"/>
            <w:vAlign w:val="center"/>
          </w:tcPr>
          <w:p w14:paraId="7A97FCAD">
            <w:pPr>
              <w:widowControl/>
              <w:jc w:val="left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F26D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721" w:type="dxa"/>
            <w:vMerge w:val="continue"/>
            <w:noWrap w:val="0"/>
            <w:vAlign w:val="center"/>
          </w:tcPr>
          <w:p w14:paraId="0887B7A6">
            <w:pPr>
              <w:widowControl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 w:val="0"/>
            <w:vAlign w:val="center"/>
          </w:tcPr>
          <w:p w14:paraId="06059BFF">
            <w:pPr>
              <w:widowControl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vMerge w:val="continue"/>
            <w:noWrap w:val="0"/>
            <w:vAlign w:val="center"/>
          </w:tcPr>
          <w:p w14:paraId="339437AE">
            <w:pPr>
              <w:widowControl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3" w:type="dxa"/>
            <w:noWrap w:val="0"/>
            <w:vAlign w:val="center"/>
          </w:tcPr>
          <w:p w14:paraId="16487F46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网络安全接入中心（VPN）系统</w:t>
            </w:r>
          </w:p>
        </w:tc>
        <w:tc>
          <w:tcPr>
            <w:tcW w:w="2809" w:type="dxa"/>
            <w:vMerge w:val="continue"/>
            <w:noWrap w:val="0"/>
            <w:vAlign w:val="center"/>
          </w:tcPr>
          <w:p w14:paraId="5EF4146E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940A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721" w:type="dxa"/>
            <w:vMerge w:val="continue"/>
            <w:noWrap w:val="0"/>
            <w:vAlign w:val="center"/>
          </w:tcPr>
          <w:p w14:paraId="6EAF712A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 w:val="0"/>
            <w:vAlign w:val="center"/>
          </w:tcPr>
          <w:p w14:paraId="08A8939C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vMerge w:val="continue"/>
            <w:noWrap w:val="0"/>
            <w:vAlign w:val="center"/>
          </w:tcPr>
          <w:p w14:paraId="3FF57F70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3" w:type="dxa"/>
            <w:noWrap w:val="0"/>
            <w:vAlign w:val="center"/>
          </w:tcPr>
          <w:p w14:paraId="77D5BEE4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网络设备机房环境监控系统</w:t>
            </w:r>
          </w:p>
        </w:tc>
        <w:tc>
          <w:tcPr>
            <w:tcW w:w="2809" w:type="dxa"/>
            <w:vMerge w:val="continue"/>
            <w:noWrap w:val="0"/>
            <w:vAlign w:val="center"/>
          </w:tcPr>
          <w:p w14:paraId="4AAE9CA4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E81F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1" w:type="dxa"/>
            <w:vMerge w:val="continue"/>
            <w:noWrap w:val="0"/>
            <w:vAlign w:val="center"/>
          </w:tcPr>
          <w:p w14:paraId="551339C7">
            <w:pPr>
              <w:widowControl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kern w:val="2"/>
                <w:sz w:val="24"/>
                <w:szCs w:val="22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 w:val="0"/>
            <w:vAlign w:val="center"/>
          </w:tcPr>
          <w:p w14:paraId="36A3D9F9">
            <w:pP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58" w:type="dxa"/>
            <w:gridSpan w:val="2"/>
            <w:noWrap w:val="0"/>
            <w:vAlign w:val="center"/>
          </w:tcPr>
          <w:p w14:paraId="3DE01F1B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eSight管理平台</w:t>
            </w:r>
          </w:p>
        </w:tc>
        <w:tc>
          <w:tcPr>
            <w:tcW w:w="2809" w:type="dxa"/>
            <w:vMerge w:val="continue"/>
            <w:noWrap w:val="0"/>
            <w:vAlign w:val="center"/>
          </w:tcPr>
          <w:p w14:paraId="7B78781B">
            <w:pPr>
              <w:widowControl/>
              <w:jc w:val="left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D368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1" w:type="dxa"/>
            <w:vMerge w:val="continue"/>
            <w:noWrap w:val="0"/>
            <w:vAlign w:val="center"/>
          </w:tcPr>
          <w:p w14:paraId="67B989A9">
            <w:pPr>
              <w:widowControl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kern w:val="2"/>
                <w:sz w:val="24"/>
                <w:szCs w:val="22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 w:val="0"/>
            <w:vAlign w:val="center"/>
          </w:tcPr>
          <w:p w14:paraId="7785EB1A">
            <w:pP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58" w:type="dxa"/>
            <w:gridSpan w:val="2"/>
            <w:noWrap w:val="0"/>
            <w:vAlign w:val="center"/>
          </w:tcPr>
          <w:p w14:paraId="7C4BFAB3">
            <w:pP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政务外网准入系统</w:t>
            </w:r>
          </w:p>
        </w:tc>
        <w:tc>
          <w:tcPr>
            <w:tcW w:w="2809" w:type="dxa"/>
            <w:vMerge w:val="restart"/>
            <w:noWrap w:val="0"/>
            <w:vAlign w:val="center"/>
          </w:tcPr>
          <w:p w14:paraId="7639EA0F">
            <w:pPr>
              <w:widowControl/>
              <w:jc w:val="left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运维期为2027/2/1至2028/7/5</w:t>
            </w:r>
          </w:p>
        </w:tc>
      </w:tr>
      <w:tr w14:paraId="633EF6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1" w:type="dxa"/>
            <w:vMerge w:val="continue"/>
            <w:noWrap w:val="0"/>
            <w:vAlign w:val="center"/>
          </w:tcPr>
          <w:p w14:paraId="0761569B">
            <w:pPr>
              <w:widowControl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kern w:val="2"/>
                <w:sz w:val="24"/>
                <w:szCs w:val="22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 w:val="0"/>
            <w:vAlign w:val="center"/>
          </w:tcPr>
          <w:p w14:paraId="2E807983">
            <w:pP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58" w:type="dxa"/>
            <w:gridSpan w:val="2"/>
            <w:noWrap w:val="0"/>
            <w:vAlign w:val="center"/>
          </w:tcPr>
          <w:p w14:paraId="3B53881F">
            <w:pP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政务外网安全防护组件</w:t>
            </w:r>
          </w:p>
        </w:tc>
        <w:tc>
          <w:tcPr>
            <w:tcW w:w="2809" w:type="dxa"/>
            <w:vMerge w:val="continue"/>
            <w:noWrap w:val="0"/>
            <w:vAlign w:val="center"/>
          </w:tcPr>
          <w:p w14:paraId="7A7326A0">
            <w:pPr>
              <w:widowControl/>
              <w:jc w:val="left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2625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1" w:type="dxa"/>
            <w:vMerge w:val="restart"/>
            <w:noWrap w:val="0"/>
            <w:vAlign w:val="center"/>
          </w:tcPr>
          <w:p w14:paraId="5C22FD53">
            <w:pPr>
              <w:widowControl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616" w:type="dxa"/>
            <w:vMerge w:val="restart"/>
            <w:noWrap w:val="0"/>
            <w:vAlign w:val="center"/>
          </w:tcPr>
          <w:p w14:paraId="427BD2D3">
            <w:pP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县政府大院信息机房</w:t>
            </w:r>
          </w:p>
        </w:tc>
        <w:tc>
          <w:tcPr>
            <w:tcW w:w="4358" w:type="dxa"/>
            <w:gridSpan w:val="2"/>
            <w:noWrap w:val="0"/>
            <w:vAlign w:val="center"/>
          </w:tcPr>
          <w:p w14:paraId="22522B82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机房基础设备</w:t>
            </w:r>
          </w:p>
        </w:tc>
        <w:tc>
          <w:tcPr>
            <w:tcW w:w="2809" w:type="dxa"/>
            <w:vMerge w:val="restart"/>
            <w:noWrap w:val="0"/>
            <w:vAlign w:val="center"/>
          </w:tcPr>
          <w:p w14:paraId="5D56E437">
            <w:pPr>
              <w:widowControl/>
              <w:jc w:val="left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运维期为2025/7/6至2028/7/5</w:t>
            </w:r>
          </w:p>
        </w:tc>
      </w:tr>
      <w:tr w14:paraId="6FD16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1" w:type="dxa"/>
            <w:vMerge w:val="continue"/>
            <w:noWrap w:val="0"/>
            <w:vAlign w:val="center"/>
          </w:tcPr>
          <w:p w14:paraId="190E10C7">
            <w:pPr>
              <w:widowControl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 w:val="0"/>
            <w:vAlign w:val="center"/>
          </w:tcPr>
          <w:p w14:paraId="0D59088D">
            <w:pP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58" w:type="dxa"/>
            <w:gridSpan w:val="2"/>
            <w:noWrap w:val="0"/>
            <w:vAlign w:val="center"/>
          </w:tcPr>
          <w:p w14:paraId="107843FF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机房基础环境</w:t>
            </w:r>
          </w:p>
        </w:tc>
        <w:tc>
          <w:tcPr>
            <w:tcW w:w="2809" w:type="dxa"/>
            <w:vMerge w:val="continue"/>
            <w:noWrap w:val="0"/>
            <w:vAlign w:val="center"/>
          </w:tcPr>
          <w:p w14:paraId="4606100D">
            <w:pPr>
              <w:widowControl/>
              <w:jc w:val="left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74F6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</w:trPr>
        <w:tc>
          <w:tcPr>
            <w:tcW w:w="721" w:type="dxa"/>
            <w:vMerge w:val="restart"/>
            <w:noWrap w:val="0"/>
            <w:vAlign w:val="center"/>
          </w:tcPr>
          <w:p w14:paraId="6A2578EA">
            <w:pPr>
              <w:widowControl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616" w:type="dxa"/>
            <w:vMerge w:val="restart"/>
            <w:noWrap w:val="0"/>
            <w:vAlign w:val="center"/>
          </w:tcPr>
          <w:p w14:paraId="0B48DFE4">
            <w:pP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政务服务中心大厅</w:t>
            </w:r>
          </w:p>
        </w:tc>
        <w:tc>
          <w:tcPr>
            <w:tcW w:w="1175" w:type="dxa"/>
            <w:vMerge w:val="restart"/>
            <w:noWrap w:val="0"/>
            <w:vAlign w:val="center"/>
          </w:tcPr>
          <w:p w14:paraId="505D6220">
            <w:pPr>
              <w:widowControl/>
              <w:jc w:val="left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大厅信息化设备</w:t>
            </w:r>
          </w:p>
        </w:tc>
        <w:tc>
          <w:tcPr>
            <w:tcW w:w="3183" w:type="dxa"/>
            <w:noWrap w:val="0"/>
            <w:vAlign w:val="center"/>
          </w:tcPr>
          <w:p w14:paraId="59898A5E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政务大厅数据可视化</w:t>
            </w:r>
          </w:p>
        </w:tc>
        <w:tc>
          <w:tcPr>
            <w:tcW w:w="2809" w:type="dxa"/>
            <w:vMerge w:val="restart"/>
            <w:noWrap w:val="0"/>
            <w:vAlign w:val="center"/>
          </w:tcPr>
          <w:p w14:paraId="70099CED">
            <w:pPr>
              <w:widowControl/>
              <w:jc w:val="left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运维期为2026/9/1至2028/7/5</w:t>
            </w:r>
          </w:p>
        </w:tc>
      </w:tr>
      <w:tr w14:paraId="70F09F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</w:trPr>
        <w:tc>
          <w:tcPr>
            <w:tcW w:w="721" w:type="dxa"/>
            <w:vMerge w:val="continue"/>
            <w:noWrap w:val="0"/>
            <w:vAlign w:val="center"/>
          </w:tcPr>
          <w:p w14:paraId="1731F350">
            <w:pPr>
              <w:widowControl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 w:val="0"/>
            <w:vAlign w:val="center"/>
          </w:tcPr>
          <w:p w14:paraId="62BD48A2">
            <w:pPr>
              <w:widowControl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vMerge w:val="continue"/>
            <w:noWrap w:val="0"/>
            <w:vAlign w:val="center"/>
          </w:tcPr>
          <w:p w14:paraId="67D8F644">
            <w:pPr>
              <w:widowControl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3" w:type="dxa"/>
            <w:noWrap w:val="0"/>
            <w:vAlign w:val="center"/>
          </w:tcPr>
          <w:p w14:paraId="27A5987C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智能排队叫号</w:t>
            </w:r>
          </w:p>
        </w:tc>
        <w:tc>
          <w:tcPr>
            <w:tcW w:w="2809" w:type="dxa"/>
            <w:vMerge w:val="continue"/>
            <w:noWrap w:val="0"/>
            <w:vAlign w:val="center"/>
          </w:tcPr>
          <w:p w14:paraId="75829B38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2553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</w:trPr>
        <w:tc>
          <w:tcPr>
            <w:tcW w:w="721" w:type="dxa"/>
            <w:vMerge w:val="continue"/>
            <w:noWrap w:val="0"/>
            <w:vAlign w:val="center"/>
          </w:tcPr>
          <w:p w14:paraId="1A516AA9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 w:val="0"/>
            <w:vAlign w:val="center"/>
          </w:tcPr>
          <w:p w14:paraId="477F783E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vMerge w:val="continue"/>
            <w:noWrap w:val="0"/>
            <w:vAlign w:val="center"/>
          </w:tcPr>
          <w:p w14:paraId="3A72F442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3" w:type="dxa"/>
            <w:noWrap w:val="0"/>
            <w:vAlign w:val="center"/>
          </w:tcPr>
          <w:p w14:paraId="456ECFDB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政务大厅智能导航导办</w:t>
            </w:r>
          </w:p>
        </w:tc>
        <w:tc>
          <w:tcPr>
            <w:tcW w:w="2809" w:type="dxa"/>
            <w:vMerge w:val="continue"/>
            <w:noWrap w:val="0"/>
            <w:vAlign w:val="center"/>
          </w:tcPr>
          <w:p w14:paraId="7FA38818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0E6C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</w:trPr>
        <w:tc>
          <w:tcPr>
            <w:tcW w:w="721" w:type="dxa"/>
            <w:vMerge w:val="continue"/>
            <w:noWrap w:val="0"/>
            <w:vAlign w:val="center"/>
          </w:tcPr>
          <w:p w14:paraId="2A6E26A0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 w:val="0"/>
            <w:vAlign w:val="center"/>
          </w:tcPr>
          <w:p w14:paraId="569A583E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vMerge w:val="continue"/>
            <w:noWrap w:val="0"/>
            <w:vAlign w:val="center"/>
          </w:tcPr>
          <w:p w14:paraId="28D4A99B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3" w:type="dxa"/>
            <w:noWrap w:val="0"/>
            <w:vAlign w:val="center"/>
          </w:tcPr>
          <w:p w14:paraId="644E6C10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5G+政务视频咨询服务</w:t>
            </w:r>
          </w:p>
        </w:tc>
        <w:tc>
          <w:tcPr>
            <w:tcW w:w="2809" w:type="dxa"/>
            <w:vMerge w:val="continue"/>
            <w:noWrap w:val="0"/>
            <w:vAlign w:val="center"/>
          </w:tcPr>
          <w:p w14:paraId="1EBB7DD6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494E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1" w:type="dxa"/>
            <w:vMerge w:val="continue"/>
            <w:noWrap w:val="0"/>
            <w:vAlign w:val="center"/>
          </w:tcPr>
          <w:p w14:paraId="3DC267A6">
            <w:pPr>
              <w:widowControl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 w:val="0"/>
            <w:vAlign w:val="center"/>
          </w:tcPr>
          <w:p w14:paraId="5EAA64D8">
            <w:pP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58" w:type="dxa"/>
            <w:gridSpan w:val="2"/>
            <w:noWrap w:val="0"/>
            <w:vAlign w:val="center"/>
          </w:tcPr>
          <w:p w14:paraId="0B4E7B47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监控系统</w:t>
            </w:r>
          </w:p>
        </w:tc>
        <w:tc>
          <w:tcPr>
            <w:tcW w:w="2809" w:type="dxa"/>
            <w:vMerge w:val="continue"/>
            <w:noWrap w:val="0"/>
            <w:vAlign w:val="center"/>
          </w:tcPr>
          <w:p w14:paraId="7F40827C">
            <w:pPr>
              <w:widowControl/>
              <w:jc w:val="left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6E2E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21" w:type="dxa"/>
            <w:vMerge w:val="restart"/>
            <w:noWrap w:val="0"/>
            <w:vAlign w:val="center"/>
          </w:tcPr>
          <w:p w14:paraId="20F1D26F">
            <w:pPr>
              <w:widowControl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kern w:val="2"/>
                <w:sz w:val="24"/>
                <w:szCs w:val="22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616" w:type="dxa"/>
            <w:vMerge w:val="restart"/>
            <w:noWrap w:val="0"/>
            <w:vAlign w:val="center"/>
          </w:tcPr>
          <w:p w14:paraId="4A8B3054">
            <w:pPr>
              <w:rPr>
                <w:rFonts w:hint="default" w:ascii="Times New Roman" w:hAnsi="Times New Roman" w:eastAsia="微软雅黑" w:cs="Times New Roman"/>
                <w:color w:val="000000" w:themeColor="text1"/>
                <w:kern w:val="2"/>
                <w:sz w:val="24"/>
                <w:szCs w:val="22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政务服务中心24小时自助区</w:t>
            </w:r>
          </w:p>
        </w:tc>
        <w:tc>
          <w:tcPr>
            <w:tcW w:w="4358" w:type="dxa"/>
            <w:gridSpan w:val="2"/>
            <w:noWrap w:val="0"/>
            <w:vAlign w:val="center"/>
          </w:tcPr>
          <w:p w14:paraId="117B3087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弱电系统</w:t>
            </w:r>
          </w:p>
        </w:tc>
        <w:tc>
          <w:tcPr>
            <w:tcW w:w="2809" w:type="dxa"/>
            <w:vMerge w:val="restart"/>
            <w:noWrap w:val="0"/>
            <w:vAlign w:val="center"/>
          </w:tcPr>
          <w:p w14:paraId="364BF422">
            <w:pPr>
              <w:widowControl/>
              <w:jc w:val="left"/>
              <w:rPr>
                <w:rFonts w:hint="default" w:ascii="Times New Roman" w:hAnsi="Times New Roman" w:eastAsia="微软雅黑" w:cs="Times New Roman"/>
                <w:color w:val="000000" w:themeColor="text1"/>
                <w:kern w:val="2"/>
                <w:sz w:val="24"/>
                <w:szCs w:val="22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运维期为2025/7/6至2028/7/5</w:t>
            </w:r>
          </w:p>
        </w:tc>
      </w:tr>
      <w:tr w14:paraId="7741A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</w:trPr>
        <w:tc>
          <w:tcPr>
            <w:tcW w:w="721" w:type="dxa"/>
            <w:vMerge w:val="continue"/>
            <w:noWrap w:val="0"/>
            <w:vAlign w:val="center"/>
          </w:tcPr>
          <w:p w14:paraId="31AF8946">
            <w:pPr>
              <w:widowControl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 w:val="0"/>
            <w:vAlign w:val="center"/>
          </w:tcPr>
          <w:p w14:paraId="429F37EB">
            <w:pP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vMerge w:val="restart"/>
            <w:noWrap w:val="0"/>
            <w:vAlign w:val="center"/>
          </w:tcPr>
          <w:p w14:paraId="5F246F4B">
            <w:pPr>
              <w:widowControl/>
              <w:jc w:val="left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基础环境</w:t>
            </w:r>
          </w:p>
        </w:tc>
        <w:tc>
          <w:tcPr>
            <w:tcW w:w="3183" w:type="dxa"/>
            <w:noWrap w:val="0"/>
            <w:vAlign w:val="center"/>
          </w:tcPr>
          <w:p w14:paraId="272562AE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门窗部分</w:t>
            </w:r>
          </w:p>
        </w:tc>
        <w:tc>
          <w:tcPr>
            <w:tcW w:w="2809" w:type="dxa"/>
            <w:vMerge w:val="continue"/>
            <w:noWrap w:val="0"/>
            <w:vAlign w:val="center"/>
          </w:tcPr>
          <w:p w14:paraId="66E8DEF6">
            <w:pPr>
              <w:widowControl/>
              <w:jc w:val="left"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CED2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</w:trPr>
        <w:tc>
          <w:tcPr>
            <w:tcW w:w="721" w:type="dxa"/>
            <w:vMerge w:val="continue"/>
            <w:noWrap w:val="0"/>
            <w:vAlign w:val="center"/>
          </w:tcPr>
          <w:p w14:paraId="2C5025C9">
            <w:pPr>
              <w:widowControl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 w:val="0"/>
            <w:vAlign w:val="center"/>
          </w:tcPr>
          <w:p w14:paraId="7E50D0C0">
            <w:pPr>
              <w:widowControl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vMerge w:val="continue"/>
            <w:noWrap w:val="0"/>
            <w:vAlign w:val="center"/>
          </w:tcPr>
          <w:p w14:paraId="307A2A2F">
            <w:pPr>
              <w:widowControl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3" w:type="dxa"/>
            <w:noWrap w:val="0"/>
            <w:vAlign w:val="center"/>
          </w:tcPr>
          <w:p w14:paraId="5EAB9670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装饰部分</w:t>
            </w:r>
          </w:p>
        </w:tc>
        <w:tc>
          <w:tcPr>
            <w:tcW w:w="2809" w:type="dxa"/>
            <w:vMerge w:val="continue"/>
            <w:noWrap w:val="0"/>
            <w:vAlign w:val="center"/>
          </w:tcPr>
          <w:p w14:paraId="1B9A239A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DA7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</w:trPr>
        <w:tc>
          <w:tcPr>
            <w:tcW w:w="721" w:type="dxa"/>
            <w:vMerge w:val="continue"/>
            <w:noWrap w:val="0"/>
            <w:vAlign w:val="center"/>
          </w:tcPr>
          <w:p w14:paraId="7870E590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 w:val="0"/>
            <w:vAlign w:val="center"/>
          </w:tcPr>
          <w:p w14:paraId="490B0735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vMerge w:val="continue"/>
            <w:noWrap w:val="0"/>
            <w:vAlign w:val="center"/>
          </w:tcPr>
          <w:p w14:paraId="2DE93E6F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3" w:type="dxa"/>
            <w:noWrap w:val="0"/>
            <w:vAlign w:val="center"/>
          </w:tcPr>
          <w:p w14:paraId="6763A857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电气工程</w:t>
            </w:r>
          </w:p>
        </w:tc>
        <w:tc>
          <w:tcPr>
            <w:tcW w:w="2809" w:type="dxa"/>
            <w:vMerge w:val="continue"/>
            <w:noWrap w:val="0"/>
            <w:vAlign w:val="center"/>
          </w:tcPr>
          <w:p w14:paraId="68D94A91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65EB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721" w:type="dxa"/>
            <w:vMerge w:val="continue"/>
            <w:noWrap w:val="0"/>
            <w:vAlign w:val="center"/>
          </w:tcPr>
          <w:p w14:paraId="0C05BE70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noWrap w:val="0"/>
            <w:vAlign w:val="center"/>
          </w:tcPr>
          <w:p w14:paraId="746B8935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vMerge w:val="continue"/>
            <w:noWrap w:val="0"/>
            <w:vAlign w:val="center"/>
          </w:tcPr>
          <w:p w14:paraId="7227A856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3" w:type="dxa"/>
            <w:noWrap w:val="0"/>
            <w:vAlign w:val="center"/>
          </w:tcPr>
          <w:p w14:paraId="39E30138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弱电工程</w:t>
            </w:r>
          </w:p>
        </w:tc>
        <w:tc>
          <w:tcPr>
            <w:tcW w:w="2809" w:type="dxa"/>
            <w:vMerge w:val="continue"/>
            <w:noWrap w:val="0"/>
            <w:vAlign w:val="center"/>
          </w:tcPr>
          <w:p w14:paraId="62EFB7C7">
            <w:pPr>
              <w:widowControl/>
              <w:rPr>
                <w:rFonts w:hint="default" w:ascii="Times New Roman" w:hAnsi="Times New Roman" w:eastAsia="微软雅黑" w:cs="Times New Roman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73DB582F">
      <w:pP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4D47E887"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5CBFE6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7DE0E86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7DE0E86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8D7217"/>
    <w:rsid w:val="718D7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2025-02-06T01:10:00Z</dcterms:created>
  <dc:creator>小明月</dc:creator>
  <cp:lastModifiedBy>小明月</cp:lastModifiedBy>
  <dcterms:modified xsi:type="dcterms:W3CDTF">2025-02-06T01:14:51Z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D9678E34CD1A492F8B385F9738B65037_11</vt:lpwstr>
  </property>
  <property fmtid="{D5CDD505-2E9C-101B-9397-08002B2CF9AE}" pid="4" name="KSOTemplateDocerSaveRecord">
    <vt:lpwstr>eyJoZGlkIjoiZDRlZDY0NTE3Y2EwYjViYzRhOWE0ZWJmNDgzNjg2OGQiLCJ1c2VySWQiOiIyMTcwNTM4MTUifQ==</vt:lpwstr>
  </property>
</Properties>
</file>