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F5F9AB">
      <w:pPr>
        <w:jc w:val="center"/>
        <w:rPr>
          <w:rFonts w:hint="eastAsia"/>
          <w:sz w:val="32"/>
          <w:szCs w:val="32"/>
        </w:rPr>
      </w:pPr>
      <w:r>
        <w:rPr>
          <w:rFonts w:hint="eastAsia"/>
          <w:sz w:val="32"/>
          <w:szCs w:val="32"/>
        </w:rPr>
        <w:t>博罗县文化广电旅游体育局2023年</w:t>
      </w:r>
      <w:r>
        <w:rPr>
          <w:rFonts w:hint="eastAsia"/>
          <w:sz w:val="32"/>
          <w:szCs w:val="32"/>
          <w:lang w:val="en-US" w:eastAsia="zh-CN"/>
        </w:rPr>
        <w:t>部门</w:t>
      </w:r>
      <w:r>
        <w:rPr>
          <w:rFonts w:hint="eastAsia"/>
          <w:sz w:val="32"/>
          <w:szCs w:val="32"/>
        </w:rPr>
        <w:t>整体支出绩效自评报告</w:t>
      </w:r>
    </w:p>
    <w:p w14:paraId="0F48883D">
      <w:pPr>
        <w:rPr>
          <w:rFonts w:hint="eastAsia"/>
        </w:rPr>
      </w:pPr>
    </w:p>
    <w:p w14:paraId="712A070A">
      <w:pPr>
        <w:rPr>
          <w:rFonts w:hint="eastAsia"/>
        </w:rPr>
      </w:pPr>
      <w:r>
        <w:rPr>
          <w:rFonts w:hint="eastAsia"/>
          <w:lang w:val="en-US" w:eastAsia="zh-CN"/>
        </w:rPr>
        <w:t>一</w:t>
      </w:r>
      <w:r>
        <w:rPr>
          <w:rFonts w:hint="eastAsia"/>
        </w:rPr>
        <w:t>、部门概况</w:t>
      </w:r>
    </w:p>
    <w:p w14:paraId="4FCFC969">
      <w:pPr>
        <w:rPr>
          <w:rFonts w:hint="eastAsia"/>
        </w:rPr>
      </w:pPr>
      <w:r>
        <w:rPr>
          <w:rFonts w:hint="eastAsia"/>
          <w:lang w:val="en-US" w:eastAsia="zh-CN"/>
        </w:rPr>
        <w:t>1、</w:t>
      </w:r>
      <w:r>
        <w:rPr>
          <w:rFonts w:hint="eastAsia"/>
        </w:rPr>
        <w:t>部门职能：博罗县文化广电旅游体育局贯彻落实党中央关于文化文物、广播电视、体育和旅游工作的方针政策和决策部署,按照省委、市委的部署要求和县委工作安排,在履行职责过程中坚持和加强党对文化、广播电视、旅游、体育工作的集中统一领导。主要职责是:</w:t>
      </w:r>
    </w:p>
    <w:p w14:paraId="075F853D">
      <w:pPr>
        <w:rPr>
          <w:rFonts w:hint="eastAsia"/>
        </w:rPr>
      </w:pPr>
      <w:r>
        <w:rPr>
          <w:rFonts w:hint="eastAsia"/>
        </w:rPr>
        <w:t>（1）贯彻执行中央、省、市、县有关文化文物、广播电视、体育和旅游工作的方针政策和法律法规;拟订全县文化文物、广播电视、旅游和体育事业和产业发展规划,经批准后组织实施。</w:t>
      </w:r>
    </w:p>
    <w:p w14:paraId="78DEF988">
      <w:pPr>
        <w:rPr>
          <w:rFonts w:hint="eastAsia"/>
        </w:rPr>
      </w:pPr>
      <w:r>
        <w:rPr>
          <w:rFonts w:hint="eastAsia"/>
        </w:rPr>
        <w:t>（2）负责推进文化、广播电视、旅游、体育与新媒体新技术新业态的融合发展。协调推进广电网、电信网与互联网三网融合。指导监督文化、广播电视、旅游、体育安全生产相关工作,推进文化广播旅游体育体制机制改革。</w:t>
      </w:r>
    </w:p>
    <w:p w14:paraId="1A8B7E4C">
      <w:pPr>
        <w:rPr>
          <w:rFonts w:hint="eastAsia"/>
        </w:rPr>
      </w:pPr>
      <w:r>
        <w:rPr>
          <w:rFonts w:hint="eastAsia"/>
        </w:rPr>
        <w:t>（3）推动高素质专业化文化、广播电视、旅游、体育人才</w:t>
      </w:r>
    </w:p>
    <w:p w14:paraId="1610E1E5">
      <w:pPr>
        <w:rPr>
          <w:rFonts w:hint="eastAsia"/>
        </w:rPr>
      </w:pPr>
      <w:r>
        <w:rPr>
          <w:rFonts w:hint="eastAsia"/>
        </w:rPr>
        <w:t>队伍建设。加强对文化、广播电视、旅游、体育社会组织的指导和管理工作。</w:t>
      </w:r>
    </w:p>
    <w:p w14:paraId="0CD43DE3">
      <w:pPr>
        <w:rPr>
          <w:rFonts w:hint="eastAsia"/>
        </w:rPr>
      </w:pPr>
      <w:r>
        <w:rPr>
          <w:rFonts w:hint="eastAsia"/>
        </w:rPr>
        <w:t>（4）负责公共文化、广播电视、旅游、体育事业发展。推进公共文化、广播电视服务体系、旅游公共服务和多元化体育服务体系建设。推进行业信息化建设,深入实施文化惠民工程,统筹推进基本公共文化、广播电视、旅游、体育服务的标准化、均等化。负责本系统国有文化资产监督管理相关工作。</w:t>
      </w:r>
    </w:p>
    <w:p w14:paraId="293C2AD6">
      <w:pPr>
        <w:rPr>
          <w:rFonts w:hint="eastAsia"/>
        </w:rPr>
      </w:pPr>
      <w:r>
        <w:rPr>
          <w:rFonts w:hint="eastAsia"/>
        </w:rPr>
        <w:t>（5）指导艺术创作生产,扶持体现社会主义核心价值观、具有导向性代表性示范性的文化作品,推动各门类艺术、各艺术品种的发展。</w:t>
      </w:r>
    </w:p>
    <w:p w14:paraId="0D9C7BCB">
      <w:pPr>
        <w:rPr>
          <w:rFonts w:hint="eastAsia"/>
        </w:rPr>
      </w:pPr>
      <w:r>
        <w:rPr>
          <w:rFonts w:hint="eastAsia"/>
        </w:rPr>
        <w:t>（6）统筹规划文化、广播电视、旅游、体育产业发展。组织实施文化、旅游和体育资源的普查、规划、开发、推广和相关保护工作,促进文化、广播电视、旅游和体育产业的发展。</w:t>
      </w:r>
    </w:p>
    <w:p w14:paraId="54167B29">
      <w:pPr>
        <w:rPr>
          <w:rFonts w:hint="eastAsia"/>
        </w:rPr>
      </w:pPr>
      <w:r>
        <w:rPr>
          <w:rFonts w:hint="eastAsia"/>
        </w:rPr>
        <w:t>（7）负责对重大文化、广播电视、旅游、体育活动以及从事文化、广播电视、旅游、体育经营项目的监管。推进文化、广播电视、旅游、体育行业信用体系和标准化建设,依法规范文化、广播电视、旅游、体育市场。负责对广播电视、信息网络、公共视听载体播放的视听节目以及从事广播电视节目制作机构的监管。</w:t>
      </w:r>
    </w:p>
    <w:p w14:paraId="759AF04D">
      <w:pPr>
        <w:rPr>
          <w:rFonts w:hint="eastAsia"/>
        </w:rPr>
      </w:pPr>
      <w:r>
        <w:rPr>
          <w:rFonts w:hint="eastAsia"/>
        </w:rPr>
        <w:t>（8）负责文化遗产保护工作。指导、管理文物以及博物馆建设工作,参与重大文物维修和考古项目实施,推动完善文物和博物馆公共服务体系建设。推动非物质文化遗产保护、传承、普及、弘扬和振兴。协同住房城乡建设部门开展历史文化名城(镇、村)保护和监督管理工作。</w:t>
      </w:r>
    </w:p>
    <w:p w14:paraId="64FB341E">
      <w:pPr>
        <w:rPr>
          <w:rFonts w:hint="eastAsia"/>
        </w:rPr>
      </w:pPr>
      <w:r>
        <w:rPr>
          <w:rFonts w:hint="eastAsia"/>
        </w:rPr>
        <w:t>（9）负责推进全民健身计划,组织指导监督体育竞赛工作。拟订青少年体育训练发展规划,统筹规划竞技体育发展和竞技体育项目的设置、布局。指导体育彩票销售的管理,对体育彩票公益金使用进行监管。牵头负责组织县级体育赛事和活动,组织承办市级以上相关体育赛事、培训等活动。组织、指导国民体质监测和体育科研工作。</w:t>
      </w:r>
    </w:p>
    <w:p w14:paraId="761B397B">
      <w:pPr>
        <w:rPr>
          <w:rFonts w:hint="eastAsia"/>
        </w:rPr>
      </w:pPr>
      <w:r>
        <w:rPr>
          <w:rFonts w:hint="eastAsia"/>
        </w:rPr>
        <w:t>（10）组织、指导和管理文化、广播电视、旅游、体育行业的对外交流合作与宣传推广,推进区域文化、广播电视、旅游和体育交流与合作。</w:t>
      </w:r>
    </w:p>
    <w:p w14:paraId="4ADF0169">
      <w:pPr>
        <w:rPr>
          <w:rFonts w:hint="eastAsia"/>
        </w:rPr>
      </w:pPr>
      <w:r>
        <w:rPr>
          <w:rFonts w:hint="eastAsia"/>
        </w:rPr>
        <w:t>（11）负责文化、文物、出版、广播电视、电影、旅游市场、体育市场的执法工作。</w:t>
      </w:r>
    </w:p>
    <w:p w14:paraId="0BD0AB06">
      <w:pPr>
        <w:rPr>
          <w:rFonts w:hint="eastAsia"/>
        </w:rPr>
      </w:pPr>
      <w:r>
        <w:rPr>
          <w:rFonts w:hint="eastAsia"/>
        </w:rPr>
        <w:t>（12）完成县委、县政府和市文化广电旅游体育局交办的其他任务。</w:t>
      </w:r>
    </w:p>
    <w:p w14:paraId="5684764D">
      <w:pPr>
        <w:rPr>
          <w:rFonts w:hint="eastAsia"/>
        </w:rPr>
      </w:pPr>
      <w:r>
        <w:rPr>
          <w:rFonts w:hint="eastAsia"/>
        </w:rPr>
        <w:t>（13）职能转变。深入推进简政放权、放管结合、优化服务改革。逐步扩大文化、广播电视、旅游、体育部分县级行政许可事项下放、委托范围,加强对涉及文化、广播电视、旅游和体育安全事项的监管。推动文化、广播电视、旅游、体育行业信用体系建设,完善“双随机、一公开”监管机制,强化事中事后监管。提升服务水平,提高办事效率。完善文化广电旅游体育公共服务体制,推进公共服务标准化、均等化、数字化、社会化,扶持基层、欠发达地区公共服务体系建设。</w:t>
      </w:r>
    </w:p>
    <w:p w14:paraId="33069658">
      <w:pPr>
        <w:rPr>
          <w:rFonts w:hint="eastAsia"/>
        </w:rPr>
      </w:pPr>
      <w:r>
        <w:rPr>
          <w:rFonts w:hint="eastAsia"/>
          <w:lang w:val="en-US" w:eastAsia="zh-CN"/>
        </w:rPr>
        <w:t>2、2023</w:t>
      </w:r>
      <w:r>
        <w:rPr>
          <w:rFonts w:hint="eastAsia"/>
        </w:rPr>
        <w:t>年度重点工作</w:t>
      </w:r>
      <w:r>
        <w:rPr>
          <w:rFonts w:hint="eastAsia"/>
          <w:lang w:val="en-US" w:eastAsia="zh-CN"/>
        </w:rPr>
        <w:t>目标</w:t>
      </w:r>
      <w:r>
        <w:rPr>
          <w:rFonts w:hint="eastAsia"/>
        </w:rPr>
        <w:t>：2023年，县文化广电旅游体育局将以党的二十大精神为指导，坚决贯彻执行县委、县政府的各项决策部署，结合工作实际，坚持问题导向，拓展工作思路，努力推动文化广电旅游体育各项工作实现新突破。</w:t>
      </w:r>
    </w:p>
    <w:p w14:paraId="68480101">
      <w:pPr>
        <w:rPr>
          <w:rFonts w:hint="eastAsia"/>
        </w:rPr>
      </w:pPr>
      <w:r>
        <w:rPr>
          <w:rFonts w:hint="eastAsia"/>
        </w:rPr>
        <w:t>（</w:t>
      </w:r>
      <w:r>
        <w:rPr>
          <w:rFonts w:hint="eastAsia"/>
          <w:lang w:val="en-US" w:eastAsia="zh-CN"/>
        </w:rPr>
        <w:t>1</w:t>
      </w:r>
      <w:r>
        <w:rPr>
          <w:rFonts w:hint="eastAsia"/>
        </w:rPr>
        <w:t>）聚焦党建引领，守正创新种好“责任田”。</w:t>
      </w:r>
    </w:p>
    <w:p w14:paraId="38BE811F">
      <w:pPr>
        <w:rPr>
          <w:rFonts w:hint="eastAsia"/>
        </w:rPr>
      </w:pPr>
      <w:r>
        <w:rPr>
          <w:rFonts w:hint="eastAsia"/>
        </w:rPr>
        <w:t>（</w:t>
      </w:r>
      <w:r>
        <w:rPr>
          <w:rFonts w:hint="eastAsia"/>
          <w:lang w:val="en-US" w:eastAsia="zh-CN"/>
        </w:rPr>
        <w:t>2</w:t>
      </w:r>
      <w:r>
        <w:rPr>
          <w:rFonts w:hint="eastAsia"/>
        </w:rPr>
        <w:t>）聚焦均衡普惠，以人为本提升群众“满意度”。</w:t>
      </w:r>
    </w:p>
    <w:p w14:paraId="4E40BFC7">
      <w:pPr>
        <w:rPr>
          <w:rFonts w:hint="eastAsia"/>
        </w:rPr>
      </w:pPr>
      <w:r>
        <w:rPr>
          <w:rFonts w:hint="eastAsia"/>
        </w:rPr>
        <w:t>（</w:t>
      </w:r>
      <w:r>
        <w:rPr>
          <w:rFonts w:hint="eastAsia"/>
          <w:lang w:val="en-US" w:eastAsia="zh-CN"/>
        </w:rPr>
        <w:t>3</w:t>
      </w:r>
      <w:r>
        <w:rPr>
          <w:rFonts w:hint="eastAsia"/>
        </w:rPr>
        <w:t>）聚焦文旅体深度融合，打好品质提升“组合拳”。</w:t>
      </w:r>
    </w:p>
    <w:p w14:paraId="63C08DBD">
      <w:pPr>
        <w:rPr>
          <w:rFonts w:hint="eastAsia"/>
        </w:rPr>
      </w:pPr>
      <w:r>
        <w:rPr>
          <w:rFonts w:hint="eastAsia"/>
        </w:rPr>
        <w:t>（</w:t>
      </w:r>
      <w:r>
        <w:rPr>
          <w:rFonts w:hint="eastAsia"/>
          <w:lang w:val="en-US" w:eastAsia="zh-CN"/>
        </w:rPr>
        <w:t>4</w:t>
      </w:r>
      <w:r>
        <w:rPr>
          <w:rFonts w:hint="eastAsia"/>
        </w:rPr>
        <w:t>）聚焦消费提振，攻坚克难培育发展“增长点”。</w:t>
      </w:r>
    </w:p>
    <w:p w14:paraId="470A4660">
      <w:pPr>
        <w:rPr>
          <w:rFonts w:hint="eastAsia"/>
        </w:rPr>
      </w:pPr>
      <w:r>
        <w:rPr>
          <w:rFonts w:hint="eastAsia"/>
        </w:rPr>
        <w:t>（</w:t>
      </w:r>
      <w:r>
        <w:rPr>
          <w:rFonts w:hint="eastAsia"/>
          <w:lang w:val="en-US" w:eastAsia="zh-CN"/>
        </w:rPr>
        <w:t>5</w:t>
      </w:r>
      <w:r>
        <w:rPr>
          <w:rFonts w:hint="eastAsia"/>
        </w:rPr>
        <w:t>）聚焦安全稳定，筑牢文旅市场“防火墙”。</w:t>
      </w:r>
    </w:p>
    <w:p w14:paraId="0AAE3184">
      <w:pPr>
        <w:rPr>
          <w:rFonts w:hint="eastAsia"/>
        </w:rPr>
      </w:pPr>
    </w:p>
    <w:p w14:paraId="33A3CD22">
      <w:pPr>
        <w:rPr>
          <w:rFonts w:hint="eastAsia"/>
        </w:rPr>
      </w:pPr>
      <w:r>
        <w:rPr>
          <w:rFonts w:hint="eastAsia"/>
          <w:lang w:val="en-US" w:eastAsia="zh-CN"/>
        </w:rPr>
        <w:t>二</w:t>
      </w:r>
      <w:r>
        <w:rPr>
          <w:rFonts w:hint="eastAsia"/>
        </w:rPr>
        <w:t>、资金使用情况</w:t>
      </w:r>
    </w:p>
    <w:p w14:paraId="26D76AD3">
      <w:pPr>
        <w:rPr>
          <w:rFonts w:hint="eastAsia"/>
        </w:rPr>
      </w:pPr>
      <w:r>
        <w:rPr>
          <w:rFonts w:hint="eastAsia"/>
          <w:lang w:val="en-US" w:eastAsia="zh-CN"/>
        </w:rPr>
        <w:t>1、</w:t>
      </w:r>
      <w:r>
        <w:rPr>
          <w:rFonts w:hint="eastAsia"/>
        </w:rPr>
        <w:t>预算安排：2023年预算总额5649.75</w:t>
      </w:r>
      <w:r>
        <w:rPr>
          <w:rFonts w:hint="eastAsia"/>
          <w:lang w:val="en-US" w:eastAsia="zh-CN"/>
        </w:rPr>
        <w:t>万元</w:t>
      </w:r>
      <w:r>
        <w:rPr>
          <w:rFonts w:hint="eastAsia"/>
          <w:lang w:eastAsia="zh-CN"/>
        </w:rPr>
        <w:t>，</w:t>
      </w:r>
      <w:r>
        <w:rPr>
          <w:rFonts w:hint="eastAsia"/>
        </w:rPr>
        <w:t>资金来源</w:t>
      </w:r>
      <w:r>
        <w:rPr>
          <w:rFonts w:hint="eastAsia"/>
          <w:lang w:val="en-US" w:eastAsia="zh-CN"/>
        </w:rPr>
        <w:t>为</w:t>
      </w:r>
      <w:r>
        <w:rPr>
          <w:rFonts w:hint="eastAsia"/>
        </w:rPr>
        <w:t>财政拨款。</w:t>
      </w:r>
    </w:p>
    <w:p w14:paraId="36E4F304">
      <w:pPr>
        <w:rPr>
          <w:rFonts w:hint="eastAsia"/>
          <w:lang w:val="en-US" w:eastAsia="zh-CN"/>
        </w:rPr>
      </w:pPr>
      <w:r>
        <w:rPr>
          <w:rFonts w:hint="eastAsia"/>
          <w:lang w:val="en-US" w:eastAsia="zh-CN"/>
        </w:rPr>
        <w:t>2、支出情况：</w:t>
      </w:r>
      <w:r>
        <w:rPr>
          <w:rFonts w:hint="eastAsia"/>
        </w:rPr>
        <w:t>博罗县文化广电旅游体育局20</w:t>
      </w:r>
      <w:r>
        <w:rPr>
          <w:rFonts w:hint="eastAsia"/>
          <w:lang w:val="en-US" w:eastAsia="zh-CN"/>
        </w:rPr>
        <w:t>23</w:t>
      </w:r>
      <w:r>
        <w:rPr>
          <w:rFonts w:hint="eastAsia"/>
        </w:rPr>
        <w:t>年年初预算</w:t>
      </w:r>
      <w:r>
        <w:rPr>
          <w:rFonts w:hint="eastAsia"/>
          <w:lang w:val="en-US" w:eastAsia="zh-CN"/>
        </w:rPr>
        <w:t>收入和支出</w:t>
      </w:r>
      <w:r>
        <w:rPr>
          <w:rFonts w:hint="eastAsia"/>
        </w:rPr>
        <w:t>为</w:t>
      </w:r>
      <w:r>
        <w:rPr>
          <w:rFonts w:hint="eastAsia"/>
          <w:lang w:val="en-US" w:eastAsia="zh-CN"/>
        </w:rPr>
        <w:t>5649.75</w:t>
      </w:r>
      <w:r>
        <w:rPr>
          <w:rFonts w:hint="eastAsia"/>
        </w:rPr>
        <w:t>万元，其中一般公共预算</w:t>
      </w:r>
      <w:r>
        <w:rPr>
          <w:rFonts w:hint="eastAsia"/>
          <w:lang w:val="en-US" w:eastAsia="zh-CN"/>
        </w:rPr>
        <w:t>5649.75</w:t>
      </w:r>
      <w:r>
        <w:rPr>
          <w:rFonts w:hint="eastAsia"/>
        </w:rPr>
        <w:t>万元</w:t>
      </w:r>
      <w:r>
        <w:rPr>
          <w:rFonts w:hint="eastAsia"/>
          <w:lang w:eastAsia="zh-CN"/>
        </w:rPr>
        <w:t>。</w:t>
      </w:r>
      <w:r>
        <w:rPr>
          <w:rFonts w:hint="eastAsia"/>
          <w:lang w:val="en-US" w:eastAsia="zh-CN"/>
        </w:rPr>
        <w:t>全年预算收入和支出为6910.15万元，其中一般公共预算6892.65万元，政府性基金预算17.5万元。</w:t>
      </w:r>
    </w:p>
    <w:p w14:paraId="53791852">
      <w:pPr>
        <w:rPr>
          <w:rFonts w:hint="eastAsia"/>
          <w:lang w:val="en-US" w:eastAsia="zh-CN"/>
        </w:rPr>
      </w:pPr>
    </w:p>
    <w:p w14:paraId="1327D694">
      <w:pPr>
        <w:rPr>
          <w:rFonts w:hint="eastAsia"/>
        </w:rPr>
      </w:pPr>
      <w:r>
        <w:rPr>
          <w:rFonts w:hint="eastAsia"/>
          <w:lang w:val="en-US" w:eastAsia="zh-CN"/>
        </w:rPr>
        <w:t>三</w:t>
      </w:r>
      <w:r>
        <w:rPr>
          <w:rFonts w:hint="eastAsia"/>
        </w:rPr>
        <w:t>、绩效目标完成情况</w:t>
      </w:r>
    </w:p>
    <w:p w14:paraId="00BD0E31">
      <w:pPr>
        <w:rPr>
          <w:rFonts w:hint="eastAsia"/>
        </w:rPr>
      </w:pPr>
      <w:r>
        <w:rPr>
          <w:rFonts w:hint="eastAsia"/>
        </w:rPr>
        <w:t>总体目标：博罗县文化广电旅游体育局主要从预算编制约束性、资金支出时效性、支出进度均衡性、存量资金效率性、预决算公开合规性、财政改革及监督评价六大方面的进行了考核自评，总体目标完成情况良好。</w:t>
      </w:r>
      <w:r>
        <w:rPr>
          <w:rFonts w:hint="eastAsia"/>
          <w:lang w:val="en-US" w:eastAsia="zh-CN"/>
        </w:rPr>
        <w:t>有效</w:t>
      </w:r>
      <w:r>
        <w:rPr>
          <w:rFonts w:hint="eastAsia"/>
        </w:rPr>
        <w:t>提升</w:t>
      </w:r>
      <w:r>
        <w:rPr>
          <w:rFonts w:hint="eastAsia"/>
          <w:lang w:eastAsia="zh-CN"/>
        </w:rPr>
        <w:t>了</w:t>
      </w:r>
      <w:r>
        <w:rPr>
          <w:rFonts w:hint="eastAsia"/>
        </w:rPr>
        <w:t>公共文化服务水平、推动</w:t>
      </w:r>
      <w:r>
        <w:rPr>
          <w:rFonts w:hint="eastAsia"/>
          <w:lang w:eastAsia="zh-CN"/>
        </w:rPr>
        <w:t>了</w:t>
      </w:r>
      <w:r>
        <w:rPr>
          <w:rFonts w:hint="eastAsia"/>
        </w:rPr>
        <w:t>旅游发展</w:t>
      </w:r>
      <w:r>
        <w:rPr>
          <w:rFonts w:hint="eastAsia"/>
          <w:lang w:val="en-US" w:eastAsia="zh-CN"/>
        </w:rPr>
        <w:t>和</w:t>
      </w:r>
      <w:r>
        <w:rPr>
          <w:rFonts w:hint="eastAsia"/>
        </w:rPr>
        <w:t>促进体育事业</w:t>
      </w:r>
      <w:r>
        <w:rPr>
          <w:rFonts w:hint="eastAsia"/>
          <w:lang w:eastAsia="zh-CN"/>
        </w:rPr>
        <w:t>的</w:t>
      </w:r>
      <w:r>
        <w:rPr>
          <w:rFonts w:hint="eastAsia"/>
          <w:lang w:val="en-US" w:eastAsia="zh-CN"/>
        </w:rPr>
        <w:t>发展</w:t>
      </w:r>
      <w:r>
        <w:rPr>
          <w:rFonts w:hint="eastAsia"/>
        </w:rPr>
        <w:t>。</w:t>
      </w:r>
    </w:p>
    <w:p w14:paraId="595FDA7E">
      <w:pPr>
        <w:rPr>
          <w:rFonts w:hint="eastAsia"/>
        </w:rPr>
      </w:pPr>
      <w:r>
        <w:rPr>
          <w:rFonts w:hint="eastAsia"/>
        </w:rPr>
        <w:t>具体指标完成情况：</w:t>
      </w:r>
    </w:p>
    <w:tbl>
      <w:tblPr>
        <w:tblW w:w="825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33"/>
        <w:gridCol w:w="1044"/>
        <w:gridCol w:w="1092"/>
        <w:gridCol w:w="2831"/>
        <w:gridCol w:w="2257"/>
      </w:tblGrid>
      <w:tr w14:paraId="2E549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1" w:hRule="atLeast"/>
        </w:trPr>
        <w:tc>
          <w:tcPr>
            <w:tcW w:w="1033" w:type="dxa"/>
            <w:vMerge w:val="restart"/>
            <w:tcBorders>
              <w:top w:val="single" w:color="000000" w:sz="8" w:space="0"/>
              <w:left w:val="single" w:color="000000" w:sz="8" w:space="0"/>
              <w:bottom w:val="nil"/>
              <w:right w:val="single" w:color="000000" w:sz="8" w:space="0"/>
            </w:tcBorders>
            <w:shd w:val="clear" w:color="auto" w:fill="FFFFFF"/>
            <w:vAlign w:val="center"/>
          </w:tcPr>
          <w:p w14:paraId="741923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绩效指标</w:t>
            </w:r>
          </w:p>
        </w:tc>
        <w:tc>
          <w:tcPr>
            <w:tcW w:w="1044" w:type="dxa"/>
            <w:tcBorders>
              <w:top w:val="nil"/>
              <w:left w:val="nil"/>
              <w:bottom w:val="single" w:color="000000" w:sz="8" w:space="0"/>
              <w:right w:val="single" w:color="000000" w:sz="8" w:space="0"/>
            </w:tcBorders>
            <w:shd w:val="clear" w:color="auto" w:fill="FFFFFF"/>
            <w:vAlign w:val="center"/>
          </w:tcPr>
          <w:p w14:paraId="2DD25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一级指标</w:t>
            </w:r>
          </w:p>
        </w:tc>
        <w:tc>
          <w:tcPr>
            <w:tcW w:w="1092"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C42BF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二级指标</w:t>
            </w: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E161A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三级指标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F66A5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指标值</w:t>
            </w:r>
          </w:p>
        </w:tc>
      </w:tr>
      <w:tr w14:paraId="64CB2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4CB54206">
            <w:pPr>
              <w:jc w:val="center"/>
              <w:rPr>
                <w:rFonts w:hint="eastAsia" w:ascii="宋体" w:hAnsi="宋体" w:eastAsia="宋体" w:cs="宋体"/>
                <w:i w:val="0"/>
                <w:iCs w:val="0"/>
                <w:color w:val="000000"/>
                <w:sz w:val="18"/>
                <w:szCs w:val="18"/>
                <w:u w:val="none"/>
              </w:rPr>
            </w:pPr>
          </w:p>
        </w:tc>
        <w:tc>
          <w:tcPr>
            <w:tcW w:w="104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271003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产出指标</w:t>
            </w:r>
          </w:p>
        </w:tc>
        <w:tc>
          <w:tcPr>
            <w:tcW w:w="10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05E01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数量指标</w:t>
            </w: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619BE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旅游接待人数</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37E35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≧600万人次</w:t>
            </w:r>
          </w:p>
        </w:tc>
      </w:tr>
      <w:tr w14:paraId="4F5D3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18BE935F">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BF3CE4F">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962F841">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10A19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接待参与运动群众人次</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FF371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≧40万</w:t>
            </w:r>
          </w:p>
        </w:tc>
      </w:tr>
      <w:tr w14:paraId="63C93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623ADC64">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EA1F111">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18069CE">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1C90C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举办文化活动数量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4B409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≧10场</w:t>
            </w:r>
          </w:p>
        </w:tc>
      </w:tr>
      <w:tr w14:paraId="7A272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5970560D">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32BCD20">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B78486F">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C25211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服务县直单位数量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D49A8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≧15个</w:t>
            </w:r>
          </w:p>
        </w:tc>
      </w:tr>
      <w:tr w14:paraId="35937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19DB03D8">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7057270">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4943F99">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DB7A7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举办大型会议数量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0FB7B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≧5场</w:t>
            </w:r>
          </w:p>
        </w:tc>
      </w:tr>
      <w:tr w14:paraId="0C89F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58A9857B">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651D5F3">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5BC9D0B">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131EA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旅游项目维修管护面积</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52646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≧1万平方米</w:t>
            </w:r>
          </w:p>
        </w:tc>
      </w:tr>
      <w:tr w14:paraId="5FB3C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3E14F7B1">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E375CF5">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770BD2B">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3AE5E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开展培训次数</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E1ECE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≧5次</w:t>
            </w:r>
          </w:p>
        </w:tc>
      </w:tr>
      <w:tr w14:paraId="44F66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1EC4D90F">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C852A00">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AE456C6">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3C202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维修办公设备数量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5421ED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≧100套</w:t>
            </w:r>
          </w:p>
        </w:tc>
      </w:tr>
      <w:tr w14:paraId="64AF7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5C7FC74A">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C224A34">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CA0322A">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49F66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举办体育赛事及活动数量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D3288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≧150场</w:t>
            </w:r>
          </w:p>
        </w:tc>
      </w:tr>
      <w:tr w14:paraId="49B6E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3094AE38">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3E9271E">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E2364F6">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A2108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发放离退休人员退休资金人数</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1AFFA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≧45人</w:t>
            </w:r>
          </w:p>
        </w:tc>
      </w:tr>
      <w:tr w14:paraId="54217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288AB531">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468CDC0">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499F0E6">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99149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举办大型会议数量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09448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≧30场</w:t>
            </w:r>
          </w:p>
        </w:tc>
      </w:tr>
      <w:tr w14:paraId="6635B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788F3683">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6C9DF45">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56C6FB5">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0236B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发放在编在岗人员薪酬人数</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D0651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≧45人</w:t>
            </w:r>
          </w:p>
        </w:tc>
      </w:tr>
      <w:tr w14:paraId="4E5DD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53F9D0DE">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A34AD1A">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A9B14A3">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11842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购置办公用品种类</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EC4EA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≧20种</w:t>
            </w:r>
          </w:p>
        </w:tc>
      </w:tr>
      <w:tr w14:paraId="5FE3D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79823552">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86DA027">
            <w:pPr>
              <w:jc w:val="center"/>
              <w:rPr>
                <w:rFonts w:hint="eastAsia" w:ascii="宋体" w:hAnsi="宋体" w:eastAsia="宋体" w:cs="宋体"/>
                <w:i w:val="0"/>
                <w:iCs w:val="0"/>
                <w:color w:val="000000"/>
                <w:sz w:val="18"/>
                <w:szCs w:val="18"/>
                <w:u w:val="none"/>
              </w:rPr>
            </w:pPr>
          </w:p>
        </w:tc>
        <w:tc>
          <w:tcPr>
            <w:tcW w:w="10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1B5A1B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质量指标</w:t>
            </w: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A6509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施工质量验收达标率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A52FE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≧90%</w:t>
            </w:r>
          </w:p>
        </w:tc>
      </w:tr>
      <w:tr w14:paraId="196F5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509FB5E0">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15A1EDE">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08609D7">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98626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比赛设备到位率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278DC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≧90%</w:t>
            </w:r>
          </w:p>
        </w:tc>
      </w:tr>
      <w:tr w14:paraId="4974E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296F041F">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B4C1D26">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E675F14">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9BDD7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网络设施正常运行率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CC238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≧90%</w:t>
            </w:r>
          </w:p>
        </w:tc>
      </w:tr>
      <w:tr w14:paraId="64ED9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76FC0AFC">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EA97AB4">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16179BF">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D3E53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体育中心免费开放时间达标率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B7CCD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w:t>
            </w:r>
          </w:p>
        </w:tc>
      </w:tr>
      <w:tr w14:paraId="778D1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3F2E6E7C">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FEC4BE8">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FA847FB">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E9C9D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人员薪酬发放准确率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CD80D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w:t>
            </w:r>
          </w:p>
        </w:tc>
      </w:tr>
      <w:tr w14:paraId="73199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7514ECBC">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F2B3BA4">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9967725">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C530E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退休资金发放准确率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E72D2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w:t>
            </w:r>
          </w:p>
        </w:tc>
      </w:tr>
      <w:tr w14:paraId="76966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396BC536">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BB768CA">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8F7DC82">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F50A8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体育设施利用率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54A5F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≧90%</w:t>
            </w:r>
          </w:p>
        </w:tc>
      </w:tr>
      <w:tr w14:paraId="02079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5B570614">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073D7C6">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544DE96">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B4CEE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办公设备正常使用率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9EE4A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≧90%</w:t>
            </w:r>
          </w:p>
        </w:tc>
      </w:tr>
      <w:tr w14:paraId="57563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2621B713">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1D37886">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EDA4C07">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B492C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购置办公用品验收合格率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B17A4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≧95%</w:t>
            </w:r>
          </w:p>
        </w:tc>
      </w:tr>
      <w:tr w14:paraId="619FF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1DE75472">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19AFB8C">
            <w:pPr>
              <w:jc w:val="center"/>
              <w:rPr>
                <w:rFonts w:hint="eastAsia" w:ascii="宋体" w:hAnsi="宋体" w:eastAsia="宋体" w:cs="宋体"/>
                <w:i w:val="0"/>
                <w:iCs w:val="0"/>
                <w:color w:val="000000"/>
                <w:sz w:val="18"/>
                <w:szCs w:val="18"/>
                <w:u w:val="none"/>
              </w:rPr>
            </w:pPr>
          </w:p>
        </w:tc>
        <w:tc>
          <w:tcPr>
            <w:tcW w:w="10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5E6640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时效指标</w:t>
            </w: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32D5C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施工质量验收达标率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CAE93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≧90%</w:t>
            </w:r>
          </w:p>
        </w:tc>
      </w:tr>
      <w:tr w14:paraId="442B0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7D4B1D48">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F77228B">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A4A7668">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FCC42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比赛设备到位率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3F3B6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≧90%</w:t>
            </w:r>
          </w:p>
        </w:tc>
      </w:tr>
      <w:tr w14:paraId="75B65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6B5EF438">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7DBB98F">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65DCFA1">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11999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网络设施正常运行率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7F9BB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≧90%</w:t>
            </w:r>
          </w:p>
        </w:tc>
      </w:tr>
      <w:tr w14:paraId="65FE2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4CF66307">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1FE52E7">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E10947A">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92AA8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体育中心免费开放时间达标率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A6800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w:t>
            </w:r>
          </w:p>
        </w:tc>
      </w:tr>
      <w:tr w14:paraId="49D6D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21E9090C">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E64E427">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DCE06E9">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3697F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人员薪酬发放准确率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A5343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w:t>
            </w:r>
          </w:p>
        </w:tc>
      </w:tr>
      <w:tr w14:paraId="03A6D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76B9D3D7">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B7499DD">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A6AF5FB">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A5479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退休资金发放准确率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072F0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≥100%</w:t>
            </w:r>
          </w:p>
        </w:tc>
      </w:tr>
      <w:tr w14:paraId="2B74D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1BA4387D">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B940C5F">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4F3C841">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BEFB7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体育设施利用率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A44DE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≧90%</w:t>
            </w:r>
          </w:p>
        </w:tc>
      </w:tr>
      <w:tr w14:paraId="11D71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3B03E2FF">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E36E23A">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98AF51F">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6EE62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办公设备正常使用率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92707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≧90%</w:t>
            </w:r>
          </w:p>
        </w:tc>
      </w:tr>
      <w:tr w14:paraId="32EDA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348AD0D6">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0590F83">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6178F59">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170A6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购置办公用品验收合格率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DA81C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≧95%</w:t>
            </w:r>
          </w:p>
        </w:tc>
      </w:tr>
      <w:tr w14:paraId="57631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7890FF21">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BA7F165">
            <w:pPr>
              <w:jc w:val="center"/>
              <w:rPr>
                <w:rFonts w:hint="eastAsia" w:ascii="宋体" w:hAnsi="宋体" w:eastAsia="宋体" w:cs="宋体"/>
                <w:i w:val="0"/>
                <w:iCs w:val="0"/>
                <w:color w:val="000000"/>
                <w:sz w:val="18"/>
                <w:szCs w:val="18"/>
                <w:u w:val="none"/>
              </w:rPr>
            </w:pPr>
          </w:p>
        </w:tc>
        <w:tc>
          <w:tcPr>
            <w:tcW w:w="10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3CED62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成本指标</w:t>
            </w: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C2C2E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离退休人员退休资金额度</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AD8C47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≦212万元</w:t>
            </w:r>
          </w:p>
        </w:tc>
      </w:tr>
      <w:tr w14:paraId="2E9B8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3C965E4B">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B6559CB">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7EA5E7D">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1DC45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日常办公经费额度</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3F68B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≦60万元</w:t>
            </w:r>
          </w:p>
        </w:tc>
      </w:tr>
      <w:tr w14:paraId="77957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24AA8F1B">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C28AC56">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0F6392F">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E3BA7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体育中心经费</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5A8D6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≦560万元</w:t>
            </w:r>
          </w:p>
        </w:tc>
      </w:tr>
      <w:tr w14:paraId="6AD7A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159DF28F">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B04D01A">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A38B443">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402BD7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文化中心经费</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75F10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≦550万元</w:t>
            </w:r>
          </w:p>
        </w:tc>
      </w:tr>
      <w:tr w14:paraId="110C7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4555605C">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66E8B7C">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ADD77E2">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5D434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旅游专项发展经费</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856F6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≦400万元</w:t>
            </w:r>
          </w:p>
        </w:tc>
      </w:tr>
      <w:tr w14:paraId="7D3F1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1775BE10">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5A7E8F9">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4464688">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4B6AD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一般公共预算文化旅游体育与传媒支出</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830E6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≦2716万元</w:t>
            </w:r>
          </w:p>
        </w:tc>
      </w:tr>
      <w:tr w14:paraId="60A35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1D40B56E">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5D5691A">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9C8C4E1">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98C56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在编在岗人员薪酬资金额度</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1D59E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≦1152万元</w:t>
            </w:r>
          </w:p>
        </w:tc>
      </w:tr>
      <w:tr w14:paraId="49F07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4F5FD6BE">
            <w:pPr>
              <w:jc w:val="center"/>
              <w:rPr>
                <w:rFonts w:hint="eastAsia" w:ascii="宋体" w:hAnsi="宋体" w:eastAsia="宋体" w:cs="宋体"/>
                <w:i w:val="0"/>
                <w:iCs w:val="0"/>
                <w:color w:val="000000"/>
                <w:sz w:val="18"/>
                <w:szCs w:val="18"/>
                <w:u w:val="none"/>
              </w:rPr>
            </w:pPr>
          </w:p>
        </w:tc>
        <w:tc>
          <w:tcPr>
            <w:tcW w:w="104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4546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效益指标</w:t>
            </w:r>
          </w:p>
        </w:tc>
        <w:tc>
          <w:tcPr>
            <w:tcW w:w="10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0FA322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经济效益指标</w:t>
            </w: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03165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旅游收入增长率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9DF24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w:t>
            </w:r>
          </w:p>
        </w:tc>
      </w:tr>
      <w:tr w14:paraId="194CB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73983140">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FDAFF69">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22D4F34">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688D7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新增就业岗位数量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D6723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≧1万人</w:t>
            </w:r>
          </w:p>
        </w:tc>
      </w:tr>
      <w:tr w14:paraId="736BC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3B5D2B8C">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0B14643">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697CECA">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FAEEF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新增旅游业企业数量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2DA54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≧10个</w:t>
            </w:r>
          </w:p>
        </w:tc>
      </w:tr>
      <w:tr w14:paraId="0FB00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41FC1028">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D7F0EFD">
            <w:pPr>
              <w:jc w:val="center"/>
              <w:rPr>
                <w:rFonts w:hint="eastAsia" w:ascii="宋体" w:hAnsi="宋体" w:eastAsia="宋体" w:cs="宋体"/>
                <w:i w:val="0"/>
                <w:iCs w:val="0"/>
                <w:color w:val="000000"/>
                <w:sz w:val="18"/>
                <w:szCs w:val="18"/>
                <w:u w:val="none"/>
              </w:rPr>
            </w:pPr>
          </w:p>
        </w:tc>
        <w:tc>
          <w:tcPr>
            <w:tcW w:w="10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0FF58A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社会效益指标</w:t>
            </w: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91CBD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旅游景点投诉下降率</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63954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w:t>
            </w:r>
          </w:p>
        </w:tc>
      </w:tr>
      <w:tr w14:paraId="4A45C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42E9E8A5">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CFEDD08">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BEA721E">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4453A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体育中心场馆年服务群众人数</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FA6CF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≧40万人</w:t>
            </w:r>
          </w:p>
        </w:tc>
      </w:tr>
      <w:tr w14:paraId="0D577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20183B0D">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7AA31E8">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EC1A16F">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DCBD8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文化中心场馆年服务群众人数</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77C38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≧10万人</w:t>
            </w:r>
          </w:p>
        </w:tc>
      </w:tr>
      <w:tr w14:paraId="76216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3C379567">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DFA3F96">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5079905">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B3C55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举办文化创意展览、美术展览、城乡规划展览馆等文化活动</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6B553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≧10场</w:t>
            </w:r>
          </w:p>
        </w:tc>
      </w:tr>
      <w:tr w14:paraId="188EF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0B15ED55">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DD0EB88">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98E24EA">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1425B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项目受益企业数量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6E857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≧20个</w:t>
            </w:r>
          </w:p>
        </w:tc>
      </w:tr>
      <w:tr w14:paraId="0AB68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00544554">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5DE0996">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0B26A37">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296DF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改善人民群众运动健身娱乐环境，提升全民健身参与度</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F9313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w:t>
            </w:r>
          </w:p>
        </w:tc>
      </w:tr>
      <w:tr w14:paraId="45BFA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5A13B422">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3D83AC9">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4B54D13">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B75E8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旅游项目受益乡镇数量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DFC3E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w:t>
            </w:r>
          </w:p>
        </w:tc>
      </w:tr>
      <w:tr w14:paraId="6FD26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6F83BB48">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4F18C23">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92F38B9">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DFC2F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旅游开发项目受益群众人数</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E9CF2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≧10万人</w:t>
            </w:r>
          </w:p>
        </w:tc>
      </w:tr>
      <w:tr w14:paraId="7FB55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6C1CF0B9">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B884398">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4E776DD">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09D16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广东省青少年锦标赛训练场地保障情况</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F83FB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有力保障</w:t>
            </w:r>
          </w:p>
        </w:tc>
      </w:tr>
      <w:tr w14:paraId="26B5C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62A9D5FC">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A2FC4F8">
            <w:pPr>
              <w:jc w:val="center"/>
              <w:rPr>
                <w:rFonts w:hint="eastAsia" w:ascii="宋体" w:hAnsi="宋体" w:eastAsia="宋体" w:cs="宋体"/>
                <w:i w:val="0"/>
                <w:iCs w:val="0"/>
                <w:color w:val="000000"/>
                <w:sz w:val="18"/>
                <w:szCs w:val="18"/>
                <w:u w:val="none"/>
              </w:rPr>
            </w:pPr>
          </w:p>
        </w:tc>
        <w:tc>
          <w:tcPr>
            <w:tcW w:w="10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74C9E4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生态效益指标</w:t>
            </w: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21BED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维护绿色旅游区域数量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2C360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≧10个</w:t>
            </w:r>
          </w:p>
        </w:tc>
      </w:tr>
      <w:tr w14:paraId="0DCBE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0E10A31B">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F26569C">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7A58D91">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2B177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新增绿色旅游区域数量</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083BE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≧3个</w:t>
            </w:r>
          </w:p>
        </w:tc>
      </w:tr>
      <w:tr w14:paraId="79D80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4A59522A">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E72BA8F">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914F46F">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48B6D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维护体育中心、文化中心、旅游景区绿化面积</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A5D48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≧10万平方米</w:t>
            </w:r>
          </w:p>
        </w:tc>
      </w:tr>
      <w:tr w14:paraId="218B4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676E4918">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5C22767E">
            <w:pPr>
              <w:jc w:val="center"/>
              <w:rPr>
                <w:rFonts w:hint="eastAsia" w:ascii="宋体" w:hAnsi="宋体" w:eastAsia="宋体" w:cs="宋体"/>
                <w:i w:val="0"/>
                <w:iCs w:val="0"/>
                <w:color w:val="000000"/>
                <w:sz w:val="18"/>
                <w:szCs w:val="18"/>
                <w:u w:val="none"/>
              </w:rPr>
            </w:pPr>
          </w:p>
        </w:tc>
        <w:tc>
          <w:tcPr>
            <w:tcW w:w="109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5651DE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可持续影响指标</w:t>
            </w: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92785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保障体育中心基础设施使用年限</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6536D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≧8年</w:t>
            </w:r>
          </w:p>
        </w:tc>
      </w:tr>
      <w:tr w14:paraId="303D9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5FBB62AF">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8E37564">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7CE8F46">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A79E9A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旅游示范区创建工作持续性影响</w:t>
            </w: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24160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持续影响</w:t>
            </w:r>
          </w:p>
        </w:tc>
      </w:tr>
      <w:tr w14:paraId="2C651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1"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09430CA8">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EDE84DF">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1D35F53">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F435844">
            <w:pPr>
              <w:rPr>
                <w:rFonts w:hint="eastAsia" w:ascii="宋体" w:hAnsi="宋体" w:eastAsia="宋体" w:cs="宋体"/>
                <w:i w:val="0"/>
                <w:iCs w:val="0"/>
                <w:color w:val="000000"/>
                <w:sz w:val="18"/>
                <w:szCs w:val="18"/>
                <w:u w:val="none"/>
              </w:rPr>
            </w:pP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981843B">
            <w:pPr>
              <w:jc w:val="center"/>
              <w:rPr>
                <w:rFonts w:hint="eastAsia" w:ascii="宋体" w:hAnsi="宋体" w:eastAsia="宋体" w:cs="宋体"/>
                <w:i w:val="0"/>
                <w:iCs w:val="0"/>
                <w:color w:val="000000"/>
                <w:sz w:val="18"/>
                <w:szCs w:val="18"/>
                <w:u w:val="none"/>
              </w:rPr>
            </w:pPr>
          </w:p>
        </w:tc>
      </w:tr>
      <w:tr w14:paraId="475A0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026C9200">
            <w:pPr>
              <w:jc w:val="center"/>
              <w:rPr>
                <w:rFonts w:hint="eastAsia" w:ascii="宋体" w:hAnsi="宋体" w:eastAsia="宋体" w:cs="宋体"/>
                <w:i w:val="0"/>
                <w:iCs w:val="0"/>
                <w:color w:val="000000"/>
                <w:sz w:val="18"/>
                <w:szCs w:val="18"/>
                <w:u w:val="none"/>
              </w:rPr>
            </w:pPr>
          </w:p>
        </w:tc>
        <w:tc>
          <w:tcPr>
            <w:tcW w:w="1044" w:type="dxa"/>
            <w:vMerge w:val="restart"/>
            <w:tcBorders>
              <w:top w:val="single" w:color="000000" w:sz="8" w:space="0"/>
              <w:left w:val="single" w:color="000000" w:sz="8" w:space="0"/>
              <w:bottom w:val="nil"/>
              <w:right w:val="single" w:color="000000" w:sz="8" w:space="0"/>
            </w:tcBorders>
            <w:shd w:val="clear" w:color="auto" w:fill="FFFFFF"/>
            <w:vAlign w:val="center"/>
          </w:tcPr>
          <w:p w14:paraId="51FE21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满意度指标</w:t>
            </w:r>
          </w:p>
        </w:tc>
        <w:tc>
          <w:tcPr>
            <w:tcW w:w="1092" w:type="dxa"/>
            <w:vMerge w:val="restart"/>
            <w:tcBorders>
              <w:top w:val="single" w:color="000000" w:sz="8" w:space="0"/>
              <w:left w:val="single" w:color="000000" w:sz="8" w:space="0"/>
              <w:bottom w:val="nil"/>
              <w:right w:val="single" w:color="000000" w:sz="8" w:space="0"/>
            </w:tcBorders>
            <w:shd w:val="clear" w:color="auto" w:fill="FFFFFF"/>
            <w:vAlign w:val="center"/>
          </w:tcPr>
          <w:p w14:paraId="1BADC6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服务对象满意度指标</w:t>
            </w:r>
          </w:p>
        </w:tc>
        <w:tc>
          <w:tcPr>
            <w:tcW w:w="283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01DD4DA">
            <w:pPr>
              <w:jc w:val="center"/>
              <w:rPr>
                <w:rFonts w:hint="eastAsia" w:ascii="宋体" w:hAnsi="宋体" w:eastAsia="宋体" w:cs="宋体"/>
                <w:i w:val="0"/>
                <w:iCs w:val="0"/>
                <w:color w:val="000000"/>
                <w:sz w:val="18"/>
                <w:szCs w:val="18"/>
                <w:u w:val="none"/>
              </w:rPr>
            </w:pPr>
          </w:p>
        </w:tc>
        <w:tc>
          <w:tcPr>
            <w:tcW w:w="225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9F7B5C6">
            <w:pPr>
              <w:jc w:val="center"/>
              <w:rPr>
                <w:rFonts w:hint="eastAsia" w:ascii="宋体" w:hAnsi="宋体" w:eastAsia="宋体" w:cs="宋体"/>
                <w:i w:val="0"/>
                <w:iCs w:val="0"/>
                <w:color w:val="000000"/>
                <w:sz w:val="18"/>
                <w:szCs w:val="18"/>
                <w:u w:val="none"/>
              </w:rPr>
            </w:pPr>
          </w:p>
        </w:tc>
      </w:tr>
      <w:tr w14:paraId="01474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33" w:type="dxa"/>
            <w:vMerge w:val="continue"/>
            <w:tcBorders>
              <w:top w:val="single" w:color="000000" w:sz="8" w:space="0"/>
              <w:left w:val="single" w:color="000000" w:sz="8" w:space="0"/>
              <w:bottom w:val="nil"/>
              <w:right w:val="single" w:color="000000" w:sz="8" w:space="0"/>
            </w:tcBorders>
            <w:shd w:val="clear" w:color="auto" w:fill="FFFFFF"/>
            <w:vAlign w:val="center"/>
          </w:tcPr>
          <w:p w14:paraId="19EE4DB4">
            <w:pPr>
              <w:jc w:val="center"/>
              <w:rPr>
                <w:rFonts w:hint="eastAsia" w:ascii="宋体" w:hAnsi="宋体" w:eastAsia="宋体" w:cs="宋体"/>
                <w:i w:val="0"/>
                <w:iCs w:val="0"/>
                <w:color w:val="000000"/>
                <w:sz w:val="18"/>
                <w:szCs w:val="18"/>
                <w:u w:val="none"/>
              </w:rPr>
            </w:pPr>
          </w:p>
        </w:tc>
        <w:tc>
          <w:tcPr>
            <w:tcW w:w="1044" w:type="dxa"/>
            <w:vMerge w:val="continue"/>
            <w:tcBorders>
              <w:top w:val="single" w:color="000000" w:sz="8" w:space="0"/>
              <w:left w:val="single" w:color="000000" w:sz="8" w:space="0"/>
              <w:bottom w:val="nil"/>
              <w:right w:val="single" w:color="000000" w:sz="8" w:space="0"/>
            </w:tcBorders>
            <w:shd w:val="clear" w:color="auto" w:fill="FFFFFF"/>
            <w:vAlign w:val="center"/>
          </w:tcPr>
          <w:p w14:paraId="063E0144">
            <w:pPr>
              <w:jc w:val="center"/>
              <w:rPr>
                <w:rFonts w:hint="eastAsia" w:ascii="宋体" w:hAnsi="宋体" w:eastAsia="宋体" w:cs="宋体"/>
                <w:i w:val="0"/>
                <w:iCs w:val="0"/>
                <w:color w:val="000000"/>
                <w:sz w:val="18"/>
                <w:szCs w:val="18"/>
                <w:u w:val="none"/>
              </w:rPr>
            </w:pPr>
          </w:p>
        </w:tc>
        <w:tc>
          <w:tcPr>
            <w:tcW w:w="1092" w:type="dxa"/>
            <w:vMerge w:val="continue"/>
            <w:tcBorders>
              <w:top w:val="single" w:color="000000" w:sz="8" w:space="0"/>
              <w:left w:val="single" w:color="000000" w:sz="8" w:space="0"/>
              <w:bottom w:val="nil"/>
              <w:right w:val="single" w:color="000000" w:sz="8" w:space="0"/>
            </w:tcBorders>
            <w:shd w:val="clear" w:color="auto" w:fill="FFFFFF"/>
            <w:vAlign w:val="center"/>
          </w:tcPr>
          <w:p w14:paraId="66008B7D">
            <w:pPr>
              <w:jc w:val="center"/>
              <w:rPr>
                <w:rFonts w:hint="eastAsia" w:ascii="宋体" w:hAnsi="宋体" w:eastAsia="宋体" w:cs="宋体"/>
                <w:i w:val="0"/>
                <w:iCs w:val="0"/>
                <w:color w:val="000000"/>
                <w:sz w:val="18"/>
                <w:szCs w:val="18"/>
                <w:u w:val="none"/>
              </w:rPr>
            </w:pPr>
          </w:p>
        </w:tc>
        <w:tc>
          <w:tcPr>
            <w:tcW w:w="2831" w:type="dxa"/>
            <w:tcBorders>
              <w:top w:val="single" w:color="000000" w:sz="8" w:space="0"/>
              <w:left w:val="single" w:color="000000" w:sz="8" w:space="0"/>
              <w:bottom w:val="nil"/>
              <w:right w:val="single" w:color="000000" w:sz="8" w:space="0"/>
            </w:tcBorders>
            <w:shd w:val="clear" w:color="auto" w:fill="FFFFFF"/>
            <w:vAlign w:val="center"/>
          </w:tcPr>
          <w:p w14:paraId="4A1CB6E3">
            <w:pPr>
              <w:jc w:val="center"/>
              <w:rPr>
                <w:rFonts w:hint="eastAsia" w:ascii="宋体" w:hAnsi="宋体" w:eastAsia="宋体" w:cs="宋体"/>
                <w:i w:val="0"/>
                <w:iCs w:val="0"/>
                <w:color w:val="000000"/>
                <w:sz w:val="18"/>
                <w:szCs w:val="18"/>
                <w:u w:val="none"/>
              </w:rPr>
            </w:pPr>
          </w:p>
        </w:tc>
        <w:tc>
          <w:tcPr>
            <w:tcW w:w="2257" w:type="dxa"/>
            <w:tcBorders>
              <w:top w:val="single" w:color="000000" w:sz="8" w:space="0"/>
              <w:left w:val="single" w:color="000000" w:sz="8" w:space="0"/>
              <w:bottom w:val="nil"/>
              <w:right w:val="single" w:color="000000" w:sz="8" w:space="0"/>
            </w:tcBorders>
            <w:shd w:val="clear" w:color="auto" w:fill="FFFFFF"/>
            <w:vAlign w:val="center"/>
          </w:tcPr>
          <w:p w14:paraId="42C2B954">
            <w:pPr>
              <w:jc w:val="center"/>
              <w:rPr>
                <w:rFonts w:hint="eastAsia" w:ascii="宋体" w:hAnsi="宋体" w:eastAsia="宋体" w:cs="宋体"/>
                <w:i w:val="0"/>
                <w:iCs w:val="0"/>
                <w:color w:val="000000"/>
                <w:sz w:val="18"/>
                <w:szCs w:val="18"/>
                <w:u w:val="none"/>
              </w:rPr>
            </w:pPr>
          </w:p>
        </w:tc>
      </w:tr>
    </w:tbl>
    <w:p w14:paraId="0B13823E">
      <w:pPr>
        <w:rPr>
          <w:rFonts w:hint="eastAsia"/>
        </w:rPr>
      </w:pPr>
    </w:p>
    <w:p w14:paraId="03CFE151">
      <w:pPr>
        <w:rPr>
          <w:rFonts w:hint="eastAsia"/>
        </w:rPr>
      </w:pPr>
      <w:r>
        <w:rPr>
          <w:rFonts w:hint="eastAsia"/>
          <w:lang w:val="en-US" w:eastAsia="zh-CN"/>
        </w:rPr>
        <w:t>四</w:t>
      </w:r>
      <w:r>
        <w:rPr>
          <w:rFonts w:hint="eastAsia"/>
        </w:rPr>
        <w:t>、绩效分析</w:t>
      </w:r>
    </w:p>
    <w:p w14:paraId="6746ADBC">
      <w:pPr>
        <w:rPr>
          <w:rFonts w:hint="eastAsia"/>
        </w:rPr>
      </w:pPr>
      <w:r>
        <w:rPr>
          <w:rFonts w:hint="eastAsia"/>
          <w:lang w:val="en-US" w:eastAsia="zh-CN"/>
        </w:rPr>
        <w:t>1、</w:t>
      </w:r>
      <w:r>
        <w:rPr>
          <w:rFonts w:hint="eastAsia"/>
        </w:rPr>
        <w:t>资金使用效率：</w:t>
      </w:r>
      <w:r>
        <w:rPr>
          <w:rFonts w:hint="eastAsia"/>
          <w:lang w:val="en-US" w:eastAsia="zh-CN"/>
        </w:rPr>
        <w:t>2023年博罗县文化广电旅游体育局整体支出</w:t>
      </w:r>
      <w:r>
        <w:rPr>
          <w:rFonts w:hint="eastAsia"/>
          <w:lang w:eastAsia="zh-CN"/>
        </w:rPr>
        <w:t>，</w:t>
      </w:r>
      <w:r>
        <w:rPr>
          <w:rFonts w:hint="eastAsia"/>
        </w:rPr>
        <w:t>资金使用合理规范</w:t>
      </w:r>
      <w:r>
        <w:rPr>
          <w:rFonts w:hint="eastAsia"/>
          <w:lang w:eastAsia="zh-CN"/>
        </w:rPr>
        <w:t>，</w:t>
      </w:r>
      <w:r>
        <w:rPr>
          <w:rFonts w:hint="eastAsia"/>
          <w:lang w:val="en-US" w:eastAsia="zh-CN"/>
        </w:rPr>
        <w:t>不</w:t>
      </w:r>
      <w:r>
        <w:rPr>
          <w:rFonts w:hint="eastAsia"/>
        </w:rPr>
        <w:t>存在浪费或低效使用情况。</w:t>
      </w:r>
    </w:p>
    <w:p w14:paraId="004F44E1">
      <w:pPr>
        <w:rPr>
          <w:rFonts w:hint="default"/>
          <w:lang w:val="en-US"/>
        </w:rPr>
      </w:pPr>
      <w:r>
        <w:rPr>
          <w:rFonts w:hint="eastAsia"/>
          <w:lang w:val="en-US" w:eastAsia="zh-CN"/>
        </w:rPr>
        <w:t>2、</w:t>
      </w:r>
      <w:r>
        <w:rPr>
          <w:rFonts w:hint="eastAsia"/>
        </w:rPr>
        <w:t>社会效益：</w:t>
      </w:r>
      <w:r>
        <w:rPr>
          <w:rFonts w:hint="eastAsia"/>
          <w:lang w:val="en-US" w:eastAsia="zh-CN"/>
        </w:rPr>
        <w:t>举办各式各样的文化创意展览、美术展览、城乡规划展览馆等文化活动，丰富了人民群众的文化生活，促进了旅游业的发展，带动了当地的经济发展，改善人民群众运动健身娱乐环境，提升全民健身参与度。</w:t>
      </w:r>
    </w:p>
    <w:p w14:paraId="2B24D77D">
      <w:pPr>
        <w:rPr>
          <w:rFonts w:hint="eastAsia"/>
        </w:rPr>
      </w:pPr>
      <w:r>
        <w:rPr>
          <w:rFonts w:hint="eastAsia"/>
          <w:lang w:val="en-US" w:eastAsia="zh-CN"/>
        </w:rPr>
        <w:t>3、</w:t>
      </w:r>
      <w:r>
        <w:rPr>
          <w:rFonts w:hint="eastAsia"/>
        </w:rPr>
        <w:t>可持续性</w:t>
      </w:r>
      <w:r>
        <w:rPr>
          <w:rFonts w:hint="eastAsia"/>
          <w:lang w:val="en-US" w:eastAsia="zh-CN"/>
        </w:rPr>
        <w:t>影响</w:t>
      </w:r>
      <w:r>
        <w:rPr>
          <w:rFonts w:hint="eastAsia"/>
        </w:rPr>
        <w:t>：维护体育中心、文化中心、旅游景区绿化面积</w:t>
      </w:r>
      <w:r>
        <w:rPr>
          <w:rFonts w:hint="eastAsia"/>
          <w:lang w:eastAsia="zh-CN"/>
        </w:rPr>
        <w:t>，</w:t>
      </w:r>
      <w:r>
        <w:rPr>
          <w:rFonts w:hint="eastAsia"/>
          <w:lang w:val="en-US" w:eastAsia="zh-CN"/>
        </w:rPr>
        <w:t>对</w:t>
      </w:r>
      <w:r>
        <w:rPr>
          <w:rFonts w:hint="eastAsia"/>
        </w:rPr>
        <w:t>博罗县文化、旅游、体育事业</w:t>
      </w:r>
      <w:r>
        <w:rPr>
          <w:rFonts w:hint="eastAsia"/>
          <w:lang w:val="en-US" w:eastAsia="zh-CN"/>
        </w:rPr>
        <w:t>具有</w:t>
      </w:r>
      <w:r>
        <w:rPr>
          <w:rFonts w:hint="eastAsia"/>
        </w:rPr>
        <w:t>长期发展的促进作用。</w:t>
      </w:r>
    </w:p>
    <w:p w14:paraId="0218453E">
      <w:pPr>
        <w:rPr>
          <w:rFonts w:hint="eastAsia"/>
        </w:rPr>
      </w:pPr>
    </w:p>
    <w:p w14:paraId="386A5567">
      <w:pPr>
        <w:rPr>
          <w:rFonts w:hint="eastAsia"/>
        </w:rPr>
      </w:pPr>
      <w:r>
        <w:rPr>
          <w:rFonts w:hint="eastAsia"/>
          <w:lang w:val="en-US" w:eastAsia="zh-CN"/>
        </w:rPr>
        <w:t>五</w:t>
      </w:r>
      <w:r>
        <w:rPr>
          <w:rFonts w:hint="eastAsia"/>
        </w:rPr>
        <w:t>、存在问题与改进措施</w:t>
      </w:r>
    </w:p>
    <w:p w14:paraId="3BAEBF0B">
      <w:pPr>
        <w:rPr>
          <w:rFonts w:hint="eastAsia"/>
        </w:rPr>
      </w:pPr>
      <w:r>
        <w:rPr>
          <w:rFonts w:hint="eastAsia"/>
          <w:lang w:val="en-US" w:eastAsia="zh-CN"/>
        </w:rPr>
        <w:t>1、</w:t>
      </w:r>
      <w:r>
        <w:rPr>
          <w:rFonts w:hint="eastAsia"/>
        </w:rPr>
        <w:t>存在问题：</w:t>
      </w:r>
    </w:p>
    <w:p w14:paraId="6DFA9527">
      <w:pPr>
        <w:rPr>
          <w:rFonts w:hint="eastAsia"/>
        </w:rPr>
      </w:pPr>
      <w:r>
        <w:rPr>
          <w:rFonts w:hint="eastAsia"/>
          <w:lang w:eastAsia="zh-CN"/>
        </w:rPr>
        <w:t>（</w:t>
      </w:r>
      <w:r>
        <w:rPr>
          <w:rFonts w:hint="eastAsia"/>
          <w:lang w:val="en-US" w:eastAsia="zh-CN"/>
        </w:rPr>
        <w:t>1</w:t>
      </w:r>
      <w:r>
        <w:rPr>
          <w:rFonts w:hint="eastAsia"/>
          <w:lang w:eastAsia="zh-CN"/>
        </w:rPr>
        <w:t>）</w:t>
      </w:r>
      <w:r>
        <w:rPr>
          <w:rFonts w:hint="eastAsia"/>
        </w:rPr>
        <w:t>部分项目资金执行进度较慢。</w:t>
      </w:r>
    </w:p>
    <w:p w14:paraId="29F6CC88">
      <w:pPr>
        <w:rPr>
          <w:rFonts w:hint="eastAsia"/>
        </w:rPr>
      </w:pPr>
      <w:r>
        <w:rPr>
          <w:rFonts w:hint="eastAsia"/>
          <w:lang w:eastAsia="zh-CN"/>
        </w:rPr>
        <w:t>（</w:t>
      </w:r>
      <w:r>
        <w:rPr>
          <w:rFonts w:hint="eastAsia"/>
          <w:lang w:val="en-US" w:eastAsia="zh-CN"/>
        </w:rPr>
        <w:t>2</w:t>
      </w:r>
      <w:r>
        <w:rPr>
          <w:rFonts w:hint="eastAsia"/>
          <w:lang w:eastAsia="zh-CN"/>
        </w:rPr>
        <w:t>）</w:t>
      </w:r>
      <w:r>
        <w:rPr>
          <w:rFonts w:hint="eastAsia"/>
        </w:rPr>
        <w:t>部分文化活动参与度不高。</w:t>
      </w:r>
    </w:p>
    <w:p w14:paraId="0DC0D9BA">
      <w:pPr>
        <w:rPr>
          <w:rFonts w:hint="eastAsia"/>
        </w:rPr>
      </w:pPr>
      <w:r>
        <w:rPr>
          <w:rFonts w:hint="eastAsia"/>
          <w:lang w:eastAsia="zh-CN"/>
        </w:rPr>
        <w:t>（</w:t>
      </w:r>
      <w:r>
        <w:rPr>
          <w:rFonts w:hint="eastAsia"/>
          <w:lang w:val="en-US" w:eastAsia="zh-CN"/>
        </w:rPr>
        <w:t>3</w:t>
      </w:r>
      <w:r>
        <w:rPr>
          <w:rFonts w:hint="eastAsia"/>
          <w:lang w:eastAsia="zh-CN"/>
        </w:rPr>
        <w:t>）</w:t>
      </w:r>
      <w:r>
        <w:rPr>
          <w:rFonts w:hint="eastAsia"/>
        </w:rPr>
        <w:t>旅游品牌推广力度不足。</w:t>
      </w:r>
    </w:p>
    <w:p w14:paraId="634854A7">
      <w:pPr>
        <w:rPr>
          <w:rFonts w:hint="eastAsia"/>
        </w:rPr>
      </w:pPr>
      <w:r>
        <w:rPr>
          <w:rFonts w:hint="eastAsia"/>
          <w:lang w:val="en-US" w:eastAsia="zh-CN"/>
        </w:rPr>
        <w:t>2、</w:t>
      </w:r>
      <w:r>
        <w:rPr>
          <w:rFonts w:hint="eastAsia"/>
        </w:rPr>
        <w:t>改进措施：</w:t>
      </w:r>
    </w:p>
    <w:p w14:paraId="7D4F2EFD">
      <w:pPr>
        <w:rPr>
          <w:rFonts w:hint="eastAsia"/>
        </w:rPr>
      </w:pPr>
      <w:r>
        <w:rPr>
          <w:rFonts w:hint="eastAsia"/>
          <w:lang w:eastAsia="zh-CN"/>
        </w:rPr>
        <w:t>（</w:t>
      </w:r>
      <w:r>
        <w:rPr>
          <w:rFonts w:hint="eastAsia"/>
          <w:lang w:val="en-US" w:eastAsia="zh-CN"/>
        </w:rPr>
        <w:t>1</w:t>
      </w:r>
      <w:r>
        <w:rPr>
          <w:rFonts w:hint="eastAsia"/>
          <w:lang w:eastAsia="zh-CN"/>
        </w:rPr>
        <w:t>）</w:t>
      </w:r>
      <w:r>
        <w:rPr>
          <w:rFonts w:hint="eastAsia"/>
        </w:rPr>
        <w:t>加强资金管理，优化拨付流程。</w:t>
      </w:r>
    </w:p>
    <w:p w14:paraId="7FB9923B">
      <w:pPr>
        <w:rPr>
          <w:rFonts w:hint="eastAsia"/>
        </w:rPr>
      </w:pPr>
      <w:r>
        <w:rPr>
          <w:rFonts w:hint="eastAsia"/>
          <w:lang w:eastAsia="zh-CN"/>
        </w:rPr>
        <w:t>（</w:t>
      </w:r>
      <w:r>
        <w:rPr>
          <w:rFonts w:hint="eastAsia"/>
          <w:lang w:val="en-US" w:eastAsia="zh-CN"/>
        </w:rPr>
        <w:t>2</w:t>
      </w:r>
      <w:r>
        <w:rPr>
          <w:rFonts w:hint="eastAsia"/>
          <w:lang w:eastAsia="zh-CN"/>
        </w:rPr>
        <w:t>）</w:t>
      </w:r>
      <w:r>
        <w:rPr>
          <w:rFonts w:hint="eastAsia"/>
        </w:rPr>
        <w:t>创新文化活动形式，提高公众参与度。</w:t>
      </w:r>
    </w:p>
    <w:p w14:paraId="1B126F02">
      <w:pPr>
        <w:rPr>
          <w:rFonts w:hint="eastAsia"/>
        </w:rPr>
      </w:pPr>
      <w:r>
        <w:rPr>
          <w:rFonts w:hint="eastAsia"/>
          <w:lang w:eastAsia="zh-CN"/>
        </w:rPr>
        <w:t>（</w:t>
      </w:r>
      <w:r>
        <w:rPr>
          <w:rFonts w:hint="eastAsia"/>
          <w:lang w:val="en-US" w:eastAsia="zh-CN"/>
        </w:rPr>
        <w:t>3</w:t>
      </w:r>
      <w:r>
        <w:rPr>
          <w:rFonts w:hint="eastAsia"/>
          <w:lang w:eastAsia="zh-CN"/>
        </w:rPr>
        <w:t>）</w:t>
      </w:r>
      <w:r>
        <w:rPr>
          <w:rFonts w:hint="eastAsia"/>
        </w:rPr>
        <w:t>加大旅游宣传投入，提升品牌影响力。</w:t>
      </w:r>
    </w:p>
    <w:p w14:paraId="0792C31A">
      <w:pPr>
        <w:rPr>
          <w:rFonts w:hint="eastAsia"/>
        </w:rPr>
      </w:pPr>
    </w:p>
    <w:p w14:paraId="0BA04107">
      <w:pPr>
        <w:rPr>
          <w:rFonts w:hint="eastAsia"/>
        </w:rPr>
      </w:pPr>
      <w:r>
        <w:rPr>
          <w:rFonts w:hint="eastAsia"/>
          <w:lang w:val="en-US" w:eastAsia="zh-CN"/>
        </w:rPr>
        <w:t>六</w:t>
      </w:r>
      <w:r>
        <w:rPr>
          <w:rFonts w:hint="eastAsia"/>
        </w:rPr>
        <w:t>、自评结论</w:t>
      </w:r>
    </w:p>
    <w:p w14:paraId="638548D5">
      <w:pPr>
        <w:rPr>
          <w:rFonts w:hint="eastAsia"/>
        </w:rPr>
      </w:pPr>
      <w:r>
        <w:rPr>
          <w:rFonts w:hint="eastAsia"/>
          <w:lang w:val="en-US" w:eastAsia="zh-CN"/>
        </w:rPr>
        <w:t>1、</w:t>
      </w:r>
      <w:r>
        <w:rPr>
          <w:rFonts w:hint="eastAsia"/>
        </w:rPr>
        <w:t>总体评价：2023年博罗县文化广电旅游体育局在资金使用和项目实施方面总体完成情况良好，基本实现了年度绩效目标。</w:t>
      </w:r>
    </w:p>
    <w:p w14:paraId="42CCFA72">
      <w:pPr>
        <w:rPr>
          <w:rFonts w:hint="eastAsia"/>
        </w:rPr>
      </w:pPr>
      <w:r>
        <w:rPr>
          <w:rFonts w:hint="eastAsia"/>
          <w:lang w:val="en-US" w:eastAsia="zh-CN"/>
        </w:rPr>
        <w:t>2、</w:t>
      </w:r>
      <w:r>
        <w:rPr>
          <w:rFonts w:hint="eastAsia"/>
        </w:rPr>
        <w:t>自评得分：根据绩效评价指标体系，给出自评得分</w:t>
      </w:r>
      <w:r>
        <w:rPr>
          <w:rFonts w:hint="eastAsia"/>
          <w:lang w:val="en-US" w:eastAsia="zh-CN"/>
        </w:rPr>
        <w:t>90分</w:t>
      </w:r>
      <w:bookmarkStart w:id="0" w:name="_GoBack"/>
      <w:bookmarkEnd w:id="0"/>
      <w:r>
        <w:rPr>
          <w:rFonts w:hint="eastAsia"/>
        </w:rPr>
        <w:t>。</w:t>
      </w:r>
    </w:p>
    <w:p w14:paraId="33D3B03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A549B4"/>
    <w:rsid w:val="62A54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8</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2025-02-13T03:25:00Z</dcterms:created>
  <dc:creator>Administrator</dc:creator>
  <cp:lastModifiedBy>Administrator</cp:lastModifiedBy>
  <dcterms:modified xsi:type="dcterms:W3CDTF">2025-02-13T03:56:49Z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90464C0324EA4722875BD5B9DE192E27_11</vt:lpwstr>
  </property>
  <property fmtid="{D5CDD505-2E9C-101B-9397-08002B2CF9AE}" pid="4" name="KSOTemplateDocerSaveRecord">
    <vt:lpwstr>eyJoZGlkIjoiZGY5ZmM5NTAxNTE0MzA1ZWU2YzY1NmQ3MDEwODgxYzYifQ==</vt:lpwstr>
  </property>
</Properties>
</file>